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5"/>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50811"/>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1A Burton Hills Blvd., </w:t>
            </w:r>
            <w:bookmarkStart w:id="9" w:name="xdx_90D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Nashville, </w:t>
            </w:r>
            <w:bookmarkStart w:id="11" w:name="xdx_900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0_edei--CityAreaCode_c20250811__20"/>
      <w:bookmarkEnd w:id="13"/>
      <w:r>
        <w:rPr>
          <w:rFonts w:ascii="Times New Roman;Times;Serif" w:hAnsi="Times New Roman;Times;Serif"/>
          <w:b/>
          <w:i w:val="false"/>
          <w:caps w:val="false"/>
          <w:smallCaps w:val="false"/>
          <w:sz w:val="20"/>
        </w:rPr>
        <w:t xml:space="preserve">(615) </w:t>
      </w:r>
      <w:bookmarkStart w:id="14" w:name="xdx_906_edei--LocalPhoneNumber_c20250811"/>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8_edei--Security12bTitle_c20250811"/>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9_edei--TradingSymbol_c20250811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1_edei--SecurityExchangeName_c2025"/>
            <w:bookmarkEnd w:id="17"/>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50811"/>
            <w:bookmarkEnd w:id="18"/>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50811__2"/>
            <w:bookmarkEnd w:id="19"/>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SecurityExchangeName_c2025"/>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12bTitle_c20250811"/>
            <w:bookmarkEnd w:id="21"/>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TradingSymbol_c20250811__2"/>
            <w:bookmarkEnd w:id="22"/>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ExchangeName_c2025"/>
            <w:bookmarkEnd w:id="2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4" w:name="xdx_908_edei--WrittenCommunications_c202"/>
            <w:bookmarkEnd w:id="2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5" w:name="xdx_908_edei--SolicitingMaterial_c202508"/>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D_edei--PreCommencementTenderOffer"/>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A_edei--PreCommencementIssuerTende"/>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8" w:name="xdx_900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Harrow, Inc. (the “Company”) issued a press release and a letter to stockholders announcing its financial results for the period ended June 30, 2025, and an update on recent corporate events. The press release and letter to stockholders are being furnished as Exhibits 99.1 and 99.2, respectively,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as </w:t>
      </w:r>
      <w:r>
        <w:rPr>
          <w:rFonts w:ascii="Times New Roman;Times;Serif" w:hAnsi="Times New Roman;Times;Serif"/>
          <w:b w:val="false"/>
          <w:i w:val="false"/>
          <w:caps w:val="false"/>
          <w:smallCaps w:val="false"/>
          <w:sz w:val="20"/>
          <w:u w:val="single"/>
        </w:rPr>
        <w:t>Exhibit 99.3</w:t>
      </w:r>
      <w:r>
        <w:rPr>
          <w:rFonts w:ascii="Times New Roman;Times;Serif" w:hAnsi="Times New Roman;Times;Serif"/>
          <w:b w:val="false"/>
          <w:i w:val="false"/>
          <w:caps w:val="false"/>
          <w:smallCaps w:val="false"/>
          <w:sz w:val="20"/>
        </w:rPr>
        <w:t xml:space="preserve"> to this Current Report on Form 8-K is a presentation of the Company that may be used by the management of the Company at investor conferences and at meetings describing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under Items 2.02 and 7.01 of this Current Report on Form 8-K,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xml:space="preserve">, shall not be deemed to be “filed” for the purposes of Section 18 of the Securities Exchange Act of 1934, as amended (the “Exchange Act”), or otherwise subject to the liabilities of that Section. The information in Items 2.02 and 7.01,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under Items 2.02 and 7.01 of this Current Report on Form 8-K, including </w:t>
      </w:r>
      <w:r>
        <w:rPr>
          <w:rFonts w:ascii="Times New Roman;Times;Serif" w:hAnsi="Times New Roman;Times;Serif"/>
          <w:b w:val="false"/>
          <w:i w:val="false"/>
          <w:caps w:val="false"/>
          <w:smallCaps w:val="false"/>
          <w:sz w:val="20"/>
          <w:u w:val="single"/>
        </w:rPr>
        <w:t>Exhibits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99.3</w:t>
      </w:r>
      <w:r>
        <w:rPr>
          <w:rFonts w:ascii="Times New Roman;Times;Serif" w:hAnsi="Times New Roman;Times;Serif"/>
          <w:b w:val="false"/>
          <w:i w:val="false"/>
          <w:caps w:val="false"/>
          <w:smallCaps w:val="false"/>
          <w:sz w:val="20"/>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Harrow, Inc. on August 11,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Letter to Stockholders by Harrow, Inc. dated August 11,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Harrow Corporate Presentation dated August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970"/>
        <w:gridCol w:w="545"/>
        <w:gridCol w:w="189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9" w:name="ex99-1.htm"/>
      <w:bookmarkStart w:id="30" w:name="ksex991"/>
      <w:bookmarkEnd w:id="29"/>
      <w:bookmarkEnd w:id="30"/>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2103120" cy="9690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3120" cy="96901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Second-Quarter 2025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Second-Quarter 2025 and Recent Selected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of $63.7 million, a 30% increase over $48.9 million recorded in the prior-year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of $5.0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$17.0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$53.0 million as of June 30, 2025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August 11, 2025 – Harrow (Nasdaq: HROW), a leading provider of ophthalmic disease management solutions in North America, announced results for the second quarter ended June 30, 2025. The Company also posted its second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all Harrow stockholders to review these documents, which provide additional details concerning the historical quarterly period and future expectations for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provided a strong financial and operational foundation for the back half of the year,” said Mark L. Baum, Chief Executive Officer of Harrow. “These results have positioned us to strengthen our capital base and are a proof point as to the financial leverage we believe our business has. We remain on track to deliver greater than $280 million in revenue for the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VEVYE® continues to gain commercial momentum, adding nearly 3% in market share in the quarter, with 66% sequential prescription growth, including approximately 50,000 new prescriptions. Now, with an average selling price (ASP) that is stable with an upward bias over the coming quarters, we expect quarterly revenues to begin to expand meaningfully and exceed $100 million for 2025. Our </w:t>
      </w:r>
      <w:r>
        <w:rPr>
          <w:rFonts w:ascii="Times New Roman;Times;Serif" w:hAnsi="Times New Roman;Times;Serif"/>
          <w:b w:val="false"/>
          <w:i/>
          <w:caps w:val="false"/>
          <w:smallCaps w:val="false"/>
          <w:sz w:val="20"/>
        </w:rPr>
        <w:t>VEVYE® Access for All</w:t>
      </w:r>
      <w:r>
        <w:rPr>
          <w:rFonts w:ascii="Times New Roman;Times;Serif" w:hAnsi="Times New Roman;Times;Serif"/>
          <w:b w:val="false"/>
          <w:i w:val="false"/>
          <w:caps w:val="false"/>
          <w:smallCaps w:val="false"/>
          <w:sz w:val="20"/>
        </w:rPr>
        <w:t xml:space="preserve"> (VAFA) program, which has significantly improved patient access and reduced barriers to treatment, is currently driving growth in prescription volumes for VEVYE, and we believe the recent expansion of our pharmacy network to include a full nationwide retail network should improve our ASP and further unlock VEVYE’s commercial and financial potential.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IHEEZO® has found its growth footing and is expected to deliver record performance through the balance of the year. TRIESENCE® volumes are improving, and with a coming launch in its largest market, ocular inflammation, we expect to finally demonstrate a revenue trajectory consistent with our original acquisition thesis – that TRIESENCE should eventually deliver $100 million in annual revenue. The balance of our branded portfolio, as well as ImprimisRx, our compounding business, are on track and delivering results in line with our 2025 forecast. Together, these results highlight strength, resilience, and growing demand for our ophthalmic disease management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sum, our commercial platform is firing on all cylinders – scaling rapidly and driving strong, growing profitability as demand surges for VEVYE and IHEEZO, and improves the rest of our portfolio. With powerful new revenue streams on deck – including the Samsung biosimilars portfolio, BYQLOVI™, and the expansion of TRIESENCE into its largest potential market – all with minimal incremental cost, we are poised to unlock additional operational leverage and deliver meaningful profitability for Harrow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558" w:type="dxa"/>
        <w:jc w:val="left"/>
        <w:tblInd w:w="0" w:type="dxa"/>
        <w:shd w:fill="FFFFFF" w:val="clear"/>
        <w:tblLayout w:type="fixed"/>
        <w:tblCellMar>
          <w:top w:w="0" w:type="dxa"/>
          <w:left w:w="0" w:type="dxa"/>
          <w:bottom w:w="0" w:type="dxa"/>
          <w:right w:w="0" w:type="dxa"/>
        </w:tblCellMar>
      </w:tblPr>
      <w:tblGrid>
        <w:gridCol w:w="38"/>
        <w:gridCol w:w="170"/>
        <w:gridCol w:w="33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3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Care Strategic Alliance for VAFA</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recently entered into a strategic alliance with </w:t>
            </w:r>
            <w:r>
              <w:rPr>
                <w:rFonts w:ascii="Times New Roman;Times;Serif" w:hAnsi="Times New Roman;Times;Serif"/>
                <w:b w:val="false"/>
                <w:i w:val="false"/>
                <w:caps w:val="false"/>
                <w:smallCaps w:val="false"/>
                <w:sz w:val="20"/>
                <w:u w:val="single"/>
              </w:rPr>
              <w:t>Apollo Care</w:t>
            </w:r>
            <w:r>
              <w:rPr>
                <w:rFonts w:ascii="Times New Roman;Times;Serif" w:hAnsi="Times New Roman;Times;Serif"/>
                <w:b w:val="false"/>
                <w:i w:val="false"/>
                <w:caps w:val="false"/>
                <w:smallCaps w:val="false"/>
                <w:sz w:val="20"/>
              </w:rPr>
              <w:t>, an innovative service provider for patient access and commercial solutions, as Harrow’s second specialty pharmacy partner for the VAFA program. With 500+ pharmacies and full nationwide coverage, Apollo Care’s pharmacy network is broadly contracted with major and small commercial, TRICARE and Medicare plans, positioning it to accelerate VAFA’s expansion while driving broader insurance coverage.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2</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shd w:fill="FFFFFF" w:val="clear"/>
        <w:tblLayout w:type="fixed"/>
        <w:tblCellMar>
          <w:top w:w="0" w:type="dxa"/>
          <w:left w:w="0" w:type="dxa"/>
          <w:bottom w:w="0" w:type="dxa"/>
          <w:right w:w="0" w:type="dxa"/>
        </w:tblCellMar>
      </w:tblPr>
      <w:tblGrid>
        <w:gridCol w:w="38"/>
        <w:gridCol w:w="170"/>
        <w:gridCol w:w="14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4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Samsung Bioepis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Harrow secured the exclusive U.S. commercial rights to the ophthalmology biosimilar portfolio of Samsung Bioepis — BYOOVIZ® (ranibizumab-nuna), an FDA-approved biosimilar referencing LUCENTIS (ranibizumab), and OPUVIZ™ (aflibercept-yszy), an FDA-approved biosimilar referencing EYLEA (aflibercept) — two of the most widely used anti-VEGF therapies for retinal diseases.</w:t>
            </w:r>
          </w:p>
        </w:tc>
      </w:tr>
    </w:tbl>
    <w:p>
      <w:pPr>
        <w:pStyle w:val="TextBody"/>
        <w:shd w:fill="FFFFFF" w:val="clear"/>
        <w:bidi w:val="0"/>
        <w:spacing w:before="0" w:after="0"/>
        <w:ind w:left="1440" w:right="0" w:hanging="360"/>
        <w:jc w:val="both"/>
        <w:rPr>
          <w:caps w:val="false"/>
          <w:smallCaps w:val="false"/>
        </w:rPr>
      </w:pPr>
      <w:r>
        <w:rPr>
          <w:caps w:val="false"/>
          <w:smallCaps w:val="false"/>
        </w:rPr>
        <w:t> </w:t>
      </w:r>
    </w:p>
    <w:tbl>
      <w:tblPr>
        <w:tblW w:w="2103" w:type="dxa"/>
        <w:jc w:val="left"/>
        <w:tblInd w:w="0" w:type="dxa"/>
        <w:shd w:fill="FFFFFF" w:val="clear"/>
        <w:tblLayout w:type="fixed"/>
        <w:tblCellMar>
          <w:top w:w="0" w:type="dxa"/>
          <w:left w:w="0" w:type="dxa"/>
          <w:bottom w:w="0" w:type="dxa"/>
          <w:right w:w="0" w:type="dxa"/>
        </w:tblCellMar>
      </w:tblPr>
      <w:tblGrid>
        <w:gridCol w:w="38"/>
        <w:gridCol w:w="170"/>
        <w:gridCol w:w="18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BYQLOVI Acquisition</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Harrow acquired the exclusive U.S. commercial rights for BYQLOVI™ (clobetasol propionate ophthalmic suspension) 0.05%. BYQLOVI was recently approved by the U.S. Food and Drug Administration (FDA) for the treatment of post-operative inflammation and pain following ocular surgery and is the first new ophthalmic steroid in its class in over 15 years.</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2025 Financial Results: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416" w:type="dxa"/>
        <w:jc w:val="left"/>
        <w:tblInd w:w="0" w:type="dxa"/>
        <w:tblLayout w:type="fixed"/>
        <w:tblCellMar>
          <w:top w:w="0" w:type="dxa"/>
          <w:left w:w="0" w:type="dxa"/>
          <w:bottom w:w="0" w:type="dxa"/>
          <w:right w:w="0" w:type="dxa"/>
        </w:tblCellMar>
      </w:tblPr>
      <w:tblGrid>
        <w:gridCol w:w="2885"/>
        <w:gridCol w:w="60"/>
        <w:gridCol w:w="153"/>
        <w:gridCol w:w="1205"/>
        <w:gridCol w:w="235"/>
        <w:gridCol w:w="65"/>
        <w:gridCol w:w="153"/>
        <w:gridCol w:w="1205"/>
        <w:gridCol w:w="215"/>
        <w:gridCol w:w="60"/>
        <w:gridCol w:w="140"/>
        <w:gridCol w:w="1220"/>
        <w:gridCol w:w="215"/>
        <w:gridCol w:w="60"/>
        <w:gridCol w:w="140"/>
        <w:gridCol w:w="1175"/>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16"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63,742,000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48,939,000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75</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80</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4,995,000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(6,473,000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(12,785,000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(20,038,000</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income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9,227,000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(2,047,000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(4,327,000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(11,836,000</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17,006,000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8,803,000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15,021,000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9,030,000</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income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0.14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(0.56</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0.13</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(0.56</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income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0.25</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(0.33</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(0.33</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can access the </w:t>
      </w:r>
      <w:r>
        <w:rPr>
          <w:rFonts w:ascii="Times New Roman;Times;Serif" w:hAnsi="Times New Roman;Times;Serif"/>
          <w:b w:val="false"/>
          <w:i w:val="false"/>
          <w:caps w:val="false"/>
          <w:smallCaps w:val="false"/>
          <w:sz w:val="20"/>
          <w:u w:val="single"/>
        </w:rPr>
        <w:t>live webcast</w:t>
      </w:r>
      <w:r>
        <w:rPr>
          <w:rFonts w:ascii="Times New Roman;Times;Serif" w:hAnsi="Times New Roman;Times;Serif"/>
          <w:b w:val="false"/>
          <w:i w:val="false"/>
          <w:caps w:val="false"/>
          <w:smallCaps w:val="false"/>
          <w:sz w:val="20"/>
        </w:rPr>
        <w:t xml:space="preserve"> of Harrow’s presentation on the “Investors” page of Harrow’s website. A replay of the webcast will be available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participate via telephone, please register in advance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Upon registration, all telephone participants will receive a confirmation email with detailed instructions, including a unique dial-in number and PIN, for accessing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Harrow, Inc. (Nasdaq: HROW) </w:t>
      </w:r>
      <w:r>
        <w:rPr>
          <w:rFonts w:ascii="Times New Roman;Times;Serif" w:hAnsi="Times New Roman;Times;Serif"/>
          <w:b w:val="false"/>
          <w:i w:val="false"/>
          <w:caps w:val="false"/>
          <w:smallCaps w:val="false"/>
          <w:sz w:val="20"/>
        </w:rPr>
        <w:t xml:space="preserve">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3</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Biega, VP of Investor Relations and Communications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mbiega@harrowinc.com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617-913-8890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4</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108" w:type="dxa"/>
        <w:jc w:val="left"/>
        <w:tblInd w:w="0" w:type="dxa"/>
        <w:tblLayout w:type="fixed"/>
        <w:tblCellMar>
          <w:top w:w="0" w:type="dxa"/>
          <w:left w:w="0" w:type="dxa"/>
          <w:bottom w:w="0" w:type="dxa"/>
          <w:right w:w="0" w:type="dxa"/>
        </w:tblCellMar>
      </w:tblPr>
      <w:tblGrid>
        <w:gridCol w:w="6485"/>
        <w:gridCol w:w="60"/>
        <w:gridCol w:w="145"/>
        <w:gridCol w:w="1269"/>
        <w:gridCol w:w="60"/>
        <w:gridCol w:w="60"/>
        <w:gridCol w:w="201"/>
        <w:gridCol w:w="1753"/>
        <w:gridCol w:w="75"/>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i/>
              </w:rPr>
            </w:pPr>
            <w:r>
              <w:rPr>
                <w:i/>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52,963,000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753" w:type="dxa"/>
            <w:tcBorders/>
            <w:shd w:fill="FFFFFF" w:val="clear"/>
            <w:vAlign w:val="center"/>
          </w:tcPr>
          <w:p>
            <w:pPr>
              <w:pStyle w:val="TableContents"/>
              <w:bidi w:val="0"/>
              <w:spacing w:before="0" w:after="283"/>
              <w:jc w:val="right"/>
              <w:rPr/>
            </w:pPr>
            <w:r>
              <w:rPr/>
              <w:t>47,247,000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101,927,000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pPr>
            <w:r>
              <w:rPr/>
              <w:t>142,404,000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154,890,000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b/>
              </w:rPr>
            </w:pPr>
            <w:r>
              <w:rPr>
                <w:b/>
              </w:rPr>
              <w:t>189,651,000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190,143,000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pPr>
            <w:r>
              <w:rPr/>
              <w:t>199,320,000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345,033,000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388,971,000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248,884,000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753" w:type="dxa"/>
            <w:tcBorders/>
            <w:shd w:fill="CCEEFF" w:val="clear"/>
            <w:vAlign w:val="center"/>
          </w:tcPr>
          <w:p>
            <w:pPr>
              <w:pStyle w:val="TableContents"/>
              <w:bidi w:val="0"/>
              <w:spacing w:before="0" w:after="283"/>
              <w:jc w:val="right"/>
              <w:rPr/>
            </w:pPr>
            <w:r>
              <w:rPr/>
              <w:t>91,343,000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Loans payable, net of unamortized debt discount and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38,484,000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pPr>
            <w:r>
              <w:rPr/>
              <w:t>219,539,000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8,366,000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pPr>
            <w:r>
              <w:rPr/>
              <w:t>8,792,000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295,734,000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b/>
              </w:rPr>
            </w:pPr>
            <w:r>
              <w:rPr>
                <w:b/>
              </w:rPr>
              <w:t>319,674,000</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49,299,000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69,297,000</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345,033,000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388,971,000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6"/>
        <w:gridCol w:w="60"/>
        <w:gridCol w:w="156"/>
        <w:gridCol w:w="1233"/>
        <w:gridCol w:w="105"/>
        <w:gridCol w:w="66"/>
        <w:gridCol w:w="156"/>
        <w:gridCol w:w="1233"/>
        <w:gridCol w:w="95"/>
        <w:gridCol w:w="60"/>
        <w:gridCol w:w="140"/>
        <w:gridCol w:w="1220"/>
        <w:gridCol w:w="95"/>
        <w:gridCol w:w="60"/>
        <w:gridCol w:w="140"/>
        <w:gridCol w:w="1175"/>
        <w:gridCol w:w="115"/>
      </w:tblGrid>
      <w:tr>
        <w:trPr/>
        <w:tc>
          <w:tcPr>
            <w:tcW w:w="4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5" w:type="dxa"/>
            <w:tcBorders/>
            <w:vAlign w:val="center"/>
          </w:tcPr>
          <w:p>
            <w:pPr>
              <w:pStyle w:val="TableContents"/>
              <w:bidi w:val="0"/>
              <w:spacing w:before="0" w:after="283"/>
              <w:jc w:val="left"/>
              <w:rPr/>
            </w:pPr>
            <w:r>
              <w:rPr/>
              <w:t> </w:t>
            </w:r>
          </w:p>
        </w:tc>
      </w:tr>
      <w:tr>
        <w:trPr/>
        <w:tc>
          <w:tcPr>
            <w:tcW w:w="4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r>
      <w:tr>
        <w:trPr/>
        <w:tc>
          <w:tcPr>
            <w:tcW w:w="4096"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63,742,000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48,939,000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115" w:type="dxa"/>
            <w:tcBorders/>
            <w:shd w:fill="CCEE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16,230,000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12,539,000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31,754,000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23,092,000</w:t>
            </w:r>
          </w:p>
        </w:tc>
        <w:tc>
          <w:tcPr>
            <w:tcW w:w="115" w:type="dxa"/>
            <w:tcBorders/>
            <w:shd w:fill="FFFFFF" w:val="clear"/>
            <w:vAlign w:val="center"/>
          </w:tcPr>
          <w:p>
            <w:pPr>
              <w:pStyle w:val="TableContents"/>
              <w:bidi w:val="0"/>
              <w:spacing w:before="0" w:after="283"/>
              <w:jc w:val="left"/>
              <w:rPr/>
            </w:pPr>
            <w:r>
              <w:rPr/>
              <w:t> </w:t>
            </w:r>
          </w:p>
        </w:tc>
      </w:tr>
      <w:tr>
        <w:trPr/>
        <w:tc>
          <w:tcPr>
            <w:tcW w:w="4096"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47,512,000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60,434,000</w:t>
            </w:r>
          </w:p>
        </w:tc>
        <w:tc>
          <w:tcPr>
            <w:tcW w:w="115" w:type="dxa"/>
            <w:tcBorders/>
            <w:shd w:fill="CCEE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33,235,000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31,817,000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60,630,000</w:t>
            </w:r>
          </w:p>
        </w:tc>
        <w:tc>
          <w:tcPr>
            <w:tcW w:w="115" w:type="dxa"/>
            <w:tcBorders/>
            <w:shd w:fill="FFFFFF" w:val="clear"/>
            <w:vAlign w:val="center"/>
          </w:tcPr>
          <w:p>
            <w:pPr>
              <w:pStyle w:val="TableContents"/>
              <w:bidi w:val="0"/>
              <w:spacing w:before="0" w:after="283"/>
              <w:jc w:val="left"/>
              <w:rPr/>
            </w:pPr>
            <w:r>
              <w:rPr/>
              <w:t> </w:t>
            </w:r>
          </w:p>
        </w:tc>
      </w:tr>
      <w:tr>
        <w:trPr/>
        <w:tc>
          <w:tcPr>
            <w:tcW w:w="409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2,868,000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3,053,000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5,202,000</w:t>
            </w:r>
          </w:p>
        </w:tc>
        <w:tc>
          <w:tcPr>
            <w:tcW w:w="115" w:type="dxa"/>
            <w:tcBorders/>
            <w:shd w:fill="CCEE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36,103,000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34,870,000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65,832,000</w:t>
            </w:r>
          </w:p>
        </w:tc>
        <w:tc>
          <w:tcPr>
            <w:tcW w:w="115" w:type="dxa"/>
            <w:tcBorders/>
            <w:shd w:fill="FFFFFF" w:val="clear"/>
            <w:vAlign w:val="center"/>
          </w:tcPr>
          <w:p>
            <w:pPr>
              <w:pStyle w:val="TableContents"/>
              <w:bidi w:val="0"/>
              <w:spacing w:before="0" w:after="283"/>
              <w:jc w:val="left"/>
              <w:rPr/>
            </w:pPr>
            <w:r>
              <w:rPr/>
              <w:t> </w:t>
            </w:r>
          </w:p>
        </w:tc>
      </w:tr>
      <w:tr>
        <w:trPr/>
        <w:tc>
          <w:tcPr>
            <w:tcW w:w="4096"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b/>
              </w:rPr>
            </w:pPr>
            <w:r>
              <w:rPr>
                <w:b/>
              </w:rPr>
              <w:t>11,409,000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b/>
              </w:rPr>
            </w:pPr>
            <w:r>
              <w:rPr>
                <w:b/>
              </w:rPr>
              <w:t>1,530,000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(5,398,000</w:t>
            </w:r>
          </w:p>
        </w:tc>
        <w:tc>
          <w:tcPr>
            <w:tcW w:w="115" w:type="dxa"/>
            <w:tcBorders/>
            <w:shd w:fill="CCEEFF" w:val="clear"/>
            <w:vAlign w:val="center"/>
          </w:tcPr>
          <w:p>
            <w:pPr>
              <w:pStyle w:val="TableContents"/>
              <w:bidi w:val="0"/>
              <w:spacing w:before="0" w:after="283"/>
              <w:jc w:val="left"/>
              <w:rPr>
                <w:b/>
              </w:rPr>
            </w:pPr>
            <w:r>
              <w:rPr>
                <w:b/>
              </w:rPr>
              <w:t>)</w:t>
            </w:r>
          </w:p>
        </w:tc>
      </w:tr>
      <w:tr>
        <w:trPr/>
        <w:tc>
          <w:tcPr>
            <w:tcW w:w="4096"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(6,414,000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(7,348,000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(13,985,000</w:t>
            </w:r>
          </w:p>
        </w:tc>
        <w:tc>
          <w:tcPr>
            <w:tcW w:w="115" w:type="dxa"/>
            <w:tcBorders/>
            <w:shd w:fill="FFFFFF" w:val="clear"/>
            <w:vAlign w:val="center"/>
          </w:tcPr>
          <w:p>
            <w:pPr>
              <w:pStyle w:val="TableContents"/>
              <w:bidi w:val="0"/>
              <w:spacing w:before="0" w:after="283"/>
              <w:jc w:val="left"/>
              <w:rPr/>
            </w:pPr>
            <w:r>
              <w:rPr/>
              <w:t>)</w:t>
            </w:r>
          </w:p>
        </w:tc>
      </w:tr>
      <w:tr>
        <w:trPr/>
        <w:tc>
          <w:tcPr>
            <w:tcW w:w="4096"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655,000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655,000</w:t>
            </w:r>
          </w:p>
        </w:tc>
        <w:tc>
          <w:tcPr>
            <w:tcW w:w="115" w:type="dxa"/>
            <w:tcBorders/>
            <w:shd w:fill="CCEE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b/>
              </w:rPr>
            </w:pPr>
            <w:r>
              <w:rPr>
                <w:b/>
              </w:rPr>
              <w:t>Net income (loss) attributable to Harrow, Inc.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4,995,000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(6,473,000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(12,785,000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(20,038,000</w:t>
            </w:r>
          </w:p>
        </w:tc>
        <w:tc>
          <w:tcPr>
            <w:tcW w:w="115" w:type="dxa"/>
            <w:tcBorders/>
            <w:shd w:fill="FFFFFF" w:val="clear"/>
            <w:vAlign w:val="center"/>
          </w:tcPr>
          <w:p>
            <w:pPr>
              <w:pStyle w:val="TableContents"/>
              <w:bidi w:val="0"/>
              <w:spacing w:before="0" w:after="283"/>
              <w:jc w:val="left"/>
              <w:rPr>
                <w:b/>
              </w:rPr>
            </w:pPr>
            <w:r>
              <w:rPr>
                <w:b/>
              </w:rPr>
              <w:t>)</w:t>
            </w:r>
          </w:p>
        </w:tc>
      </w:tr>
      <w:tr>
        <w:trPr/>
        <w:tc>
          <w:tcPr>
            <w:tcW w:w="4096" w:type="dxa"/>
            <w:tcBorders/>
            <w:shd w:fill="CCEEFF" w:val="clear"/>
            <w:vAlign w:val="center"/>
          </w:tcPr>
          <w:p>
            <w:pPr>
              <w:pStyle w:val="TableContents"/>
              <w:bidi w:val="0"/>
              <w:spacing w:before="0" w:after="283"/>
              <w:jc w:val="left"/>
              <w:rPr>
                <w:b/>
              </w:rPr>
            </w:pPr>
            <w:r>
              <w:rPr>
                <w:b/>
              </w:rPr>
              <w:t>Net income (loss) per share: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(0.56</w:t>
            </w:r>
          </w:p>
        </w:tc>
        <w:tc>
          <w:tcPr>
            <w:tcW w:w="115" w:type="dxa"/>
            <w:tcBorders/>
            <w:shd w:fill="FFFFFF" w:val="clear"/>
            <w:vAlign w:val="center"/>
          </w:tcPr>
          <w:p>
            <w:pPr>
              <w:pStyle w:val="TableContents"/>
              <w:bidi w:val="0"/>
              <w:spacing w:before="0" w:after="283"/>
              <w:jc w:val="left"/>
              <w:rPr>
                <w:b/>
              </w:rPr>
            </w:pPr>
            <w:r>
              <w:rPr>
                <w:b/>
              </w:rPr>
              <w:t>)</w:t>
            </w:r>
          </w:p>
        </w:tc>
      </w:tr>
      <w:tr>
        <w:trPr/>
        <w:tc>
          <w:tcPr>
            <w:tcW w:w="4096"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(0.56</w:t>
            </w:r>
          </w:p>
        </w:tc>
        <w:tc>
          <w:tcPr>
            <w:tcW w:w="11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7962" w:type="dxa"/>
        <w:jc w:val="left"/>
        <w:tblInd w:w="0" w:type="dxa"/>
        <w:tblLayout w:type="fixed"/>
        <w:tblCellMar>
          <w:top w:w="0" w:type="dxa"/>
          <w:left w:w="0" w:type="dxa"/>
          <w:bottom w:w="0" w:type="dxa"/>
          <w:right w:w="0" w:type="dxa"/>
        </w:tblCellMar>
      </w:tblPr>
      <w:tblGrid>
        <w:gridCol w:w="5015"/>
        <w:gridCol w:w="60"/>
        <w:gridCol w:w="143"/>
        <w:gridCol w:w="1205"/>
        <w:gridCol w:w="97"/>
        <w:gridCol w:w="61"/>
        <w:gridCol w:w="143"/>
        <w:gridCol w:w="1128"/>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18,865,000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(7,374,000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(505,000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4,993,000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(12,644,000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(736,000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5,716,000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(3,117,000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52,963,000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70,968,000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5</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and six months ended June 30, 2025 and for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left"/>
        <w:rPr>
          <w:caps w:val="false"/>
          <w:smallCaps w:val="false"/>
        </w:rPr>
      </w:pPr>
      <w:r>
        <w:rPr>
          <w:caps w:val="false"/>
          <w:smallCaps w:val="false"/>
        </w:rPr>
        <w:t> </w:t>
      </w:r>
    </w:p>
    <w:tbl>
      <w:tblPr>
        <w:tblW w:w="10077" w:type="dxa"/>
        <w:jc w:val="left"/>
        <w:tblInd w:w="0" w:type="dxa"/>
        <w:tblLayout w:type="fixed"/>
        <w:tblCellMar>
          <w:top w:w="0" w:type="dxa"/>
          <w:left w:w="0" w:type="dxa"/>
          <w:bottom w:w="0" w:type="dxa"/>
          <w:right w:w="0" w:type="dxa"/>
        </w:tblCellMar>
      </w:tblPr>
      <w:tblGrid>
        <w:gridCol w:w="3875"/>
        <w:gridCol w:w="60"/>
        <w:gridCol w:w="165"/>
        <w:gridCol w:w="1300"/>
        <w:gridCol w:w="70"/>
        <w:gridCol w:w="70"/>
        <w:gridCol w:w="165"/>
        <w:gridCol w:w="1247"/>
        <w:gridCol w:w="95"/>
        <w:gridCol w:w="60"/>
        <w:gridCol w:w="140"/>
        <w:gridCol w:w="1175"/>
        <w:gridCol w:w="95"/>
        <w:gridCol w:w="60"/>
        <w:gridCol w:w="140"/>
        <w:gridCol w:w="1250"/>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income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4,995,000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(12,785,000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(20,038,000)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875,000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8,440,000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6,408,000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5,471,000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10,886,000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655,000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496,000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885,000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4,226,000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2,549,000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5,103,000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1,923,000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3,171,000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(46,000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(72,000</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17,006,000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9,030,000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6</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6"/>
        <w:gridCol w:w="60"/>
        <w:gridCol w:w="140"/>
        <w:gridCol w:w="1100"/>
        <w:gridCol w:w="215"/>
        <w:gridCol w:w="60"/>
        <w:gridCol w:w="288"/>
        <w:gridCol w:w="2025"/>
        <w:gridCol w:w="60"/>
        <w:gridCol w:w="60"/>
        <w:gridCol w:w="248"/>
        <w:gridCol w:w="702"/>
        <w:gridCol w:w="60"/>
        <w:gridCol w:w="60"/>
        <w:gridCol w:w="140"/>
        <w:gridCol w:w="560"/>
        <w:gridCol w:w="60"/>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June 30, 2025</w:t>
            </w:r>
          </w:p>
        </w:tc>
      </w:tr>
      <w:tr>
        <w:trPr/>
        <w:tc>
          <w:tcPr>
            <w:tcW w:w="28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3"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47,512,000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w:t>
            </w:r>
          </w:p>
        </w:tc>
        <w:tc>
          <w:tcPr>
            <w:tcW w:w="2025" w:type="dxa"/>
            <w:tcBorders/>
            <w:shd w:fill="CCEEFF" w:val="clear"/>
            <w:tcMar>
              <w:bottom w:w="0" w:type="dxa"/>
            </w:tcMar>
            <w:vAlign w:val="center"/>
          </w:tcPr>
          <w:p>
            <w:pPr>
              <w:pStyle w:val="TableContents"/>
              <w:bidi w:val="0"/>
              <w:spacing w:before="0" w:after="283"/>
              <w:jc w:val="right"/>
              <w:rPr/>
            </w:pPr>
            <w:r>
              <w:rPr/>
              <w:t>3,780,000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w:t>
            </w:r>
          </w:p>
        </w:tc>
        <w:tc>
          <w:tcPr>
            <w:tcW w:w="70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51,292,000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36"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11,409,000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4,226,000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15,635,000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9,227,000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9,227,000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per share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0.14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0.25</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0.24</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 xml:space="preserve">Weighted average number </w:t>
              <w:br/>
              <w:t>of shares of common stock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36,790,306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36,790,306</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38,853,855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7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38,853,855</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58"/>
        <w:gridCol w:w="60"/>
        <w:gridCol w:w="140"/>
        <w:gridCol w:w="1175"/>
        <w:gridCol w:w="215"/>
        <w:gridCol w:w="60"/>
        <w:gridCol w:w="251"/>
        <w:gridCol w:w="1765"/>
        <w:gridCol w:w="60"/>
        <w:gridCol w:w="60"/>
        <w:gridCol w:w="223"/>
        <w:gridCol w:w="727"/>
        <w:gridCol w:w="60"/>
        <w:gridCol w:w="60"/>
        <w:gridCol w:w="140"/>
        <w:gridCol w:w="560"/>
        <w:gridCol w:w="60"/>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Six Months Ended June 30, 2025</w:t>
            </w:r>
          </w:p>
        </w:tc>
      </w:tr>
      <w:tr>
        <w:trPr/>
        <w:tc>
          <w:tcPr>
            <w:tcW w:w="30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6"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305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79,819,000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765" w:type="dxa"/>
            <w:tcBorders/>
            <w:shd w:fill="CCEEFF" w:val="clear"/>
            <w:tcMar>
              <w:bottom w:w="0" w:type="dxa"/>
            </w:tcMar>
            <w:vAlign w:val="center"/>
          </w:tcPr>
          <w:p>
            <w:pPr>
              <w:pStyle w:val="TableContents"/>
              <w:bidi w:val="0"/>
              <w:spacing w:before="0" w:after="283"/>
              <w:jc w:val="right"/>
              <w:rPr/>
            </w:pPr>
            <w:r>
              <w:rPr/>
              <w:t>7,560,000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727"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87,379,000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05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058"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177,000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765" w:type="dxa"/>
            <w:tcBorders/>
            <w:shd w:fill="CCEEFF" w:val="clear"/>
            <w:tcMar>
              <w:bottom w:w="0" w:type="dxa"/>
            </w:tcMar>
            <w:vAlign w:val="center"/>
          </w:tcPr>
          <w:p>
            <w:pPr>
              <w:pStyle w:val="TableContents"/>
              <w:bidi w:val="0"/>
              <w:spacing w:before="0" w:after="283"/>
              <w:jc w:val="right"/>
              <w:rPr/>
            </w:pPr>
            <w:r>
              <w:rPr/>
              <w:t>8,452,000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8,629,000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058"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(12,785,000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8,452,000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(4,327,000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05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7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058"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(12,785,000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8,452,000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(4,327,000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0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Basic and diluted loss </w:t>
              <w:br/>
              <w:t>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7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058" w:type="dxa"/>
            <w:tcBorders/>
            <w:shd w:fill="FFFFFF" w:val="clear"/>
            <w:tcMar>
              <w:bottom w:w="0" w:type="dxa"/>
            </w:tcMar>
            <w:vAlign w:val="center"/>
          </w:tcPr>
          <w:p>
            <w:pPr>
              <w:pStyle w:val="TableContents"/>
              <w:bidi w:val="0"/>
              <w:spacing w:before="0" w:after="283"/>
              <w:jc w:val="left"/>
              <w:rPr/>
            </w:pPr>
            <w:r>
              <w:rPr/>
              <w:t xml:space="preserve">Weighted average number </w:t>
              <w:br/>
              <w:t>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36,304,787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36,304,787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pPr>
            <w:r>
              <w:rPr/>
              <w:t>Harrow Announces Second Quarter 2025 Financial Results</w:t>
            </w:r>
          </w:p>
        </w:tc>
      </w:tr>
      <w:tr>
        <w:trPr/>
        <w:tc>
          <w:tcPr>
            <w:tcW w:w="5690" w:type="dxa"/>
            <w:tcBorders/>
            <w:vAlign w:val="center"/>
          </w:tcPr>
          <w:p>
            <w:pPr>
              <w:pStyle w:val="TableContents"/>
              <w:bidi w:val="0"/>
              <w:spacing w:before="0" w:after="283"/>
              <w:jc w:val="left"/>
              <w:rPr/>
            </w:pPr>
            <w:r>
              <w:rPr/>
              <w:t>Page 7</w:t>
            </w:r>
          </w:p>
        </w:tc>
      </w:tr>
      <w:tr>
        <w:trPr/>
        <w:tc>
          <w:tcPr>
            <w:tcW w:w="5690" w:type="dxa"/>
            <w:tcBorders/>
            <w:vAlign w:val="center"/>
          </w:tcPr>
          <w:p>
            <w:pPr>
              <w:pStyle w:val="TableContents"/>
              <w:bidi w:val="0"/>
              <w:spacing w:before="0" w:after="283"/>
              <w:jc w:val="left"/>
              <w:rPr/>
            </w:pPr>
            <w:r>
              <w:rPr/>
              <w:t>August 11,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8"/>
        <w:gridCol w:w="60"/>
        <w:gridCol w:w="140"/>
        <w:gridCol w:w="1100"/>
        <w:gridCol w:w="215"/>
        <w:gridCol w:w="60"/>
        <w:gridCol w:w="252"/>
        <w:gridCol w:w="1769"/>
        <w:gridCol w:w="60"/>
        <w:gridCol w:w="60"/>
        <w:gridCol w:w="140"/>
        <w:gridCol w:w="980"/>
        <w:gridCol w:w="60"/>
        <w:gridCol w:w="60"/>
        <w:gridCol w:w="140"/>
        <w:gridCol w:w="755"/>
        <w:gridCol w:w="95"/>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June 30, 2024</w:t>
            </w:r>
          </w:p>
        </w:tc>
      </w:tr>
      <w:tr>
        <w:trPr/>
        <w:tc>
          <w:tcPr>
            <w:tcW w:w="27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1" w:type="dxa"/>
            <w:gridSpan w:val="2"/>
            <w:tcBorders>
              <w:bottom w:val="single" w:sz="8"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72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36,400,000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769"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38,540,000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79</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2,549,000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4,079,000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(5,818,000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(1,392,000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(6,473,000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(2,047,000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22"/>
        <w:gridCol w:w="60"/>
        <w:gridCol w:w="140"/>
        <w:gridCol w:w="1175"/>
        <w:gridCol w:w="215"/>
        <w:gridCol w:w="60"/>
        <w:gridCol w:w="246"/>
        <w:gridCol w:w="1730"/>
        <w:gridCol w:w="60"/>
        <w:gridCol w:w="60"/>
        <w:gridCol w:w="140"/>
        <w:gridCol w:w="980"/>
        <w:gridCol w:w="60"/>
        <w:gridCol w:w="60"/>
        <w:gridCol w:w="140"/>
        <w:gridCol w:w="755"/>
        <w:gridCol w:w="95"/>
        <w:gridCol w:w="60"/>
        <w:gridCol w:w="140"/>
        <w:gridCol w:w="1175"/>
        <w:gridCol w:w="232"/>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Six Months Ended June 30, 2024</w:t>
            </w:r>
          </w:p>
        </w:tc>
      </w:tr>
      <w:tr>
        <w:trPr/>
        <w:tc>
          <w:tcPr>
            <w:tcW w:w="26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6" w:type="dxa"/>
            <w:gridSpan w:val="2"/>
            <w:tcBorders>
              <w:bottom w:val="single" w:sz="8"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62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60,434,000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1730" w:type="dxa"/>
            <w:tcBorders/>
            <w:shd w:fill="CCEEFF" w:val="clear"/>
            <w:tcMar>
              <w:bottom w:w="0" w:type="dxa"/>
            </w:tcMar>
            <w:vAlign w:val="center"/>
          </w:tcPr>
          <w:p>
            <w:pPr>
              <w:pStyle w:val="TableContents"/>
              <w:bidi w:val="0"/>
              <w:spacing w:before="0" w:after="283"/>
              <w:jc w:val="right"/>
              <w:rPr/>
            </w:pPr>
            <w:r>
              <w:rPr/>
              <w:t>4,280,000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64,714,000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2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78</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22"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(5,398,000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right"/>
              <w:rPr/>
            </w:pPr>
            <w:r>
              <w:rPr/>
              <w:t>5,103,000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(295,000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2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(19,383,000)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(11,181,000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22"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2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(20,038,000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(11,836,000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(0.33</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22"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 based awards as described in Note 2 and elsewhere in the Consolidated Financial Statements included in the Company’s Quarterly Report on Form 10-Q for the quarter ended June 30, 2025.</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1" w:name="ex99-2.htm"/>
      <w:bookmarkStart w:id="32" w:name="ksex992"/>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885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8858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report on the second quarter of 2025, Harrow continues to solidify its position as a leading provider of ophthalmic disease management solutions in North America. Our comprehensive portfolio of trusted ophthalmic products addresses a broad range of eye conditions in both the front and back of the eye – including dry eye disease, wet (or neovascular) age-related macular degeneration (wet AMD), diabetic macular edema, cataracts, refractive errors, glaucoma and a range of other ocular surface conditions, and retinal diseases. Guided by our commitment to providing safe, efficacious, accessible, and affordable medications, we are improving the standard of care by increasing patient compliance and delivering superior clinical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continues to be in growth mode. Today, we reported second quarter 2025 revenues of $63.7 million, a 30% increase over the prior year’s second quarter revenues of $48.9 million, and a sequential increase of 33% from the first quarter 2025 revenues. In addition, during the second quarter of 2025, we were able to showcase the operating leverage in our business, reporting $5.0 million of net income and $17.0 million of Adjusted EBITDA (a non-GAAP measure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summer has been a pivotal period for Harrow, as we added new ophthalmic disease management capabilities through two highly strategic acquisitions: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Samsung Bioepis ophthalmic biosimilars portfolio</w:t>
            </w:r>
            <w:r>
              <w:rPr>
                <w:rFonts w:ascii="Times New Roman;Times;Serif" w:hAnsi="Times New Roman;Times;Serif"/>
                <w:b w:val="false"/>
                <w:i w:val="false"/>
                <w:caps w:val="false"/>
                <w:smallCaps w:val="false"/>
                <w:sz w:val="20"/>
              </w:rPr>
              <w:t xml:space="preserve"> – To enhance our wet AMD disease management solution, which includes IHEEZO®, a patented low viscosity chloroprocaine gel that is used to anesthetize the eye before an intravitreal injection, we recently </w:t>
            </w:r>
            <w:r>
              <w:rPr>
                <w:rFonts w:ascii="Times New Roman;Times;Serif" w:hAnsi="Times New Roman;Times;Serif"/>
                <w:b w:val="false"/>
                <w:i w:val="false"/>
                <w:caps w:val="false"/>
                <w:smallCaps w:val="false"/>
                <w:sz w:val="20"/>
                <w:u w:val="single"/>
              </w:rPr>
              <w:t>secured</w:t>
            </w:r>
            <w:r>
              <w:rPr>
                <w:rFonts w:ascii="Times New Roman;Times;Serif" w:hAnsi="Times New Roman;Times;Serif"/>
                <w:b w:val="false"/>
                <w:i w:val="false"/>
                <w:caps w:val="false"/>
                <w:smallCaps w:val="false"/>
                <w:sz w:val="20"/>
              </w:rPr>
              <w:t xml:space="preserve"> U.S. rights to BYOOVIZ® (ranibizumab-nuna), an FDA-approved biosimilar referencing LUCENTIS® (ranibizumab), and OPUVIZ™ (aflibercept-yszy), an FDA-approved biosimilar referencing EYLEA® (aflibercept) – two of the most widely prescribed anti-VEGF (or anti vascular endothelial growth factor) therapies for retinal diseases.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BYQLOVI™ (clobetasol propionate ophthalmic suspension) 0.05% </w:t>
            </w:r>
            <w:r>
              <w:rPr>
                <w:rFonts w:ascii="Times New Roman;Times;Serif" w:hAnsi="Times New Roman;Times;Serif"/>
                <w:b w:val="false"/>
                <w:i w:val="false"/>
                <w:caps w:val="false"/>
                <w:smallCaps w:val="false"/>
                <w:sz w:val="20"/>
              </w:rPr>
              <w:t xml:space="preserve">– We improved our post-surgical disease management solution by </w:t>
            </w:r>
            <w:r>
              <w:rPr>
                <w:rFonts w:ascii="Times New Roman;Times;Serif" w:hAnsi="Times New Roman;Times;Serif"/>
                <w:b w:val="false"/>
                <w:i w:val="false"/>
                <w:caps w:val="false"/>
                <w:smallCaps w:val="false"/>
                <w:sz w:val="20"/>
                <w:u w:val="single"/>
              </w:rPr>
              <w:t>securing</w:t>
            </w:r>
            <w:r>
              <w:rPr>
                <w:rFonts w:ascii="Times New Roman;Times;Serif" w:hAnsi="Times New Roman;Times;Serif"/>
                <w:b w:val="false"/>
                <w:i w:val="false"/>
                <w:caps w:val="false"/>
                <w:smallCaps w:val="false"/>
                <w:sz w:val="20"/>
              </w:rPr>
              <w:t xml:space="preserve"> U.S. commercial rights from Formosa Pharmaceuticals to BYQLOVI, a clinically differentiated topical steroid option for post-operative ocular inflammation and pain. We expect to begin to realize revenues from this transaction in the first quarter of 2026.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and I are thrilled to have closed both deals with only modest initial cash commitments from Harrow. We remain confident in our ability to acquire additional clinically, strategically, and financially compelling products soon, and once again, under attractive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 reconciliation of all non-GAAP measures can be found starting on page 12 of this letter.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challenge of attracting top talent, some Harrow stockholders have recently commented on the impressive backgrounds of several new members of the Harrow Family, particularly those in leadership roles. It is true that since the beginning of the year, we have recruited people with tremendous histories of achievement, including Amir Shojaei, Chief Scientific Officer; Vince Mair, Senior Vice President of Commercial Operations; Arthur Chan, Vice President of Medical Affairs; Chad Brines, Vice President of Specialty Portfolio; Patrick Sullivan, Head of Commercial; Prashanth Annavajjhala, M.D., Chief of Staff to the CEO; Mike Biega, Vice President of Investor Relations and Communications; and most recently, Frank Mullery, Senior Vice President of Operations Strategy. If you are a Harrow stockholder, these are your new partners who will drive sales, scientific credibility, operational visibility, and allow us to continue to build on our growing leadership position in the ophthalmic industry. A key leading indicator of the future success of a business is where the best talent gravitates. If you also believe this, then these recent additions to the Harrow Family bode well for our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having recently returned from attending my second American Society of Retina Specialists (ASRS) meeting, I want to express my appreciation to the teams at ImprimisRx, our ophthalmology-focused pharmaceutical compounding business, and Harrow’s retina team. The work these folks have done has led to the creation of a positive buzz about Harrow that simply didn’t exist 12 months ago. I walked away from this meeting with the highest level of confidence I’ve ever had about our future and the likelihood of achieving our objectives in serving the U.S. retina specialist community.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mentioned in last quarter’s Letter to Stockholders, we are in active discussions with our existing lenders and several prospective partners regarding opportunities to refinance or repay a portion of our $222.75 million in outstanding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and I are highly encouraged by the progress of our discussions with respected financial institutions and the strong interest and engagement we’ve received. We remain firmly committed to pursuing a refinancing path that </w:t>
      </w:r>
      <w:r>
        <w:rPr>
          <w:rFonts w:ascii="Times New Roman;Times;Serif" w:hAnsi="Times New Roman;Times;Serif"/>
          <w:b w:val="false"/>
          <w:i/>
          <w:caps w:val="false"/>
          <w:smallCaps w:val="false"/>
          <w:sz w:val="20"/>
        </w:rPr>
        <w:t>improves</w:t>
      </w:r>
      <w:r>
        <w:rPr>
          <w:rFonts w:ascii="Times New Roman;Times;Serif" w:hAnsi="Times New Roman;Times;Serif"/>
          <w:b w:val="false"/>
          <w:i w:val="false"/>
          <w:caps w:val="false"/>
          <w:smallCaps w:val="false"/>
          <w:sz w:val="20"/>
        </w:rPr>
        <w:t xml:space="preserve"> Harrow’s long-term financial foundation. As part of this effort, we’ve identified three key objectives we aim to achieve through a refinancing activity: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Lowering our cost of capital, thereby allowing millions of dollars in cash to be deployed to revenue accretive activities instead of interest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financial flexibility by reducing covenants connected to our debt,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ability to pursue and close on opportunities to grow our business for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business has greatly improved since we last accessed the debt markets. And, based on our discussions with potential financial partners of merit, perspectives of respected third parties who have analyzed our business, and terms that have been presented to us, I’m highly confident that we will successfully achieve all our objectives. As for timing, we expect to complete this process by the latter part of the third quarter or early in the fourth quarter of this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Annual Investor &amp; Analyst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Biega is working on putting together our inaugural Investor &amp; Analyst Day, with the intent of making this an annual event, hosted by Harrow leadership after Labor Day each year. The event will allow our stockholders and analysts to meet members of the Harrow leadership team, see our products, and learn more about how we partner with U.S. eyecare professionals (ECPs) to manage ophthalmic diseases. This year, I’m eager for our new Chief Scientific Officer, Amir Shojaei, to present our product development pipeline – a topic we rarely address but one I believe will interest our stockholders. This year’s event will take place on Friday, September 26, in New York City and will also be webcast live. Please reach out to Mike (mbiega@harrowinc.com) for additional information if you are interested in attending.</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flagship dry eye product, VEVYE, continues to exceed our pre-launch expectations in nearly every category – new prescriptions, refill rates, patient satisfaction, and prescriber engagement. Supported by best-in-class clinical data in critical categories, our key commercial metrics are further bolstered by anecdotal feedback from social media posts that stockholders occasionally share with me. It is heartening to see how VEVYE is changing people’s lives, and how the dry eye community seems to be reacting so positively to our generous market access commitment.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of the key drivers of our recent success has been our market access program – </w:t>
      </w:r>
      <w:r>
        <w:rPr>
          <w:rFonts w:ascii="Times New Roman;Times;Serif" w:hAnsi="Times New Roman;Times;Serif"/>
          <w:b w:val="false"/>
          <w:i/>
          <w:caps w:val="false"/>
          <w:smallCaps w:val="false"/>
          <w:sz w:val="20"/>
        </w:rPr>
        <w:t>called VEVYE® Access for All (or VAFA)</w:t>
      </w:r>
      <w:r>
        <w:rPr>
          <w:rFonts w:ascii="Times New Roman;Times;Serif" w:hAnsi="Times New Roman;Times;Serif"/>
          <w:b w:val="false"/>
          <w:i w:val="false"/>
          <w:caps w:val="false"/>
          <w:smallCaps w:val="false"/>
          <w:sz w:val="20"/>
        </w:rPr>
        <w:t>. VAFA was designed to (i) increase access for patients, (ii) lower out-of-pocket costs, and (iii) deliver a reasonable and sustainable profit to Harrow. In terms of increased access, as of the end of June, total prescription (TRx) volumes were up 66% sequentially from Q1 2025, totaling 119,526 units. Of those units, nearly 50,000 units were new prescriptions (NRx). I am proud to say that out-of-pocket expenses for eligible commercially insured patients through PhilRx, our specialty pharmacy partner, have decreased, post-VAFA, by over 95%. And our average selling price (ASP) is squarely in a range that we believe is not only financially attractive to Harrow stockholders but is also likely sustainable. As I forecasted in my last Letter to Stockholders, our ASP in Q1 was an anomaly due to changes in business rules we implemented at the beginning of the year. When ASP normalized in Q2 compared to Q1, due to the change in the ratio of cash-pay to commercial prescriptions from the implementation of VAFA, despite the volume increase, we saw a quarterly revenue reduction relative to Q1 2025. With the traditional summer lull in the rearview mirror and VEVYE NRxs increasing faster than existing patients fall off, VEVYE revenue of $60 million or higher for the balance of the year is in in our sights.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confident that VEVYE’s current ASP levels have stabilized, with a path toward modest improvement over the balance of the year. One reason for our confidence is a recently announced strategic partnership with Apollo Care, an innovative service provider for patient access and commercial solutions with full nationwide coverage. This alliance represents a meaningful expansion of VEVYE’s distribution network and is poised to increase pharmacy access and insurance coverage for patients nationwide. Apollo Care’s pharmacy network is structured to provide broad coverage across both geographies, and plans, with full nationwide coverage. The existing network includes more than 500 pharmacies, and is broadly contracted with major and smaller, commercial, TRICARE, and Medicare plans. With this additional specialty pharmacy coming online, and targeted enhancements to our business rules underway, we are highly confident in the stability of VEVYE’s ASP and see clear potential for sustained, incremental gains in the quarters ahead.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call out that nearly every VEVYE prescription dispensed is profitable for Harrow – a notable shift from the pre-VAFA period, when that was not always the case. The VAFA program and continual tweaks to our business rules algorithm are causing structural financial improvements to the VEVYE franchise, enhancing the quality of our revenue and our ability to invest in long-term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stockholders should be excited about VEVYE’s industry-leading refill rates, with covered patients through PhilRx receiving an average of nine refills in 2024. This strong performance reflects both the meaningful clinical benefits of VEVYE, supported by VAFA and industry-leading patient access. During the second half of 2025, you should begin to see an amplification of the financial impact of the VAFA model and our high refill rates. The compounding effect of rising numbers of new prescriptions and consistently high refill rates, along with a more stable ASP, positions us for sustained revenue growth, with the impact now being felt. Once again, the math for VEVYE looks very good, and likely will, for many years to come.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VEVYE’s market penetration is accelerating. By the end of Q2, VEVYE had captured a 7.8% share of the national DED market, a 2.6% gain quarter over quarter. Importantly, according to IQVIA and PhilRx, VEVYE is now the second largest cyclosporine-based dry eye brand being prescribed, a significant milestone validating execution in our primary commercial strategy – </w:t>
      </w:r>
      <w:r>
        <w:rPr>
          <w:rFonts w:ascii="Times New Roman;Times;Serif" w:hAnsi="Times New Roman;Times;Serif"/>
          <w:b w:val="false"/>
          <w:i/>
          <w:caps w:val="false"/>
          <w:smallCaps w:val="false"/>
          <w:sz w:val="20"/>
        </w:rPr>
        <w:t>to win the cyclosporine-category in dry eye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chain team is working hard to keep pace with the increasing demand for VEVYE, ensuring that patients have access to VEVYE without limitation. Thanks to close collaboration with our contract manufacturing organization (CMO), we have their commitment to provide us with additional manufacturing capacity for 2025. We are also revising our forecasts for next year, upsizing our supply, and ensuring we are positioned to meet the growing and sustained demand for new and refill prescriptions for VEVYE. We are also bringing a second VEVYE product site online, which is expected to go live next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Frankly, we did not expect VEVYE to be this successful so soon. Considering the modest commercial investments we have made to date, we consider it a great luxury to have the demand levels we have seen for VEVYE, which have exceeded our 2025 forecasts. That said, while we expect continued significant onboarding of new VEVYE customers, which we see each week, we are cautious about growing too much faster for the balance of this year. Once we have achieved an appropriate level of VEVYE safety stock (which we expect to achieve in the coming months), I intend to begin a staged new investment cycle to fuel the next wave of VEVYE growth, which we expect should last through the balance of this decade.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remain confident that VEVYE is on track to surpass $100 million in annual revenue this year. When we issued our guidance earlier this year, we accounted for the anticipated decline and subsequent stabilization of ASP from Q1 to Q2, expecting VEVYE to generate over $60 million in revenue during the second half of the year. In conclusion, our guidance on VEVYE is reiterated.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 and Bill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team made excellent progress positioning Harrow’s buy and bill portfolio, including IHEEZO and TRIESENCE® (which will soon include BYOOVIZ and OPUVIZ), by improving market access, enhancing product visibility, and streamlining the ordering process through the following commercial infrastructure initiatives: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Cares™</w:t>
            </w:r>
            <w:r>
              <w:rPr>
                <w:rFonts w:ascii="Times New Roman;Times;Serif" w:hAnsi="Times New Roman;Times;Serif"/>
                <w:b w:val="false"/>
                <w:i w:val="false"/>
                <w:caps w:val="false"/>
                <w:smallCaps w:val="false"/>
                <w:sz w:val="20"/>
              </w:rPr>
              <w:t xml:space="preserve">: Launched in January 2025, this program is streamlining patient enrollment, accelerating coverage wins, causing faster therapy initiation, and providing support for physicians, staff, and patients, truly enabling ECPs to confidently integrate IHEEZO and TRIESENCE into their practices.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Group Purchasing Organizations (GPOs)</w:t>
            </w:r>
            <w:r>
              <w:rPr>
                <w:rFonts w:ascii="Times New Roman;Times;Serif" w:hAnsi="Times New Roman;Times;Serif"/>
                <w:b w:val="false"/>
                <w:i w:val="false"/>
                <w:caps w:val="false"/>
                <w:smallCaps w:val="false"/>
                <w:sz w:val="20"/>
              </w:rPr>
              <w:t xml:space="preserve">: We executed agreements with all four of the major retina-focused GPOs, and now, 100% of the retina market has access to Harrow’s products through their GPO of choice.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Specialty Distribution Network Expansion</w:t>
            </w:r>
            <w:r>
              <w:rPr>
                <w:rFonts w:ascii="Times New Roman;Times;Serif" w:hAnsi="Times New Roman;Times;Serif"/>
                <w:b w:val="false"/>
                <w:i w:val="false"/>
                <w:caps w:val="false"/>
                <w:smallCaps w:val="false"/>
                <w:sz w:val="20"/>
              </w:rPr>
              <w:t>: We expanded our network of specialty distribution channels, including one that serves one of the largest private equity-owned retina groups in the country and multiple large independent retina practices.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Second quarter IHEEZO revenue rose to $18.3 million, representing a sequential increase of 251% over Q1 2025, and an increase of 62% over Q2 2024. IHEEZO’s growth was buoyed by 19 new accounts in the second quarter and greater density within existing accounts. Second quarter unit demand of 48,765 represents a 63% increase over the second quarter of 2024 and 25% sequentially. Notably, IHEEZO volume grew 33% quarter over quarter within the largest retina GPO, which represents approximately 70% of the retina market. Overall, distributor shipment volume for IHEEZO increased by an impressive 170% in Q2 compared to Q1 2025, underscoring strong and accelerating demand, which I expect to continue in the back half of the year. A fact that Harrow stockholders should also appreciate is that so far in the third quarter, we have not only eclipsed the number of new IHEEZO account starts achieved in the second quarter, but all these new accounts were </w:t>
      </w:r>
      <w:r>
        <w:rPr>
          <w:rFonts w:ascii="Times New Roman;Times;Serif" w:hAnsi="Times New Roman;Times;Serif"/>
          <w:b w:val="false"/>
          <w:i/>
          <w:caps w:val="false"/>
          <w:smallCaps w:val="false"/>
          <w:sz w:val="20"/>
        </w:rPr>
        <w:t>retina practices</w:t>
      </w:r>
      <w:r>
        <w:rPr>
          <w:rFonts w:ascii="Times New Roman;Times;Serif" w:hAnsi="Times New Roman;Times;Serif"/>
          <w:b w:val="false"/>
          <w:i w:val="false"/>
          <w:caps w:val="false"/>
          <w:smallCaps w:val="false"/>
          <w:sz w:val="20"/>
        </w:rPr>
        <w:t>. The math looks good for IHEEZO, and shows we are on pace for a record year.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highlight that coverage for IHEEZO is quite pervasive at 81% across commercial and government payers. Our data shows that only 3% of IHEEZO claims are classified as “not covered” and that a mere 4% of claims required a prior authorization. Based on this, and the momentum we are seeing, I recently designed IHEEZO for All, a strategy aimed at enhancing IHEEZO use for retina procedures across both existing and new accounts and driving sales in the near term (i.e., through the balance of this year). This, coupled with the tailwinds from ASRS, all four major ophthalmic-focused GPOs on board, and strong clinical synergy between IHEEZO, TRIESENCE, and eventually, our new anti-VEGF products, BYOOVIZ and OPUVIZ — I sense that IHEEZO is entering a new phase of accelerated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TRIESENCE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Year-to-date in 2025, TRIESENCE has added 870 new accounts, reflecting rapid adoption and commercial momentum. This doesn’t surprise me, and it is only the tip of the iceberg! There are so many reasons why TRIESENCE should be the number one ophthalmic injectable steroid in the U.S. market. And I believe it soon will be. There is no question that TRIESENCE is gaining traction within the retina community, with accelerating volumes and growing market share. In Q2, TRIESENCE achieved 32% quarter-over-quarter unit growth. That said, currently, only 26% of IHEEZO accounts are also ordering TRIESENCE, highlighting a significant opportunity for our commercial team to expand cross-product adoption.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Aside from the incredible clinical benefit TRIESENCE offers, we are proud to report that TRIESENCE patients’ out-of-pocket co-payments are now the lowest among all intraocular injectable steroid choices, at approximately $37 for government and private payers. In terms of the out-of-pocket cost-per-month of therapy, at the consumer level, TRIESENCE offers the most bang for the buck, </w:t>
      </w:r>
      <w:r>
        <w:rPr>
          <w:rFonts w:ascii="Times New Roman;Times;Serif" w:hAnsi="Times New Roman;Times;Serif"/>
          <w:b w:val="false"/>
          <w:i/>
          <w:caps w:val="false"/>
          <w:smallCaps w:val="false"/>
          <w:sz w:val="20"/>
        </w:rPr>
        <w:t>by far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pPr>
      <w:r>
        <w:rPr/>
        <w:t xml:space="preserve">Coverage for </w:t>
      </w:r>
      <w:r>
        <w:rPr>
          <w:rFonts w:ascii="Times New Roman;Times;Serif" w:hAnsi="Times New Roman;Times;Serif"/>
          <w:sz w:val="20"/>
        </w:rPr>
        <w:t>TRIESENCE deserves attention. We have achieved 84% coverage, with only 8% of claims requiring prior authorization, and a mere 3% of documented claims were returned as uncovered. The bottom line is that TRIESENCE is broadly labeled, has a history of efficacy, is widely available, and is exceedingly affordable with low patient out-of-pocket costs relative to other alternatives.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above data demonstrates that our go-to-market strategy with TRIESENCE is showing signs of momentum, the reality is that the retina market is small relative to the key market for TRIESENCE. Remember, I have been consistent in my belief that TRIESENCE should be a much more significant part of our march towards my main financial goal for Harrow – </w:t>
      </w:r>
      <w:r>
        <w:rPr>
          <w:rFonts w:ascii="Times New Roman;Times;Serif" w:hAnsi="Times New Roman;Times;Serif"/>
          <w:b w:val="false"/>
          <w:i/>
          <w:caps w:val="false"/>
          <w:smallCaps w:val="false"/>
          <w:sz w:val="20"/>
        </w:rPr>
        <w:t>a $250 million revenue quarter by 2027, a goal that I intend to provide more color on during our Investor &amp; Analyst Day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that we have the necessary buy and bill commercial infrastructure in place, we are ready to move more aggressively into the ocular inflammation market – the largest market opportunity for TRIESENCE and one that we have not marketed into to date. We recently hired Chad Brines to lead our Specialty Brands sales team, which includes TRIESENCE. One of Chad’s chief responsibilities is to launch into the ocular inflammation market, a market he has extensive experience selling into. We are assembling his team now and expect to see his impact in the fourth quarter.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balance of the year, based on feedback from our physician customers and large institutional ASC owners, we believe TRIESENCE unit demand growth should begin to noticeably inflect in the fourth quarter and into 2026, especially as we move more resolutely into the ocular inflammation market.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BYOOVIZ (Biosimilar of LUCENTIS) &amp; OPUVIZ (Biosimilar of EYLEA)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August 2024 Retina Pivot included an intention to not only build a world-class retina-focused commercial infrastructure, but to meaningfully compete in the wet age-related neovascular macular degeneration (wet AMD) market, the largest single eyecare market in the U.S. (i.e., each single percentage point of the market is more than $80 million per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years, Andrew and I have been working diligently on the opportunity to add a compelling wet AMD therapeutic. Recently, we finally found the perfect partner in Samsung Bioepis, securing the exclusive U.S. commercial rights to their ophthalmology biosimilar portfolio — BYOOVIZ (ranibizumab-nuna), an FDA-approved biosimilar referencing LUCENTIS (ranibizumab), and OPUVIZ (aflibercept-yszy), an FDA-approved biosimilar referencing EYLEA (aflibercept). Lucentis and Eylea are two of the most widely used anti-VEGF therapies for retinal diseases. We believe strongly that these assets and anti-VEGF products in general will be impactful and highly relevant tools to manage wet AMD for many years to 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BYOOVIZ and OPUVIZ will integrate seamlessly with our existing commercial infrastructure, and we expect to leverage the experience of our world class team, our creativity, and Harrow’s significant commercial flexibility to compete in the market and deliver potentially large revenue numbers to Harrow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work through the transfer process of the products’ commercial rights with Samsung, we are actively preparing for the Harrow launch of BYOOVIZ. The combination of the incredible retina experience of the Harrow team with Samsung, especially after Samsung learned so many valuable lessons from the previous launch of BYOOVIZ, gives us a unique opportunity to get our offering optimized and capture a meaningful share in this large market. We look forward to sharing additional details about our unique approach to the commercial launches of these products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Specialty Branded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Specialty Branded Product (SBP) portfolio consists of well-known products that ECPs depend on to manage a wide array of ophthalmic diseases, including TRIESENCE, ILEVRO®, NEVANAC®, VIGAMOX®, MAXITROL®, MAXIDEX®, IOPIDINE®, NATACYN™, FLAREX®, TOBRADEX® ST, VERKAZIA®, FRESHKOTE®, ZERVIATE®, and the newest addition of BYQLOVI.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latest acquisition and addition to the SBP portfolio is BYQLOVI, an FDA-approved steroid indicated for the treatment of inflammation and pain after ocular surgery. I am particularly excited about this product as it represents the first novel steroid introduced to the market in over a decade. BYQLOVI is a highly potent, best-in-class therapy and the only FDA-approved ocular steroid formulated with clobetasol, offering strong clinical efficacy alongside a well-established safety profile.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over 7 million ophthalmic surgeries performed annually in the United States and numerous other viable use cases for topical steroids, we see a significant market opportunity for BYQLOVI. I’m confident that our commercial team will drive strong adoption of this clinically differentiated product. We remain on track to launch BYQLOVI within the next few quarters.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ImprimisRx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 demonstrated sequential recovery after experiencing seasonal softness in Q1, with revenue of $21.5 million, representing a sequential increase of 7% from the first quarter of 2025. April was a record month for ImprimisRx, which maintained strong growth throughout the remainder of the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excited to report that we continue to identify new strategic opportunities to leverage the work we’ve put into building ImprimisRx into the leading U.S. provider of ophthalmic compounded prescription medications. Over the balance of this year, I expect ImprimisRx CEO John Saharek and Frank Mullery to drive several initiatives to enhance gross margins, drive revenue growth, and improve operational efficiency. While I won’t go into the specifics of our strategy, I remain exceedingly pleased with the direction ImprimisRx is heading. ImprimisRx continues to generate steady cash flow, allowing us to continue to creatively leverage into new and exciting ways to serve our customers and drive value to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as an update on the previously announced $34.9 million jury verdict award to ImprimisRx in the case of ImprimisRx, LLC v. OSRX, Inc. (OSRX), the case is in the final stages of litigation. We expect a final legal ruling shortly and will provide stockholders with an update as material details become available.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confident in our guidance of “more than $280 million” in 2025 revenue. As in prior years – and as should be expected on an ongoing basis – we anticipate stronger revenue performance in the second half of the year compared to the first. This pattern will be especially evident across our key growth drivers: VEVYE, IHEEZO, and TRIESENCE.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clear – some areas of our business will likely overperform and others may underperform. Not everything is going to go our way, but a lot of things do appear to be moving in the right direction for us. My assessment, and I believe Andrew would agree, is that we are in the best shape we’ve ever been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entire Harrow Family, thank you for your continued support. Together, we are delivering on our promise to lead in ophthalmic disease management solutions – and we are just getting started.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spacing w:before="0" w:after="0"/>
        <w:jc w:val="both"/>
        <w:rPr>
          <w:caps w:val="false"/>
          <w:smallCaps w:val="false"/>
        </w:rPr>
      </w:pPr>
      <w:r>
        <w:rPr>
          <w:caps w:val="false"/>
          <w:smallCaps w:val="false"/>
        </w:rPr>
        <w:t> </w:t>
      </w:r>
    </w:p>
    <w:tbl>
      <w:tblPr>
        <w:tblW w:w="5300" w:type="dxa"/>
        <w:jc w:val="left"/>
        <w:tblInd w:w="0" w:type="dxa"/>
        <w:tblLayout w:type="fixed"/>
        <w:tblCellMar>
          <w:top w:w="0" w:type="dxa"/>
          <w:left w:w="0" w:type="dxa"/>
          <w:bottom w:w="28" w:type="dxa"/>
          <w:right w:w="0" w:type="dxa"/>
        </w:tblCellMar>
      </w:tblPr>
      <w:tblGrid>
        <w:gridCol w:w="575"/>
        <w:gridCol w:w="60"/>
        <w:gridCol w:w="725"/>
        <w:gridCol w:w="60"/>
        <w:gridCol w:w="725"/>
        <w:gridCol w:w="60"/>
        <w:gridCol w:w="725"/>
        <w:gridCol w:w="60"/>
        <w:gridCol w:w="725"/>
        <w:gridCol w:w="60"/>
        <w:gridCol w:w="725"/>
        <w:gridCol w:w="60"/>
        <w:gridCol w:w="740"/>
      </w:tblGrid>
      <w:tr>
        <w:trPr/>
        <w:tc>
          <w:tcPr>
            <w:tcW w:w="575" w:type="dxa"/>
            <w:tcBorders>
              <w:bottom w:val="single" w:sz="8" w:space="0" w:color="000000"/>
            </w:tcBorders>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8" w:space="0" w:color="000000"/>
            </w:tcBorders>
            <w:vAlign w:val="center"/>
          </w:tcPr>
          <w:p>
            <w:pPr>
              <w:pStyle w:val="TableContents"/>
              <w:bidi w:val="0"/>
              <w:spacing w:before="0" w:after="283"/>
              <w:jc w:val="left"/>
              <w:rPr/>
            </w:pPr>
            <w:r>
              <w:rPr/>
              <w:t>2019</w:t>
            </w:r>
          </w:p>
        </w:tc>
      </w:tr>
      <w:tr>
        <w:trPr/>
        <w:tc>
          <w:tcPr>
            <w:tcW w:w="5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2025</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2023</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2022</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2021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2020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4Q 2019</w:t>
            </w:r>
          </w:p>
        </w:tc>
      </w:tr>
      <w:tr>
        <w:trPr/>
        <w:tc>
          <w:tcPr>
            <w:tcW w:w="5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2024</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2023</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2022</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2021</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2020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3Q 2019</w:t>
            </w:r>
          </w:p>
        </w:tc>
      </w:tr>
      <w:tr>
        <w:trPr/>
        <w:tc>
          <w:tcPr>
            <w:tcW w:w="5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2Q 2024</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2Q 2023</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2Q 2022</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2Q 2021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2Q 2020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75" w:type="dxa"/>
            <w:tcBorders/>
            <w:shd w:fill="FFFFFF" w:val="clear"/>
            <w:tcMar>
              <w:bottom w:w="0" w:type="dxa"/>
            </w:tcMar>
            <w:vAlign w:val="center"/>
          </w:tcPr>
          <w:p>
            <w:pPr>
              <w:pStyle w:val="TableContents"/>
              <w:bidi w:val="0"/>
              <w:spacing w:before="0" w:after="283"/>
              <w:jc w:val="left"/>
              <w:rPr>
                <w:u w:val="single"/>
              </w:rPr>
            </w:pPr>
            <w:r>
              <w:rPr>
                <w:u w:val="single"/>
              </w:rPr>
              <w:t>1Q25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1Q 2024</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1Q 2023</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1Q 2022</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1Q 2021</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1Q 2020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Commentary on Second Quarter 2025 Financials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$63.7 million for the second quarter of 2025 represent a 30% increase over the prior-year second quarter revenues of $48.9 million and an increase of 33% over first-quarter 2025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costs for the second quarter of 2025 were $33.2 million compared with $31.8 million during the same period last year. The slight increase in SG&amp;A expenses between the three-month periods was primarily attributable to the addition of new employees within our commercial team and other departments to support current and expected growth, which when combined contributed to a $4,375,000 increase in SG&amp;A expenses between the periods. However, these increases were offset by a $2,957,000 decrease in stock-based compensation expense between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for the second quarter of 2025 was $5.0 million compared with a GAAP net loss of $(6.5) million during the same period last year. Core net income (a non-GAAP measure) for the second quarter of 2025 was $9.2 million compared with a core net loss of $(2.0) million in the prior year’s second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measure) for the second quarter of 2025 was $17.0 million compared with Adjusted EBITDA of $8.8 during the same quarter last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cash and cash equivalents totaled $53.0 million while accounts receivable stood at $78.8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GAAP gross margins were 75% for the second quarter of 2025 compared to 74% in the same quarter in 2024. Core gross margins (a non-GAAP measure) remained steady at 79% in the second quarter of 2025 compared with 80% in the same period in 2024. </w:t>
      </w:r>
    </w:p>
    <w:p>
      <w:pPr>
        <w:pStyle w:val="TextBody"/>
        <w:bidi w:val="0"/>
        <w:spacing w:before="0" w:after="0"/>
        <w:ind w:left="0" w:right="0" w:firstLine="5205"/>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and VEVYE both surpassed the threshold of contributing 10% or more to total Harrow revenues. As a result, we reported individual revenues for these products in the Form 10-Q filing, as reflected in the table below: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0"/>
        <w:gridCol w:w="60"/>
        <w:gridCol w:w="140"/>
        <w:gridCol w:w="1100"/>
        <w:gridCol w:w="60"/>
        <w:gridCol w:w="60"/>
        <w:gridCol w:w="60"/>
        <w:gridCol w:w="380"/>
        <w:gridCol w:w="215"/>
        <w:gridCol w:w="60"/>
        <w:gridCol w:w="140"/>
        <w:gridCol w:w="1100"/>
        <w:gridCol w:w="60"/>
        <w:gridCol w:w="60"/>
        <w:gridCol w:w="60"/>
        <w:gridCol w:w="380"/>
        <w:gridCol w:w="215"/>
        <w:gridCol w:w="60"/>
        <w:gridCol w:w="140"/>
        <w:gridCol w:w="1220"/>
        <w:gridCol w:w="60"/>
        <w:gridCol w:w="60"/>
        <w:gridCol w:w="60"/>
        <w:gridCol w:w="380"/>
        <w:gridCol w:w="215"/>
        <w:gridCol w:w="60"/>
        <w:gridCol w:w="140"/>
        <w:gridCol w:w="1100"/>
        <w:gridCol w:w="60"/>
        <w:gridCol w:w="60"/>
        <w:gridCol w:w="60"/>
        <w:gridCol w:w="380"/>
        <w:gridCol w:w="230"/>
      </w:tblGrid>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0"/>
              <w:jc w:val="center"/>
              <w:rPr>
                <w:b/>
              </w:rPr>
            </w:pPr>
            <w:r>
              <w:rPr>
                <w:b/>
              </w:rPr>
              <w:t>For the Three Months Ended</w:t>
            </w:r>
          </w:p>
          <w:p>
            <w:pPr>
              <w:pStyle w:val="TableContents"/>
              <w:bidi w:val="0"/>
              <w:spacing w:before="0" w:after="0"/>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gridSpan w:val="14"/>
            <w:tcBorders>
              <w:bottom w:val="single" w:sz="8" w:space="0" w:color="000000"/>
            </w:tcBorders>
            <w:tcMar>
              <w:bottom w:w="28" w:type="dxa"/>
            </w:tcMar>
            <w:vAlign w:val="center"/>
          </w:tcPr>
          <w:p>
            <w:pPr>
              <w:pStyle w:val="TableContents"/>
              <w:bidi w:val="0"/>
              <w:spacing w:before="0" w:after="0"/>
              <w:jc w:val="center"/>
              <w:rPr>
                <w:b/>
              </w:rPr>
            </w:pPr>
            <w:r>
              <w:rPr>
                <w:b/>
              </w:rPr>
              <w:t>For the Six Months Ended</w:t>
            </w:r>
          </w:p>
          <w:p>
            <w:pPr>
              <w:pStyle w:val="TableContents"/>
              <w:bidi w:val="0"/>
              <w:spacing w:before="0" w:after="0"/>
              <w:jc w:val="center"/>
              <w:rPr>
                <w:b/>
              </w:rPr>
            </w:pPr>
            <w:r>
              <w:rPr>
                <w:b/>
              </w:rPr>
              <w:t>June 30,</w:t>
            </w:r>
          </w:p>
        </w:tc>
        <w:tc>
          <w:tcPr>
            <w:tcW w:w="230" w:type="dxa"/>
            <w:tcBorders/>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18,336,000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11,295,000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23,558,000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13,616,000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29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8</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11,681,000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6,169,000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70,054,000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49</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21,468,000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21,580,000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41,519,000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42,298,000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63,742,000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111,573,000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83,526,000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move deeper into 2025, we expect continued growth across our branded portfolio and continue to expect traditional quarter-to-quarter revenue build, enhancing profitability through operational efficiencies and strategically positioning Harrow for continued leadership in the North American ophthalmic pharmaceutical sector.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Second Quarter 2025 Financial 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and six months ended June 30, 2025 and 2024 are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8"/>
        <w:gridCol w:w="60"/>
        <w:gridCol w:w="186"/>
        <w:gridCol w:w="1461"/>
        <w:gridCol w:w="125"/>
        <w:gridCol w:w="79"/>
        <w:gridCol w:w="186"/>
        <w:gridCol w:w="1461"/>
        <w:gridCol w:w="95"/>
        <w:gridCol w:w="60"/>
        <w:gridCol w:w="140"/>
        <w:gridCol w:w="1220"/>
        <w:gridCol w:w="95"/>
        <w:gridCol w:w="60"/>
        <w:gridCol w:w="140"/>
        <w:gridCol w:w="1175"/>
        <w:gridCol w:w="114"/>
      </w:tblGrid>
      <w:tr>
        <w:trPr/>
        <w:tc>
          <w:tcPr>
            <w:tcW w:w="35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4" w:type="dxa"/>
            <w:tcBorders/>
            <w:vAlign w:val="center"/>
          </w:tcPr>
          <w:p>
            <w:pPr>
              <w:pStyle w:val="TableContents"/>
              <w:bidi w:val="0"/>
              <w:spacing w:before="0" w:after="283"/>
              <w:jc w:val="left"/>
              <w:rPr/>
            </w:pPr>
            <w:r>
              <w:rPr/>
              <w:t> </w:t>
            </w:r>
          </w:p>
        </w:tc>
      </w:tr>
      <w:tr>
        <w:trPr/>
        <w:tc>
          <w:tcPr>
            <w:tcW w:w="35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3548"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63,742,000</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48,939,000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114" w:type="dxa"/>
            <w:tcBorders/>
            <w:shd w:fill="CCEEFF" w:val="clear"/>
            <w:vAlign w:val="center"/>
          </w:tcPr>
          <w:p>
            <w:pPr>
              <w:pStyle w:val="TableContents"/>
              <w:bidi w:val="0"/>
              <w:spacing w:before="0" w:after="283"/>
              <w:jc w:val="left"/>
              <w:rPr/>
            </w:pPr>
            <w:r>
              <w:rPr/>
              <w:t> </w:t>
            </w:r>
          </w:p>
        </w:tc>
      </w:tr>
      <w:tr>
        <w:trPr/>
        <w:tc>
          <w:tcPr>
            <w:tcW w:w="3548"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pPr>
            <w:r>
              <w:rPr/>
              <w:t>16,230,000</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pPr>
            <w:r>
              <w:rPr/>
              <w:t>12,539,000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31,754,000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23,092,000</w:t>
            </w:r>
          </w:p>
        </w:tc>
        <w:tc>
          <w:tcPr>
            <w:tcW w:w="114" w:type="dxa"/>
            <w:tcBorders/>
            <w:shd w:fill="FFFFFF" w:val="clear"/>
            <w:vAlign w:val="center"/>
          </w:tcPr>
          <w:p>
            <w:pPr>
              <w:pStyle w:val="TableContents"/>
              <w:bidi w:val="0"/>
              <w:spacing w:before="0" w:after="283"/>
              <w:jc w:val="left"/>
              <w:rPr/>
            </w:pPr>
            <w:r>
              <w:rPr/>
              <w:t> </w:t>
            </w:r>
          </w:p>
        </w:tc>
      </w:tr>
      <w:tr>
        <w:trPr/>
        <w:tc>
          <w:tcPr>
            <w:tcW w:w="3548"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47,512,000</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60,434,000</w:t>
            </w:r>
          </w:p>
        </w:tc>
        <w:tc>
          <w:tcPr>
            <w:tcW w:w="114" w:type="dxa"/>
            <w:tcBorders/>
            <w:shd w:fill="CCEEFF" w:val="clear"/>
            <w:vAlign w:val="center"/>
          </w:tcPr>
          <w:p>
            <w:pPr>
              <w:pStyle w:val="TableContents"/>
              <w:bidi w:val="0"/>
              <w:spacing w:before="0" w:after="283"/>
              <w:jc w:val="left"/>
              <w:rPr/>
            </w:pPr>
            <w:r>
              <w:rPr/>
              <w:t> </w:t>
            </w:r>
          </w:p>
        </w:tc>
      </w:tr>
      <w:tr>
        <w:trPr/>
        <w:tc>
          <w:tcPr>
            <w:tcW w:w="3548"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33,235,000</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31,817,000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60,630,000</w:t>
            </w:r>
          </w:p>
        </w:tc>
        <w:tc>
          <w:tcPr>
            <w:tcW w:w="114" w:type="dxa"/>
            <w:tcBorders/>
            <w:shd w:fill="FFFFFF" w:val="clear"/>
            <w:vAlign w:val="center"/>
          </w:tcPr>
          <w:p>
            <w:pPr>
              <w:pStyle w:val="TableContents"/>
              <w:bidi w:val="0"/>
              <w:spacing w:before="0" w:after="283"/>
              <w:jc w:val="left"/>
              <w:rPr/>
            </w:pPr>
            <w:r>
              <w:rPr/>
              <w:t> </w:t>
            </w:r>
          </w:p>
        </w:tc>
      </w:tr>
      <w:tr>
        <w:trPr/>
        <w:tc>
          <w:tcPr>
            <w:tcW w:w="3548"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2,868,000</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3,053,000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5,202,000</w:t>
            </w:r>
          </w:p>
        </w:tc>
        <w:tc>
          <w:tcPr>
            <w:tcW w:w="114" w:type="dxa"/>
            <w:tcBorders/>
            <w:shd w:fill="CCEEFF" w:val="clear"/>
            <w:vAlign w:val="center"/>
          </w:tcPr>
          <w:p>
            <w:pPr>
              <w:pStyle w:val="TableContents"/>
              <w:bidi w:val="0"/>
              <w:spacing w:before="0" w:after="283"/>
              <w:jc w:val="left"/>
              <w:rPr/>
            </w:pPr>
            <w:r>
              <w:rPr/>
              <w:t> </w:t>
            </w:r>
          </w:p>
        </w:tc>
      </w:tr>
      <w:tr>
        <w:trPr/>
        <w:tc>
          <w:tcPr>
            <w:tcW w:w="3548"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36,103,000</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34,870,000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65,832,000</w:t>
            </w:r>
          </w:p>
        </w:tc>
        <w:tc>
          <w:tcPr>
            <w:tcW w:w="114" w:type="dxa"/>
            <w:tcBorders/>
            <w:shd w:fill="FFFFFF" w:val="clear"/>
            <w:vAlign w:val="center"/>
          </w:tcPr>
          <w:p>
            <w:pPr>
              <w:pStyle w:val="TableContents"/>
              <w:bidi w:val="0"/>
              <w:spacing w:before="0" w:after="283"/>
              <w:jc w:val="left"/>
              <w:rPr/>
            </w:pPr>
            <w:r>
              <w:rPr/>
              <w:t> </w:t>
            </w:r>
          </w:p>
        </w:tc>
      </w:tr>
      <w:tr>
        <w:trPr/>
        <w:tc>
          <w:tcPr>
            <w:tcW w:w="3548"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b/>
              </w:rPr>
            </w:pPr>
            <w:r>
              <w:rPr>
                <w:b/>
              </w:rPr>
              <w:t>11,409,000</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b/>
              </w:rPr>
            </w:pPr>
            <w:r>
              <w:rPr>
                <w:b/>
              </w:rPr>
              <w:t>1,530,000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(5,398,000</w:t>
            </w:r>
          </w:p>
        </w:tc>
        <w:tc>
          <w:tcPr>
            <w:tcW w:w="114" w:type="dxa"/>
            <w:tcBorders/>
            <w:shd w:fill="CCEEFF" w:val="clear"/>
            <w:vAlign w:val="center"/>
          </w:tcPr>
          <w:p>
            <w:pPr>
              <w:pStyle w:val="TableContents"/>
              <w:bidi w:val="0"/>
              <w:spacing w:before="0" w:after="283"/>
              <w:jc w:val="left"/>
              <w:rPr>
                <w:b/>
              </w:rPr>
            </w:pPr>
            <w:r>
              <w:rPr>
                <w:b/>
              </w:rPr>
              <w:t>)</w:t>
            </w:r>
          </w:p>
        </w:tc>
      </w:tr>
      <w:tr>
        <w:trPr/>
        <w:tc>
          <w:tcPr>
            <w:tcW w:w="3548"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(6,414,000</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(7,348,000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(13,985,000</w:t>
            </w:r>
          </w:p>
        </w:tc>
        <w:tc>
          <w:tcPr>
            <w:tcW w:w="114" w:type="dxa"/>
            <w:tcBorders/>
            <w:shd w:fill="FFFFFF" w:val="clear"/>
            <w:vAlign w:val="center"/>
          </w:tcPr>
          <w:p>
            <w:pPr>
              <w:pStyle w:val="TableContents"/>
              <w:bidi w:val="0"/>
              <w:spacing w:before="0" w:after="283"/>
              <w:jc w:val="left"/>
              <w:rPr/>
            </w:pPr>
            <w:r>
              <w:rPr/>
              <w:t>)</w:t>
            </w:r>
          </w:p>
        </w:tc>
      </w:tr>
      <w:tr>
        <w:trPr/>
        <w:tc>
          <w:tcPr>
            <w:tcW w:w="3548"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(655,000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(655,000</w:t>
            </w:r>
          </w:p>
        </w:tc>
        <w:tc>
          <w:tcPr>
            <w:tcW w:w="114" w:type="dxa"/>
            <w:tcBorders/>
            <w:shd w:fill="CCEEFF" w:val="clear"/>
            <w:vAlign w:val="center"/>
          </w:tcPr>
          <w:p>
            <w:pPr>
              <w:pStyle w:val="TableContents"/>
              <w:bidi w:val="0"/>
              <w:spacing w:before="0" w:after="283"/>
              <w:jc w:val="left"/>
              <w:rPr/>
            </w:pPr>
            <w:r>
              <w:rPr/>
              <w:t>)</w:t>
            </w:r>
          </w:p>
        </w:tc>
      </w:tr>
      <w:tr>
        <w:trPr/>
        <w:tc>
          <w:tcPr>
            <w:tcW w:w="3548" w:type="dxa"/>
            <w:tcBorders/>
            <w:shd w:fill="FFFFFF" w:val="clear"/>
            <w:vAlign w:val="center"/>
          </w:tcPr>
          <w:p>
            <w:pPr>
              <w:pStyle w:val="TableContents"/>
              <w:bidi w:val="0"/>
              <w:spacing w:before="0" w:after="283"/>
              <w:jc w:val="left"/>
              <w:rPr>
                <w:b/>
              </w:rPr>
            </w:pPr>
            <w:r>
              <w:rPr>
                <w:b/>
              </w:rPr>
              <w:t>Net income (loss) attributable to Harrow, Inc.</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4,995,000</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(6,473,000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(12,785,000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(20,038,000</w:t>
            </w:r>
          </w:p>
        </w:tc>
        <w:tc>
          <w:tcPr>
            <w:tcW w:w="114" w:type="dxa"/>
            <w:tcBorders/>
            <w:shd w:fill="FFFFFF" w:val="clear"/>
            <w:vAlign w:val="center"/>
          </w:tcPr>
          <w:p>
            <w:pPr>
              <w:pStyle w:val="TableContents"/>
              <w:bidi w:val="0"/>
              <w:spacing w:before="0" w:after="283"/>
              <w:jc w:val="left"/>
              <w:rPr>
                <w:b/>
              </w:rPr>
            </w:pPr>
            <w:r>
              <w:rPr>
                <w:b/>
              </w:rPr>
              <w:t>)</w:t>
            </w:r>
          </w:p>
        </w:tc>
      </w:tr>
      <w:tr>
        <w:trPr/>
        <w:tc>
          <w:tcPr>
            <w:tcW w:w="3548" w:type="dxa"/>
            <w:tcBorders/>
            <w:shd w:fill="CCEEFF" w:val="clear"/>
            <w:vAlign w:val="center"/>
          </w:tcPr>
          <w:p>
            <w:pPr>
              <w:pStyle w:val="TableContents"/>
              <w:bidi w:val="0"/>
              <w:spacing w:before="0" w:after="283"/>
              <w:jc w:val="left"/>
              <w:rPr>
                <w:b/>
              </w:rPr>
            </w:pPr>
            <w:r>
              <w:rPr>
                <w:b/>
              </w:rPr>
              <w:t>Net income (loss) per share: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548"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0.14</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(0.56</w:t>
            </w:r>
          </w:p>
        </w:tc>
        <w:tc>
          <w:tcPr>
            <w:tcW w:w="114" w:type="dxa"/>
            <w:tcBorders/>
            <w:shd w:fill="FFFFFF" w:val="clear"/>
            <w:vAlign w:val="center"/>
          </w:tcPr>
          <w:p>
            <w:pPr>
              <w:pStyle w:val="TableContents"/>
              <w:bidi w:val="0"/>
              <w:spacing w:before="0" w:after="283"/>
              <w:jc w:val="left"/>
              <w:rPr>
                <w:b/>
              </w:rPr>
            </w:pPr>
            <w:r>
              <w:rPr>
                <w:b/>
              </w:rPr>
              <w:t>)</w:t>
            </w:r>
          </w:p>
        </w:tc>
      </w:tr>
      <w:tr>
        <w:trPr/>
        <w:tc>
          <w:tcPr>
            <w:tcW w:w="3548"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(0.56</w:t>
            </w:r>
          </w:p>
        </w:tc>
        <w:tc>
          <w:tcPr>
            <w:tcW w:w="11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months and six months ended June 30, 2025 and 2024 are as follows:</w:t>
      </w:r>
    </w:p>
    <w:p>
      <w:pPr>
        <w:pStyle w:val="TextBody"/>
        <w:bidi w:val="0"/>
        <w:spacing w:before="0" w:after="0"/>
        <w:jc w:val="both"/>
        <w:rPr>
          <w:caps w:val="false"/>
          <w:smallCaps w:val="false"/>
        </w:rPr>
      </w:pPr>
      <w:r>
        <w:rPr>
          <w:caps w:val="false"/>
          <w:smallCaps w:val="false"/>
        </w:rPr>
        <w:t> </w:t>
      </w:r>
    </w:p>
    <w:tbl>
      <w:tblPr>
        <w:tblW w:w="9416" w:type="dxa"/>
        <w:jc w:val="left"/>
        <w:tblInd w:w="0" w:type="dxa"/>
        <w:tblLayout w:type="fixed"/>
        <w:tblCellMar>
          <w:top w:w="0" w:type="dxa"/>
          <w:left w:w="0" w:type="dxa"/>
          <w:bottom w:w="0" w:type="dxa"/>
          <w:right w:w="0" w:type="dxa"/>
        </w:tblCellMar>
      </w:tblPr>
      <w:tblGrid>
        <w:gridCol w:w="2885"/>
        <w:gridCol w:w="60"/>
        <w:gridCol w:w="153"/>
        <w:gridCol w:w="1205"/>
        <w:gridCol w:w="235"/>
        <w:gridCol w:w="65"/>
        <w:gridCol w:w="153"/>
        <w:gridCol w:w="1205"/>
        <w:gridCol w:w="215"/>
        <w:gridCol w:w="60"/>
        <w:gridCol w:w="140"/>
        <w:gridCol w:w="1220"/>
        <w:gridCol w:w="215"/>
        <w:gridCol w:w="60"/>
        <w:gridCol w:w="140"/>
        <w:gridCol w:w="1175"/>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0"/>
              <w:jc w:val="center"/>
              <w:rPr>
                <w:b/>
              </w:rPr>
            </w:pPr>
            <w:r>
              <w:rPr>
                <w:b/>
              </w:rPr>
              <w:t>For the Three Months Ended</w:t>
            </w:r>
          </w:p>
          <w:p>
            <w:pPr>
              <w:pStyle w:val="TableContents"/>
              <w:bidi w:val="0"/>
              <w:spacing w:before="0" w:after="0"/>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center"/>
          </w:tcPr>
          <w:p>
            <w:pPr>
              <w:pStyle w:val="TableContents"/>
              <w:bidi w:val="0"/>
              <w:spacing w:before="0" w:after="0"/>
              <w:jc w:val="center"/>
              <w:rPr>
                <w:b/>
              </w:rPr>
            </w:pPr>
            <w:r>
              <w:rPr>
                <w:b/>
              </w:rPr>
              <w:t>For the Six Months Ended</w:t>
            </w:r>
          </w:p>
          <w:p>
            <w:pPr>
              <w:pStyle w:val="TableContents"/>
              <w:bidi w:val="0"/>
              <w:spacing w:before="0" w:after="0"/>
              <w:jc w:val="center"/>
              <w:rPr>
                <w:b/>
              </w:rPr>
            </w:pPr>
            <w:r>
              <w:rPr>
                <w:b/>
              </w:rPr>
              <w:t>June 30,</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63,742,000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48,939,000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75</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sz w:val="20"/>
              </w:rPr>
            </w:pPr>
            <w:r>
              <w:rPr>
                <w:sz w:val="20"/>
              </w:rPr>
              <w:t>Core gross margin</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80</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4,995,000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(6,473,000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(12,785,000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(20,038,000</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sz w:val="20"/>
              </w:rPr>
            </w:pPr>
            <w:r>
              <w:rPr>
                <w:sz w:val="20"/>
              </w:rPr>
              <w:t>Core net income (loss)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9,227,000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(2,047,000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(4,327,000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(11,836,000</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sz w:val="20"/>
              </w:rPr>
            </w:pPr>
            <w:r>
              <w:rPr>
                <w:sz w:val="20"/>
              </w:rPr>
              <w:t>Adjusted EBITDA</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17,006,000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8,803,000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15,021,000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9,030,000</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income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0.14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(0.56</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0.13</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(0.56</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sz w:val="20"/>
              </w:rPr>
            </w:pPr>
            <w:r>
              <w:rPr>
                <w:sz w:val="20"/>
              </w:rPr>
              <w:t>Core net income (loss) per share: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0.25</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(0.33</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(0.33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spacing w:before="0" w:after="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for the year ended December 31, 2024, subsequent Quarterly Reports on Form 10-Q, and other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and six months ended June 30, 2025 and for the same period in 2024:</w:t>
      </w:r>
    </w:p>
    <w:p>
      <w:pPr>
        <w:pStyle w:val="TextBody"/>
        <w:bidi w:val="0"/>
        <w:spacing w:before="0" w:after="0"/>
        <w:jc w:val="both"/>
        <w:rPr>
          <w:caps w:val="false"/>
          <w:smallCaps w:val="false"/>
        </w:rPr>
      </w:pPr>
      <w:r>
        <w:rPr>
          <w:caps w:val="false"/>
          <w:smallCaps w:val="false"/>
        </w:rPr>
        <w:t> </w:t>
      </w:r>
    </w:p>
    <w:tbl>
      <w:tblPr>
        <w:tblW w:w="10002" w:type="dxa"/>
        <w:jc w:val="left"/>
        <w:tblInd w:w="0" w:type="dxa"/>
        <w:tblLayout w:type="fixed"/>
        <w:tblCellMar>
          <w:top w:w="0" w:type="dxa"/>
          <w:left w:w="0" w:type="dxa"/>
          <w:bottom w:w="0" w:type="dxa"/>
          <w:right w:w="0" w:type="dxa"/>
        </w:tblCellMar>
      </w:tblPr>
      <w:tblGrid>
        <w:gridCol w:w="3875"/>
        <w:gridCol w:w="60"/>
        <w:gridCol w:w="165"/>
        <w:gridCol w:w="1300"/>
        <w:gridCol w:w="70"/>
        <w:gridCol w:w="70"/>
        <w:gridCol w:w="165"/>
        <w:gridCol w:w="1247"/>
        <w:gridCol w:w="95"/>
        <w:gridCol w:w="60"/>
        <w:gridCol w:w="140"/>
        <w:gridCol w:w="1175"/>
        <w:gridCol w:w="95"/>
        <w:gridCol w:w="60"/>
        <w:gridCol w:w="140"/>
        <w:gridCol w:w="1175"/>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spacing w:before="0" w:after="0"/>
              <w:jc w:val="center"/>
              <w:rPr>
                <w:b/>
              </w:rPr>
            </w:pPr>
            <w:r>
              <w:rPr>
                <w:b/>
              </w:rPr>
              <w:t>For the Three Months Ended</w:t>
            </w:r>
          </w:p>
          <w:p>
            <w:pPr>
              <w:pStyle w:val="TableContents"/>
              <w:bidi w:val="0"/>
              <w:spacing w:before="0" w:after="0"/>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jc w:val="center"/>
              <w:rPr>
                <w:b/>
              </w:rPr>
            </w:pPr>
            <w:r>
              <w:rPr>
                <w:b/>
              </w:rPr>
              <w:t>For the Six Months Ended</w:t>
            </w:r>
          </w:p>
          <w:p>
            <w:pPr>
              <w:pStyle w:val="TableContents"/>
              <w:bidi w:val="0"/>
              <w:spacing w:before="0" w:after="0"/>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income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4,995,000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(12,785,000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(20,038,000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875,000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8,440,000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6,408,000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5,471,000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10,886,000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655,000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496,000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4,226,000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2,549,000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5,103,000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1,923,000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(46,000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(72,000</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17,006,000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9,030,000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six months ended June 30, 2025 and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6"/>
        <w:gridCol w:w="60"/>
        <w:gridCol w:w="140"/>
        <w:gridCol w:w="1100"/>
        <w:gridCol w:w="215"/>
        <w:gridCol w:w="60"/>
        <w:gridCol w:w="288"/>
        <w:gridCol w:w="2025"/>
        <w:gridCol w:w="60"/>
        <w:gridCol w:w="60"/>
        <w:gridCol w:w="195"/>
        <w:gridCol w:w="755"/>
        <w:gridCol w:w="60"/>
        <w:gridCol w:w="60"/>
        <w:gridCol w:w="140"/>
        <w:gridCol w:w="560"/>
        <w:gridCol w:w="60"/>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June 30, 2025</w:t>
            </w:r>
          </w:p>
        </w:tc>
      </w:tr>
      <w:tr>
        <w:trPr/>
        <w:tc>
          <w:tcPr>
            <w:tcW w:w="28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3" w:type="dxa"/>
            <w:gridSpan w:val="2"/>
            <w:tcBorders>
              <w:bottom w:val="single" w:sz="8"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47,512,000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w:t>
            </w:r>
          </w:p>
        </w:tc>
        <w:tc>
          <w:tcPr>
            <w:tcW w:w="2025" w:type="dxa"/>
            <w:tcBorders/>
            <w:shd w:fill="CCEEFF" w:val="clear"/>
            <w:tcMar>
              <w:bottom w:w="0" w:type="dxa"/>
            </w:tcMar>
            <w:vAlign w:val="center"/>
          </w:tcPr>
          <w:p>
            <w:pPr>
              <w:pStyle w:val="TableContents"/>
              <w:bidi w:val="0"/>
              <w:spacing w:before="0" w:after="283"/>
              <w:jc w:val="right"/>
              <w:rPr/>
            </w:pPr>
            <w:r>
              <w:rPr/>
              <w:t>3,780,000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51,292,000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36"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11,409,000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4,226,000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15,635,000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9,227,000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4,995,000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4,226,000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9,227,000</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per share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0.14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0.25</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0.24</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 xml:space="preserve">Weighted average number </w:t>
              <w:br/>
              <w:t>of shares of common stock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2836"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36,790,306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36,790,306</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36"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38,853,855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20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38,853,855</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11"/>
        <w:gridCol w:w="60"/>
        <w:gridCol w:w="143"/>
        <w:gridCol w:w="1207"/>
        <w:gridCol w:w="215"/>
        <w:gridCol w:w="60"/>
        <w:gridCol w:w="241"/>
        <w:gridCol w:w="1695"/>
        <w:gridCol w:w="60"/>
        <w:gridCol w:w="60"/>
        <w:gridCol w:w="855"/>
        <w:gridCol w:w="581"/>
        <w:gridCol w:w="60"/>
        <w:gridCol w:w="60"/>
        <w:gridCol w:w="160"/>
        <w:gridCol w:w="642"/>
        <w:gridCol w:w="60"/>
        <w:gridCol w:w="60"/>
        <w:gridCol w:w="140"/>
        <w:gridCol w:w="1100"/>
        <w:gridCol w:w="235"/>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Six Months Ended June 30, 2025</w:t>
            </w:r>
          </w:p>
        </w:tc>
      </w:tr>
      <w:tr>
        <w:trPr/>
        <w:tc>
          <w:tcPr>
            <w:tcW w:w="25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0" w:type="dxa"/>
            <w:gridSpan w:val="2"/>
            <w:tcBorders>
              <w:bottom w:val="single" w:sz="8" w:space="0" w:color="000000"/>
            </w:tcBorders>
            <w:vAlign w:val="center"/>
          </w:tcPr>
          <w:p>
            <w:pPr>
              <w:pStyle w:val="TableContents"/>
              <w:bidi w:val="0"/>
              <w:spacing w:before="0" w:after="283"/>
              <w:jc w:val="center"/>
              <w:rPr>
                <w:b/>
              </w:rPr>
            </w:pPr>
            <w:r>
              <w:rPr>
                <w:b/>
              </w:rPr>
              <w:t>GAAP 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6" w:type="dxa"/>
            <w:gridSpan w:val="2"/>
            <w:tcBorders>
              <w:bottom w:val="single" w:sz="8"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6" w:type="dxa"/>
            <w:gridSpan w:val="2"/>
            <w:tcBorders>
              <w:bottom w:val="single" w:sz="8" w:space="0" w:color="000000"/>
            </w:tcBorders>
            <w:vAlign w:val="center"/>
          </w:tcPr>
          <w:p>
            <w:pPr>
              <w:pStyle w:val="TableContents"/>
              <w:bidi w:val="0"/>
              <w:spacing w:before="0" w:after="283"/>
              <w:jc w:val="center"/>
              <w:rPr>
                <w:b/>
              </w:rPr>
            </w:pPr>
            <w:r>
              <w:rPr>
                <w:b/>
              </w:rPr>
              <w:t>Investment Gains (Losses)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2" w:type="dxa"/>
            <w:gridSpan w:val="2"/>
            <w:tcBorders>
              <w:bottom w:val="single" w:sz="8" w:space="0" w:color="000000"/>
            </w:tcBorders>
            <w:vAlign w:val="center"/>
          </w:tcPr>
          <w:p>
            <w:pPr>
              <w:pStyle w:val="TableContents"/>
              <w:bidi w:val="0"/>
              <w:spacing w:before="0" w:after="283"/>
              <w:jc w:val="center"/>
              <w:rPr>
                <w:b/>
              </w:rPr>
            </w:pPr>
            <w:r>
              <w:rPr>
                <w:b/>
              </w:rPr>
              <w:t>Other 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5" w:type="dxa"/>
            <w:tcBorders/>
            <w:tcMar>
              <w:bottom w:w="0" w:type="dxa"/>
            </w:tcMar>
            <w:vAlign w:val="center"/>
          </w:tcPr>
          <w:p>
            <w:pPr>
              <w:pStyle w:val="TableContents"/>
              <w:bidi w:val="0"/>
              <w:spacing w:before="0" w:after="283"/>
              <w:jc w:val="left"/>
              <w:rPr/>
            </w:pPr>
            <w:r>
              <w:rPr/>
              <w:t> </w:t>
            </w:r>
          </w:p>
        </w:tc>
      </w:tr>
      <w:tr>
        <w:trPr/>
        <w:tc>
          <w:tcPr>
            <w:tcW w:w="2511"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07" w:type="dxa"/>
            <w:tcBorders/>
            <w:shd w:fill="CCEEFF" w:val="clear"/>
            <w:tcMar>
              <w:bottom w:w="0" w:type="dxa"/>
            </w:tcMar>
            <w:vAlign w:val="center"/>
          </w:tcPr>
          <w:p>
            <w:pPr>
              <w:pStyle w:val="TableContents"/>
              <w:bidi w:val="0"/>
              <w:spacing w:before="0" w:after="283"/>
              <w:jc w:val="right"/>
              <w:rPr/>
            </w:pPr>
            <w:r>
              <w:rPr/>
              <w:t>79,819,000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695" w:type="dxa"/>
            <w:tcBorders/>
            <w:shd w:fill="CCEEFF" w:val="clear"/>
            <w:tcMar>
              <w:bottom w:w="0" w:type="dxa"/>
            </w:tcMar>
            <w:vAlign w:val="center"/>
          </w:tcPr>
          <w:p>
            <w:pPr>
              <w:pStyle w:val="TableContents"/>
              <w:bidi w:val="0"/>
              <w:spacing w:before="0" w:after="283"/>
              <w:jc w:val="right"/>
              <w:rPr/>
            </w:pPr>
            <w:r>
              <w:rPr/>
              <w:t>7,560,000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lef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6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87,379,000</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511"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511"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177,000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283"/>
              <w:jc w:val="right"/>
              <w:rPr/>
            </w:pPr>
            <w:r>
              <w:rPr/>
              <w:t>8,452,000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8,629,000</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511"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(12,785,000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283"/>
              <w:jc w:val="right"/>
              <w:rPr/>
            </w:pPr>
            <w:r>
              <w:rPr/>
              <w:t>8,452,000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(4,327,000</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511"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511"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(12,785,000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283"/>
              <w:jc w:val="right"/>
              <w:rPr/>
            </w:pPr>
            <w:r>
              <w:rPr/>
              <w:t>8,452,000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(4,327,000</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511" w:type="dxa"/>
            <w:tcBorders/>
            <w:shd w:fill="CCEEFF" w:val="clear"/>
            <w:tcMar>
              <w:bottom w:w="0" w:type="dxa"/>
            </w:tcMar>
            <w:vAlign w:val="center"/>
          </w:tcPr>
          <w:p>
            <w:pPr>
              <w:pStyle w:val="TableContents"/>
              <w:bidi w:val="0"/>
              <w:spacing w:before="0" w:after="283"/>
              <w:jc w:val="left"/>
              <w:rPr>
                <w:sz w:val="20"/>
              </w:rPr>
            </w:pPr>
            <w:r>
              <w:rPr>
                <w:sz w:val="20"/>
              </w:rPr>
              <w:t>Basic and diluted loss  per share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(0.35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(0.12</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2511"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36,304,787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36,304,787</w:t>
            </w:r>
          </w:p>
        </w:tc>
        <w:tc>
          <w:tcPr>
            <w:tcW w:w="2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8"/>
        <w:gridCol w:w="60"/>
        <w:gridCol w:w="140"/>
        <w:gridCol w:w="1100"/>
        <w:gridCol w:w="215"/>
        <w:gridCol w:w="60"/>
        <w:gridCol w:w="252"/>
        <w:gridCol w:w="1769"/>
        <w:gridCol w:w="60"/>
        <w:gridCol w:w="60"/>
        <w:gridCol w:w="140"/>
        <w:gridCol w:w="980"/>
        <w:gridCol w:w="60"/>
        <w:gridCol w:w="60"/>
        <w:gridCol w:w="140"/>
        <w:gridCol w:w="755"/>
        <w:gridCol w:w="95"/>
        <w:gridCol w:w="60"/>
        <w:gridCol w:w="140"/>
        <w:gridCol w:w="1100"/>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Three Months Ended June 30, 2024</w:t>
            </w:r>
          </w:p>
        </w:tc>
      </w:tr>
      <w:tr>
        <w:trPr/>
        <w:tc>
          <w:tcPr>
            <w:tcW w:w="27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1" w:type="dxa"/>
            <w:gridSpan w:val="2"/>
            <w:tcBorders>
              <w:bottom w:val="single" w:sz="8"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72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36,400,000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769"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38,540,000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79</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2,549,000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4,079,000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(5,818,000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(1,392,000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(6,473,000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(2,047,000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spacing w:val="-3"/>
                <w:sz w:val="20"/>
              </w:rPr>
            </w:pPr>
            <w:r>
              <w:rPr>
                <w:spacing w:val="-3"/>
                <w:sz w:val="20"/>
              </w:rPr>
              <w:t>Basic and diluted loss per share ($)</w:t>
            </w:r>
            <w:r>
              <w:rPr>
                <w:spacing w:val="-3"/>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14"/>
        <w:gridCol w:w="60"/>
        <w:gridCol w:w="140"/>
        <w:gridCol w:w="1175"/>
        <w:gridCol w:w="215"/>
        <w:gridCol w:w="60"/>
        <w:gridCol w:w="247"/>
        <w:gridCol w:w="1738"/>
        <w:gridCol w:w="60"/>
        <w:gridCol w:w="60"/>
        <w:gridCol w:w="140"/>
        <w:gridCol w:w="980"/>
        <w:gridCol w:w="60"/>
        <w:gridCol w:w="60"/>
        <w:gridCol w:w="140"/>
        <w:gridCol w:w="755"/>
        <w:gridCol w:w="95"/>
        <w:gridCol w:w="60"/>
        <w:gridCol w:w="140"/>
        <w:gridCol w:w="1175"/>
        <w:gridCol w:w="231"/>
      </w:tblGrid>
      <w:tr>
        <w:trPr/>
        <w:tc>
          <w:tcPr>
            <w:tcW w:w="10205" w:type="dxa"/>
            <w:gridSpan w:val="21"/>
            <w:tcBorders>
              <w:bottom w:val="single" w:sz="8" w:space="0" w:color="000000"/>
            </w:tcBorders>
            <w:vAlign w:val="center"/>
          </w:tcPr>
          <w:p>
            <w:pPr>
              <w:pStyle w:val="TableContents"/>
              <w:bidi w:val="0"/>
              <w:spacing w:before="0" w:after="283"/>
              <w:jc w:val="center"/>
              <w:rPr>
                <w:b/>
              </w:rPr>
            </w:pPr>
            <w:r>
              <w:rPr>
                <w:b/>
              </w:rPr>
              <w:t>For the Six Months Ended June 30, 2024</w:t>
            </w:r>
          </w:p>
        </w:tc>
      </w:tr>
      <w:tr>
        <w:trPr/>
        <w:tc>
          <w:tcPr>
            <w:tcW w:w="26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5" w:type="dxa"/>
            <w:gridSpan w:val="2"/>
            <w:tcBorders>
              <w:bottom w:val="single" w:sz="8"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614"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60,434,000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738" w:type="dxa"/>
            <w:tcBorders/>
            <w:shd w:fill="CCEEFF" w:val="clear"/>
            <w:tcMar>
              <w:bottom w:w="0" w:type="dxa"/>
            </w:tcMar>
            <w:vAlign w:val="center"/>
          </w:tcPr>
          <w:p>
            <w:pPr>
              <w:pStyle w:val="TableContents"/>
              <w:bidi w:val="0"/>
              <w:spacing w:before="0" w:after="283"/>
              <w:jc w:val="right"/>
              <w:rPr/>
            </w:pPr>
            <w:r>
              <w:rPr/>
              <w:t>4,280,000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64,714,000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14"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14"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(5,398,000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5,103,000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(295,000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14"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(19,383,000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(11,181,000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14"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14"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(20,038,000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(11,836,000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14" w:type="dxa"/>
            <w:tcBorders/>
            <w:shd w:fill="CCEEFF" w:val="clear"/>
            <w:tcMar>
              <w:bottom w:w="0" w:type="dxa"/>
            </w:tcMar>
            <w:vAlign w:val="center"/>
          </w:tcPr>
          <w:p>
            <w:pPr>
              <w:pStyle w:val="TableContents"/>
              <w:bidi w:val="0"/>
              <w:spacing w:before="0" w:after="283"/>
              <w:jc w:val="left"/>
              <w:rPr>
                <w:spacing w:val="-3"/>
                <w:sz w:val="20"/>
              </w:rPr>
            </w:pPr>
            <w:r>
              <w:rPr>
                <w:spacing w:val="-3"/>
                <w:sz w:val="20"/>
              </w:rPr>
              <w:t>Basic and diluted loss per share ($)</w:t>
            </w:r>
            <w:r>
              <w:rPr>
                <w:spacing w:val="-3"/>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(0.33</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14"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 based awards as described in Note 2 and elsewhere in the Consolidated Financial Statements included in the Company’s Quarterly Report on Form 10-Q for the quarter ended June 30, 2025.</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jc w:val="center"/>
        <w:rPr/>
      </w:pPr>
      <w:bookmarkStart w:id="33" w:name="ex99-3.htm"/>
      <w:bookmarkStart w:id="34" w:name="ksex993"/>
      <w:bookmarkEnd w:id="33"/>
      <w:bookmarkEnd w:id="34"/>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172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61722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58400" cy="5641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419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172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61722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429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64293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9861</Words>
  <Characters>54283</Characters>
  <CharactersWithSpaces>65324</CharactersWithSpaces>
  <Paragraphs>4180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