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960" w:hanging="3732"/>
        <w:spacing w:after="0" w:line="501" w:lineRule="auto"/>
        <w:tabs>
          <w:tab w:leader="none" w:pos="2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right="5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4">
            <w:col w:w="2160" w:space="720"/>
            <w:col w:w="3840" w:space="720"/>
            <w:col w:w="2120" w:space="720"/>
            <w:col w:w="114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2015, 9,681,646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920" w:type="dxa"/>
            <w:vAlign w:val="bottom"/>
            <w:gridSpan w:val="5"/>
          </w:tcPr>
          <w:p>
            <w:pPr>
              <w:jc w:val="center"/>
              <w:ind w:right="322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20" w:type="dxa"/>
            <w:vAlign w:val="bottom"/>
            <w:gridSpan w:val="5"/>
          </w:tcPr>
          <w:p>
            <w:pPr>
              <w:jc w:val="center"/>
              <w:ind w:right="32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840" w:type="dxa"/>
            <w:vAlign w:val="bottom"/>
            <w:gridSpan w:val="17"/>
            <w:shd w:val="clear" w:color="auto" w:fill="CCEEFF"/>
          </w:tcPr>
          <w:p>
            <w:pPr>
              <w:ind w:left="10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560" w:type="dxa"/>
            <w:vAlign w:val="bottom"/>
            <w:tcBorders>
              <w:top w:val="single" w:sz="8" w:color="CCEEFF"/>
              <w:bottom w:val="single" w:sz="8" w:color="auto"/>
            </w:tcBorders>
            <w:gridSpan w:val="12"/>
          </w:tcPr>
          <w:p>
            <w:pPr>
              <w:jc w:val="center"/>
              <w:ind w:left="3170"/>
              <w:spacing w:after="0"/>
              <w:rPr>
                <w:sz w:val="20"/>
                <w:szCs w:val="20"/>
                <w:color w:val="auto"/>
              </w:rPr>
            </w:pPr>
            <w:r>
              <w:rPr>
                <w:rFonts w:ascii="Arial" w:cs="Arial" w:eastAsia="Arial" w:hAnsi="Arial"/>
                <w:sz w:val="18"/>
                <w:szCs w:val="18"/>
                <w:color w:val="auto"/>
                <w:w w:val="99"/>
              </w:rPr>
              <w:t>2</w:t>
            </w:r>
          </w:p>
        </w:tc>
        <w:tc>
          <w:tcPr>
            <w:tcW w:w="114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September 30,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December 31, 2014</w:t>
            </w:r>
          </w:p>
        </w:tc>
      </w:tr>
      <w:tr>
        <w:trPr>
          <w:trHeight w:val="216"/>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Restricted short-term investments</w:t>
            </w: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r>
      <w:tr>
        <w:trPr>
          <w:trHeight w:val="23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0"/>
                <w:szCs w:val="20"/>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9,365</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0"/>
                <w:szCs w:val="20"/>
                <w:color w:val="auto"/>
              </w:rPr>
            </w:pPr>
          </w:p>
        </w:tc>
      </w:tr>
      <w:tr>
        <w:trPr>
          <w:trHeight w:val="243"/>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15,021</w:t>
            </w:r>
          </w:p>
        </w:tc>
        <w:tc>
          <w:tcPr>
            <w:tcW w:w="2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10,242</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197"/>
        </w:trPr>
        <w:tc>
          <w:tcPr>
            <w:tcW w:w="7440" w:type="dxa"/>
            <w:vAlign w:val="bottom"/>
            <w:shd w:val="clear" w:color="auto" w:fill="CCEEFF"/>
          </w:tcPr>
          <w:p>
            <w:pPr>
              <w:ind w:left="182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obligation</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1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Note payable and paid-in-kind interest, net of unamortized debt discount and issuance costs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$0.001 par value, 90,000,000 shares authorized, 9,681,646 and 9,258,231 shares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issued and outstanding at September 30, 2015 and December 31, 2014, respectively</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50,006</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(52,640)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(41,865)</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440" w:type="dxa"/>
            <w:vAlign w:val="bottom"/>
          </w:tcPr>
          <w:p>
            <w:pPr>
              <w:ind w:left="36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15,021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September 30, 2015</w:t>
            </w:r>
          </w:p>
        </w:tc>
        <w:tc>
          <w:tcPr>
            <w:tcW w:w="12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September 30,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September 30, 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2,682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439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6,161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2,683</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441</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6,213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1,481</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2,954</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6"/>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(3,529)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(2,459)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(10,127)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(7,396)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(expenses), net</w:t>
            </w: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w:t>
            </w:r>
          </w:p>
        </w:tc>
        <w:tc>
          <w:tcPr>
            <w:tcW w:w="26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line="195" w:lineRule="exact"/>
              <w:rPr>
                <w:sz w:val="20"/>
                <w:szCs w:val="20"/>
                <w:color w:val="auto"/>
              </w:rPr>
            </w:pPr>
            <w:r>
              <w:rPr>
                <w:rFonts w:ascii="Arial" w:cs="Arial" w:eastAsia="Arial" w:hAnsi="Arial"/>
                <w:sz w:val="18"/>
                <w:szCs w:val="18"/>
                <w:color w:val="auto"/>
              </w:rPr>
              <w:t>Basic and diluted net loss per share of</w:t>
            </w: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 of</w:t>
            </w:r>
          </w:p>
        </w:tc>
        <w:tc>
          <w:tcPr>
            <w:tcW w:w="1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basic and</w:t>
            </w:r>
          </w:p>
        </w:tc>
        <w:tc>
          <w:tcPr>
            <w:tcW w:w="1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9,603,541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9,154,172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9,501,730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9,092,065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 Nine 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 the 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 2015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(10,775)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12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2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interest added to principal of note payable</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obligations</w:t>
            </w: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Park Compounding, net</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 of Central Allen Pharmacy, net</w:t>
            </w: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restricted short-term investment</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 of Pharmacy Creations, LLC, net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patents and other identifiable intangible assets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Purchases of furniture and equipment</w:t>
            </w:r>
          </w:p>
        </w:tc>
        <w:tc>
          <w:tcPr>
            <w:tcW w:w="12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note payable, net of issuance costs and fees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proceeds from exercise of warrants and stock options</w:t>
            </w:r>
          </w:p>
        </w:tc>
        <w:tc>
          <w:tcPr>
            <w:tcW w:w="12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(1,655)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(5,215)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6,556</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10,364</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60"/>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stock options for consulting services included in accounts payable and accrued</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w w:val="99"/>
              </w:rPr>
              <w:t>Issuance of common stock and deferred obligations in the purchase of Park Compounding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Estimated relative fair value of warrants issued in connection with note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Final fee on note payable recorded as debt discount and included in 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furniture and equipment with a capital lease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Imprimis Pharmaceuticals, Inc. (together with its subsidiaries, unless the context indicates or otherwise requires, the “Company” or “Imprimis”) is a national leader in the development, production and dispensing of novel compounded pharmaceuticals and making these therapies available to physicians and patients at accessible prices. The Company owns, markets and sells a portfolio of proprietary combination formulations in several therapeutic segments including ophthalmology, urology, and otolaryngology that it believes may offer competitive advantages and serve unmet needs in the marketplace. The Company’s ophthalmic formulations, led by its Dropless Therapy™ injectable and LessDrops™ topical formulations, serve the multi-billion dollar eye drop market and are designed to address patient compliance issues and provide other medical and economic benefits to physicians and patients. The Company’s urology business, led by its Defeat IC™ campaign, includes a patented compounded formulation for patients suffering from interstitial cystitis. The Company recently launched its otolaryngology business and acquired the assets of certain leading U.S. providers of compounded sinus medications, delivery systems and patented packaging. The Company is also developing additional complementary proprietary compounded formulations to add to its ophthalmology, urology, and otolaryngology formulation portfolios. Imprimis makes, dispenses and sells its proprietary compounded formulations, as well as other non-proprietary products, through its wholly-owned compounding pharmacies.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 2014, the Company acquired Pharmacy Creations, LLC (“PC”), a New Jersey based compounding pharmacy, on January 1, 2015, the Company acquired South Coast Specialty Compounding, Inc. D/B/A Park Compounding (“Park”), a California based compounding pharmacy, on August 4, 2015, the Company acquired JT Pharmacy, Inc. D/B/A Central Allen Pharmacy (“CAP”), a Texas based compounding pharmacy, and on October 15, 2015, the Company, through a wholly-owned subsidiary ImprimisRx PA, Inc. (“ImprimisRx PA”), acquired substantially all of the assets and tradenames of Thousand Oaks Holding Company’s wholly-owned subsidiaries Topical Apothecary Group, LLC (d/b/a TAG Pharmacy), Aerosol Science Laboratories, Inc. (d/b/a ASL Pharmacy), SinuTopic, Inc. (d/b/a Sinus Dynamics Pharmacy) and Mycotoxins, LLC. Effective with the acquisition of PC, the Company commenced sales and marketing efforts for Imprimis’ portfolio of proprietary and non-proprietary compounded drug formulations. We may refer to all of our wholly-owned compounding pharmacies hereinafter collectively as our “ImprimisRx compounding pharmacies.”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2015 are not necessarily indicative of the results that may be expected for the year ending December 31, 2015 or for any other period. For further information, refer to the Company’s audited consolidated financial statements and footnotes thereto included in the Company’s Annual Report on Form 10-K for the year ended December 31, 2014.</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The Company incurred net losses of $10,775 and $7,373 for the nine months ended September 30, 2015 and 2014, respectively, and had an accumulated deficit of $52,640 and $41,865 as of September 30, 2015 and December 31, 2014, respectively. In addition, the Company used cash in operating activities of $7,842 and $5,004 for the nine months ended September 30, 2015 and 2014,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is no assurance, the Company believes its existing cash resources and restricted investments of approximately $6,706 at September 30, 2015 will be sufficient to sustain our planned level of operations for at least the next twelve months taking into account certain planned activities. However, these estimates of operating expenses and working capital requirements could be incorrect, and the Company may use our cash resources faster than anticipated. Further, some or all of the ongoing or planned activities may not be successful and could result in further losses.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may plan to increase liquidity and capital resources by one or more measures, to the extent necessary. These plans may include, but are not limited to, the following: obtaining financing through the issuance of equity, debt, or convertible securities; and working to increase revenue growth through pharmacy sales. There is no guarantee that the Company will be able to obtain capital on terms it deems as acceptable,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nine months ended September 30, 2015 to the significant accounting policies described in the Company’s Annual Report on Form 10-K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September 30, 2015, the Company had approximately $6,306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$205 and $4 as of September 30, 2015 and December 31, 2014,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 sales of certain of the Company’s proprietary compounded drug formulations and non-proprietary formulations and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71"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development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statements of operations, financial position and cash flows in the period of the change in the estimate.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 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condensed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condensed consolidated balance sheet, if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2015 and 2014, the Company did not recognize any impairment of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condensed consolidated balance sheet. Amortization expense of debt issuance costs and the debt discount is calculated using the effective interest method over the term of the debt and is recorded in interest expense in the accompanying condensed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At September 30, 2015 and December 31, 2014, the Company did not have any financial assets or liabilities that are measured on a recurring basis. At September 30, 2015 and December 31, 2014, the Company’s financial instruments included cash and cash equivalents, restricted short-term investments, accounts receivable, accounts payable and accrued expenses, accrued payroll and related liabilities, customer deposits, deferred acquisition obligations, note payable and capital leases. The carrying amount of these financial instruments, except for deferred acquisition obligations, note payable, and the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 payable, and capital leases approximate their respective fair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condensed consolidated balance sheet. Total billing and collection management expense under this agreement for the three and nine months ended September 30, 2015 was $7 and $28, and is included in selling and marketing expenses in the accompanying condensed consolidated statement of operations. The amount due under the agreement as of September 30, 2015 was $14.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income taxes under the provisions of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As of September 30, 2015,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September 30, 2015 and December 31, 2014, and has not recognized interest and/or penalties in the condensed consolidated statements of operations for the periods ended September 30, 2015 and 2014. The Company is subject to taxation in the United States, New Jersey, and California. The Company’s tax years since 2000 are subject to examination by the federal and state tax authorities due to the carryforward of unutilized net operating losses.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RSUs and warrants were 3,382,512 and 3,053,649 at September 30, 2015 and 2014, respectively, and are excluded from the calculation of diluted net loss per share for all periods presented because the effect is anti-dilutive. Common stock equivalents at September 30, 2015 included 39,880 shares of common stock underlying RSUs awarded to directors that had vested, but the issuance and delivery of these shares are deferred until the director resigns.</w:t>
      </w:r>
    </w:p>
    <w:p>
      <w:pPr>
        <w:spacing w:after="0" w:line="173" w:lineRule="exact"/>
        <w:rPr>
          <w:sz w:val="20"/>
          <w:szCs w:val="20"/>
          <w:color w:val="auto"/>
        </w:rPr>
      </w:pPr>
    </w:p>
    <w:p>
      <w:pPr>
        <w:jc w:val="both"/>
        <w:ind w:firstLine="694"/>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nine months ended September 30,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September 30, 2015</w:t>
            </w:r>
          </w:p>
        </w:tc>
        <w:tc>
          <w:tcPr>
            <w:tcW w:w="1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September 30, 2014</w:t>
            </w:r>
          </w:p>
        </w:tc>
        <w:tc>
          <w:tcPr>
            <w:tcW w:w="14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September 30, 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Denominator – weighted average number of</w:t>
            </w: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9,603,541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9,154,172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9,501,730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9,092,065</w:t>
            </w:r>
          </w:p>
        </w:tc>
        <w:tc>
          <w:tcPr>
            <w:tcW w:w="0" w:type="dxa"/>
            <w:vAlign w:val="bottom"/>
          </w:tcPr>
          <w:p>
            <w:pPr>
              <w:spacing w:after="0"/>
              <w:rPr>
                <w:sz w:val="1"/>
                <w:szCs w:val="1"/>
                <w:color w:val="auto"/>
              </w:rPr>
            </w:pP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shares outstanding, basic and diluted</w:t>
            </w: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 payable, and valuation of stock-based compensation issued to employees and non-employees. Actual results could differ from those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Accounting Standard Update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This update requires capitalized debt issuance costs to be classified as a reduction to the carrying value of debt rather than a deferred charge, as is currently required. This update will be effective for the Company for all annual and interim periods beginning after December 15, 2015 and is required to be adopted retroactively for all periods presented, and early adoption is permitted. The Company has elected early adoption of this policy for the periods presented, and the Company is currently presenting debt issuance costs as a reduction in the carrying value of the note payable in accordance with this ASU.</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xml:space="preserve"> which eliminates the requirement to retrospectively adjust the financial statements for measurement-period adjustments that occur in periods after a business combination is consummated. Measurement period adjustments are calculated as if they were known at the acquisition date, but are recognized in the reporting period in which they are determined. Additional disclosures are required about the impact on current-period income statement line items of adjustments that would have been recognized in prior periods if prior-period information had been revised. The guidance is effective for annual periods beginning after December 15, 2015 and is to be applied prospectively to adjustments of provisional amounts that occur after the effective date. Early application is permitted. The Company is evaluating the impact of adoption of this guidance on its financial position and results of operations.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In July 2015, the FASB issued ASU 2015-11 </w:t>
      </w:r>
      <w:r>
        <w:rPr>
          <w:rFonts w:ascii="Arial" w:cs="Arial" w:eastAsia="Arial" w:hAnsi="Arial"/>
          <w:sz w:val="19"/>
          <w:szCs w:val="19"/>
          <w:i w:val="1"/>
          <w:iCs w:val="1"/>
          <w:color w:val="auto"/>
        </w:rPr>
        <w:t>Simplifying the Measurement of Inventory</w:t>
      </w:r>
      <w:r>
        <w:rPr>
          <w:rFonts w:ascii="Arial" w:cs="Arial" w:eastAsia="Arial" w:hAnsi="Arial"/>
          <w:sz w:val="19"/>
          <w:szCs w:val="19"/>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guidance is effective for annual periods beginning after December 15, 2016, and interim periods therein. Early application is permitted. The Company is evaluating the impact of adoption of this guidance on its financial position and results of operations.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Park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2015, the Company acquired all of the outstanding membership interests of Park (the “Park Acquisition”) from its previous owners (the “Sellers”), such that Park became a wholly owned subsidiary of the Company. The acquisition of Park permits the Company to further make and distribute its patent-pending proprietary drug formulations and other novel pharmaceutical solutions and introduces the Company to new geographic and compounded formulation markets.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Park have been included in the Company’s condensed consolidated financial statements for the period subsequent to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Park are presented below and represent the Company’s best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closing of the Park Acquisition, the Company paid to the Sellers an aggregate cash purchase price of $3,000, net of fees and expenses, and a $100 payment for cash remaining in a Park bank account, and we issued to the Sellers 63,525 shares of the Company’s restricted common stock, valued at $500 based on the average closing price of the Company’s common stock for the 10 trading days preceding the closing. In addition, the Company is obligated to make 12 quarterly cash payments to the Sellers collectively of $53 each over the three years following the closing of the Park Acquisition, totaling $638; provided that the Sellers will have the option to receive the last six of such payments, totaling up to an aggregate of $319, in the form of 6,749 shares of the Company’s common stock for each such payment. The convertible features of the deferred consideration provide for a rate of conversion that is at market value, and as a result no value was attributed to the conversion feature.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applied a discount rate of 15% to the restricted common stock issued at the closing of the Park Acquisition due to a lack of marketability of such shares as a result of certain restrictions on their transfer. The total acquisition date fair value of the consideration transferred and to be transferred is estimated at approximately $4,116.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$591 liability was recognized for the estimated acquisition date fair value of the deferred consideration and is included in the deferred acquisition obligations in the accompanying condensed consolidated balance sheet at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acquisition date fair value of consideration transferred and to be transferred is estimated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800" w:type="dxa"/>
            <w:vAlign w:val="bottom"/>
            <w:gridSpan w:val="2"/>
            <w:shd w:val="clear" w:color="auto" w:fill="CCEEFF"/>
          </w:tcPr>
          <w:p>
            <w:pPr>
              <w:jc w:val="right"/>
              <w:ind w:right="6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Restricted common stock issuance to Sellers at closing</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r>
      <w:tr>
        <w:trPr>
          <w:trHeight w:val="23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 to Sellers</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20"/>
                <w:szCs w:val="20"/>
                <w:color w:val="auto"/>
              </w:rPr>
            </w:pPr>
          </w:p>
        </w:tc>
      </w:tr>
      <w:tr>
        <w:trPr>
          <w:trHeight w:val="203"/>
        </w:trPr>
        <w:tc>
          <w:tcPr>
            <w:tcW w:w="7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acquisition date fair value</w:t>
            </w:r>
          </w:p>
        </w:tc>
        <w:tc>
          <w:tcPr>
            <w:tcW w:w="2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4,116</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January 1, 2015,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6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r>
      <w:tr>
        <w:trPr>
          <w:trHeight w:val="23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w:t>
            </w:r>
          </w:p>
        </w:tc>
        <w:tc>
          <w:tcPr>
            <w:tcW w:w="60" w:type="dxa"/>
            <w:vAlign w:val="bottom"/>
            <w:shd w:val="clear" w:color="auto" w:fill="CCEEFF"/>
          </w:tcPr>
          <w:p>
            <w:pPr>
              <w:spacing w:after="0"/>
              <w:rPr>
                <w:sz w:val="20"/>
                <w:szCs w:val="20"/>
                <w:color w:val="auto"/>
              </w:rPr>
            </w:pPr>
          </w:p>
        </w:tc>
      </w:tr>
      <w:tr>
        <w:trPr>
          <w:trHeight w:val="203"/>
        </w:trPr>
        <w:tc>
          <w:tcPr>
            <w:tcW w:w="71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identifiable assets acquired</w:t>
            </w: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3,607</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36"/>
        </w:trPr>
        <w:tc>
          <w:tcPr>
            <w:tcW w:w="7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140" w:type="dxa"/>
            <w:vAlign w:val="bottom"/>
          </w:tcPr>
          <w:p>
            <w:pPr>
              <w:ind w:left="180"/>
              <w:spacing w:after="0" w:line="203" w:lineRule="exact"/>
              <w:rPr>
                <w:sz w:val="20"/>
                <w:szCs w:val="20"/>
                <w:color w:val="auto"/>
              </w:rPr>
            </w:pPr>
            <w:r>
              <w:rPr>
                <w:rFonts w:ascii="Arial" w:cs="Arial" w:eastAsia="Arial" w:hAnsi="Arial"/>
                <w:sz w:val="18"/>
                <w:szCs w:val="18"/>
                <w:color w:val="auto"/>
              </w:rPr>
              <w:t>Total identifiable assets less liabilities assumed</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3,268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20"/>
                <w:szCs w:val="20"/>
                <w:color w:val="auto"/>
              </w:rPr>
            </w:pPr>
          </w:p>
        </w:tc>
      </w:tr>
      <w:tr>
        <w:trPr>
          <w:trHeight w:val="203"/>
        </w:trPr>
        <w:tc>
          <w:tcPr>
            <w:tcW w:w="71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assets acquired</w:t>
            </w:r>
          </w:p>
        </w:tc>
        <w:tc>
          <w:tcPr>
            <w:tcW w:w="2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4,116</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adjustments made herein and the allocation of purchase price is preliminary. During the three months ended June 30, 2015 the discount rate of the common stock issued at the time of the Park Acquisition was adjusted from 25% to 15% which resulted in an increase of $46 and $4 in goodwill and intangible assets, respectively, compared to the initial allocation of the purchase price. The final allocation will be based on estimates and appraisals that will be finalized within one year of the closing of the Park Acquisition and based on the Company’s final evaluation of Park’s assets and liabilities, including both tangible and intangible assets. The final allocation of purchase price and the resulting effect on net income (loss) may differ from the amounts included herein. If the Company’s final purchase price allocation differs from the allocation used in preparing these condensed consolidated financial statements, the Company’s tangible and intangible assets and net loss could be higher or lower than the amounts presented in these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revenues and net income of Park included in the Company’s condensed consolidated statement of operations from the acquisition date through the period ended September 30, 2015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gridSpan w:val="2"/>
            <w:shd w:val="clear" w:color="auto" w:fill="CCEEFF"/>
          </w:tcPr>
          <w:p>
            <w:pPr>
              <w:jc w:val="right"/>
              <w:ind w:right="6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Park. In determining the fair value of the intangible assets, the Company considered, among other factors, the best use of the acquired assets, analyses of historical financial performance of Park and estimates of future performance of Park. The fair values of the identified intangible assets related to Park’s customer relationships, trade name, non-competition clause, and state pharmacy licenses. Customer relationships and the non-competition clause were calculated using the income approach. Trade name and state pharmacy licenses were calculated using the cost approach. The following table sets forth the components of identified intangible assets associated with the Park Acquisition and their estimated useful lives.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Useful Life</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2,387</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3 - 15 years</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State pharmacy licenses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640" w:type="dxa"/>
            <w:vAlign w:val="bottom"/>
          </w:tcPr>
          <w:p>
            <w:pPr>
              <w:jc w:val="right"/>
              <w:spacing w:after="0"/>
              <w:rPr>
                <w:sz w:val="20"/>
                <w:szCs w:val="20"/>
                <w:color w:val="auto"/>
              </w:rPr>
            </w:pPr>
            <w:r>
              <w:rPr>
                <w:rFonts w:ascii="Arial" w:cs="Arial" w:eastAsia="Arial" w:hAnsi="Arial"/>
                <w:sz w:val="18"/>
                <w:szCs w:val="18"/>
                <w:color w:val="auto"/>
              </w:rPr>
              <w:t>25 years</w:t>
            </w:r>
          </w:p>
        </w:tc>
      </w:tr>
      <w:tr>
        <w:trPr>
          <w:trHeight w:val="216"/>
        </w:trPr>
        <w:tc>
          <w:tcPr>
            <w:tcW w:w="55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determined the useful lives of intangible assets based on the expected future cash flows and contractual life associated with the respective assets. Trade names represent the fair value of the brand and name recognition associated with the marketing of Park’s formulations and services. Customer relationships represent the expected future benefit from contracts and relationships which, at the date of acquisition, were reasonably anticipated to continue given the history and operating practices of Park. The non-competition clause represents the contractual period and expected degree of adverse economic impact that would exist in its absence. Licenses represent twelve state pharmacy licenses Park held at the date of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for the Park Acquisition, $848 was allocated to goodwill and is attributable to expected synergies between the combined companies, including access for the Company to fulfill prescriptions with its patent-pending proprietary drug formulations through Park’s market channels and assembled workforce. Goodwill represents the excess of the purchase price of the acquired business over the fair value of the underlying net tangible and intangible assets acquired. Goodwill resulting from the business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Other 2015 Acquisitions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2015, the Company acquired CAP and purchased assets primarily to expand its compounding pharmacy infrastructure and offerings. This acquisition was not individually significant. The Company has included the financial results of the acquired company in its condensed consolidated financial statements from its respective acquisition date and the results from this company were not individually material to the Company’s condensed consolidated financial statements. The total preliminary purchase price for this acquisition was approximately $421, which was paid entirely in cash. The Company has preliminarily recorded $117 of net tangible assets and $65 of identifiable intangible assets, based on their estimated fair values, and $239 of residual goodwill.</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initial purchase price calculation and related accounting for the acquisition completed during 2015 is preliminary. The preliminary fair value estimates for the assets acquired and liabilities assumed for certain of our acquisitions completed during 2015 were based upon preliminary calculations and valuations and estimates and assumptions for the acquisition are subject to change as the Company obtains additional information during the respective measurement periods (up to one year from the respective acquisition date). The primary areas of those preliminary estimates that are not yet finalized relate to certain tangible assets and liabilities acquired and identifiable intangible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 of PC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2014, the Company completed the acquisition of PC. The Company has included the financial results of PC in its condensed consolidated financial statements from the date of acquisition. The total purchase price for PC was approximately $1,115, which consisted of approximately $600 in cash payments and $515 in contingent consideration. The Company has recorded $124 of net tangible assets less liabilities, $659 of identifiable intangible assets, and $332 of goodwill in connection with such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presents the Company’s unaudited pro forma results (including CAP, Park and PC) for the three and nine months ended September 30, 2014, as though the companies had been combined as of the beginning of each of the periods presented. The acquisition of CAP was not individually significant and the 2015 results from this company were not individually material to our condensed consolidated financial statements. The pro forma information is presented for informational purposes only and is not indicative of the results of operations that would have been achieved if the acquisitions had taken place at the beginning of each period presented, nor is it indicative of results of operations which may occur in the future. The unaudited pro forma results presented include amortization charges for intangible assets, interest charges, acquisition costs, and eliminations of intercompany transactions.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For the Three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For the Nine</w:t>
            </w: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Months Ended</w:t>
            </w:r>
          </w:p>
        </w:tc>
      </w:tr>
      <w:tr>
        <w:trPr>
          <w:trHeight w:val="237"/>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September 30, 2014</w:t>
            </w:r>
          </w:p>
        </w:tc>
      </w:tr>
      <w:tr>
        <w:trPr>
          <w:trHeight w:val="236"/>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(2,349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(7,147</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approximately $201 in acquisition expenses related to the Park Acquisition, and did not incur material acquisition expenses related to the CAP or PC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SHORT-TERM INVESTMENTS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short-term investments at September 30, 2015 and December 31, 2014 consist of certificates of deposit, which are classified as held-to-maturity. At September 30, 2015 and December 31, 2014, the restricted short-term investments were recorded at amortized cost, which approximates fair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and December 31, 2014, the certificates of deposit of $150 were classified as a current asset. These certificates of deposit are required as collateral under the Company’s corporate credit card agreement and additional security for the Company’s office space lease, and they automatically renew every twelve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2015 and December 31, 2014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2014</w:t>
            </w: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r>
      <w:tr>
        <w:trPr>
          <w:trHeight w:val="23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20"/>
                <w:szCs w:val="20"/>
                <w:color w:val="auto"/>
              </w:rPr>
            </w:pPr>
          </w:p>
        </w:tc>
      </w:tr>
      <w:tr>
        <w:trPr>
          <w:trHeight w:val="203"/>
        </w:trPr>
        <w:tc>
          <w:tcPr>
            <w:tcW w:w="5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1,273</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3"/>
              </w:rPr>
              <w:t>Prepaid expenses and other current assets consisted of the following:</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9"/>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2014</w:t>
            </w: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4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r>
      <w:tr>
        <w:trPr>
          <w:trHeight w:val="23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0"/>
                <w:szCs w:val="20"/>
                <w:color w:val="auto"/>
              </w:rPr>
            </w:pPr>
          </w:p>
        </w:tc>
      </w:tr>
      <w:tr>
        <w:trPr>
          <w:trHeight w:val="203"/>
        </w:trPr>
        <w:tc>
          <w:tcPr>
            <w:tcW w:w="5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prepaid expenses and other current assets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685</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September 30, 2015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periods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Accumulated</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29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20"/>
                <w:szCs w:val="2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amortization</w:t>
            </w: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Carrying value</w:t>
            </w:r>
          </w:p>
        </w:tc>
      </w:tr>
      <w:tr>
        <w:trPr>
          <w:trHeight w:val="21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Trademarks</w:t>
            </w: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Indefinite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3-15 years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Trade name</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5 years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3-4 years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25 years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r>
      <w:tr>
        <w:trPr>
          <w:trHeight w:val="230"/>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2015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color w:val="auto"/>
                <w:w w:val="91"/>
              </w:rPr>
              <w:t>For the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For the</w:t>
            </w: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Nine Months Ended</w:t>
            </w:r>
          </w:p>
        </w:tc>
        <w:tc>
          <w:tcPr>
            <w:tcW w:w="2280" w:type="dxa"/>
            <w:vAlign w:val="bottom"/>
          </w:tcPr>
          <w:p>
            <w:pPr>
              <w:spacing w:after="0"/>
              <w:rPr>
                <w:sz w:val="18"/>
                <w:szCs w:val="18"/>
                <w:color w:val="auto"/>
              </w:rPr>
            </w:pPr>
          </w:p>
        </w:tc>
      </w:tr>
      <w:tr>
        <w:trPr>
          <w:trHeight w:val="237"/>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color w:val="auto"/>
                <w:w w:val="88"/>
              </w:rPr>
              <w:t>September 30, 2015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September 30, 2015</w:t>
            </w:r>
          </w:p>
        </w:tc>
        <w:tc>
          <w:tcPr>
            <w:tcW w:w="2280" w:type="dxa"/>
            <w:vAlign w:val="bottom"/>
          </w:tcPr>
          <w:p>
            <w:pPr>
              <w:spacing w:after="0"/>
              <w:rPr>
                <w:sz w:val="20"/>
                <w:szCs w:val="20"/>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280" w:type="dxa"/>
            <w:vAlign w:val="bottom"/>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r>
      <w:tr>
        <w:trPr>
          <w:trHeight w:val="216"/>
        </w:trPr>
        <w:tc>
          <w:tcPr>
            <w:tcW w:w="5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5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Estimated future amortization expense for the Company’s intangible assets at September 30,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ending December 31,</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10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1,927</w:t>
            </w:r>
          </w:p>
        </w:tc>
      </w:tr>
      <w:tr>
        <w:trPr>
          <w:trHeight w:val="216"/>
        </w:trPr>
        <w:tc>
          <w:tcPr>
            <w:tcW w:w="6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nine months ended September 30, 2015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800" w:type="dxa"/>
            <w:vAlign w:val="bottom"/>
            <w:gridSpan w:val="2"/>
            <w:shd w:val="clear" w:color="auto" w:fill="CCEEFF"/>
          </w:tcPr>
          <w:p>
            <w:pPr>
              <w:jc w:val="right"/>
              <w:ind w:right="6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Acquisition of Park (see Note 3)</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r>
      <w:tr>
        <w:trPr>
          <w:trHeight w:val="23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acquisitions (see Note 3)</w:t>
            </w: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20"/>
                <w:szCs w:val="20"/>
                <w:color w:val="auto"/>
              </w:rPr>
            </w:pPr>
          </w:p>
        </w:tc>
      </w:tr>
      <w:tr>
        <w:trPr>
          <w:trHeight w:val="203"/>
        </w:trPr>
        <w:tc>
          <w:tcPr>
            <w:tcW w:w="7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September 30, 2015</w:t>
            </w:r>
          </w:p>
        </w:tc>
        <w:tc>
          <w:tcPr>
            <w:tcW w:w="2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1,419</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w w:val="93"/>
              </w:rPr>
              <w:t>Accounts payable and accrued expenses consisted of the following:</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9"/>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September 30, 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December 31, 2014</w:t>
            </w:r>
          </w:p>
        </w:tc>
      </w:tr>
      <w:tr>
        <w:trPr>
          <w:trHeight w:val="216"/>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exit fee for note payable (see Note 9)</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Building lease liability(1)</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r>
      <w:tr>
        <w:trPr>
          <w:trHeight w:val="23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03"/>
        </w:trPr>
        <w:tc>
          <w:tcPr>
            <w:tcW w:w="5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2,428</w:t>
            </w: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817</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5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r>
      <w:tr>
        <w:trPr>
          <w:trHeight w:val="203"/>
        </w:trPr>
        <w:tc>
          <w:tcPr>
            <w:tcW w:w="5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Non-current total accrued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511</w:t>
            </w: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The obligations were discounted based on current prevailing market rates.</w:t>
      </w:r>
    </w:p>
    <w:p>
      <w:pPr>
        <w:spacing w:after="0" w:line="18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consists of a $39 stock-based compensation accrual at December 31, 2014 related to stock options granted for consulting services provided. The stock options were granted during the nine months ended September 30, 2015 and the $39 was recorded to additional paid-in-capital.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11, 2015, the Company entered into a loan and security agreement (the “Loan Agreement”) with IMMY Funding LLC, an affiliate of Life Sciences Alternative Funding LLC (the “Lender”), as lender and collateral agent. Pursuant to the terms of the Loan Agreement, the Lender made available to the Company term loans in the aggregate principal amount of up to $15,000, $10,000 of which was drawn on May 11, 2015 and the remaining $5,000 of which will be available to be drawn, at the Company’s option, upon the Company’s achievement of at least $15,000 in trailing 12-month revenue during any consecutive 12-month period through May 11, 2016. The term loans bear interest at a fixed per-annum rate of 12.5% and allows for 2% of the interest to be paid-in-kind until either February 2017 or May 2017, such date dependent upon the Company’s ability to meet certain revenue or cash balance measures. The Company is permitted to pay interest only for the first three years and after the end of the interest-only period, we will be required to pay interest, plus repayments of the principal amount of the term loans, in 36 equal monthly installments. The interest-only period may be reduced to 20 months if the Company does not meet certain minimum revenue or cash balance requirements and the Company would be required to pay interest, plus repayments of the principal amount of the term loans, in 24 equal monthly installments. All amounts owed under the loan agreement, including a final fee of 5% of the aggregate principal amount of the term loans, will be due on the earlier of May 11, 2021, or 24 months after the end of the interest-only period. The Company incurred expenses of approximately $697 in connection with the Loan Agreement. The final fee and expenses are being amortized as interest expense over the term of the debt using the interest method and the related liability of $500 for the final fee is included in accrued expenses (see Note 8) in the accompanying condensed consolidated balance sheet.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Loan Agreement, the Company has issued to the Lender a warrant to purchase up to 125,000 shares of the Company’s common stock, which is exercisable immediately, has an exercise price of $7.85 per share and has a term of 10 years. The relative fair value of the warrants was approximately $840 and was estimated using the Black-Scholes-Merton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condensed consolidated balance sheet. The debt discount is being amortized to interest expense over the term of the debt using the interest method. For the three and nine months ended September 30, 2015, debt discount and issuance costs amortization was approximately $105 and $175,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Notes payable at September 30, 2015 was as follows: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 2015</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note payable</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Add: Interest paid-in-kind</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1"/>
              </w:rPr>
              <w:t>Less: Discount on note for issuance costs and relative fair value of warrants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portion</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0" w:type="dxa"/>
            <w:vAlign w:val="bottom"/>
            <w:vMerge w:val="restart"/>
          </w:tcPr>
          <w:p>
            <w:pPr>
              <w:jc w:val="right"/>
              <w:ind w:right="125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Future minimum payments as of September 30, 2015 are as follows: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9"/>
        </w:trPr>
        <w:tc>
          <w:tcPr>
            <w:tcW w:w="770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40" w:type="dxa"/>
            <w:vAlign w:val="bottom"/>
          </w:tcPr>
          <w:p>
            <w:pPr>
              <w:spacing w:after="0"/>
              <w:rPr>
                <w:sz w:val="24"/>
                <w:szCs w:val="2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Amount</w:t>
            </w:r>
          </w:p>
        </w:tc>
      </w:tr>
      <w:tr>
        <w:trPr>
          <w:trHeight w:val="216"/>
        </w:trPr>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4,183</w:t>
            </w:r>
          </w:p>
        </w:tc>
        <w:tc>
          <w:tcPr>
            <w:tcW w:w="6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6,275</w:t>
            </w:r>
          </w:p>
        </w:tc>
        <w:tc>
          <w:tcPr>
            <w:tcW w:w="60" w:type="dxa"/>
            <w:vAlign w:val="bottom"/>
          </w:tcPr>
          <w:p>
            <w:pPr>
              <w:spacing w:after="0"/>
              <w:rPr>
                <w:sz w:val="19"/>
                <w:szCs w:val="19"/>
                <w:color w:val="auto"/>
              </w:rPr>
            </w:pPr>
          </w:p>
        </w:tc>
      </w:tr>
      <w:tr>
        <w:trPr>
          <w:trHeight w:val="216"/>
        </w:trPr>
        <w:tc>
          <w:tcPr>
            <w:tcW w:w="7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7700" w:type="dxa"/>
            <w:vAlign w:val="bottom"/>
            <w:gridSpan w:val="2"/>
          </w:tcPr>
          <w:p>
            <w:pPr>
              <w:spacing w:after="0"/>
              <w:rPr>
                <w:sz w:val="20"/>
                <w:szCs w:val="20"/>
                <w:color w:val="auto"/>
              </w:rPr>
            </w:pPr>
            <w:r>
              <w:rPr>
                <w:rFonts w:ascii="Arial" w:cs="Arial" w:eastAsia="Arial" w:hAnsi="Arial"/>
                <w:sz w:val="18"/>
                <w:szCs w:val="18"/>
                <w:color w:val="auto"/>
              </w:rPr>
              <w:t>Less: amount representing interest and interest paid-in-kind</w:t>
            </w:r>
          </w:p>
        </w:tc>
        <w:tc>
          <w:tcPr>
            <w:tcW w:w="24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(5,733)</w:t>
            </w:r>
          </w:p>
        </w:tc>
      </w:tr>
      <w:tr>
        <w:trPr>
          <w:trHeight w:val="216"/>
        </w:trPr>
        <w:tc>
          <w:tcPr>
            <w:tcW w:w="7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payable, gross</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Add: interest paid-in-kind</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50"/>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discount and issuance costs</w:t>
            </w:r>
          </w:p>
        </w:tc>
        <w:tc>
          <w:tcPr>
            <w:tcW w:w="2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(1,862)</w:t>
            </w:r>
          </w:p>
        </w:tc>
      </w:tr>
      <w:tr>
        <w:trPr>
          <w:trHeight w:val="203"/>
        </w:trPr>
        <w:tc>
          <w:tcPr>
            <w:tcW w:w="77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Note payable and interest paid-in-kind, net of unamortized debt discount and issuance costs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January 2015, the Company issued 63,525 shares of restricted common stock, valued at $425, in connection with the Park Acquisition (see Note 3).</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issued 8,521 shares of its common stock in connection with RSUs that had been awarded to a non-employee director and had vested, but were not issued and settled until the resignation of the director on January 1,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2015, 21,182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2015, the Company issued a total of 130,457 shares of common stock as a result of option exercises. The Company received no cash proceeds for the issuance of the shares of common stock upon the exercise pursuant to cashless exercise provisions of stock options to purchase 255,600 shares of common stock with exercise prices ranging from $3.20 to $4.51 per share.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2015, the Company issued a total of 220,912 shares of common stock as a result of warrant exercises. Of these, the Company received cash proceeds of $1,248 for the issuance of 209,980 shares of common stock upon the exercise on a cash basis of warrants to purchase the same number of shares of common stock with an exercise price of $5.925, and the Company received no cash proceeds for the issuance of 10,932 shares of common stock upon the exercise pursuant to cashless exercise provisions of warrants to purchase 30,457 shares of common stock with an exercise price of $5.25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2015,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September 30, 2015,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40" w:type="dxa"/>
            <w:vAlign w:val="bottom"/>
            <w:gridSpan w:val="8"/>
          </w:tcPr>
          <w:p>
            <w:pPr>
              <w:spacing w:after="0"/>
              <w:rPr>
                <w:sz w:val="20"/>
                <w:szCs w:val="20"/>
                <w:color w:val="auto"/>
              </w:rPr>
            </w:pPr>
            <w:r>
              <w:rPr>
                <w:rFonts w:ascii="Arial" w:cs="Arial" w:eastAsia="Arial" w:hAnsi="Arial"/>
                <w:sz w:val="18"/>
                <w:szCs w:val="18"/>
                <w:color w:val="auto"/>
              </w:rPr>
              <w:t>A summary of stock option activity under the Plan for the nine months ended September 30, 2015 is as follows: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Weighted Avg.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Intrinsic Value</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1,029,240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810,946</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7.82</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line="162" w:lineRule="exact"/>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line="16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11.12</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900" w:type="dxa"/>
            <w:vAlign w:val="bottom"/>
          </w:tcPr>
          <w:p>
            <w:pPr>
              <w:spacing w:after="0"/>
              <w:rPr>
                <w:sz w:val="6"/>
                <w:szCs w:val="6"/>
                <w:color w:val="auto"/>
              </w:rPr>
            </w:pPr>
          </w:p>
        </w:tc>
        <w:tc>
          <w:tcPr>
            <w:tcW w:w="1840" w:type="dxa"/>
            <w:vAlign w:val="bottom"/>
            <w:gridSpan w:val="2"/>
          </w:tcPr>
          <w:p>
            <w:pPr>
              <w:jc w:val="right"/>
              <w:ind w:right="340"/>
              <w:spacing w:after="0" w:line="68" w:lineRule="exact"/>
              <w:rPr>
                <w:sz w:val="20"/>
                <w:szCs w:val="20"/>
                <w:color w:val="auto"/>
              </w:rPr>
            </w:pPr>
            <w:r>
              <w:rPr>
                <w:rFonts w:ascii="Arial" w:cs="Arial" w:eastAsia="Arial" w:hAnsi="Arial"/>
                <w:sz w:val="7"/>
                <w:szCs w:val="7"/>
                <w:color w:val="auto"/>
              </w:rPr>
              <w:t>(21,373</w:t>
            </w:r>
          </w:p>
        </w:tc>
        <w:tc>
          <w:tcPr>
            <w:tcW w:w="160" w:type="dxa"/>
            <w:vAlign w:val="bottom"/>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1,563,213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w:t>
            </w:r>
          </w:p>
        </w:tc>
        <w:tc>
          <w:tcPr>
            <w:tcW w:w="18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3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6.15</w:t>
            </w: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5.82</w:t>
            </w: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line="20" w:lineRule="exact"/>
              <w:rPr>
                <w:sz w:val="1"/>
                <w:szCs w:val="1"/>
                <w:color w:val="auto"/>
              </w:rPr>
            </w:pPr>
          </w:p>
        </w:tc>
      </w:tr>
      <w:tr>
        <w:trPr>
          <w:trHeight w:val="237"/>
        </w:trPr>
        <w:tc>
          <w:tcPr>
            <w:tcW w:w="390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613,121</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860" w:type="dxa"/>
            <w:vAlign w:val="bottom"/>
            <w:tcBorders>
              <w:bottom w:val="single" w:sz="8" w:color="CCEEFF"/>
            </w:tcBorders>
            <w:gridSpan w:val="2"/>
            <w:vMerge w:val="continue"/>
          </w:tcPr>
          <w:p>
            <w:pPr>
              <w:spacing w:after="0"/>
              <w:rPr>
                <w:sz w:val="20"/>
                <w:szCs w:val="20"/>
                <w:color w:val="auto"/>
              </w:rPr>
            </w:pPr>
          </w:p>
        </w:tc>
        <w:tc>
          <w:tcPr>
            <w:tcW w:w="38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1,468,204</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7.01</w:t>
            </w:r>
          </w:p>
        </w:tc>
        <w:tc>
          <w:tcPr>
            <w:tcW w:w="186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6.09</w:t>
            </w:r>
          </w:p>
        </w:tc>
        <w:tc>
          <w:tcPr>
            <w:tcW w:w="380" w:type="dxa"/>
            <w:vAlign w:val="bottom"/>
            <w:tcBorders>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2015, based on the closing price of the Company’s common stock of $6.42 on that date. The aggregate intrinsic value of stock options exercised during the nine months ended September 30, 2015 was approximately $1,023.</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2015,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2015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color w:val="auto"/>
        </w:rPr>
        <w:t>On July 31, 2015 (the “Grant Date”), the Company granted to its CEO, Mr. Mark Baum, an option (“Baum Performance Option”) to purchase 600,000 shares of common stock of the Company at an exercise price of $7.87 per share under the Plan. 200,000 of the shares subject to the option shall vest if, at any time during the five (5) years following the Grant Date, the average of the official closing price per share of the Company’s common stock during the preceding five (5) days is equal to or greater than $9.00 (the “First Price Condition”). 100,000 of the shares subject to the option shall vest if, at any time during the five</w:t>
      </w:r>
    </w:p>
    <w:p>
      <w:pPr>
        <w:spacing w:after="0" w:line="2" w:lineRule="exact"/>
        <w:rPr>
          <w:sz w:val="20"/>
          <w:szCs w:val="20"/>
          <w:color w:val="auto"/>
        </w:rPr>
      </w:pPr>
    </w:p>
    <w:p>
      <w:pPr>
        <w:jc w:val="both"/>
        <w:ind w:firstLine="8"/>
        <w:spacing w:after="0" w:line="268" w:lineRule="auto"/>
        <w:tabs>
          <w:tab w:leader="none" w:pos="264" w:val="left"/>
        </w:tabs>
        <w:numPr>
          <w:ilvl w:val="0"/>
          <w:numId w:val="7"/>
        </w:numPr>
        <w:rPr>
          <w:rFonts w:ascii="Arial" w:cs="Arial" w:eastAsia="Arial" w:hAnsi="Arial"/>
          <w:sz w:val="17"/>
          <w:szCs w:val="17"/>
          <w:color w:val="auto"/>
        </w:rPr>
      </w:pPr>
      <w:r>
        <w:rPr>
          <w:rFonts w:ascii="Arial" w:cs="Arial" w:eastAsia="Arial" w:hAnsi="Arial"/>
          <w:sz w:val="17"/>
          <w:szCs w:val="17"/>
          <w:color w:val="auto"/>
        </w:rPr>
        <w:t>years following the Grant Date, the average of the official closing price per share of the Company’s common stock during the preceding five (5) days is equal to or greater than $10.00 (the “Second Price Condition”). 100,000 of the shares subject to the option shall vest if, at any time during the five (5) years following the Grant Date, the average of the official closing price per share of the Company’s common stock during the preceding five (5) days is equal to or greater than $12.00 (the “Third Price Condition”). 100,000 of shares subject to the option shall vest if, at any time during the five (5) years following the Grant Date, the average of the official closing price per share of the Company’s common stock during the preceding five (5) days is equal to or greater than $14.00 (the “Fourth Price Condition”). 100,000 of the shares subject to the option shall vest if, at any time during the five (5) years following the Grant Date, the average of the official closing price per share of the Company’s common stock during the preceding five (5) days is equal to or greater than $15.00 (the “Fifth Price Condition” and each of the First Price Condition, the Second Price Condition, the Third Price Condition and the Fourth Price Condition, a “Price Condition”). The Baum Performance Option terminates on the fifth anniversary of the Grant Date.</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initial fair value of the Baum Performance Option was $2,517 using a Monte Carlo Simulation with a five-year life, 80% volatility and a risk free interest rate of 1.54 %.</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 (not including Baum Performance Option):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101 - 121%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1.47 - 1.68%</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 - 109%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1.06 - 1.63%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rPr>
              <w:t>Options Outstanding</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6"/>
          </w:tcPr>
          <w:p>
            <w:pPr>
              <w:ind w:left="84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9"/>
              </w:rPr>
              <w:t>Weighted Average</w:t>
            </w:r>
          </w:p>
        </w:tc>
        <w:tc>
          <w:tcPr>
            <w:tcW w:w="116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89"/>
              </w:rPr>
              <w:t>Weighted</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1160" w:type="dxa"/>
            <w:vAlign w:val="bottom"/>
          </w:tcPr>
          <w:p>
            <w:pPr>
              <w:jc w:val="center"/>
              <w:ind w:left="350"/>
              <w:spacing w:after="0"/>
              <w:rPr>
                <w:sz w:val="20"/>
                <w:szCs w:val="20"/>
                <w:color w:val="auto"/>
              </w:rPr>
            </w:pPr>
            <w:r>
              <w:rPr>
                <w:rFonts w:ascii="Arial" w:cs="Arial" w:eastAsia="Arial" w:hAnsi="Arial"/>
                <w:sz w:val="18"/>
                <w:szCs w:val="18"/>
                <w:color w:val="auto"/>
                <w:w w:val="89"/>
              </w:rPr>
              <w:t>Average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Number</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160" w:type="dxa"/>
            <w:vAlign w:val="bottom"/>
          </w:tcPr>
          <w:p>
            <w:pPr>
              <w:jc w:val="center"/>
              <w:ind w:left="330"/>
              <w:spacing w:after="0"/>
              <w:rPr>
                <w:sz w:val="20"/>
                <w:szCs w:val="20"/>
                <w:color w:val="auto"/>
              </w:rPr>
            </w:pPr>
            <w:r>
              <w:rPr>
                <w:rFonts w:ascii="Arial" w:cs="Arial" w:eastAsia="Arial" w:hAnsi="Arial"/>
                <w:sz w:val="18"/>
                <w:szCs w:val="18"/>
                <w:color w:val="auto"/>
                <w:w w:val="89"/>
              </w:rPr>
              <w:t>Exercise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66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Life in Years</w:t>
            </w:r>
          </w:p>
        </w:tc>
        <w:tc>
          <w:tcPr>
            <w:tcW w:w="1160" w:type="dxa"/>
            <w:vAlign w:val="bottom"/>
          </w:tcPr>
          <w:p>
            <w:pPr>
              <w:jc w:val="center"/>
              <w:ind w:left="330"/>
              <w:spacing w:after="0"/>
              <w:rPr>
                <w:sz w:val="20"/>
                <w:szCs w:val="20"/>
                <w:color w:val="auto"/>
              </w:rPr>
            </w:pPr>
            <w:r>
              <w:rPr>
                <w:rFonts w:ascii="Arial" w:cs="Arial" w:eastAsia="Arial" w:hAnsi="Arial"/>
                <w:sz w:val="18"/>
                <w:szCs w:val="18"/>
                <w:color w:val="auto"/>
                <w:w w:val="92"/>
              </w:rPr>
              <w:t>Price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Exercisable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$ 2.40</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$ 3.68 - $4.50</w:t>
            </w:r>
          </w:p>
        </w:tc>
        <w:tc>
          <w:tcPr>
            <w:tcW w:w="2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207,123</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159,001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$ 5.49 - $7.99</w:t>
            </w: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967,503</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141,285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$ 8.06 - $8.99</w:t>
            </w:r>
          </w:p>
        </w:tc>
        <w:tc>
          <w:tcPr>
            <w:tcW w:w="2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258,557</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182,805</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$ 42.80</w:t>
            </w:r>
          </w:p>
        </w:tc>
        <w:tc>
          <w:tcPr>
            <w:tcW w:w="2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42.80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1,563,213</w:t>
            </w:r>
          </w:p>
        </w:tc>
        <w:tc>
          <w:tcPr>
            <w:tcW w:w="24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6.09</w:t>
            </w:r>
          </w:p>
        </w:tc>
        <w:tc>
          <w:tcPr>
            <w:tcW w:w="1160" w:type="dxa"/>
            <w:vAlign w:val="bottom"/>
            <w:tcBorders>
              <w:top w:val="single" w:sz="8" w:color="CCEEFF"/>
            </w:tcBorders>
          </w:tcPr>
          <w:p>
            <w:pPr>
              <w:jc w:val="right"/>
              <w:ind w:right="970"/>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7.05</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613,121</w:t>
            </w: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gridSpan w:val="2"/>
          </w:tcPr>
          <w:p>
            <w:pPr>
              <w:jc w:val="right"/>
              <w:ind w:right="85"/>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vMerge w:val="restart"/>
          </w:tcPr>
          <w:p>
            <w:pPr>
              <w:jc w:val="right"/>
              <w:ind w:right="35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1" w:name="page22"/>
    <w:bookmarkEnd w:id="21"/>
    <w:p>
      <w:pPr>
        <w:jc w:val="both"/>
        <w:ind w:right="20"/>
        <w:spacing w:after="0" w:line="286" w:lineRule="auto"/>
        <w:rPr>
          <w:sz w:val="20"/>
          <w:szCs w:val="20"/>
          <w:color w:val="auto"/>
        </w:rPr>
      </w:pPr>
      <w:r>
        <w:rPr>
          <w:rFonts w:ascii="Arial" w:cs="Arial" w:eastAsia="Arial" w:hAnsi="Arial"/>
          <w:sz w:val="17"/>
          <w:szCs w:val="17"/>
          <w:color w:val="auto"/>
        </w:rPr>
        <w:t>As of September 30, 2015, there was approximately $4,190 of total unrecognized compensation expense related to unvested stock options granted under the Plan. That expense is expected to be recognized over the weighted-average remaining vesting period of 3.9 years. The stock-based compensation for all stock options was $510 and $1,079 during the three and nine months ended September 30,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unit, or 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February 2015, the Company granted 30,000 RSUs to its Chief Financial Officer, Andrew R. Boll and 30,000 RSUs to its Chief Commercial Officer, John P. Saharek, valued at $442 in the aggregate. The RSUs were granted pursuant to the Plan and will vest on the third anniversary of the RSU grant date, subject to the applicable employee’s continued employment with the Company on such date and accelerated vesting of all unvested shares thereunder upon the occurrence of a change in control (as defined in the Plan).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February 2015, the Company granted 157,500 RSUs to Mr. Boll, which are subject to the satisfaction of certain market-based and continued service conditions (the “Boll Performance Equity Award”). The market-based vesting criteria are separated into five tranches and require that the Company achieve and maintain certain stock price targets ranging from $10 per share to $30 per share during the three-year period following the grant date. With certain limited exceptions, Mr. Boll must be employed with the Company on the third anniversary of the grant date in order for the Boll Performance Equity Award to vest. The initial fair value of the Boll Performance Equity Award was $228 using a Monte Carlo Simulation with a three-year life, 60% volatility and a risk free interest rate of 0.77%.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market-based vesting conditions applicable to the Boll Performance Equity Award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Target Share Price</w:t>
            </w:r>
          </w:p>
        </w:tc>
      </w:tr>
      <w:tr>
        <w:trPr>
          <w:trHeight w:val="216"/>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30,000 shares</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 or greater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$15.00 or greater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30,000 shares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 or greater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$25.00 or greater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37,500 shares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$30.00 or greater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continuous service with the Company through the third anniversary of the grant date. Any unvested RSUs under the Boll Performance Equity Award will be forfeited on the third anniversary of the grant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7320" w:type="dxa"/>
            <w:vAlign w:val="bottom"/>
          </w:tcPr>
          <w:p>
            <w:pPr>
              <w:spacing w:after="0"/>
              <w:rPr>
                <w:sz w:val="20"/>
                <w:szCs w:val="20"/>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 RSUs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Date Fair Value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2015</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RSUs granted</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251,666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(21,182)</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(9,062)</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September 30, 2015</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1,498,237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0"/>
        </w:trPr>
        <w:tc>
          <w:tcPr>
            <w:tcW w:w="73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the total unrecognized compensation expense related to unvested RSUs was approximately $1,188, which is expected to be recognized over a weighted-average period of 1.1 years, based on the vesting schedules of the applicable RSUs. The stock-based compensation for RSU’s during the three and nine months ended September 30, 2015 was $446 and $1,238,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9), underwriters and other non-employees for services rendered or to be rendered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warrants to purchase 334,819 shares of the Company’s common stock with an exercise price of $5.925 were cancelled following the expiration of their contractual term.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 summary of warrant activity for the nine months ended September 30, 2015 is as follows:</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20" w:type="dxa"/>
            <w:vAlign w:val="bottom"/>
          </w:tcPr>
          <w:p>
            <w:pPr>
              <w:spacing w:after="0"/>
              <w:rPr>
                <w:sz w:val="24"/>
                <w:szCs w:val="24"/>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Number of Shares Subject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to Warrants Outstanding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January 1, 2014</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8"/>
                <w:szCs w:val="18"/>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(240,437)</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Expired</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(334,819)</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September 30, 2015</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 September 30,</w:t>
            </w: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20" w:type="dxa"/>
            <w:vAlign w:val="bottom"/>
            <w:vMerge w:val="continue"/>
          </w:tcPr>
          <w:p>
            <w:pPr>
              <w:spacing w:after="0"/>
              <w:rPr>
                <w:sz w:val="13"/>
                <w:szCs w:val="13"/>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2015</w:t>
            </w:r>
          </w:p>
        </w:tc>
        <w:tc>
          <w:tcPr>
            <w:tcW w:w="19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nine months ended September 30, 2015 was approximately $528.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September 30, 2015 is included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Warrants Outstanding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ind w:left="580"/>
              <w:spacing w:after="0"/>
              <w:rPr>
                <w:sz w:val="20"/>
                <w:szCs w:val="20"/>
                <w:color w:val="auto"/>
              </w:rPr>
            </w:pPr>
            <w:r>
              <w:rPr>
                <w:rFonts w:ascii="Arial" w:cs="Arial" w:eastAsia="Arial" w:hAnsi="Arial"/>
                <w:sz w:val="18"/>
                <w:szCs w:val="18"/>
                <w:color w:val="auto"/>
              </w:rPr>
              <w:t>Warrants Exercisable</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Issue</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7"/>
              </w:rPr>
              <w:t>Warrants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8"/>
              </w:rPr>
              <w:t>Exercise</w:t>
            </w:r>
          </w:p>
        </w:tc>
        <w:tc>
          <w:tcPr>
            <w:tcW w:w="1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0"/>
              </w:rPr>
              <w:t>Warrants</w:t>
            </w:r>
          </w:p>
        </w:tc>
        <w:tc>
          <w:tcPr>
            <w:tcW w:w="1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080" w:type="dxa"/>
            <w:vAlign w:val="bottom"/>
          </w:tcPr>
          <w:p>
            <w:pPr>
              <w:ind w:left="420"/>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Price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 9)</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5/11/2015</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1"/>
              </w:rPr>
              <w:t>2/7/2013</w:t>
            </w:r>
          </w:p>
        </w:tc>
        <w:tc>
          <w:tcPr>
            <w:tcW w:w="1820" w:type="dxa"/>
            <w:vAlign w:val="bottom"/>
            <w:gridSpan w:val="4"/>
          </w:tcPr>
          <w:p>
            <w:pPr>
              <w:jc w:val="right"/>
              <w:ind w:right="220"/>
              <w:spacing w:after="0"/>
              <w:rPr>
                <w:sz w:val="20"/>
                <w:szCs w:val="20"/>
                <w:color w:val="auto"/>
              </w:rPr>
            </w:pPr>
            <w:r>
              <w:rPr>
                <w:rFonts w:ascii="Arial" w:cs="Arial" w:eastAsia="Arial" w:hAnsi="Arial"/>
                <w:sz w:val="18"/>
                <w:szCs w:val="18"/>
                <w:color w:val="auto"/>
              </w:rPr>
              <w:t>55,688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55,688</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91"/>
              </w:rPr>
              <w:t>2/7/2018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to investor relations consultant</w:t>
            </w:r>
          </w:p>
        </w:tc>
        <w:tc>
          <w:tcPr>
            <w:tcW w:w="10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7/19/2013</w:t>
            </w:r>
          </w:p>
        </w:tc>
        <w:tc>
          <w:tcPr>
            <w:tcW w:w="18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2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7/19/2018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240,688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7.41</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240,688</w:t>
            </w:r>
          </w:p>
        </w:tc>
        <w:tc>
          <w:tcPr>
            <w:tcW w:w="2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 the Three</w:t>
            </w:r>
          </w:p>
        </w:tc>
        <w:tc>
          <w:tcPr>
            <w:tcW w:w="16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For the Three</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For the Nine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the Nine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Months Ended</w:t>
            </w:r>
          </w:p>
        </w:tc>
        <w:tc>
          <w:tcPr>
            <w:tcW w:w="16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Months Ended</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Months Ended</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September 30, 2015</w:t>
            </w:r>
          </w:p>
        </w:tc>
        <w:tc>
          <w:tcPr>
            <w:tcW w:w="160" w:type="dxa"/>
            <w:vAlign w:val="bottom"/>
          </w:tcPr>
          <w:p>
            <w:pPr>
              <w:spacing w:after="0"/>
              <w:rPr>
                <w:sz w:val="20"/>
                <w:szCs w:val="20"/>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30, 2014</w:t>
            </w: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Employees - general and</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20"/>
                <w:szCs w:val="20"/>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Directors - general and</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Consultants - general and</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Consultants - research and</w:t>
            </w:r>
          </w:p>
        </w:tc>
        <w:tc>
          <w:tcPr>
            <w:tcW w:w="160" w:type="dxa"/>
            <w:vAlign w:val="bottom"/>
          </w:tcPr>
          <w:p>
            <w:pPr>
              <w:spacing w:after="0"/>
              <w:rPr>
                <w:sz w:val="17"/>
                <w:szCs w:val="17"/>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development</w:t>
            </w:r>
          </w:p>
        </w:tc>
        <w:tc>
          <w:tcPr>
            <w:tcW w:w="16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capital leases with an interest rate of 4.25% per annum. At September 30, 2015, future payments under the Company’s capital leases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4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3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r>
      <w:tr>
        <w:trPr>
          <w:trHeight w:val="203"/>
        </w:trPr>
        <w:tc>
          <w:tcPr>
            <w:tcW w:w="71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3"/>
        </w:trPr>
        <w:tc>
          <w:tcPr>
            <w:tcW w:w="71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03"/>
        </w:trPr>
        <w:tc>
          <w:tcPr>
            <w:tcW w:w="71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Capital lease obligation, net of current portion</w:t>
            </w:r>
          </w:p>
        </w:tc>
        <w:tc>
          <w:tcPr>
            <w:tcW w:w="20" w:type="dxa"/>
            <w:vAlign w:val="bottom"/>
            <w:tcBorders>
              <w:top w:val="single" w:sz="8" w:color="CCEEFF"/>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leases as of September 30, 2015 was $60, with related accumulated depreciation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2015, the Company entered into a lease agreement for approximately 1,100 square feet of lab, warehouse and office space in Allen, Texas. The current lease term expires on April 30, 2016. The monthly rent amount is $3 and includes annual increases of approximately 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Company entered into a lease agreement for approximately 8,602 square feet of lab, warehouse and office space in Roxbury, New Jersey. The current lease term expires on July 31, 2022. The monthly rent amount is $10 and includes annual increases of approximately 3.75%, and the lease allows for the first five months of rent amounts to be abated. This facility is currently undergoing construction to serve as an outsourcing facility and pharmacy.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entered into a commercial lease agreement, for the lease of certain premises to Park of approximately 4,500 square feet of lab and office space. The monthly rent amount is $10 and includes annual increases of approximately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In June 2014, the Company entered into a lease agreement for 7,565 square feet of office space that commenced on September 1, 2014 and continues until October 31, 2018. Monthly rent began on September 1, 2014 in the amount of $20, with a 3% increase in the base rent amount on an annual basis. The lease agreement allows for the monthly rent amount to be abated for two months at various times during the lease agreement. This space serves as our corporate headquarters.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2013, the Company entered into a lease agreement for 3,874 square feet of office space that commenced on May 1, 2013 and continues until September 30, 2016. Monthly rent began on May 1, 2013 in the amount of $10 with a 3% increase in the base rent amount on an annual basis. The lease agreement allows for the monthly rent amount to be abated for five months at various times during the lease agreement. In February 2015, the Company entered into a sublease agreement to sublet this space through the remaining term of the lease at a monthly rent amount of $8.</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2010, PC entered into a lease agreement for 3,137 square feet of office and laboratory space that commenced on January 1, 2010 and continues until December 31, 2015. Monthly rent began on January 1, 2010 in the amount of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Urigen License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24, 2014 (the “Urigen Effective Date”), the Company entered into a license agreement (the “Urigen License”) with Urigen Pharmaceuticals, Inc. (“Urigen”), pursuant to which Urigen granted to the Company a license under certain U.S. patents and patent applications to develop and sell in the U.S. Urigen’s URG101 product (“HLA”), a heparin and alkalinized lidocaine compounded formulation, for the prevention or treatment of disorders of the lower urinary tract.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consideration for the license granted under the Urigen License, the Company agreed to pay Urigen annual tiered royalties based on sales of HLA, subject to certain minimum annual royalty payments. The annual tiered royalties consist of the greater of (i) $0.50 per dose (dollar amount not presented in thousands), and (ii) 15%-20% of the Company’s net sales of HLA, with the royalty amount within such range depending on the Company’s aggregate sales of HLA during the period to which the royalty payment applies. The minimum annual royalty payment consists of (a) for the 2015 calendar year, the greater of</w:t>
      </w:r>
    </w:p>
    <w:p>
      <w:pPr>
        <w:spacing w:after="0" w:line="2" w:lineRule="exact"/>
        <w:rPr>
          <w:sz w:val="20"/>
          <w:szCs w:val="20"/>
          <w:color w:val="auto"/>
        </w:rPr>
      </w:pPr>
    </w:p>
    <w:p>
      <w:pPr>
        <w:jc w:val="both"/>
        <w:ind w:firstLine="8"/>
        <w:spacing w:after="0" w:line="288"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110% of the aggregate royalties paid to Urigen under the Existing Sublicenses during the preceding 12 months, on a prorated basis, and (ii) $800, less the aggregate royalties paid to Urigen under the Existing Sublicenses during the 2015 calendar year, and (b) for each calendar year thereafter, 110% of the aggregate amount owed by the Company to Urigen under the Urigen License during the prior calendar year. The Company is obligated to pay such royalties beginning with its first commercial sale of HLA and continuing until the expiration of the patents subject to the license granted under the Urigen License. The Company has also agreed to use commercially reasonable efforts to develop and commercialize HLA according to the terms of a diligence plan agreed to by the parties, which efforts will include, without limitation, the Company’s investment of $2,000 in commercialization efforts of HLA, which investment and timeline can be adjusted dependent on market circumstances, and is expected to be incurred over 18-24 months following the Urigen Effective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The Urigen License was non-exclusive until April 24, 2015, when the Company exercised its option to convert the non-exclusive license to an exclusive license for the remaining term of the Urigen License. Legacy sublicensees, who previously had non-exclusive licensed rights to compound and sell HLA (the “Existing Sub-licensees”) were provided written notice of the Company’s intent to terminate those non-exclusive license agreements, on or around April 24, 2015. Over the following 60 to 90 days (the “Transition Period”) the Company entered into agreements with the Existing Sub-licensees to transfer existing refill prescriptions to the Company’s wholly owned pharmacies. These agreements required various one-time payments and limited future payments related to transferred prescriptions. Urigen agreed that any revenue received from the Existing Sub-licensees from HLA sales that are consistent with their respective agreements with Urigen, will be kept by the Company (without a related royalty payment to Urigen). Beginning on April 24, 2015, the Company was due royalty payments on any HLA prescriptions filled by Existing Sub-licensees during the Transition Period and any additional period the sublicenses filled prescriptions for HLA. During the three and nine months ended September 30, 2015, the Company recognized $1 and $51 in royalty revenues related to HLA prescriptions filled by the Existing Sub-licensees.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terminates upon the first commercial sale of HLA by Urigen, its affiliates, or a third party after the U.S. Food and Drug Administration (the “FDA”) grants Urigen approval to market HLA in the U.S., if market approval is granted. The Company shall have the option, at its discretion, to become a non-exclusive distributor of HLA following the FDA granting Urigen such market approval. During the three and nine months ended September 30, 2015 the Company recognized $149 and $154 in royalty amounts under the Urigen License, and such amounts are included in cost of sales in the accompanying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30, 2012, the Company entered into a license agreement with Professional Compounding Centers of America (“PCCA”), pursuant to which PCCA has granted to the Company and its affiliates certain exclusive rights under PCCA’s proprietary formulations, other technologies and data, and the Company has agreed to pay to PCCA certain royalties on net sales relating to the sale of certain future products that the Company may produce, which royalties will range from 4.5% to 9% for each product, subject to certain minimum royalty payments. PCCA may terminate the license agreement if the Company fails to commence efforts to research and develop any such products within certain time periods, as set forth in the license agreement. No royalty amounts have been paid or accrued under this agreement during the nine months ended September 30,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further provide certain key technical assistance with respect to any potential development project the Company may pursue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2015. No royalty amounts have been paid or accrued under this agreement during the nine months ended September 30, 2015 and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No royalty amounts have been paid or accrued under these agreements during the nine months ended September 30, 2015 and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for 2015 and 2014 are attributed to the U.S. All long-lived assets at September 30, 2015 are located in the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nine months ended September 30, 2015 and 2014.</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receives its active pharmaceutical ingredients from three main suppliers. These suppliers collectively accounted for 49% and 55%, respectively, of active pharmaceutical ingredient purchases during the three and nine months ended September 30, 2015. These suppliers collectively accounted for 84% and 78%, respectively, of active pharmaceutical ingredient purchases during the three and nine months ended September 30,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2015 through the filing date of this Quarterly Report. Based on its evaluation, nothing other than the events described below needs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 Oaks Asset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15, 2015, the Company, through its subsidiary ImprimisRx PA, acquired the assets of Thousand Oaks 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 for a total cash purchase price of approximately $524.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2014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Quarterly Report refer to Imprimis Pharmaceuticals, Inc., a Delaware corporation, and its consolidated subsidiaries. Unless otherwise stated, all information regarding share amounts of common stock and prices per share of common stock described in this discussion and analysis and elsewhere in this Quarterly Report reflect the reverse stock splits of our authorized, issued and outstanding common stock effected on February 28, 2012 and February 7, 2013.</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JT Pharmacy, Inc. D/B/A Central Allen Pharmacy (“CAP”), Thousand Oaks Holding Company’s wholly-owned subsidiaries Topical Apothecary Group, LLC (d/b/a TAG Pharmacy), Aerosol Science Laboratories, Inc. (d/b/a ASL Pharmacy), SinuTopic, Inc. (d/b/a Sinus Dynamics Pharmacy) and Mycotoxins, LLC (collectively “ImprimisRx PA”),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We are a pharmaceutical company focused on developing and commercializing innovative and high quality proprietary compounded drug therapies and making these therapies available to physicians and patients at accessible prices. We own, market and sell a portfolio of proprietary combination formulations in ophthalmology, urology and otolaryngology that we believe may offer competitive advantages and serve unmet needs in the marketplace. Our ophthalmic compounded formulations, led by our Dropless Therapy™ injectables and LessDrops™ combination topical eye drops, compete in the multi-billion dollar market for ophthalmic antibiotic and anti-inflammatory drugs. Importantly, our formulations which are comprised of active pharmaceutical ingredients are uniquely designed to address patient compliance issues and provide other medical and economic benefits to physicians and patients. Our urology business, led by our Defeat IC™ campaign, includes a patented compounded formulation for patients suffering from interstitial cystitis. Our otolaryngology business includes topical compounded sinus formulations, delivery systems and patented packaging. We are also developing additional complementary proprietary compounded formulations to add to our ophthalmology and urology formulation portfolios. We make, dispense and sell our proprietary compounded formulations, as well as non-proprietary products, through our wholly-owned compounding pharmacies Pharmacy Creations, Park, CAP and ImprimisRx PA. (We may refer to all of our wholly-owned compounding pharmacies hereinafter collectively as our “ImprimisRx compounding pharmacies”). Through our acquisition of Park in early 2015, we have begun to market a portfolio of non-proprietary compounded formulations consisting of sterile injectable and non-sterile integrative medicine therapies that are used in various therapeutic areas including oncology, autoimmunity, chronic infectious diseases, and endocrine and metabolic diseases. We also recently introduced the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which is aligned with our corporate mission to help provide physicians and patients access to alternative cost-effective compounded formulations for certain FDA-approved generic drugs.</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Working collaboratively with these inventors, we identify and evaluate intellectual property related to these drug formulations, assess relevant markets, and seek to validate the clinical experience of a development candidate with the objective of investing in commercialization activities. We believe our model allows us to meet the realities of the current healthcare economy by offering quality pharmaceutical innovation at accessible prices.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$53 million at September 30, 2015. Beginning on April 1, 2014, the date of our acquisition of Pharmacy Creations, we began generating revenue from sales by our pharmacies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Compounded Proprietary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current commercially-available ophthalmic formulations, marketed through our Dropless Therapy™ and LessDrops™ education campaigns, include the following combination formulations:</w:t>
      </w:r>
    </w:p>
    <w:p>
      <w:pPr>
        <w:spacing w:after="0" w:line="170"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Tri-Moxi, a compounded formulation of triamcinolone acetonide and moxifloxacin hydrochloride, with reported uses as an injectable during ocular surgery and as an eye drop pre- and post-ocular surgery;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Tri-Moxi-Vanc, a compounded formulation of triamcinolone acetonide, moxifloxacin hydrochloride and vancomycin, with reported uses as an injection during ocular surgery;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Pred-Moxi-Ketor (or PMK), a compounded formulation of prednisolone, moxifloxacin hydrochloride, and ketorolac, or any similar combination thereof, with reported uses as an eye drop pre- and post-ocular surgery.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648"/>
        <w:spacing w:after="0" w:line="284" w:lineRule="auto"/>
        <w:rPr>
          <w:sz w:val="20"/>
          <w:szCs w:val="20"/>
          <w:color w:val="auto"/>
        </w:rPr>
      </w:pPr>
      <w:r>
        <w:rPr>
          <w:rFonts w:ascii="Arial" w:cs="Arial" w:eastAsia="Arial" w:hAnsi="Arial"/>
          <w:sz w:val="16"/>
          <w:szCs w:val="16"/>
          <w:color w:val="auto"/>
        </w:rPr>
        <w:t>Our Dropless Therapy™ compounded formulations include Tri-Moxi and Tri-Moxi-Vanc. At leading U.S. ophthalmology meetings, ophthalmologists have reported that Dropless Therapy™ formulations have substantially reduced or, in many cases, eliminated the need for patient-administered eye drops following ocular surgeries they have performed. Since the launch of our associated Go Dropless™ educational campaign in April 2014, an estimated 400 ophthalmologists have started to use Dropless Therapy™ compounded formulations, and they have been used in over 100,000 ocular surgeries, primarily cataract surgeries. In the future, we aim for our Dropless Therapy™ to be initiated at additional high volume cataract surgery practices, hospitals and large ambulatory surgery centers throughout the U.S. A recent co-sponsored economic study conducted by researchers at Andrew Chang &amp; Co, LLC demonstrated that our Dropless Therapy™ could provide savings to Medicare, Medicaid and patients of up to $13 billion, with a most likely savings</w:t>
      </w:r>
    </w:p>
    <w:p>
      <w:pPr>
        <w:spacing w:after="0" w:line="3"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auto"/>
        </w:rPr>
        <w:t>estimate of $8.7 billion. The economic study was conducted assuming the cost per dose of Dropless Therapy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$100 (not presented in thousands) per dose.</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PMK and other topical compounded formulations, described as LessDrops™ topicals, were initially formulated and dispensed during the first quarter of 2015 as combination eye drop formulations for patients following laser refractive surgery, including LASIK and photorefractive keratectomy (PRK), cataract and other ocular surgeries. We estimate that our combination eye drop formulations may require up to 50% fewer drops to be administered by patients post-surgery and cost up to 75% less than other currently available post-surgery drops regimens. We plan to continue to add to our portfolio of LessDrops™ combination eye drop formulations in order to deliver additional eye drop choices for our customers.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also acquired intellectual property related to a lyophilized (or freeze-dried), preservative-free, sulfite-free combination of either epinephrine, phenylephrine and lidocaine, which are commonly used as mydriatics (for pupil dilation).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made and expect to increase sales of multiple ophthalmic compounded formulations per patient in one or more kits. For example, we may sell our proprietary injectable Tri-Moxi compounded formulation and mydriatic compounded formulations for the same individually identified patient, and also include additional non-proprietary ophthalmic compounded formulations, all as part of a kit.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2015, we acquired the rights to proprietary sedation and analgesia/anesthesia formulations that once prescribed and dispensed for an individual patient could be administered sublingually to block pain and sedate patients undergoing ocular and other surgical procedures. A team of ophthalmic surgeons is currently conducting a patient-specific clinical evaluation in order to support potential commercialization of this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Urologic Formulations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key current commercially-available urologic compounded formulation consists of a patented combination of heparin and alkalinized lidocaine (“HLA”). We acquired non-exclusive development and commercialization rights for HLA in October 2014, which became exclusive in late April 2015. HLA is delivered directly to the bladder for the treatment of interstitial cystitis (“IC”), also known as painful bladder syndrome (“PBS). Since the HLA compounded formulation first became available as a compounded drug in 2011, there have been hundreds of thousands of HLA instillation procedures completed in the U.S. by physicians and their patients. During the first quarter of 2015, we launched the Defeat IC™ national education campaign designed to help increase awareness among medical practitioners and patients about IC and our HLA treatment option.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made available a customizable compounded formulation of pentosan polysulfate sodium delayed release™ (PPS-DR™) oral medication that may be prescribed by physicians for their patients as a low-cost alternative to an off-patent oral drug, Elmiron®, for the treatment of symptoms associated with IC. Our PPS-DR™ compounded formulations are customized to an individual patient and feature time delayed release for the added convenience of twice daily dosing compared to Elmiron®, which is often prescribed three to four times a day.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other commercially-available urologic compounded formulations consist of lyophilized Tri-Mix-L (phentolamine papaverine and prostaglandin) formulations for the treatment of erectile function (ED). Tri-Mix-L compounded formulations are provided in a sterile powder and dispensed in single-dose vials that can be conveniently transported and stored up to six months prior to reconstitution, and once reconstituted, should be used within 30 days. According to American Urological Association, intracavernous vasoactive injections are considered the most effective non-surgical treatment for ED. We are also developing and validating a proprietary injectable formulation that may also be used to treat 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Otolaryngology Medicine</w:t>
      </w:r>
    </w:p>
    <w:p>
      <w:pPr>
        <w:spacing w:after="0" w:line="225" w:lineRule="exact"/>
        <w:rPr>
          <w:sz w:val="20"/>
          <w:szCs w:val="20"/>
          <w:color w:val="auto"/>
        </w:rPr>
      </w:pPr>
    </w:p>
    <w:p>
      <w:pPr>
        <w:jc w:val="both"/>
        <w:ind w:firstLine="779"/>
        <w:spacing w:after="0" w:line="255" w:lineRule="auto"/>
        <w:rPr>
          <w:sz w:val="20"/>
          <w:szCs w:val="20"/>
          <w:color w:val="auto"/>
        </w:rPr>
      </w:pPr>
      <w:r>
        <w:rPr>
          <w:rFonts w:ascii="Arial" w:cs="Arial" w:eastAsia="Arial" w:hAnsi="Arial"/>
          <w:sz w:val="18"/>
          <w:szCs w:val="18"/>
          <w:color w:val="auto"/>
        </w:rPr>
        <w:t>In October 2015, we acquired the assets of a leading U.S. provider of topical compounded sinus formulations, delivery systems and patented packaging. Topical administration of sinusitis medications such as antibiotics, antifungals and steroids have gained increasing popularity as an alternative to systemic oral therapies. Topical delivery may minimize the side effects seen with systemic oral agents that non-specifically deliver medicine to the entire body. Our topical delivery platform delivers sinusitis medications locally to the sinonasal mucosa, the direct site and probable source of the problem. The assets we acquired were the foundation of a business that had been prescribed by 8 out of 10 U.S. ear, nose and throat physicians that serviced more than 38,000 patients annually.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Integrative Medicine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Through our acquisition of Park in early 2015, we have begun to market a portfolio of non-proprietary compounded formulations consisting of sterile injectable and non-sterile integrative medicine therapies that are used in various therapeutic areas including oncology, autoimmunity, chronic infectious diseases, and endocrine and metabolic diseases. Many of these formulations, such as artesunate, ascorbic acid, curcumin, dichloroacetate, and 5-methyltetrahydrofolate, are offered in different formats (e.g. in suspension, lyophilized, etc.) that we believe may provide differentiating and potentially beneficial factors as compared to some of our competitors. We plan to establish a sales and marketing team and develop educational campaigns focused on these new therapeutic areas. As part of this initiative, we sponsor regular regional conferences related to furthering education and awareness of these formulation options within the integrative medical community.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 Cares Initiative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In October 2015, we announced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which is aligned with our corporate mission of making novel and customizable medicines at accessible prices and allows us to work with physicians and their patients to ensure they have affordable access to the medicines they need. </w:t>
      </w:r>
      <w:r>
        <w:rPr>
          <w:rFonts w:ascii="Arial" w:cs="Arial" w:eastAsia="Arial" w:hAnsi="Arial"/>
          <w:sz w:val="16"/>
          <w:szCs w:val="16"/>
          <w:i w:val="1"/>
          <w:iCs w:val="1"/>
          <w:color w:val="auto"/>
        </w:rPr>
        <w:t>Imprimis Cares</w:t>
      </w:r>
      <w:r>
        <w:rPr>
          <w:rFonts w:ascii="Arial" w:cs="Arial" w:eastAsia="Arial" w:hAnsi="Arial"/>
          <w:sz w:val="16"/>
          <w:szCs w:val="16"/>
          <w:color w:val="auto"/>
        </w:rPr>
        <w:t>, available in all 50 states, will work with third party insurers, pharmacy benefit managers and buying groups to offer patient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customizable compounded drug formulations at accessible prices. As part of this initiative, we have made available a customizable compounded formulation of pyrimethamine and leucovorin available for physicians to consider prescribing for their patients as a low cost alternative to Daraprim</w:t>
      </w:r>
      <w:r>
        <w:rPr>
          <w:rFonts w:ascii="Arial" w:cs="Arial" w:eastAsia="Arial" w:hAnsi="Arial"/>
          <w:sz w:val="26"/>
          <w:szCs w:val="26"/>
          <w:color w:val="auto"/>
          <w:vertAlign w:val="superscript"/>
        </w:rPr>
        <w:t>®</w:t>
      </w:r>
      <w:r>
        <w:rPr>
          <w:rFonts w:ascii="Arial" w:cs="Arial" w:eastAsia="Arial" w:hAnsi="Arial"/>
          <w:sz w:val="16"/>
          <w:szCs w:val="16"/>
          <w:color w:val="auto"/>
        </w:rPr>
        <w:t>. The FDA-approved</w:t>
      </w:r>
    </w:p>
    <w:p>
      <w:pPr>
        <w:spacing w:after="0" w:line="3"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label for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indicates that it is prescribed for toxoplasmosis, which can be of major concern for patients with weakened immune systems such as patients with HIV/AIDS, pregnant women and children.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Centers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distribute them to physicians and patients. Generally, compounding pharmacies work with physicians to develop patient-specific medications for individually identified patients, and a compounding pharmacy compounds or prepares a patient-specific formulation upon receipt of a physician prescription for an individual patient. Our ImprimisRx compounding pharmacies, make, dispense and sell our proprietary ophthalmology and urology compounded formulations, our topical sinus compounded formulations, delivery systems and patented packaging, complementary compounded formulations within the ophthalmology, urology and sinus therapeutic areas, and other non-proprietary compounded formulations in other therapeutic areas including integrative medicine. Our compounding pharmacies are collectively licensed to distribute compounded formulations in 50 states.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February 2015, we entered into a lease agreement for space in New Jersey and began construction efforts to build a majority of this space into an outsourcing facility, which will be required to comply with certain additional requirements, including adherence to current good manufacturing practices (“cGMP”), and will be permitted to compound large quantities of certain sterile drug formulations without a prescription and distribute these formulations out of state without limitation. The remaining space in the facility will be made completely separate and secured, and be constructed as compounding pharmacy to replace our current New Jersey based pharmacy location. We estimate that our capital expenditures to build and equip this new facility will be approximately $3 - $3.5 million. We expect construction for our New Jersey-based compounding center to be completed during the first quarter of 2016 or shortly thereafter. However, the Company may need to obtain additional financing to maintain this construction schedule. Following the construction of the facility, we will begin validating our formulas and processes and expect to begin distributing formulations from our outsourcing facility at the beginning of the second quarter in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In October 2015, we commenced construction efforts on our current Texas compounding pharmacy and plan to register the pharmacy with the FDA as a 503B outsourcing facility. The Texas facility is expected to be completed and dispensing certain prescriptions as an outsourcing facility in February of 2016. In the meantime, our Texas pharmacy will continue its current operations without disruption of service during construction. We estimate the cost of construction and equipment will be less than $200.</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in the process of developing “ImprimisRx” as a uniform brand for our compounding centers, which we intend to launch in 2015. We operate our pharmacy business under the regulatory framework described in the U.S. Drug Quality and Security Act (“DQSA”) of 2013, the Federal Food Drug and Cosmetic Act (“FDCA”) and applicable state pharmacy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Impracor Program</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Historically, our business focused on developing, obtaining market approval from the FDA for, and commercializing our former topical pain management product candidate Impracor. After considering the totality of circumstances surrounding the development of and clinical trial requirements for Impracor, including certain manufacturing and formulation issues, in November 2013 we announced our discontinuation of the proposed Phase 3 clinical trial for Impracor. We do not expect to resume a Phase 3 clinical trial for Impracor or otherwise invest in the commercial development of this asset.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plan for the next 12 months is focused on increasing sales of our proprietary ophthalmic and urologic compounded formulations and certain non-proprietary products, optimization of pricing for our proprietary compounded formulations, and growing and gaining operating efficiencies in our prescription fulfillment and dispensing capabilities. Additionally, we plan to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have engaged distributors for certain of our proprietary compounded formulations in non-U.S. markets, we expect to continue to focus our efforts on our U.S. commercial opportunities during 2015, and have begun to out-license our technology in other geographical markets, such as Canada. For our proprietary ophthalmic and urologic compounded formulations, we have developed and plan to continue to build small internal sales and commercialization teams that are focused on growing sales of these compounded formulations through, among other things, educating doctors, ambulatory surgery centers, hospitals and other users throughout the U.S. about our products. We expect that we may experience growth in the sales of our proprietary compounded formulations in future periods, particularly in light of our recent launches of our ophthalmology and urology formulations and commercialization campaigns. However, we have limited experience developing and commercializing compounded formulations and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68" w:lineRule="auto"/>
        <w:rPr>
          <w:sz w:val="20"/>
          <w:szCs w:val="20"/>
          <w:color w:val="auto"/>
        </w:rPr>
      </w:pPr>
      <w:r>
        <w:rPr>
          <w:rFonts w:ascii="Arial" w:cs="Arial" w:eastAsia="Arial" w:hAnsi="Arial"/>
          <w:sz w:val="17"/>
          <w:szCs w:val="17"/>
          <w:color w:val="auto"/>
        </w:rPr>
        <w:t>We currently make, dispense and sell our commercially available proprietary compounded formulations and certain other non-proprietary products through our pharmacies pursuant to a prescription for an individually identified patient. Additionally, we are in the process of developing an outsourcing facility in New Jersey, which we expect to be completed at the beginning of second quarter 2016 and registering our current Texas pharmacy as an outsourcing facility in the first quarter of 2016. We plan to develop our pharmacy operations into a network of compounding pharmacies, outsourcing facilities, and other prescription dispensing facilities to deliver our proprietary compounded formulations to patients. Our efforts to establish a widespread compounding pharmacy network may not be successful, whether due to difficulties integrating, managing or otherwise realizing the benefits of our acquisitions of our ImprimisRx compounding pharmacies or any additional pharmacy businesses or outsourcing facilities we seek to acquire or build in the future, inability to satisfy applicable federal and state licensing and other requirements for any such pharmacy businesses in a timely manner or at all, changes to state and federal pharmacy regulations that restrict compounding operations or make them more costly, failure to achieve a sufficient physician and patient customer base to sustain our pharmacy operations, or an inability to enter into licensing or other arrangements with third-party pharmacies or outsourcing facilities when desired, on acceptable terms, or at all. Moreover, all such efforts to expand our pharmacy operations and establish a pharmacy network will involve significant costs and other resources, which we may not be able to afford, disrupt our other operations and distract management and our other employees from other aspects of our business.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We plan to devote time and other resources to seek reimbursement and patient pay opportunities for these and other compounded formulations and normalize the pricing for our currently available proprietary ophthalmic compounded formulations. We believe there is an economic argument that would allow for price optimization of Dropless Therapy™ compounded formulations to be priced at or near $100 (not presented in thousands) per unit. According to a recent co-sponsored economic study conducted by researchers at Andrew Chang &amp; Co, LLC, our Dropless Therapy™ could save Medicare and Medicaid more than $7 billion over the next ten years. Additionally, during the same time period patients could save $1.4 billion for out of pocket costs for co-payments, and state governments could save $124 million in Medicaid payments. We have been in communications with third-party public and private payors regarding potential reimbursement options for certain of our proprietary and non-proprietary compounded formulations, but we may be unsuccessful in these efforts.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may not be sufficient to allow us to sell the products on a competitive basis and at desirable price points.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plan to pursue the development of additional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However,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(dollar amounts are expressed in thousands)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Thousand Oaks Asset Acquisition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15, 2015, though our subsidiary ImprimisRx PA, we acquired substantially all of the assets of Thousand Oaks 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 for a total cash purchase price of approximately $524.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Canadian License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11, 2015, (the “CAN Effective Date”), we entered into a license agreement (the “CAN Agreement”) with Advanced Dosage Forms, Inc. and John DiGenova (collectively “ADF”), pursuant to which we granted to ADF a license under certain U.S. patent applications (the “Licensed Patent Rights”) to develop and sell in Canada certain of our proprietary Dropless and LessDrops compounded formulations (the “OPH Products”) and use of certain of our trademarks, designs, trade names and markings. Such license is non-exclusive; such that prior to December 31, 2015, the parties shall negotiate in good faith and attempt to reach mutual agreement on the terms and conditions upon which ADF would have the option to convert the licenses hereunder to exclusive. Such terms and conditions would include, without limitation, (a) diligence and market penetration conditions to convert, (b) annual diligence and market growth conditions to maintain exclusivity, and (c) an annual license fee of $50 payable to Imprimis ($25 of which would be creditable against the royalties owing during such year).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consideration for the license granted under the CAN Agreement, ADF has agreed to pay us royalties based on its sales of the OPH Products. The royalties consist of the greater of (i) $50 per unit of OPH Products sold (dollar amount not presented in thousands) and (ii) 20% of the ADF’s sales of the OPH Products. ADF has also agreed to pay to Imprimis a noncreditable license fee of $10 at the CAN Effective Date. ADF is obligated to pay such royalties beginning with its first commercial sale of the OPH Products and continuing until claims under the Licensed Patent Rights are considered expired, abandoned, or unenforceable and are no longer subject to the license granted under the Agreement. ADF is obligated to maintain quality standards established by us, use commercially reasonable efforts to develop and commercialize the OPH Products and market shares according to the terms of the CAN Agreement as agreed to by the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 Acquisition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4, 2015, we acquired all of the outstanding capital stock of CAP pursuant to a stock purchase agreement entered into in July 2015. CAP is a compounding and retail pharmacy located in Allen, Texas. At closing, we paid the sellers a gross amount of $421.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11, 2015, we entered into a loan agreement with IMMY Funding LLC, an affiliate of Life Sciences Alternative Funding LLC, pursuant to which we have received a term loan in the principal amount of $10,000 and we have the opportunity, at our option, to receive an additional term loan in the principal amount of $5,000 if we satisfy certain revenue milestones on or before May 12, 2016 (the “LSAF Loan”). The term loans bear interest at a fixed per-annum rate of 12.5%. We are permitted to pay interest only for the first three years, after the end of the interest-only period, we will be required to pay interest, plus repayments of the principal amount of the term loans, in 36 equal monthly installments. The interest-only period may be reduced to 20 months if we do not meet certain minimum revenue or cash balance requirements and, we would be required to pay interest, plus repayments of the principal amount of the term loans, in 24 equal monthly installments. All amounts owed under the loan agreement, including a final fee of 5% of the aggregate principal amount of the term loans, will be due on the earlier of May 11, 2021 or 24 months after the end of the interest-only period. We expect our interest payment obligations under the loan agreement to total approximately $600 for our 2015 fiscal year.</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loans are secured by substantially all of our personal property, rights and assets, including our intellectual property rights. Pursuant to the terms of the loan agreement, we are bound by certain restrictive covenants setting forth actions that we are required to take and actions that we are prohibited from taking during the term of the agreement. The lender could declare all amounts owed under the loan agreement due and payable and/or foreclose on our assets that secure the term loans upon the occurrence of specified events of default, which include, among others, the occurrence of certain bankruptcy events; the failure to make payments under the loan agreement when due; the occurrence of a material adverse change in our business, operations or condition; our breach of certain of our material agreements with third parties; the initiation of certain regulatory enforcement actions against us; and our breach of any covenant (subject to cure periods for certain covenants) made in the loan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Acquisition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 2015, we completed the acquisition of all of the outstanding capital stock of Park pursuant to a stock purchase agreement entered into in November 2014. At the closing of the Park acquisition, we paid an aggregate cash purchase price of $3,000, net of fees and expenses, which was subject to adjustment based on the final calculation of Park’s working capital and certain other financial information, and a $100 payment for cash remaining in a Park bank account, and we issued 63,525 shares of our common stock. In addition, we are obligated to make 12 quarterly cash payments of $53 each over the three years following January 1, 2015, totaling $638. The sellers of Park have the option to receive the last six of such quarterly payments, totaling up to an aggregate of $319, in the form of 6,749 shares of our common stock for each such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In particular, our pharmacy operations activities commenced on April 1, 2014, and this change in the nature of our operations has had and is expected to continue to have a significant impact on our financial results. As a result, our results of operations in the periods after commencement of our pharmacy operations, including aggregate revenue and expense amounts and the apportionment of expenses among categories, have changed and are expected to continue to change as we further develop these operations. Further, as a result of our acquisitions of our ImprimisRx compounding pharmacies, and any additional pharmacy acquisitions or other such transactions we may pursue, we may experience large expenditures specific to the transactions that are not incident to our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 the below discussion are expressed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2015 to the Three and Nine Months Ended September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which we began to receive following our acquisitions of Pharmacy Creations and Park,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640" w:type="dxa"/>
            <w:vAlign w:val="bottom"/>
            <w:tcBorders>
              <w:top w:val="single" w:sz="8" w:color="CCEEFF"/>
            </w:tcBorders>
            <w:shd w:val="clear" w:color="auto" w:fill="CCEEFF"/>
          </w:tcPr>
          <w:p>
            <w:pPr>
              <w:jc w:val="right"/>
              <w:ind w:right="1830"/>
              <w:spacing w:after="0"/>
              <w:rPr>
                <w:sz w:val="20"/>
                <w:szCs w:val="20"/>
                <w:color w:val="auto"/>
              </w:rPr>
            </w:pPr>
            <w:r>
              <w:rPr>
                <w:rFonts w:ascii="Arial" w:cs="Arial" w:eastAsia="Arial" w:hAnsi="Arial"/>
                <w:sz w:val="18"/>
                <w:szCs w:val="18"/>
                <w:b w:val="1"/>
                <w:bCs w:val="1"/>
                <w:color w:val="auto"/>
                <w:w w:val="83"/>
              </w:rPr>
              <w:t>Sales,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2640" w:type="dxa"/>
            <w:vAlign w:val="bottom"/>
          </w:tcPr>
          <w:p>
            <w:pPr>
              <w:jc w:val="right"/>
              <w:ind w:right="1250"/>
              <w:spacing w:after="0"/>
              <w:rPr>
                <w:sz w:val="20"/>
                <w:szCs w:val="20"/>
                <w:color w:val="auto"/>
              </w:rPr>
            </w:pPr>
            <w:r>
              <w:rPr>
                <w:rFonts w:ascii="Arial" w:cs="Arial" w:eastAsia="Arial" w:hAnsi="Arial"/>
                <w:sz w:val="18"/>
                <w:szCs w:val="18"/>
                <w:b w:val="1"/>
                <w:bCs w:val="1"/>
                <w:color w:val="auto"/>
                <w:w w:val="84"/>
              </w:rPr>
              <w:t>License revenues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640" w:type="dxa"/>
            <w:vAlign w:val="bottom"/>
            <w:tcBorders>
              <w:top w:val="single" w:sz="8" w:color="CCEEFF"/>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acquisition of Pharmacy Creations on April 1, 2014, we began selling our proprietary compounded formulations and other non-proprietary pharmacy products and formulations and recognizing the associated revenues. On January 1, 2015, we acquired Park, which contributed $1,791 of the total $2,682 in revenues from sales of our proprietary compounded formulations and other non-proprietary formulations and products that we recognized during the three months ended September 30, 2015 and $3,992 of the total $6,161 in revenues for the nine months ended September 30, 2015. During the three and nine months ended September 30, 2015, we were able to increase sales of certain proprietary formulations and introduce new proprietary formulations compared to the same periods in the prior year. The table below describes certain classifications of our compounded drug formulations and other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Tri-Moxi and Tri-Moxi-Vanc</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Combination eye drops</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HLA (including royalties)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Other revenues</w:t>
            </w:r>
          </w:p>
        </w:tc>
        <w:tc>
          <w:tcPr>
            <w:tcW w:w="3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1,308</w:t>
            </w:r>
          </w:p>
        </w:tc>
        <w:tc>
          <w:tcPr>
            <w:tcW w:w="9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3,683</w:t>
            </w:r>
          </w:p>
        </w:tc>
        <w:tc>
          <w:tcPr>
            <w:tcW w:w="4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r>
      <w:tr>
        <w:trPr>
          <w:trHeight w:val="216"/>
        </w:trPr>
        <w:tc>
          <w:tcPr>
            <w:tcW w:w="2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36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cost of sales includes direct and indirect costs to manufacture formulations and sell product, including active pharmaceutical ingredients, personnel costs, packaging, storage, royalties, shipping and handling costs, the write-off of obsolete inventory and other related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Nine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85"/>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Variance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19"/>
                <w:szCs w:val="19"/>
                <w:color w:val="auto"/>
              </w:rPr>
            </w:pPr>
          </w:p>
        </w:tc>
        <w:tc>
          <w:tcPr>
            <w:tcW w:w="11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1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acquisition of Pharmacy Creations on April 1, 2014, we began selling our proprietary compounded formulations and other non-proprietary pharmacy products and formulations and incurring the associated costs of such sales. On January 1, 2015, we acquired Park, to further our ability to sell our proprietary and non-proprietary compounded formulations, and thus increasing our associated costs of such sales. On August 4, 2015, we acquired CAP, to continue to further our ability to sell our proprietary and non-proprietary compounded formulations, thus causing an additional increase in out associated cost of such sales. During the three and nine months ended September 30, 2015, there was an increase of $963 and $2,544, respectively, in costs of sales as compared to the same period in the prior year. This increase is related to the increase in our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gridSpan w:val="4"/>
          </w:tcPr>
          <w:p>
            <w:pPr>
              <w:jc w:val="center"/>
              <w:ind w:left="254"/>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60" w:type="dxa"/>
            <w:vAlign w:val="bottom"/>
            <w:gridSpan w:val="4"/>
          </w:tcPr>
          <w:p>
            <w:pPr>
              <w:jc w:val="center"/>
              <w:ind w:left="254"/>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5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4"/>
              </w:rPr>
              <w:t>4,455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began implementing commercialization efforts in the fourth quarter of 2013 and, following the acquisition of Pharmacy Creations on April 1, 2014, we began selling our proprietary compounded formulations and other non-proprietary pharmacy products and formulations. During the three and nine months ended September 30, 2015, there was an increase of $1,176 and $2,993, respectively, in sales and marketing expenses as compared to the same period in the prior year. This increase is attributed to the hiring of additional commercialization personnel, the launch of our urology based marketing efforts, attendance at trade conferences and implementation of other various marketing activities, all related to our commercialization efforts for our proprietary compounded formulations.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and nine months ended September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ind w:left="4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Variance</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General and</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3,104</w:t>
            </w:r>
          </w:p>
        </w:tc>
        <w:tc>
          <w:tcPr>
            <w:tcW w:w="6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1,954</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8,327</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administrative</w:t>
            </w:r>
          </w:p>
        </w:tc>
        <w:tc>
          <w:tcPr>
            <w:tcW w:w="8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3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7" w:name="page38"/>
    <w:bookmarkEnd w:id="37"/>
    <w:p>
      <w:pPr>
        <w:jc w:val="both"/>
        <w:ind w:firstLine="648"/>
        <w:spacing w:after="0" w:line="302" w:lineRule="auto"/>
        <w:rPr>
          <w:sz w:val="20"/>
          <w:szCs w:val="20"/>
          <w:color w:val="auto"/>
        </w:rPr>
      </w:pPr>
      <w:r>
        <w:rPr>
          <w:rFonts w:ascii="Arial" w:cs="Arial" w:eastAsia="Arial" w:hAnsi="Arial"/>
          <w:sz w:val="16"/>
          <w:szCs w:val="16"/>
          <w:color w:val="auto"/>
        </w:rPr>
        <w:t>For the three and nine months ended September 30, 2015, there was an increase of $1,150 and $2,164, respectively, in general and administrative expenses as compared to the same periods in the prior year. The increase in general and administrative expenses is largely attributable to additional expenses related to and the result of the acquisitions of Pharmacy Creations, Park and CAP and the general increase of our operations, including hiring additional personnel, obtaining and maintaining state pharmacy licenses, incurring increased professional fees and other related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nine months ended September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60" w:type="dxa"/>
            <w:vAlign w:val="bottom"/>
            <w:gridSpan w:val="4"/>
          </w:tcPr>
          <w:p>
            <w:pPr>
              <w:jc w:val="center"/>
              <w:ind w:left="195"/>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gridSpan w:val="3"/>
          </w:tcPr>
          <w:p>
            <w:pPr>
              <w:jc w:val="center"/>
              <w:ind w:right="365"/>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5"/>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Variance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72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2015, there was an increase of $23 and $133, respectively, in research and development expenses as compared to the same periods in the prior year. The increase in research and development expenses for the nine months ended September 30, 2015 compared to the same period in the prior year was primarily related to our sponsorship of investigator-initiated evaluations related to certain of our proprietary compounded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was $5 and $11 for the three and nine months ended September 30, 2015, compared to $8 and $26 for the same periods in the prior year. The decrease was due to a lower average cash balance during the nine months ended September 30, 2015 as compared to the same periods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$428 and $690 for the three and nine months ended September 30, 2015, respectively, compared to $1 and $3 for the same periods in the prior year. The increase is primarily due to interest expense recognition related to the LSAF Loan, and also capital leases and deferred acquisition obligations related to the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and nine months ended September 30, 2015 was $(3,952) and $(10,775), or $(0.41) and $(1.13), basic and diluted net loss per share, respectively, compared to a net loss for the same periods in the prior year of $(2,452) and $(7,373) or $(0.27) and $(0.81), basic and diluted net loss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dollar amounts in the below discussion are expressed in thousands.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cash on hand at September 30, 2015 was $6,556, compared to $10,364 at September 30, 2014. The decrease in cash on hand is primarily attributable to use of cash to support our operations and acquire Pharmacy Creations, Park and CAP. Since inception through September 30, 2015, we have incurred aggregate losses to common stockholders of $(52,640). These losses are primarily due to selling, general and administrative and research and development expenses incurred in connection with developing and seeking regulatory approval for our former drug candidate, Impracor, which activities we have now discontinued. Historically, our operations have been financed through capital contributions and debt and equity financings.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nine months ended September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 the Nine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For the Nine</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Months Ended</w:t>
            </w:r>
          </w:p>
        </w:tc>
      </w:t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September 30, 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September 30, 2014</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(828)</w:t>
            </w: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(1,655)</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(5,215)</w:t>
            </w:r>
          </w:p>
        </w:tc>
        <w:tc>
          <w:tcPr>
            <w:tcW w:w="80" w:type="dxa"/>
            <w:vAlign w:val="bottom"/>
            <w:tcBorders>
              <w:top w:val="single" w:sz="8" w:color="CCEEFF"/>
            </w:tcBorders>
            <w:gridSpan w:val="2"/>
          </w:tcPr>
          <w:p>
            <w:pPr>
              <w:spacing w:after="0"/>
              <w:rPr>
                <w:sz w:val="17"/>
                <w:szCs w:val="17"/>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w:t>
            </w:r>
          </w:p>
        </w:tc>
        <w:tc>
          <w:tcPr>
            <w:tcW w:w="60" w:type="dxa"/>
            <w:vAlign w:val="bottom"/>
            <w:shd w:val="clear" w:color="auto" w:fill="CCEEFF"/>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at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6,556</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10,364</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$(7,842) for the nine months ended September 30, 2015, as compared to $(5,004) used in operating activities during the same period in the prior year. The increase in net cash used in operating activities was mainly due to expanding our operations, including hiring additional personnel, commercialization and marketing activities related to our proprietary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2015 and 2014 was $(4,259) and $(828), respectively. The increase in cash used in investing activities during the nine months ended September 30, 2015 was primarily related to the acquisitions of Park and CAP.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2015 and 2014 was $10,446 and $617, respectively. The cash provided by financing activities during the nine months ended September 30, 2015 is primarily attributable to proceeds from the LSAF Loan entered in May 2015, and the proceeds received from cash exercises of warrants. The cash provided by financing activities during the nine months ended September 30, 2014 is primarily attributable to cash exercises of stock options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Sources of Capital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Quarterly Report, we believe that cash and cash equivalents and restricted investments of approximately $6,706 at September 30, 2015, together with expected future revenues and expenses, will be sufficient to sustain our planned level of operations for at least the next 12 months. However, our plans for this period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compounded formulations and technologies and the integration and expansion of our pharmacy operations, to pursue potential future strategic transactions, including the construction of an outsourcing facility and potential pharmacy and outsourcing facilities acquisitions, and to otherwise fund our operations. We expect additional funds would be required if we pursue the acquisition of additional compounding pharmacies or outsourcing facilities, conduct any clinical trials or any other studies that may be required to obtain FDA regulatory approval to market any potential product candidates, pursue additional development programs or explore other development opportunities.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have the option, if we satisfy certain revenue milestones, to obtain in May 2016 an additional $5,000 of debt proceeds under our loan agreement. We also plan to seek additional financing from a variety of sources, including equity or debt financing, funding from a corporate partnership or licensing arrangement,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operational covenants included in our May 2015 loan agreement.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in future periods, general economic conditions and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be forced to forego pursuit of potentially valuable development or acquisition opportunities, we may not be able to pursue any or all elements of our business plan. If we are unable to obtain sufficient capital, it would have a material adverse effect on our business and operations. It could cause us to fail to execute our business plan, fail to take advantage of future opportunities, or fail to respond to competitive pressures or customer requirements. It also may require us to significantly modify our business model and operations to reduce spending to a sustainable level, which may include delaying, scaling back or eliminating some or all of our ongoing and planned investments in corporate infrastructure, business development initiatives, and sales and marketing activities, among other investments. If adequate funds are not available when needed, we may be required to significantly reduce operations. The financial statements do not include any adjustment relating to recoverability or classification of recorded assets and classification of recorded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64"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660" w:right="5620" w:hanging="328"/>
        <w:spacing w:after="0" w:line="56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expectations that a reporting unit will be sold or otherwise disposed. The goodwill impairment test consists of a two-step process as follows:</w:t>
      </w:r>
    </w:p>
    <w:p>
      <w:pPr>
        <w:spacing w:after="0" w:line="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condensed consolidated balance sheet. Amortization expense of debt issuance costs and the debt discount is calculated using the effective interest method over the term of the debt and is recorded in interest expense in the accompanying condensed consolidated statement of operations.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nine months ended September 30, 2015, there were no other material changes to the “Critical Accounting Policies” discussed in Part II, Item 7 (Management’s Discussion and Analysis of Financial Condition and Results of Operations) of our 2014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2015. Based on this evaluation, our principal executive officer and principal financial officer have concluded that our disclosure controls and procedures were effective to achieve their stated purpose as of September 30, 2015, the end of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September 30, 2015,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have incurred losses in every year of our operations, including net losses of $(10.1 million) for the year ended December 31, 2014. As of September 30, 2015, our accumulated deficit was $(52.6 million). On June 26, 2011, we suspended our operations and filed a voluntary petition for reorganization relief under Chapter 11 of the U.S. Bankruptcy Code in the U.S.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commercialization activities and research and development. Although we have been generating revenue from our pharmacy operations since April 1, 2014 when we acquired the first of our ImprimisRx compounding pharmacies, our ability to generate significant revenues and achieve profitability will depend on a number of factors, including our ability, alone or with others, to identify promising development opportunities and implement appropriate commercialization strategies, develop and commercialize our proprietary compounded formulations, interest physicians and health care organizations in our proprietary formulations, successfully market and sell these formulations, integrate and operate our ImprimisRx compounding pharmacies and any other pharmacies or outsourcing facilities we may build or acquire in the future, establish a network of pharmacies with a broad geographic footprint, and comply with federal and state laws related to pharmaceutical compounding and, if applicable, U.S. Food and Drug Administration (“FDA”) regulations for any formulations for which we pursue FDA approval, as well as the other risk factors described in this Item 1A, many of which are outside of our direct control. These activities are costly and susceptible to failure, and we may never be able to achieve or sustain market acceptance of any of our proprietary formulations, generate sufficient revenue to support our business from our pharmacy operations, or reach the level of sales and revenues necessary to achieve and sustain profitability.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key aspect of our business strategy is to establish a compounding pharmacy network, whether through acquisitions, establishing new pharmacies or entering into licensing arrangements with third-party pharmacies, through which we can market and sell our proprietary formulations and other non-proprietary products in all 50 states. On April 1, 2014, we completed the acquisition of Pharmacy Creations, a New Jersey-based compounding pharmacy, on January 1, 2015, we completed the acquisition of Park, a California-based compounding pharmacy, on August 4, 2015 we completed the acquisition of CAP, a Texas-based compounding pharmacy, and on October 15, 2015, completed the acquisition of assets of ImprimisRx, a Pennsylvania-based compounding pharmacy, collectively through which we have rights to dispense formulations in 50 states. Additionally, in February 2015, we entered into a lease agreement for space in New Jersey and began construction efforts to build this space into an outsourcing facility, which we expect to be completed sometime during the first quarter of 2016. In October 2015, we announced plans to register our CAP Texas-based compounding pharmacy with the FDA as a 503B outsourcing facility, which we expect to complete in February 2016. We have limited experience acquiring, building or operating compounding pharmacies or other prescription dispensing facilities or commercializing our formulations through ownership of or licensing arrangements with pharmacies. We expect to expand our operations and personnel in the pharmacy operations area in order to further develop this compounding pharmacy network, but we may experience difficulties implementing this strategy, including difficulties that arise as a result of our lack of experience, and we may be unsuccessful. For instance, we may not be successful in our efforts to integrate, manage or otherwise realize the benefits we expect from our acquisitions of our ImprimisRx compounding pharmacies, or any additional pharmacy businesses or outsourcing facilities we seek to acquire or build in the future, we may not be able to satisfy applicable federal and state licensing and other requirements for any such pharmacy businesses in a timely manner or at all, changes to state and federal pharmacy regulations may restrict compounding operations or make them more costly, we may be unable to achieve a sufficient physician and patient customer base to sustain our pharmacy operations, and we may not be able to enter into licensing or other arrangements with third-party pharmacies or outsourcing facilities when desired, on acceptable terms, or at all. Moreover, all such efforts to expand our pharmacy operations and establish a pharmacy network will involve significant costs and other resources, which we may not be able to afford, disrupt our other operations and distract management and our other employees from other aspects of our business. Our business could materially suffer if we are unable to further develop this pharmacy network and, even if we are successful, we may be unable to generate sufficient revenue to recover our costs.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expect to distribute our proprietary formulations through compounding pharmacies. Formulations prepared and dispensed by compounding pharmacies contain FDA-approved ingredients, but are not themselves approved by the FDA. As a result, our formulations have not undergone the FDA approval process and only limited data, if any, may be available with respect to the safety and efficacy of our formulations for any particular indication. In addition, certain compounding pharmacies have been the subject of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these non-FDA approved compounded formulations, particularly when an FDA-approved alternative is available. Other reasons physicians may be unwilling to prescribe or patients may be unwilling to use our proprietary customizable compounded formulations could include the following, among others: we are limited in our ability to discuss the efficacy or safety of our formulations with potential purchasers of our formulations to the extent applicable data is available; our pharmacy operations are primarily operating on a cash-pay basis and reimbursement may or may not be available from third-party payors, including the government Medicare and Medicaid programs; and our formulations are not presently being prepared in a manufacturing facility governed by current good manufacturing practice (“cGMP”) requirements. Any failure by physicians, patients and/or third-party payors to accept and embrace compounded formulations could substantially limit our market and cause our operations to suffer.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may not receive sufficient revenue through our ImprimisRx compounding pharmacies or other compounding pharmacies we may acquire or develop or with which we may partner to fund our operations and recover our development costs.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plan involves the preparation and sale of our proprietary formulations through a network of compounding pharmacies and outsourcing facilities. We are in the process of establishing an internal sales force to pursue marketing and sales of our proprietary and other formulations in the states in which our ImprimisRx compounding pharmacies are authorized to operate under federal and state pharmacy laws. We are also pursuing additional strategic transactions to broaden our geographic reach, including our plans to open our own outsourcing facility in New Jersey, which is currently under construction that we expect to be completed in the first quarter of 2016 and plans to register our current Texas pharmacy as an outsourcing facility in the first quarter of 2016. We have limited experience operating pharmacies and commercializing compounded formulations and we may be unable to successfully manage this business or generate sufficient revenue to recover our development costs and operational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firstLine="648"/>
        <w:spacing w:after="0" w:line="269"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obtained FDA approval, only limited data will be available, if any, with respect to the safety and efficacy of our formulations for any particular indication, and we will be subject to regulatory limitations with respect to the information we can provide regarding the safety and efficacy of our formulations even if such data is available. As a result, physicians may not be interested in prescribing our formulations to their patients, and we may not generate significant revenue from sales of our proprietary formulations and other products. In addition, we are substantially dependent on our ImprimisRx compounding pharmacies and any other pharmacies or prescription dispensing facilities we acquire or develop and any pharmacy partners with which we may contract to compound and sell our formulations in sufficient volumes to accommodate the number of prescriptions they receive. We may be unable to acquire, build or enter into agreements with pharmacies or outsourcing facilities of sufficient size, reputation and quality to implement our business plan, and our pharmacy partners may be unable to compound our formulations successfully. If physicians and healthcare organizations were to request our formulations in quantities our pharmacies or pharmacy partners are unable to fill, our business would suffer.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proprietary formulations are comprised of active pharmaceutical ingredients that are components of drugs that have received marketing approval from the FDA, although our proprietary compounded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prohibitions 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These and other restrictions on the activities of compounding pharmacies may significantly limit the market available for compounded formulations, as compared to the market available for FDA-approved drugs.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the Health Insurance Portability and Accountability Act (“HIPAA”) and other state and federal laws related to the use, disclosure and transmission of health information; state and federal controlled substance laws; and statutes and regulations related to FDA approval for the sale and marketing of new drugs and medical devices.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as well as federal and state agency interpretations of such statutes and regulations. Such statutory or regulatory changes could require that we make changes to our business model and operations and/or could require that we incur significantly increased costs in order to comply with such regulations.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our ImprimisRx compounding pharmacies or any other pharmacy or outsourcing facility we acquire or build or with which we partner fails to comply with the Controlled Substances Act, FDCA, or state statutes and regulations, the pharmacy could be required to cease operations or become subject to restrictions that could adversely affect our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and subject pharmacies to oversight by state boards of pharmacy and other regulators that could impose burdensome requirements or restrictions on operations if a pharmacy is found not to comply with these laws. We believe that our ImprimisRx compounding pharmacies are in material compliance with applicable regulatory requirements. However, if any of our ImprimisRx compounding pharmacies fails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such noncompliance could also result in complaints or adverse actions by respective state boards of pharmacy, FDA inspection of the facility to determine compliance with the U.S. Food Drug and Cosmetic Act (“FDCA”),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 Although we ultimately expect to distribute our proprietary formulations through a network of compounding pharmacies, we may not be successful in establishing such a network and the loss or limitation of our ImprimisRx compounding pharmacies’ ability to compound sterile formulations would have an immediate adverse impact on our ability to successfully and timely implement our business plan.</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Many of the states into which our ImprimisRx compounding pharmacies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Further, under federal law, Section 503A of the FDCA seeks to limit the amount of compounded products that a pharmacy can dispense interstate. The interpretation and enforcement of that provision is dependent on the FDA entering into a memorandum of understanding (“MOU”) with each state setting forth limits on interstate compounding. In February 2015, the FDA presented a draft MOU that, if adopted and signed by states would limit the amount of interstate units dispensed from a compounding pharmacy to 30% of all compounded and non-compounded units dispensed or distributed by the pharmacy per month. This MOU, if adopted and signed by states, and any other state laws or requirements that may be enacted that prohibit or restrict the interstate operations of pharmacies could involve significant additional costs to us in order to sell compounded formulations in certain states and could limit our operations.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a compounding pharmacy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United States Pharmacopoeia (“USP”) &lt;795&gt; and USP &lt;797&gt; and applicable state and federal law, our proprietary compounded formulations are not required to be, and have not been, approved for marketing and sale by the FDA and, as a result, some physicians may be unwilling to prescribe, and some patients may be unwilling to use, our formulations. Additionally, 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As a result,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if any,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success of our proprietary formulations include the size of the market for such products, which could be smaller than we expect, the timing of market entry relative to competitive products, the availability of alternative compounded formulations or approved drugs, the price of our formulations and services relative to these alternative products, the availability of third-party reimbursement and the success of our sales and marketing efforts.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or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safety and quality of our products. We could be adversely affected if we, any other compounding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For instance, to the extent any of the components of approved drugs or other ingredients used by our ImprimisRx compounding pharmacies to produce our compounded formulations have quality or other problems that adversely affect the finished compounded preparations, our business could be adversely affected. Also, because of our dependence upon medical and patient perceptions, any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implemented a policy whereby 100% of all sterile compound batches produced by our ImprimisRx compounding pharmacies are tested both in-house and externally prior to their delivery to patients and physicians by an independent, FDA 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such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other acquired or developed pharmacy or pharmacy partner, our reputation may suffer, physicians may be unwilling to prescribe our proprietary formulations or order any prescriptions from such pharmacies, we may become subject to product and professional liability lawsuits, or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although our customers may choose to seek available reimbursement opportunities to the extent that they exist. We are currently in communications with third-party public and private payors regarding potential reimbursement options for certain of our proprietary formulations, but we may be unsuccessful in these efforts. Many third-party payors have imposed significant restrictions on reimbursement for compounded formulations in recent years. Additionally, even if we were to pursue and obtain FDA-approval for a particular product candidate, significant uncertainty exists as to the reimbursement status of newly approved health care products.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it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estimates of our future operating and capital expenditures are based upon our current business plan, the anticipated expenses associated with our ImprimisRx compounding pharmacies operations and our current expectations regarding the commercialization of our proprietary formulations. Our projections have varied significantly in the past as a result of changes to our business model and strategy, including our discontinuation of our historical Impracor program in November 2013 and our acquisitions of our ImprimisRx compounding pharmacies and various product development opportunities. We have limited experience operating a pharmacy and commercializing compounded formulations, and we may not accurately estimate expenses and potential revenue associated with these activities. Additionally, our operating expenses may fluctuate significantly as a result of a variety of factors, including those discussed in this Item 1A, some of which are outside of our direct control. If we are unable to correctly estimate the amount of cash necessary to fund our business, we could spend our available financial resources much faster than we currently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our acquisition of our ImprimisRx compounding pharmacies to provide us with limited research and development support and access to additional novel compounded formulations. However, we have historically relied, and we expect to continue to rely, primarily upon third parties to provide us with additional opportunities. In 2013, we entered into three asset purchase agreements for development opportunities as a result of referrals from Professional Compounding Centers of America (PCCA) pursuant to our strategic alliance agreement with PCCA. Although the term of the strategic alliance agreement currently extends until February 18, 2016 and automatically extends for successive one year periods unless either party provides notice of non-renewal, we do not expect to obtain additional referrals and development opportunities through PCCA. In October 2014, we entered into a license agreement with Urigen Pharmaceuticals, Inc. that provides us with, in exchange for certain royalty and diligence obligations, development and commercialization rights in the U.S. with respect to our patented formulation of heparin and alkalinized lidocaine for the prevention and treatment of lower urinary tract disorders. We may seek to enter into similar arrangements with other third parties and for other formulations in the future, but only if we are able to identify attractive formulations and negotiate agreements with their owners on terms acceptable to us, which we may not be able to do. If we are unable to utilize our ImprimisRx compounding pharmacies and our current and future relationships with pharmacists, physicians and other inventors to provide us with additional development opportunities, our growth opportunities may be limited. Moreover, we have limited resources to acquire additional potential product development assets and integrate them into our business and acquisition opportunities may involve competition among several potential purchasers, which could include large multi-national pharmaceutical companies and other competitors that have access to greater financial resources than we do.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firstLine="648"/>
        <w:spacing w:after="0" w:line="273" w:lineRule="auto"/>
        <w:rPr>
          <w:sz w:val="20"/>
          <w:szCs w:val="20"/>
          <w:color w:val="auto"/>
        </w:rPr>
      </w:pPr>
      <w:r>
        <w:rPr>
          <w:rFonts w:ascii="Arial" w:cs="Arial" w:eastAsia="Arial" w:hAnsi="Arial"/>
          <w:sz w:val="17"/>
          <w:szCs w:val="17"/>
          <w:color w:val="auto"/>
        </w:rPr>
        <w:t>Our pharmacist, physician and research consultants and advisors also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existing or any new product candidates. As a result, we face financial and operational risks and uncertainties in connection with any future product or technology acquisitions, and those we do complete may not be beneficial to us in the long term.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results of operations will depend to a significant extent upon our ability to successfully develop and commercialize in a timely manner any of the assets we have acquired or to which we may acquire rights in the future. Since May 2013, we have entered into four asset purchase agreements for assets related to compoundable formulations and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There are numerous difficulties and risks inherent in acquiring, developing and commercializing new formulations and product candidates, including the risks identified in this Item 1A.</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develop a commercialization strategy for the product candidate. These commercialization strategies could include, among others, marketing and selling the formulation in compounded form through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participate in strategic transactions that could impact our liquidity, increase our expenses and distract our management.</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For instance, in August 2015, we entered into a licensing arrangement with Advance Dosage Forms, Inc. (“ADF”) that grants ADF the rights to develop and sell in Canada certain of our Dropless and LessDrops formulations in exchange for royalty payments to us based on sales of these products.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charges specific to the transaction and not incident to our operations, may increase our near- and long-term expenditures, may pose significant integration challenges, may require us to hire or otherwise engage personnel with additional expertise, and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efforts to complete any significant transaction, we would need to expend significant resources to conduct business, legal and financial due diligence, with the goal of identifying and evaluating material risks involved in the transaction. Despite our efforts, we may be unsuccessful in ascertaining or evaluating all such risks and, as a result, we may not realize the expected benefits of any such transaction, whether due to unidentified risks, integration difficulties, regulatory setbacks or other events, and we may incur material liabilities for the past activities of any businesses we partner with or acquire. If any of these events were to occur, we could be subject to significant costs and damage to our reputation and our business, results of operations and financial condition could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5"/>
          <w:szCs w:val="15"/>
          <w:b w:val="1"/>
          <w:bCs w:val="1"/>
          <w:i w:val="1"/>
          <w:iCs w:val="1"/>
          <w:color w:val="auto"/>
        </w:rPr>
        <w:t>We have incurred significant indebtedness, which will require substantial cash to service and which subjects our business to certain restrictions.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11, 2015, we incurred $10 million of indebtedness under a loan agreement with IMMY Funding LLC, an affiliate of Life Sciences Alternative Funding LLC, with the potential to incur, at our option, an additional $5 million of indebtedness thereunder if we achieve certain revenue milestones on or before May 11, 2016. We are obligated to pay interest on the principal amount of the loans at a fixed per-annum rate of 12.5% and we are permitted to pay interest only for the first three years, after the end of the interest-only period, we will be required to pay interest, plus repayments of the principal amount of the loans, in 36 equal monthly installments. The interest-only period may be reduced to 20 months if we do not meet certain minimum revenue or cash balance requirements, and after the end of the interest-only period, we would be required to pay interest, plus repayments of the principal amount of the loans, in 24 equal monthly installments. All amounts owed under the loan agreement, including a final fee of 5% of the aggregate principal amount of the loans, will be due on the earlier of May 11, 2021 or 24 months after the end of the interest-only period. We expect our interest payment obligations under the loan agreement to total approximately $0.6 million for our 2015 fiscal year. The loans are secured by substantially all of our personal property, rights and assets, including our intellectual property rights.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capital through equity sales on terms that may be onerous or highly dilutive. If we desire to refinance our indebtedness, our ability to do so will depend on the capital markets and our financial condition at such time. We may not be able to engage in any of these activities or engage in these activities when needed or on desirable terms, which could result in a default on our debt obligations. Additionally, our loan agreement contains various restrictive covenants, including, among others, our obligation to deliver to the lender certain financial and other information, our obligation to comply with certain notice and insurance requirements, and our inability, without the lender’s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loan agreement when due, would cause us to be in default under the loan agreement. In the event of any such default, the lender may be able to foreclose on our assets that secure the loans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only recently started generating cash from operations, but we do not presently receive sufficient revenues to support our operations. Although we believe we have sufficient cash reserves to operate our business for at least the next 12 months, we will need significant additional capital to execute our business plan and fund our proposed business operations. Additionally, our plans for this period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ind w:firstLine="648"/>
        <w:spacing w:after="0" w:line="268" w:lineRule="auto"/>
        <w:rPr>
          <w:sz w:val="20"/>
          <w:szCs w:val="20"/>
          <w:color w:val="auto"/>
        </w:rPr>
      </w:pPr>
      <w:r>
        <w:rPr>
          <w:rFonts w:ascii="Arial" w:cs="Arial" w:eastAsia="Arial" w:hAnsi="Arial"/>
          <w:sz w:val="17"/>
          <w:szCs w:val="17"/>
          <w:color w:val="auto"/>
        </w:rPr>
        <w:t>We have raised over $30 million in funds through equity and debt financings since April 2012, including $10 million, net of expenses, of debt proceeds received in May 2015 under our loan agreement. In addition, we may have the option, if we satisfy certain revenue milestones, to obtain in May 2016 an additional $5 million of debt proceeds under our loan agreement. We also may seek to obtain additional capital through additional equity or debt financings, funding from corporate partnerships or licensing arrangements, sales of assets or other financing transactions. If additional capital is not available when necessary and on acceptable terms, we may need to forego pursuit of potentially valuable development or acquisition opportunities, we may not be able to continue to operate our business pursuant to our business plan or we may be forced to discontinue our operations entirely.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be required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operational covenants included in our May 2015 loan agreement.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started to build an internal sales and marketing infrastructure to implement our business plan by developing internal sales teams and education campaigns to market our proprietary ophthalmology, urology and otolaryngology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such as our recently established arrangement with ADF that grants it development and commercialization rights in Canada for certain of our Dropless and LessDrops formulations. We may not be able to secure sales personnel or relationships with third-party sales organizations that are adequate in number or expertise to successfully market and sell our proprietary formulations and pharmacy services. Further, any third-party organizations we may seek to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we may be unable to sell our formulations or services or generate revenue.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and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such cybersecurity or system failure, accident or breach to date, if such an event were to occur, it could result in a material disruption of our operations, substantial costs to rectify or correct the failure, if possible, and potentially violation of HIPAA and other privacy laws applicable to our pharmacy operations. If any disruption or security breach resulted in a loss of or damage to our data or applications or inappropriate disclosure of confidential or proprietary information, we could incur liability, further development of our proprietary formulations could be delayed, and our pharmacies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our current business strategy is focused on developing and commercializing product opportunities as compounded formulations, we may choose to seek FDA regulatory approval to market and sell one or more of our assets as a FDA-approved drug. The process of obtaining FDA approval to market and sell pharmaceutical products is costly, time consuming, uncertain and subject to unanticipated delays. If we choose to pursue FDA approval for one or more product candidates, the FDA or other regulatory agencies may not approve the product candidate on a timely basis or at all. Before we could obtain FDA approval for the sale of any of our potential product candidates, we would be required to demonstrate through preclinical studies and clinical trials that the product candidate is safe and effective for each intended use. Preclinical and clinical studies may fail to demonstrate the safety and efficacy of our potential product candidates. Even promising results from preclinical and early clinical studies do not accurately predict positive results in later, large-scale trials.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with respect to its distribution, which could reduce revenue potential, and we would be subject to extensive and costly post-approval requirements and oversight with respect to our commercialization of the product candidate.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or the termination of, any clinical and non-clinical trials for any product candidates for which we seek FDA approval could adversely affect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clinical trial for Impracor.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with clinical research organizations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formulations.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CROs and others to design, conduct, analyze and interpret the results of studies in connection with the research and development of our products. In addition, we have in the past provided and expect to continue to provide grants to physicians and other healthcare organizations to support investigator-initiated studies of our proprietary formulations. We generally have only very limited contractual rights in connection with the conduct of these studies. In addition, if we were to participate in clinical trials conducted under an investigator-sponsored new drug application approved by the FDA, correspondence and communication with the FDA pertaining to these trials would strictly be between the investigator and the FDA. The communication and information provided by the investigator may not be appropriate and accurate, which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we determine to pursue are not in our direct control.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by regulatory agencies. Failure of these third parties to meet their obligations could adversely affect the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successfully develop any product candidate into an FDA-approved drug, we would be subject to extensive continuing regulatory requirements and review, including review of adverse drug experiences and clinical results from any post-marketing tests or continued actions required as a condition of approval. The manufacturer and manufacturing facilities we would use to produce any such drug preparations would be subject to periodic review and inspection by the FDA, and we would be reliant on these third parties to maintain their manufacturing processes in compliance with FDA and all other applicable regulatory requirements. Any changes to a product that may have achieved approval, including the way it is manufactured or promoted, would often require FDA approval before the product, as modified, could be marketed and sold. In addition, we and our contract manufacturers would be subject to ongoing FDA requirements for submission of safety and other post-market information. If we or our contract manufacturers failed to comply with these or any other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We also would be required to submit information on any open and completed clinical trials to public registries and databases. Failure to comply with these requirements could expose us to negative publicity, fines and penalties that could harm our business.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not pursuing further development of Impracor, our historical product candidate, and we do not expect to receive any revenue from Impracor.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Historically, our business was focused on developing and commercializing our product candidate Impracor under the regulatory pathway provided by Section 505(b)(2) of the FDCA. In August 2013, our contract manufacturer for the materials to be used in a proposed Phase 3 clinical trial of Impracor notified us that such materials had demonstrated out of specification and decreasing stability test results, which we believe could likely have resulted in the materials being unusable for the duration of the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trial for Impracor and terminated all development programs for Impracor. We do not at this time expect to identify or pursue a successful commercialization pathway for Impracor. Even if we were to pursue commercialization of Impracor or sell compounded formulations utilizing the Impracor technology through our pharmacy operations, we would not expect to achieve sales and revenues necessary to recover our historical costs associated with the Impracor development program.</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other proprietary rights held by third parties, if necessary. We will only be able to protect our formulations and technologies from unauthorized use by third parties to the extent that valid and enforceable patents cover them. As of November 10, 2015, we owned twelve U.S. patent applications, including nine utility and three provisional patent applications, and we owned five international patent applications filed under the Patent Cooperation Treaty.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firstLine="648"/>
        <w:spacing w:after="0" w:line="276" w:lineRule="auto"/>
        <w:rPr>
          <w:sz w:val="20"/>
          <w:szCs w:val="20"/>
          <w:color w:val="auto"/>
        </w:rPr>
      </w:pPr>
      <w:r>
        <w:rPr>
          <w:rFonts w:ascii="Arial" w:cs="Arial" w:eastAsia="Arial" w:hAnsi="Arial"/>
          <w:sz w:val="17"/>
          <w:szCs w:val="17"/>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to which we have acquired rights. In addition, we cannot be certain that patents issued to us will not be challenged, invalidated, infringed or circumvented, including by our competitors, or that the rights granted thereunder will provide competitive advantages to us.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our contract manufacturing organizations or our other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While we have filed five international patent applications under the Patent Cooperation Treaty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file international patent applications for any of our current or future proprietary formulations and patents are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Moreover, attempting to enforce our patent rights in foreign jurisdictions could result in substantial costs and divert our efforts and attention from other aspects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affected products. Patent litigation is costly and time consuming and may divert management’s attention and our resources. We may not have sufficient resources to bring any such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i w:val="1"/>
          <w:iCs w:val="1"/>
          <w:color w:val="auto"/>
        </w:rPr>
        <w:t>We are dependent on our CEO, Mark L. Baum, for the continued growth and development of our Company.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CEO,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terminated all of our employees following our filing of the Chapter 11 Case. Since the dismissal of the Chapter 11 Case in December 2011, we have developed a new business model and have focused on rebuilding our management, pharmacy, research and development, sales and marketing and other personnel in order to pursue this business model. However, because of our history, we may have significant difficulty attracting and retaining necessary employees. In addition, because of the specialized nature of our business, our ability to develop products and to compete will remain highly dependent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including our research and development activities. Our agreements with our consultants typically provide that the consultant may terminate the agreement with advanced notice to us. If any of our consultants terminates their engagement with us, or if we are unable to engage highly qualified replacements as needed on commercially reasonable terms,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Patient Protection and Affordable Care Act (“ACA”) and the Health Care and Education Reconciliation Act of 2010, which amended ACA (collectively, the “Health Reform Law”) may have a considerable impact on the existing U.S. system for the delivery and financing of health care and conceivably could have a material effect on our business, although the details for implementation of many of the requirements under the Health Reform Law will depend on the promulgation of regulations by a number of federal government agencies. It is impossible to predict the final requirements of the Health Reform Law, any other changes to laws and regulations affecting the healthcare industry, or the net effect of these requirements or changes on our business, operations or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Because of their significant stock ownership, some of our existing stockholders are able to exert control over us and our significant corporate decisions, and sales of common stock by these stockholders from time to time could have an adverse effect on our stock price.</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November 10, 2015, approximately 17% of our common stock that would be outstanding following such issuances. In addition, five individual stockholders collectively own, or have the right to acquire within 60 days after November 10, 2015, an additional approximately 41% of our common stock that would be outstanding following such issuances. The sale of even a portion of these shares, or the perception that such sales could occur, would likely have a material adverse effect on our stock price. In addition,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w:t>
      </w:r>
    </w:p>
    <w:p>
      <w:pPr>
        <w:spacing w:after="0" w:line="18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or changes to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financial statements could be misstated, our reputation may be harmed and the trading price of our stock could decline. As we discuss in Item 9A of our Annual Report on Form 10-K for the year ended December 31, 2014, our management concluded that our internal controls over financial reporting were effective as of December 31, 2014.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risk factors affecting our business discussed in this Item 1A.</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would likely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 to time by our board of directors. Following the conversion of our Series A Preferred Stock on June 29, 2012, we have no shares of preferred stock issued and outstanding. Although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will be limited to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May 2015 loan agreement, as well as our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by our stockholders of substantial amounts of our common stock in the public market or the perception that such sales could occur upon the expiration of any statutory holding period, such as under Rule 144 under the Securities Act of 1933, as amended (the “Securities Act”), upon expiration of any lock-up periods applicable to outstanding shares or upon our issuance of shares upon the exercise of outstanding options or warrants, could cause the market price of our common stock to fall. The availability for sale of a substantial number of shares of our common stock, whether or not sales have occurred or are occurring, also could make it more difficult for us to raise additional financing through the sale of equity or equity-related securities in the future at a time and price that we deem reasonable or appropriate.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jc w:val="both"/>
        <w:ind w:left="920" w:hanging="917"/>
        <w:spacing w:after="0" w:line="255" w:lineRule="auto"/>
        <w:tabs>
          <w:tab w:leader="none" w:pos="9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Asset Purchase Agreement originally dated September 23, 2015 and subsequently amended on October 15, 2015, between ImprimisRx PA, Inc. (“ImprimisRx PA”), a Delaware corporation and a wholly-owned subsidiary of Imprimis Pharmaceuticals, Inc. and Thousand Oaks 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w:t>
      </w:r>
    </w:p>
    <w:p>
      <w:pPr>
        <w:spacing w:after="0" w:line="193" w:lineRule="exact"/>
        <w:rPr>
          <w:sz w:val="20"/>
          <w:szCs w:val="20"/>
          <w:color w:val="auto"/>
        </w:rPr>
      </w:pPr>
    </w:p>
    <w:p>
      <w:pPr>
        <w:jc w:val="both"/>
        <w:ind w:left="92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color w:val="auto"/>
        </w:rPr>
        <w:t>Certification of Mark L. Baum, principal executive officer, pursuant to Rule 13a-14(a) or 15d-14(a) of the Securities and Exchange Act of 1934, as adopted pursuant to Section 302 of the Sarbanes- Oxley Act of 2002.</w:t>
      </w:r>
    </w:p>
    <w:p>
      <w:pPr>
        <w:spacing w:after="0" w:line="170" w:lineRule="exact"/>
        <w:rPr>
          <w:sz w:val="20"/>
          <w:szCs w:val="20"/>
          <w:color w:val="auto"/>
        </w:rPr>
      </w:pPr>
    </w:p>
    <w:p>
      <w:pPr>
        <w:jc w:val="both"/>
        <w:ind w:left="920" w:right="2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color w:val="auto"/>
        </w:rPr>
        <w:t>Certification of Andrew R. Boll, principal financial and accounting officer, pursuant to Rule 13a-14(a) or 15d-14(a) of the Securities and Exchange Act of 1934, as adopted pursuant to Section 302 of the Sarbanes- Oxley Act of 2002.</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101.SCH*  </w:t>
      </w:r>
      <w:r>
        <w:rPr>
          <w:rFonts w:ascii="Arial" w:cs="Arial" w:eastAsia="Arial" w:hAnsi="Arial"/>
          <w:sz w:val="18"/>
          <w:szCs w:val="18"/>
          <w:color w:val="auto"/>
        </w:rPr>
        <w:t>XBRL Taxonomy Extension Schema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101.CAL*  </w:t>
      </w:r>
      <w:r>
        <w:rPr>
          <w:rFonts w:ascii="Arial" w:cs="Arial" w:eastAsia="Arial" w:hAnsi="Arial"/>
          <w:sz w:val="18"/>
          <w:szCs w:val="18"/>
          <w:color w:val="auto"/>
        </w:rPr>
        <w:t>XBRL Taxonomy Extension Calculation Linkbase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XBRL Taxonomy Extension Definition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101.LAB*  </w:t>
      </w:r>
      <w:r>
        <w:rPr>
          <w:rFonts w:ascii="Arial" w:cs="Arial" w:eastAsia="Arial" w:hAnsi="Arial"/>
          <w:sz w:val="18"/>
          <w:szCs w:val="18"/>
          <w:color w:val="auto"/>
        </w:rPr>
        <w:t>XBRL Taxonomy Extension Label Linkbase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XBRL Taxonomy Extension Presentation Linkbase</w:t>
      </w:r>
    </w:p>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12,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ASSET PURCHASE AGREEMENT (the “Agreement”), is made this 23rd day of September, 2015, by and among Thousand Oaks Holding Company, Inc., a Delaware corporation (“Company”), Topical Apothecary Group, LLC, a Pennsylvania limited liability company (“TAG”), Aerosol Science Laboratories, Inc., a California corporation (“ASL”), SinuTopic, Inc., a Delaware corporation (“SD”), Mycotoxins, LLC, a California limited liability company (“MYC” and together with TAG, ASL, and SD, collectively, “Subsidiaries” and each a “Subsidiary”; and together with Company, TAG, ASL, and SD, collectively, “Sellers” and each, individually, a “Seller”), and ImprimisRx PA, Inc., a Delaware corporation (“Buyer”).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TAG is the owner and operator of “TAG Pharmacy”, a licensed pharmacy located at 780 Primos Ave, Unit E, Folcroft, Pennsylvania 19032 (the “TAG Premises”). ASL is the former operator of “ASL Pharmacy”, a formerly licensed pharmacy located at 900 Calle Plano, Unit M, Camarillo, California 93012. SD is the former operator of “Sinus Dynamics Pharmacy”, a formerly licensed pharmacy located at 755 Lakefield Road, Unit D, Westlake Village, California 91361.</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 Upon the terms and subject to the conditions set forth herein, Buyer desires to purchase from Sellers, and Sellers desire to sell to Buyer, all of the assets (other than the Excluded Assets (defined below)) of the Company and Subsidiaries in exchange for the consideration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covenants, agreements, representations, and warranties contained herein,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both"/>
        <w:ind w:firstLine="8"/>
        <w:spacing w:after="0" w:line="258"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Sale and Transfer of the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on the Closing Date (as defined in Section 13.1), Sellers will sell,</w:t>
      </w:r>
      <w:r>
        <w:rPr>
          <w:rFonts w:ascii="Arial" w:cs="Arial" w:eastAsia="Arial" w:hAnsi="Arial"/>
          <w:sz w:val="18"/>
          <w:szCs w:val="18"/>
          <w:b w:val="1"/>
          <w:bCs w:val="1"/>
          <w:color w:val="auto"/>
        </w:rPr>
        <w:t xml:space="preserve"> </w:t>
      </w:r>
      <w:r>
        <w:rPr>
          <w:rFonts w:ascii="Arial" w:cs="Arial" w:eastAsia="Arial" w:hAnsi="Arial"/>
          <w:sz w:val="18"/>
          <w:szCs w:val="18"/>
          <w:color w:val="auto"/>
        </w:rPr>
        <w:t>convey, assign, transfer, and deliver to Buyer, and Buyer will purchase, accept and take from Sellers, the Assets (as defined in Section 13.1), free and clear of any Encumbrances (as defined in Section 13.1)(other than the Assumed Liabilities and Permitted Encumbrances (each as defined in Section 13.1)) Sellers shall have no obligation to assist Buyer in the physical transfer of any of the Assets to another location, other than to assist any subcontractors of Buyer with the packing of the same.</w:t>
      </w:r>
    </w:p>
    <w:p>
      <w:pPr>
        <w:spacing w:after="0" w:line="183" w:lineRule="exact"/>
        <w:rPr>
          <w:rFonts w:ascii="Arial" w:cs="Arial" w:eastAsia="Arial" w:hAnsi="Arial"/>
          <w:sz w:val="18"/>
          <w:szCs w:val="18"/>
          <w:color w:val="auto"/>
        </w:rPr>
      </w:pPr>
    </w:p>
    <w:p>
      <w:pPr>
        <w:ind w:firstLine="8"/>
        <w:spacing w:after="0" w:line="28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(the “Purchase Price”) for the Assets shall be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the aggregate of the consideration set forth in Section 2.1 and Section 2.2</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Closing Cash</w:t>
      </w:r>
      <w:r>
        <w:rPr>
          <w:rFonts w:ascii="Arial" w:cs="Arial" w:eastAsia="Arial" w:hAnsi="Arial"/>
          <w:sz w:val="16"/>
          <w:szCs w:val="16"/>
          <w:b w:val="1"/>
          <w:bCs w:val="1"/>
          <w:color w:val="auto"/>
        </w:rPr>
        <w:t>.</w:t>
      </w:r>
      <w:r>
        <w:rPr>
          <w:rFonts w:ascii="Arial" w:cs="Arial" w:eastAsia="Arial" w:hAnsi="Arial"/>
          <w:sz w:val="16"/>
          <w:szCs w:val="16"/>
          <w:color w:val="auto"/>
        </w:rPr>
        <w:t xml:space="preserve"> As partial consideration for the sale, conveyance, assignment, transfer and delivery to Buyer of the Assets, on the Closing Date, Buyer shall pay to Company by wire transfer of immediately available funds to an account or accounts designated by Company the sum of Four Hundred Ninety-Nine Thousand Dollars ($499,000) less the Six Thousand Eighteen Dollars and Sixty-Five Cents ($6,018.65) due the landlord under the Lease, for a net payment of Four Hundred Ninety-Two Thousand Nine Hundred Eighty-One Dollars and Thirty-Five Cents ($492,981.35) (the “Closing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Assumption of Liabilities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2.2.1 As additional consideration for the sale, conveyance, assignment, transfer and delivery to Buyer of the Assets, Buyer, as of the Closing Date, shall assume the lease of real property entered into by TAG with respect to the TAG Premises (the “Lease”) and the obligations under the contracts set forth on Schedule 3.7 of the Disclosure Schedule other than the Private Label Agreement between SinuTopic, Inc. and R1 Technology Partners LLC dated February 18, 2015 (the “Assumed Contracts”) together with the Lease, collectively, the “Assumed Liabilities”), provided that, in connection with the assumption of the Lease, at Closing Buyer shall reimburse TAG for, and thereafter Buyer shall be entitled to all benefits of and any right to receive a return of, the Six Thousand Eight Hundred and Seventy-Eight Dollars and Ninety-Eight Cents ($6,878.98) deposit held in connection with and pursuant to the terms of the Lease (the “Lease Deposit Reimbursement”).</w:t>
      </w:r>
    </w:p>
    <w:p>
      <w:pPr>
        <w:spacing w:after="0" w:line="18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2.2.2 Notwithstanding any provision in any Transaction Agreements (as defined in Section 13.1) to the contrary, except for assumption of the Assumed Liabilities, Buyer shall not assume or be deemed to have assumed any liabilities of Sellers or any subsidiaries or affiliates of Sellers (or any predecessor owner of all or part of Sellers’ respective businesses or assets), whether as transferee or successor, by contract or otherwise, and Sellers shall remain liable for, any and all liabilities of Sellers of any kind whatsoever, whether known, unknown, liquidated or contingent, whether presently in existence or arising or asserted hereafter, including, without limitation, any accounts payable of the Sellers (collectively, the “Excluded Liabilities”).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Purchase Price Allocation</w:t>
      </w:r>
      <w:r>
        <w:rPr>
          <w:rFonts w:ascii="Arial" w:cs="Arial" w:eastAsia="Arial" w:hAnsi="Arial"/>
          <w:sz w:val="17"/>
          <w:szCs w:val="17"/>
          <w:b w:val="1"/>
          <w:bCs w:val="1"/>
          <w:color w:val="auto"/>
        </w:rPr>
        <w:t>.</w:t>
      </w:r>
      <w:r>
        <w:rPr>
          <w:rFonts w:ascii="Arial" w:cs="Arial" w:eastAsia="Arial" w:hAnsi="Arial"/>
          <w:sz w:val="17"/>
          <w:szCs w:val="17"/>
          <w:color w:val="auto"/>
        </w:rPr>
        <w:t xml:space="preserve"> Within thirty (30) days after Closing, Buyer shall deliver to Sellers an allocation of the sum of the Purchase Price and Assumed Liabilities (and any adjustments thereof) among the Assets as of the Closing (the “Allocation”) in accordance with Section 1060 of the Internal Revenue Code of 1986, as amended, and the Treasury Regulations thereunder. Sellers shall have an opportunity to review the Allocation for a period of not more than ten (10) days after receipt of the Allocation (the “Review Period”). If Seller delivers notice to Buyer prior to the expiration of the Review Period that Sellers’ calculation of any item in the Allocation varies by twenty percent (20%) or more from the amount for such item set forth in the Allocation delivered by Buyer, Buyer and Sellers shall attempt in good faith to agree on an adjustment to the Allocation that is mutually agreeable to Buyer and Sellers for a period not to exceed ten (10) days and the Allocation as adjusted by the parties mutual agreement shall be binding on both Buyer and Sellers. If Seller does not provide notice of any dispute prior to the expiration of the Review Period, the Allocation shall be deemed to be final and binding on both Buyer and Sellers. Buyer and Sellers shall cooperate in connection with the preparation of Internal Revenue Service Form 8594 for its timely filing. Except as otherwise required by applicable law, Buyer and Sellers shall report for all tax purposes all transactions contemplated by this Agreement in a manner consistent with the Allocation and shall not take any position inconsistent therewith in any tax return, in any refund claim, in any litigation, or otherwise. If Buyer and Sellers are unable to agree on the Allocation, Buyer and Sellers shall each be permitted to file any returns reflecting an allocation of the purchase price as each shall independently determine.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3" w:name="page64"/>
    <w:bookmarkEnd w:id="63"/>
    <w:p>
      <w:pPr>
        <w:jc w:val="both"/>
        <w:ind w:firstLine="648"/>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Assets Acquired on “As Is,” “Where Is” Basis</w:t>
      </w:r>
      <w:r>
        <w:rPr>
          <w:rFonts w:ascii="Arial" w:cs="Arial" w:eastAsia="Arial" w:hAnsi="Arial"/>
          <w:sz w:val="18"/>
          <w:szCs w:val="18"/>
          <w:color w:val="auto"/>
        </w:rPr>
        <w:t>. Notwithstanding anything contained herein to the contrary, it is understood and agreed that, except as expressly set forth in this Agreement, including without limitation, the representations and warranties set forth in Section 3 of this Agreement, Sellers disclaim all warranties or representations of any kind or character, expressed or implied. Buyer is acquiring the Assets and will accept the Assets in an “as is,” “where is” condition with all faults. Buyer agrees that Buyer has not relied upon, and will not rely upon, either directly or indirectly, any representation or warranty of Sellers, or any representation or warranty of any agent or employee of Sellers, except such representations and warranties as expressly set forth in this Agreement.</w:t>
      </w:r>
    </w:p>
    <w:p>
      <w:pPr>
        <w:spacing w:after="0" w:line="188" w:lineRule="exact"/>
        <w:rPr>
          <w:sz w:val="20"/>
          <w:szCs w:val="20"/>
          <w:color w:val="auto"/>
        </w:rPr>
      </w:pPr>
    </w:p>
    <w:p>
      <w:pPr>
        <w:jc w:val="both"/>
        <w:ind w:firstLine="8"/>
        <w:spacing w:after="0" w:line="266" w:lineRule="auto"/>
        <w:tabs>
          <w:tab w:leader="none" w:pos="221"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As a material inducement to Buyer to enter into this Agreement and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except as set forth in the corresponding sections or subsections of the disclosure schedule attached hereto (the “Disclosure Schedule”), Sellers, jointly and severally, represent and warrant to Buyer as of the Closing Date as follows: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The Company is a corporation, duly formed, validly existing, and in good standing under the laws of the State of Delaware. ASL is a corporation, duly formed, validly existing, and in good standing under the laws of the State of California. SD is a corporation, duly formed, validly existing, and in good standing under the laws of the State of Delaware. TAG is a limited liability company, duly formed, validly existing, and in good standing under the laws of the Commonwealth of Pennsylvania. MYC is a limited liability company, duly formed, validly existing, and in good standing under the laws of the State of California.</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Each Seller has full power and authority to enter into and consummate the transactions contemplated by this Agreement. The execution and delivery of this Agreement and the consummation of the transactions contemplated hereby have been duly and validly authorized by the board of directors or managers, as applicable, of each Seller and no other corporate, limited liability company, or other proceedings on the part of any Seller are necessary to authorize this Agreement or to consummate the transactions contemplated hereby. This Agreement has been duly and validly executed and delivered by each Seller, and, assuming that this Agreement constitutes a valid and binding agreement of Buyer, constitutes the legal, valid and binding agreement and obligation of each Seller, enforceable in accordance with its terms, except as such enforcement may be limited by bankruptcy laws, laws affecting creditors’ rights generally, and equitable principles. No relationship or contract, order, or any other document or relationship prohibits or limits the transfers contemplated by this Agreement. Other than for compliance with the provisions of applicable statutes and regulations, no notice to, filing with, or authorization, consent, or approval of any domestic or foreign public body or authority is necessary for the consummation of the transactions contemplated by this Agreement.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No Violation to Result</w:t>
      </w:r>
      <w:r>
        <w:rPr>
          <w:rFonts w:ascii="Arial" w:cs="Arial" w:eastAsia="Arial" w:hAnsi="Arial"/>
          <w:sz w:val="16"/>
          <w:szCs w:val="16"/>
          <w:color w:val="auto"/>
        </w:rPr>
        <w:t>. The execution, delivery and performance by Sellers of this Agreement and the other documents contemplated hereby and the consummation by Sellers of the transactions contemplated hereby and thereby and the fulfillment by Sellers of the terms hereof and thereof, do not and will not (i) violate, breach or constitute a default under the respective organizational documents of Sellers, any contract of any Seller, or any law applicable to Sellers, (ii) give any governmental authority or any other person the right to prohibit any of the transactions contemplated by this Agreement, or</w:t>
      </w:r>
    </w:p>
    <w:p>
      <w:pPr>
        <w:spacing w:after="0" w:line="3" w:lineRule="exact"/>
        <w:rPr>
          <w:sz w:val="20"/>
          <w:szCs w:val="20"/>
          <w:color w:val="auto"/>
        </w:rPr>
      </w:pPr>
    </w:p>
    <w:p>
      <w:pPr>
        <w:jc w:val="both"/>
        <w:ind w:firstLine="8"/>
        <w:spacing w:after="0" w:line="277" w:lineRule="auto"/>
        <w:tabs>
          <w:tab w:leader="none" w:pos="3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result in the creation or imposition of any Encumbrance upon the Assets. Except as set forth on Section 3.3 of the Disclosure Schedule, no notice to, filing with, or consent of, any person is necessary in connection with the authorization, approval, execution, delivery or performance by Sellers of this Agreement and the other documents contemplated hereby or the consummation by any Seller of the transactions contemplated hereby or thereby.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jc w:val="both"/>
        <w:ind w:firstLine="648"/>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Title to Subject Assets</w:t>
      </w:r>
      <w:r>
        <w:rPr>
          <w:rFonts w:ascii="Arial" w:cs="Arial" w:eastAsia="Arial" w:hAnsi="Arial"/>
          <w:sz w:val="16"/>
          <w:szCs w:val="16"/>
          <w:color w:val="auto"/>
        </w:rPr>
        <w:t>. Sellers have good and marketable title to, are the exclusive legal and equitable owners of, and have the unrestricted power and right to sell, assign and deliver the Assets. At the Closing, Sellers will deliver the Assets free and clear of all Encumbrances of any kind or nature other than Permitted Encumbrances. Upon Closing, Buyer will acquire exclusive, good and marketable title to the Assets or a valid leasehold interest in the TAG Premises and no restrictions arising out of Sellers’ ownership of the Assets or rental of the TAG Premises will exist with respect to Buyer’s right to resell, license, or sublicense any of the Assets or Assumed Liabilities or engage in the Business (as defined in Section 13.1) in compliance with all laws.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Payments to Employees</w:t>
      </w:r>
      <w:r>
        <w:rPr>
          <w:rFonts w:ascii="Arial" w:cs="Arial" w:eastAsia="Arial" w:hAnsi="Arial"/>
          <w:sz w:val="18"/>
          <w:szCs w:val="18"/>
          <w:color w:val="auto"/>
        </w:rPr>
        <w:t>. Sellers have (i) paid all accrued amounts owing to any employees of Sellers for salaries, wages, fringe benefits, accrued vacation pay, and other compensation and (ii) have made all applicable withholdings for taxes in connection with all compensation paid to Sellers employees. Buyer will not incur or otherwise become subject to any liability arising out of any employee benefit plan of Sellers as a result of the transactions contemplated by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Liabilities</w:t>
      </w:r>
      <w:r>
        <w:rPr>
          <w:rFonts w:ascii="Arial" w:cs="Arial" w:eastAsia="Arial" w:hAnsi="Arial"/>
          <w:sz w:val="18"/>
          <w:szCs w:val="18"/>
          <w:color w:val="auto"/>
        </w:rPr>
        <w:t>. Section 3.6 of the Disclosure Schedule sets forth the unaudited balance sheet of Sellers dated as of August 31, 2015 (the “Balance Sheet”). The Balance Sheet sets forth a good faith representation of the existing assets and liabilities of Sellers and was prepared in a manner consistent with Sellers’ prior practices. There are no liabilities of the Sellers other than those reserved against or reflected on the Balance Sheet. A list of the accounts payable of each Seller is set forth on Section 3.6 of the Disclosure Schedule.</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Material Contracts</w:t>
      </w:r>
      <w:r>
        <w:rPr>
          <w:rFonts w:ascii="Arial" w:cs="Arial" w:eastAsia="Arial" w:hAnsi="Arial"/>
          <w:sz w:val="17"/>
          <w:szCs w:val="17"/>
          <w:color w:val="auto"/>
        </w:rPr>
        <w:t>. Section 3.7 of the Disclosure Schedule sets forth an accurate and complete list of each material contract relating to the Business. The Company has provided the Buyer with a true, correct and complete copy of each such material contract. Each such material contract is legal, valid, binding and enforceable in all material respects in accordance with its terms against Sellers and, to the knowledge of Sellers, all counterparties to such material contracts. Except as set forth on Section 3.7 of the Disclosure Schedule and to the knowledge of Sellers, there are no existing material breaches or material defaults by Sellers under the material contracts set forth in Section 3.7 of the Disclosure Schedule.</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Except in connection with any Permitted Encumbrance or as otherwise set forth on Section 3.8 of the Disclosure Schedule, there is no outstanding liability arising from any federal, state, local or foreign taxes, charges, fees, levies or other assessments or charges of any similar kind whatsoever payable with respect to Sellers, whether assessed or not, that may result in an Encumbrance on or other seizure or sale of all or any part of the Assets or would result in Buyer becoming liable or responsible therefor.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jc w:val="both"/>
        <w:ind w:firstLine="648"/>
        <w:spacing w:after="0" w:line="28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Except as set forth in Section 3.9, there is no judicial or administrative action, arbitration, claim, demand, hearing, investigation, litigation, proceeding or suit or, to the knowledge of any Seller, threatened against or affecting Sellers any of Sellers’ respective assets before any court, agency, authority, or arbitration tribunal or that would reasonably be expected to adversely impact the Assets or the Business.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Sellers have complied in all material respects with, and are not in material violation of, and have not received any written or oral notices of violation with respect to, any laws applicable to Sellers, the Assets or the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No Intent</w:t>
      </w:r>
      <w:r>
        <w:rPr>
          <w:rFonts w:ascii="Arial" w:cs="Arial" w:eastAsia="Arial" w:hAnsi="Arial"/>
          <w:sz w:val="18"/>
          <w:szCs w:val="18"/>
          <w:color w:val="auto"/>
        </w:rPr>
        <w:t>. Sellers are not entering into this Agreement with the intent to hinder, delay, or defraud any person to which any Seller is, or may become, indebted. The Closing Cash and the Assumed Liabilities are not less than the reasonably equivalent value of the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b w:val="1"/>
          <w:bCs w:val="1"/>
          <w:u w:val="single" w:color="auto"/>
          <w:color w:val="auto"/>
        </w:rPr>
        <w:t>Conduct of Business Before the Closing</w:t>
      </w:r>
      <w:r>
        <w:rPr>
          <w:rFonts w:ascii="Arial" w:cs="Arial" w:eastAsia="Arial" w:hAnsi="Arial"/>
          <w:sz w:val="17"/>
          <w:szCs w:val="17"/>
          <w:color w:val="auto"/>
        </w:rPr>
        <w:t>. Since August 31, 2015, Sellers: (i) have not sold or otherwise disposed of any of Sellers’ respective assets; and (ii) have kept all of the equipment and other tangible personal property included in the Assets in good working order and repair, reasonable wear and tear excepted, except that Sellers have caused ASL Pharmacy and Sinus Dynamics Pharmacy to cease operations.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u w:val="single" w:color="auto"/>
          <w:color w:val="auto"/>
        </w:rPr>
        <w:t>Licenses and Permits</w:t>
      </w:r>
      <w:r>
        <w:rPr>
          <w:rFonts w:ascii="Arial" w:cs="Arial" w:eastAsia="Arial" w:hAnsi="Arial"/>
          <w:sz w:val="18"/>
          <w:szCs w:val="18"/>
          <w:color w:val="auto"/>
        </w:rPr>
        <w:t>. Except as set forth in Section 3.14 of the Disclosure Schedule, all licenses held by TAG Pharmacy listed in Section 3.14 of the Disclosure Schedule are duly and validly issued and in full force and effect. TAG Pharmacy is currently registered or enrolled with the state boards of pharmacy listed in Section 3.14 of the Disclosure and the Drug Enforcement Administration and there have not been and there currently are no criminal, administrative, disciplinary proceedings, or other suits or proceedings pending or threatened against TAG Pharmacy nor do Sellers have any knowledge of any such proceedings; and no corporate officer, director, member, or shareholder has in the past had any license necessary to the conduct of the Business, suspended or revoked.</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u w:val="single" w:color="auto"/>
          <w:color w:val="auto"/>
        </w:rPr>
        <w:t>No Other Agreements</w:t>
      </w:r>
      <w:r>
        <w:rPr>
          <w:rFonts w:ascii="Arial" w:cs="Arial" w:eastAsia="Arial" w:hAnsi="Arial"/>
          <w:sz w:val="18"/>
          <w:szCs w:val="18"/>
          <w:color w:val="auto"/>
        </w:rPr>
        <w:t>. No Sellers nor any Representatives (as defined in Section 13.1) of Sellers have entered into any other agreements or arrangements with respect to the sale or other disposition of the Assets (except for non-binding letters of intent or similar such instruments that would in no way affect the transferability of the Assets pursuant to this Agreement) other than with respect to sales of assets in the ordinary course of business consistent with past practice.</w:t>
      </w:r>
    </w:p>
    <w:p>
      <w:pPr>
        <w:spacing w:after="0" w:line="180" w:lineRule="exact"/>
        <w:rPr>
          <w:sz w:val="20"/>
          <w:szCs w:val="20"/>
          <w:color w:val="auto"/>
        </w:rPr>
      </w:pPr>
    </w:p>
    <w:p>
      <w:pPr>
        <w:ind w:firstLine="8"/>
        <w:spacing w:after="0" w:line="282"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Buyer</w:t>
      </w:r>
      <w:r>
        <w:rPr>
          <w:rFonts w:ascii="Arial" w:cs="Arial" w:eastAsia="Arial" w:hAnsi="Arial"/>
          <w:sz w:val="18"/>
          <w:szCs w:val="18"/>
          <w:b w:val="1"/>
          <w:bCs w:val="1"/>
          <w:color w:val="auto"/>
        </w:rPr>
        <w:t xml:space="preserve">. </w:t>
      </w:r>
      <w:r>
        <w:rPr>
          <w:rFonts w:ascii="Arial" w:cs="Arial" w:eastAsia="Arial" w:hAnsi="Arial"/>
          <w:sz w:val="18"/>
          <w:szCs w:val="18"/>
          <w:color w:val="auto"/>
        </w:rPr>
        <w:t>Buyer represents and warrants to Sellers as follows, the truth and accuracy of each of which shall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to the obligations of Sellers: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Buyer is a corporation, duly formed, validly existing, and in good standing under the laws of the State of Delaware.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Buyer has full power and authority to execute and deliver this Agreement and consummate the transactions contemplated hereby. The execution and delivery of this Agreement and the consummation of the transactions contemplated hereby have been duly and validly authorized by the board of directors of Buyer and no other corporate or other proceedings on the part of Buyer are necessary to authorize this Agreement or to consummate the transactions contemplated hereby. This Agreement has been duly and validly executed and delivered by Buyer, and, assuming that this Agreement constitutes a valid and binding agreement of Sellers, constitutes the legal, valid, and binding agreement and obligation of Buyer, enforceable in accordance with its terms, except as such enforcement may be limited by bankruptcy laws, laws affecting creditors’ rights generally, and equitable principles. No relationship of Buyer or contract, order, or any other agreement to which Buyer is a party prohibits or limits the transactions contemplated by this Agreement. Other than for compliance with the provisions of applicable statutes and regulations, Buyer is not required to provide any notice to, make any filing with, or obtain the authorization, consent or approval of, any domestic or foreign governmental authority in order to consummate the transactions contemplated by this Agreement.</w:t>
      </w:r>
    </w:p>
    <w:p>
      <w:pPr>
        <w:spacing w:after="0" w:line="17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No Violation to Result</w:t>
      </w:r>
      <w:r>
        <w:rPr>
          <w:rFonts w:ascii="Arial" w:cs="Arial" w:eastAsia="Arial" w:hAnsi="Arial"/>
          <w:sz w:val="16"/>
          <w:szCs w:val="16"/>
          <w:color w:val="auto"/>
        </w:rPr>
        <w:t>. The execution, delivery and performance by Buyer of this Agreement and the other documents contemplated hereby and the consummation by Buyer of the transactions contemplated hereby and thereby and the fulfillment by Buyer of the terms hereof and thereof, do not and will not (i) violate, breach or constitute a default under the organizational documents of Buyer, any contract of Buyer, or any law applicable to Buyer or (ii) give any governmental authority or any other person the right to prohibit any of the transactions contemplated by this Agreement. No notice to, filing with, or consent of, any person is necessary in connection with the authorization, approval, execution, delivery or performance by Buyer of this Agreement and the other documents contemplated hereby or the consummation by Buyer of the transactions contemplated hereby or thereby.</w:t>
      </w:r>
    </w:p>
    <w:p>
      <w:pPr>
        <w:spacing w:after="0" w:line="156"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Buyer Covenants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Buyer Filing of Change of Ownership Paperwork</w:t>
      </w:r>
      <w:r>
        <w:rPr>
          <w:rFonts w:ascii="Arial" w:cs="Arial" w:eastAsia="Arial" w:hAnsi="Arial"/>
          <w:sz w:val="18"/>
          <w:szCs w:val="18"/>
          <w:color w:val="auto"/>
        </w:rPr>
        <w:t>. After the Closing Date, Buyer will cause to be timely filed all notices and applications necessary for Buyer to acquire or, to the extent permissible under applicable law, transfer to Buyer any permits or contracts held by TAG in connection with the operation of the TAG Pharmacy.</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Buyer Response to PBM and Other Audits</w:t>
      </w:r>
      <w:r>
        <w:rPr>
          <w:rFonts w:ascii="Arial" w:cs="Arial" w:eastAsia="Arial" w:hAnsi="Arial"/>
          <w:sz w:val="16"/>
          <w:szCs w:val="16"/>
          <w:color w:val="auto"/>
        </w:rPr>
        <w:t>. After the Closing Date and for a period of six (6) months, Buyer shall timely respond to any PBM (as defined in Section 13.1) or similar audits with respect to TAG Pharmacy that are received by Buyer, and shall promptly give written notice to the Company of any such audits. In no event shall Buyer be required to incur any financial liability or make any payment in connection with any such audit.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Maintenance of Pharmacy Records</w:t>
      </w:r>
      <w:r>
        <w:rPr>
          <w:rFonts w:ascii="Arial" w:cs="Arial" w:eastAsia="Arial" w:hAnsi="Arial"/>
          <w:sz w:val="18"/>
          <w:szCs w:val="18"/>
          <w:color w:val="auto"/>
        </w:rPr>
        <w:t>. After the Closing and receipt from Sellers of all prescription files and records relating to each of TAG Pharmacy, ASL Pharmacy and Sinus Dynamics Pharmacy (the “Pharmacy Records”), Buyer, at Buyer’s expense, will transfer the Pharmacy Records to TAG Pharmacy or Buyer’s central repository of records. Buyer agrees to preserve all Pharmacy Records, to respond to any inquires received with reference thereto, to provide each Seller with reasonable access thereto and permit each Seller to make copies thereof during normal business hours for a period of seven (7) years following the Closing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Employer Identification Number (EIN); Provider Numbers; License Applications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260" w:right="20" w:firstLine="1296"/>
        <w:spacing w:after="0" w:line="342" w:lineRule="auto"/>
        <w:rPr>
          <w:sz w:val="20"/>
          <w:szCs w:val="20"/>
          <w:color w:val="auto"/>
        </w:rPr>
      </w:pPr>
      <w:r>
        <w:rPr>
          <w:rFonts w:ascii="Arial" w:cs="Arial" w:eastAsia="Arial" w:hAnsi="Arial"/>
          <w:sz w:val="16"/>
          <w:szCs w:val="16"/>
          <w:color w:val="auto"/>
        </w:rPr>
        <w:t>5.4.1 From and after the Closing, for income tax reporting purposes all activities with respect to TAG Pharmacy shall be reportable under Buyer’s EIN, and Buyer will have no responsibility for filing tax returns under the Sellers’ EINs for any of the Company, TAG, ASL, SD or MYC.</w:t>
      </w:r>
    </w:p>
    <w:p>
      <w:pPr>
        <w:spacing w:after="0" w:line="124" w:lineRule="exact"/>
        <w:rPr>
          <w:sz w:val="20"/>
          <w:szCs w:val="20"/>
          <w:color w:val="auto"/>
        </w:rPr>
      </w:pPr>
    </w:p>
    <w:p>
      <w:pPr>
        <w:jc w:val="both"/>
        <w:ind w:left="260" w:firstLine="1296"/>
        <w:spacing w:after="0" w:line="264" w:lineRule="auto"/>
        <w:rPr>
          <w:sz w:val="20"/>
          <w:szCs w:val="20"/>
          <w:color w:val="auto"/>
        </w:rPr>
      </w:pPr>
      <w:r>
        <w:rPr>
          <w:rFonts w:ascii="Arial" w:cs="Arial" w:eastAsia="Arial" w:hAnsi="Arial"/>
          <w:sz w:val="18"/>
          <w:szCs w:val="18"/>
          <w:color w:val="auto"/>
        </w:rPr>
        <w:t>5.4.2 Within fifteen (15) days after Closing, Buyer will submit all change of ownership notices, applications, fees, and other documentation necessary to obtain any required licenses from the Pennsylvania Board of Pharmacy with respect to Buyer’s ownership of TAG Pharmacy (the “PA Licensure”).</w:t>
      </w:r>
    </w:p>
    <w:p>
      <w:pPr>
        <w:spacing w:after="0" w:line="181" w:lineRule="exact"/>
        <w:rPr>
          <w:sz w:val="20"/>
          <w:szCs w:val="20"/>
          <w:color w:val="auto"/>
        </w:rPr>
      </w:pPr>
    </w:p>
    <w:p>
      <w:pPr>
        <w:jc w:val="both"/>
        <w:ind w:left="260" w:firstLine="1296"/>
        <w:spacing w:after="0" w:line="277" w:lineRule="auto"/>
        <w:rPr>
          <w:sz w:val="20"/>
          <w:szCs w:val="20"/>
          <w:color w:val="auto"/>
        </w:rPr>
      </w:pPr>
      <w:r>
        <w:rPr>
          <w:rFonts w:ascii="Arial" w:cs="Arial" w:eastAsia="Arial" w:hAnsi="Arial"/>
          <w:sz w:val="18"/>
          <w:szCs w:val="18"/>
          <w:color w:val="auto"/>
        </w:rPr>
        <w:t>5.4.3 Buyer will obtain new NPI and NCPDP numbers to be used in connection with Buyer’s TAG Pharmacy and shall activate such new NPI and NCPDP numbers within fifteen (15) days after Buyers receipt of PA Licensure.</w:t>
      </w:r>
    </w:p>
    <w:p>
      <w:pPr>
        <w:spacing w:after="0" w:line="170" w:lineRule="exact"/>
        <w:rPr>
          <w:sz w:val="20"/>
          <w:szCs w:val="20"/>
          <w:color w:val="auto"/>
        </w:rPr>
      </w:pPr>
    </w:p>
    <w:p>
      <w:pPr>
        <w:jc w:val="both"/>
        <w:ind w:left="260" w:firstLine="1296"/>
        <w:spacing w:after="0" w:line="259" w:lineRule="auto"/>
        <w:rPr>
          <w:sz w:val="20"/>
          <w:szCs w:val="20"/>
          <w:color w:val="auto"/>
        </w:rPr>
      </w:pPr>
      <w:r>
        <w:rPr>
          <w:rFonts w:ascii="Arial" w:cs="Arial" w:eastAsia="Arial" w:hAnsi="Arial"/>
          <w:sz w:val="18"/>
          <w:szCs w:val="18"/>
          <w:color w:val="auto"/>
        </w:rPr>
        <w:t>5.4.4 Within ninety (90) days after Closing, Buyer will submit (i) all change of ownership notices, applications, fees, and other documentation necessary to obtain required licenses in any jurisdiction other than Pennsylvania with respect to Buyer’s ownership of TAG Pharmacy (“Other Licensure”); and (ii) all change of ownership and other documentation necessary in connection with all payer contracts (together with Other Licensure, collectively “Required Approvals”).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Actions Under Power of Attorney</w:t>
      </w:r>
      <w:r>
        <w:rPr>
          <w:rFonts w:ascii="Arial" w:cs="Arial" w:eastAsia="Arial" w:hAnsi="Arial"/>
          <w:sz w:val="18"/>
          <w:szCs w:val="18"/>
          <w:color w:val="auto"/>
        </w:rPr>
        <w:t>. All powers granted to Buyer pursuant to the power of attorney delivered to Buyer pursuant to Section 8.2.4(g) of this Agreement shall expire upon the earliest to occur of (i) Buyer’s receipt of all Required Approvals; and (ii) one hundred eighty (180) days after Closing (the “POA Term”); provided, however, that the POA Term may be extended for one or more additional sixty (60) day periods with the written consent of TAG, which consent shall not be unreasonably withheld. Upon expiration of the POA Term, Buyer (i) shall not exercise any powers granted to Buyer pursuant to such power of attorney; and (ii) shall either deliver the original of such power of attorney to TAG or provide written confirmation to TAG that the original of such power of attorney has been destroyed.</w:t>
      </w:r>
    </w:p>
    <w:p>
      <w:pPr>
        <w:spacing w:after="0" w:line="188" w:lineRule="exact"/>
        <w:rPr>
          <w:sz w:val="20"/>
          <w:szCs w:val="20"/>
          <w:color w:val="auto"/>
        </w:rPr>
      </w:pPr>
    </w:p>
    <w:p>
      <w:pPr>
        <w:jc w:val="both"/>
        <w:ind w:firstLine="8"/>
        <w:spacing w:after="0" w:line="281"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Bulk Transfer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hereto hereby waives compliance with the provisions of any applicable bulk transfer law; provided, however,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agree: (i) to pay and discharge when due or to contest or litigate all claims of creditors that are asserted against Buyer or the Assets by reason of noncompliance with any such law; (ii) to indemnify, defend and hold harmless Buyer from and against any and all such claims in the manner provided in Section 9; and (iii) to take promptly all necessary action to remove any Encumbrance on the Assets by reason of such noncompliance.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Purchased Assets</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6.1.1 In the event that, at any time or from time to time following the Closing, any party identifies any asset that is included within the definition of “Assets” that was not transferred as of Closing, then Sellers shall promptly transfer, or cause to be transferred, such asset to Buyer for no additional consideration. Prior to any such transfer, the applicable Seller shall hold such asset in trust for Buyer.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8" w:name="page69"/>
    <w:bookmarkEnd w:id="68"/>
    <w:p>
      <w:pPr>
        <w:jc w:val="both"/>
        <w:ind w:firstLine="1297"/>
        <w:spacing w:after="0" w:line="272" w:lineRule="auto"/>
        <w:rPr>
          <w:sz w:val="20"/>
          <w:szCs w:val="20"/>
          <w:color w:val="auto"/>
        </w:rPr>
      </w:pPr>
      <w:r>
        <w:rPr>
          <w:rFonts w:ascii="Arial" w:cs="Arial" w:eastAsia="Arial" w:hAnsi="Arial"/>
          <w:sz w:val="17"/>
          <w:szCs w:val="17"/>
          <w:color w:val="auto"/>
        </w:rPr>
        <w:t>6.1.2 Notwithstanding the foregoing, if any of the Assets are not assignable or transferable (each, a “Non-Transferable Asset”) without consent of a third party thereto, and if any such consent is not obtained on or prior to the Closing Date, this Agreement and the related instruments of transfer shall not constitute an assignment or transfer of such Non-Transferable Asset, and Buyer or its designee(s) shall not assume the applicable Seller or Sellers’ rights or obligations under such Non-Transferable Asset (and such Non-Transferable Asset shall not be included in the Assets), and instead Buyer, at Buyer’s sole cost and expense shall use commercially reasonable efforts to obtain any such consent as soon as reasonably practicable after the Closing Date and thereafter the applicable Seller shall transfer and assign to Buyer such Non-Transferable Assets for no additional consideration. Following any such assignment or transfer, such Non-Transferable Assets shall be deemed Assets for purposes of this Agreement.</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6.1.3 After the Closing, the Sellers shall use commercially reasonable efforts (including making any necessary payments to third parties or otherwise incurring expenses or costs, but only to the extent any payments, expenses or costs are reimbursed by Buyer) to provide Buyer or its designee(s) with all of the rights and benefits of any Non-Transferable Assets after the Closing as if the appropriate consent had been obtained.</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Interim Medication and Devices Inventory and Reconciliation</w:t>
      </w:r>
      <w:r>
        <w:rPr>
          <w:rFonts w:ascii="Arial" w:cs="Arial" w:eastAsia="Arial" w:hAnsi="Arial"/>
          <w:sz w:val="17"/>
          <w:szCs w:val="17"/>
          <w:color w:val="auto"/>
        </w:rPr>
        <w:t>. On the Closing Date, Sellers shall deliver to Buyer an inventory of all drugs and devices on hand at TAG Pharmacy, ASL Pharmacy and Sinus Dynamics Pharmacy as of the Closing Date (“Closing Inventory”).</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Limited Power of Attorney</w:t>
      </w:r>
      <w:r>
        <w:rPr>
          <w:rFonts w:ascii="Arial" w:cs="Arial" w:eastAsia="Arial" w:hAnsi="Arial"/>
          <w:sz w:val="16"/>
          <w:szCs w:val="16"/>
          <w:color w:val="auto"/>
        </w:rPr>
        <w:t>. Effective upon the Closing, the Sellers hereby irrevocably appoint Buyer and its successors, agents and assigns as its true and lawful attorney, in its name, place and stead, with power of substitution, to take any action and to execute any instrument which Buyer may deem necessary or advisable for the purposes of: (i) demanding and receiving any and all Assets not held by Sellers and to make endorsements and give receipts and releases for and in respect of the same; (ii) to institute, prosecute, defend, compromise, or settle any and all proceedings with respect to the Assets and the Lease; (iii) to make any filings required to transfer any of the Sellers’ intellectual property rights included in the Assets; (iv) to receive and open all mail, packages and other communications addressed to any Seller relating to the Business; and (vi) conveying to Buyer the right to use, among other required numbers, but not limited to, TAG Pharmacy’s state licenses, Board of Pharmacy registrations, DEA registrations, Medicaid Provider Numbers, Medicare Provider Numbers, and NCPDP and NPI numbers. The foregoing power of attorney is a special power of attorney coupled with an interest and is irrevocable.</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Interim Operations</w:t>
      </w:r>
      <w:r>
        <w:rPr>
          <w:rFonts w:ascii="Arial" w:cs="Arial" w:eastAsia="Arial" w:hAnsi="Arial"/>
          <w:sz w:val="18"/>
          <w:szCs w:val="18"/>
          <w:color w:val="auto"/>
        </w:rPr>
        <w:t>. Sellers will use commercially reasonable efforts to introduce parties designated by Buyer to (i) the management of NeilMed, (ii) device manufacturers utilized by Sellers in connection with the Business, and (iii) other contract parties with respect to contracts utilized by Sellers in connection with the Business as requested by Buyer. Because Sellers will not operate ASL Pharmacy or Sinus Dynamics Pharmacy following execution of this Agreement, Sellers will use commercially reasonable efforts to provide information to Buyer concerning the cost of warehousing in California the portion of the Assets to be acquired from ASL and SD and for shipping such portion of the Assets to the TAG Premises. Any storage or shipping costs related to the portion of the Assets to be acquired from ASL and SD shall be at Buyer’s sole cost and expense and Buyer shall remove all such Assets from any premises of Sellers on or before September 30,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ind w:right="200" w:firstLine="8"/>
        <w:spacing w:after="0" w:line="266"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representations and warranties of Sellers set forth in Sections 3.1, 3.2, and 3.4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of Buyer set forth in Section 4.1 and 4.2, which warranties shall survive indefinitely, all representations and warranties made under this Agreement will survive the Closing for a period of one (1) year.</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Closing</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r>
        <w:rPr>
          <w:rFonts w:ascii="Arial" w:cs="Arial" w:eastAsia="Arial" w:hAnsi="Arial"/>
          <w:sz w:val="18"/>
          <w:szCs w:val="18"/>
          <w:color w:val="auto"/>
        </w:rPr>
        <w:t xml:space="preserve"> The transactions contemplated by this Agreement shall close by electronic exchange of documents (the “Closing”) as soon as practicable after the date on which the document deliveries and actions referenced in this Section 8 are completed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Conditions to Buyer’s Obligations</w:t>
      </w:r>
      <w:r>
        <w:rPr>
          <w:rFonts w:ascii="Arial" w:cs="Arial" w:eastAsia="Arial" w:hAnsi="Arial"/>
          <w:sz w:val="18"/>
          <w:szCs w:val="18"/>
          <w:b w:val="1"/>
          <w:bCs w:val="1"/>
          <w:color w:val="auto"/>
        </w:rPr>
        <w:t>.</w:t>
      </w:r>
      <w:r>
        <w:rPr>
          <w:rFonts w:ascii="Arial" w:cs="Arial" w:eastAsia="Arial" w:hAnsi="Arial"/>
          <w:sz w:val="18"/>
          <w:szCs w:val="18"/>
          <w:color w:val="auto"/>
        </w:rPr>
        <w:t xml:space="preserve"> The obligations of Buyer to consummate the transactions contemplated under this Agreement and the other Transaction Agreements are subject to the fulfillment and satisfaction, prior to or at the time of the Closing, of each of the following conditions precedent (the “Buyer Conditions”), any one or more of which may be waived, in part or in full, by Buyer in writing:</w:t>
      </w:r>
    </w:p>
    <w:p>
      <w:pPr>
        <w:spacing w:after="0" w:line="18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8.2.1 The representations and warranties of each Seller contained in this Agreement (and in any other Transaction Agreement delivered by any Seller pursuant hereto) shall be true, correct, and complete in all material respects on and as of the Closing and each Seller shall have executed and delivered to Buyer a certificate as of the Closing to the effect set forth in this Section 8.2.1.</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8.2.2 All of the terms, covenants, agreements and obligations of this Agreement to be complied with, performed, or satisfied by any Seller on or before the Closing Date shall have been duly complied with, performed, or satisfied in all material respects on or before such date and each Seller shall have executed and delivered to Buyer a certificate as of the Closing to such effect.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8.2.3 Any lenders to Sellers who are required to approve or consent to the sale of the Assets to Buyer pursuant to this Agreement shall have delivered an approval or consent, including assurance that Buyer will not be liable for any claims such lenders may have against Sellers or the Assets, in form and substance reasonably acceptable to Buyer.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8.2.4 On or prior to the Closing, Sellers shall have delivered or made available to Buyer the following: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the Pharmacy Records.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0" w:name="page71"/>
    <w:bookmarkEnd w:id="70"/>
    <w:p>
      <w:pPr>
        <w:ind w:firstLine="1953"/>
        <w:spacing w:after="0" w:line="277" w:lineRule="auto"/>
        <w:tabs>
          <w:tab w:leader="none" w:pos="2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evidence satisfactory to Buyer that any Encumbrances other than Permitted Encumbrances on the Assets have been released and discharged, including UCC-3 termination statements;</w:t>
      </w:r>
    </w:p>
    <w:p>
      <w:pPr>
        <w:spacing w:after="0" w:line="170" w:lineRule="exact"/>
        <w:rPr>
          <w:rFonts w:ascii="Arial" w:cs="Arial" w:eastAsia="Arial" w:hAnsi="Arial"/>
          <w:sz w:val="18"/>
          <w:szCs w:val="18"/>
          <w:color w:val="auto"/>
        </w:rPr>
      </w:pPr>
    </w:p>
    <w:p>
      <w:pPr>
        <w:jc w:val="both"/>
        <w:ind w:firstLine="1953"/>
        <w:spacing w:after="0" w:line="271" w:lineRule="auto"/>
        <w:tabs>
          <w:tab w:leader="none" w:pos="2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certificate of each Seller’s secretary (or comparable officer), setting forth certified copies of the articles of organization, certificate of formation, certificate of incorporation, operating agreement, or limited liability company agreement, each to the extent applicable and as in effect immediately prior to the Closing, and resolutions of such Seller’s managers, directors, stockholders, or members, as applicable and required, authorizing the execution, delivery, and performance of this Agreement and the other documents contemplated hereby and the consummation of the transactions contemplated hereby and thereby, and certifying that (i) such articles of organization, certificate of formation, certificate of incorporation, operating agreement, or limited liability company agreement, each as applicable, and such resolutions have not been amended or rescinded and are in full force and effect and (ii) such Seller’s authorized officer or manager executing this Agreement and other documents delivered pursuant to this Agreement is an incumbent officer or manager and the specimen signature on the certificate is that authorized officer’s or manager’s genuine signature;</w:t>
      </w:r>
    </w:p>
    <w:p>
      <w:pPr>
        <w:spacing w:after="0" w:line="178" w:lineRule="exact"/>
        <w:rPr>
          <w:rFonts w:ascii="Arial" w:cs="Arial" w:eastAsia="Arial" w:hAnsi="Arial"/>
          <w:sz w:val="17"/>
          <w:szCs w:val="17"/>
          <w:color w:val="auto"/>
        </w:rPr>
      </w:pPr>
    </w:p>
    <w:p>
      <w:pPr>
        <w:ind w:right="20" w:firstLine="1953"/>
        <w:spacing w:after="0" w:line="277" w:lineRule="auto"/>
        <w:tabs>
          <w:tab w:leader="none" w:pos="2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good standing certificate from the jurisdiction of each Seller’s respective formation or incorporation each dated as of a date reasonably close to the Closing;</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unconditional consent to assignment of the Lease to Buyer from the landlord set forth in the Lease;</w:t>
      </w:r>
    </w:p>
    <w:p>
      <w:pPr>
        <w:spacing w:after="0" w:line="225" w:lineRule="exact"/>
        <w:rPr>
          <w:rFonts w:ascii="Arial" w:cs="Arial" w:eastAsia="Arial" w:hAnsi="Arial"/>
          <w:sz w:val="18"/>
          <w:szCs w:val="18"/>
          <w:color w:val="auto"/>
        </w:rPr>
      </w:pPr>
    </w:p>
    <w:p>
      <w:pPr>
        <w:ind w:left="2180" w:hanging="227"/>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Bill of Sale duly executed by each Seller in the form attached hereto as Exhibit A;</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Power of Attorney duly executed by TAG in the form attached hereto as Exhibit B;</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duly executed counterparts to this Agreement and all other Transaction Agreements to which each Seller is a party; and</w:t>
      </w:r>
    </w:p>
    <w:p>
      <w:pPr>
        <w:spacing w:after="0" w:line="236" w:lineRule="exact"/>
        <w:rPr>
          <w:rFonts w:ascii="Arial" w:cs="Arial" w:eastAsia="Arial" w:hAnsi="Arial"/>
          <w:sz w:val="17"/>
          <w:szCs w:val="17"/>
          <w:color w:val="auto"/>
        </w:rPr>
      </w:pPr>
    </w:p>
    <w:p>
      <w:pPr>
        <w:jc w:val="both"/>
        <w:ind w:firstLine="1953"/>
        <w:spacing w:after="0" w:line="259" w:lineRule="auto"/>
        <w:tabs>
          <w:tab w:leader="none" w:pos="21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bills of sale, assignments, certificates of title and other documents of transfer as may be reasonably requested by Buyer in order to convey to Buyer good and marketable title to all of the Assets, free and clear of all Encumbrances other than Permitted Encumbrances, and in order to carry out the intentions and purposes of this Agreement and the other Transaction Agreements and the transactions contemplated hereby and thereby.</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Conditions to Sellers’ Obligations</w:t>
      </w:r>
      <w:r>
        <w:rPr>
          <w:rFonts w:ascii="Arial" w:cs="Arial" w:eastAsia="Arial" w:hAnsi="Arial"/>
          <w:sz w:val="18"/>
          <w:szCs w:val="18"/>
          <w:color w:val="auto"/>
        </w:rPr>
        <w:t>. The obligations of the Sellers to consummate the transactions contemplated under this Agreement and the Transaction Agreements are subject to the fulfillment and satisfaction, prior to or at the time of the Closing, of each of the following conditions precedent, any one or more of which may be waived, in part or in full, by the Company in writing:</w:t>
      </w:r>
    </w:p>
    <w:p>
      <w:pPr>
        <w:spacing w:after="0" w:line="18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8.3.1 The representations and warranties of Buyer contained in this Agreement (and in any other Transaction Agreement delivered by Buyer pursuant hereto) shall be true, correct and complete in all material respects on and as of the Closing. Buyer shall have executed and delivered to Buyer a certificate as of the Closing to the effect set forth in this Section 8.3.1.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jc w:val="both"/>
        <w:ind w:firstLine="1297"/>
        <w:spacing w:after="0" w:line="264" w:lineRule="auto"/>
        <w:rPr>
          <w:sz w:val="20"/>
          <w:szCs w:val="20"/>
          <w:color w:val="auto"/>
        </w:rPr>
      </w:pPr>
      <w:r>
        <w:rPr>
          <w:rFonts w:ascii="Arial" w:cs="Arial" w:eastAsia="Arial" w:hAnsi="Arial"/>
          <w:sz w:val="18"/>
          <w:szCs w:val="18"/>
          <w:color w:val="auto"/>
        </w:rPr>
        <w:t>8.3.2 All of the terms, covenants, agreements and obligations of this Agreement to be complied with, performed or satisfied by Buyer on or before the Closing Date shall have been duly complied with, performed or satisfied in all material respects on or before such date and Buyer shall have executed and delivered to the Company a certificate as of the Closing to such effect.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8.3.3 Buyers shall have delivered to Sellers, directly or through an intermediary, to Company:</w:t>
      </w:r>
    </w:p>
    <w:p>
      <w:pPr>
        <w:spacing w:after="0" w:line="225" w:lineRule="exact"/>
        <w:rPr>
          <w:sz w:val="20"/>
          <w:szCs w:val="20"/>
          <w:color w:val="auto"/>
        </w:rPr>
      </w:pPr>
    </w:p>
    <w:p>
      <w:pPr>
        <w:ind w:right="20" w:firstLine="1953"/>
        <w:spacing w:after="0" w:line="277" w:lineRule="auto"/>
        <w:tabs>
          <w:tab w:leader="none" w:pos="2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Closing Cash (as adjusted pursuant to Section 13.5), the Lease Deposit Reimbursement, and, if any, the Apportioned Obligations Reimbursement (as defined in Section 13.5);</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document or instrument reasonably requested by Sellers to evidence Buyer’s assumption of all obligations under the Lease;</w:t>
      </w:r>
    </w:p>
    <w:p>
      <w:pPr>
        <w:spacing w:after="0" w:line="248" w:lineRule="exact"/>
        <w:rPr>
          <w:rFonts w:ascii="Arial" w:cs="Arial" w:eastAsia="Arial" w:hAnsi="Arial"/>
          <w:sz w:val="16"/>
          <w:szCs w:val="16"/>
          <w:color w:val="auto"/>
        </w:rPr>
      </w:pPr>
    </w:p>
    <w:p>
      <w:pPr>
        <w:ind w:left="2200" w:hanging="247"/>
        <w:spacing w:after="0"/>
        <w:tabs>
          <w:tab w:leader="none" w:pos="22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duly executed counterparts to this Agreement and all other Transaction Agreements to which such Buyer is a party; and</w:t>
      </w:r>
    </w:p>
    <w:p>
      <w:pPr>
        <w:spacing w:after="0" w:line="236" w:lineRule="exact"/>
        <w:rPr>
          <w:rFonts w:ascii="Arial" w:cs="Arial" w:eastAsia="Arial" w:hAnsi="Arial"/>
          <w:sz w:val="17"/>
          <w:szCs w:val="17"/>
          <w:color w:val="auto"/>
        </w:rPr>
      </w:pPr>
    </w:p>
    <w:p>
      <w:pPr>
        <w:jc w:val="both"/>
        <w:ind w:firstLine="1953"/>
        <w:spacing w:after="0" w:line="286" w:lineRule="auto"/>
        <w:tabs>
          <w:tab w:leader="none" w:pos="2217" w:val="left"/>
        </w:tabs>
        <w:numPr>
          <w:ilvl w:val="1"/>
          <w:numId w:val="22"/>
        </w:numPr>
        <w:rPr>
          <w:rFonts w:ascii="Arial" w:cs="Arial" w:eastAsia="Arial" w:hAnsi="Arial"/>
          <w:sz w:val="17"/>
          <w:szCs w:val="17"/>
          <w:color w:val="auto"/>
        </w:rPr>
      </w:pPr>
      <w:r>
        <w:rPr>
          <w:rFonts w:ascii="Arial" w:cs="Arial" w:eastAsia="Arial" w:hAnsi="Arial"/>
          <w:sz w:val="17"/>
          <w:szCs w:val="17"/>
          <w:color w:val="auto"/>
        </w:rPr>
        <w:t>such other bills of sale, assignments, certificates of title and other documents of transfer as may be reasonably requested by Seller in order to convey to Buyer good and marketable title to all of the Assets and in order to carry out the intentions and purposes of this Agreement and the other Transaction Agreements and the transactions contemplated hereby and thereby all as duly executed by Buyer.</w:t>
      </w:r>
    </w:p>
    <w:p>
      <w:pPr>
        <w:spacing w:after="0" w:line="161" w:lineRule="exact"/>
        <w:rPr>
          <w:rFonts w:ascii="Arial" w:cs="Arial" w:eastAsia="Arial" w:hAnsi="Arial"/>
          <w:sz w:val="17"/>
          <w:szCs w:val="17"/>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 and Indemnification.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9.1 Each of Buyer, on one hand, and Sellers, jointly and severally, but in each case subject to Section 9.5 of this Agreement, on the other hand, hereby covenant and agree to indemnify, defend, protect and hold harmless the other party and such party’s affiliated parties, agents, successors, and assigns from, against and in respect of all Damages (defined below) suffered, sustained, incurred or paid by the other party, in each case in connection with, resulting from or arising out of (whether or not involved in a third party claim): (i) the breach of any representation or warranty made by such party; (ii) the breach of any covenant or agreement on the part of such party; and (iii) enforcing the indemnification rights of the Indemnified Party (as defined below).</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9.2 Subject to Section 9.5 of this Agreement, Buyer shall indemnify, defend, protect and hold harmless Sellers and Sellers’ respective agents, successors, and assigns, from and against any and all Damages arising, resulting from, or relating to: (i) the Lease; (ii) the ownership of the Assets; and (iii) the operation of the Business, in each instance arising after the Closing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9.3 Sellers, jointly and severally but subject to Section 9.5 of this Agreement, shall indemnify, defend, protect and hold harmless Buyer, and Buyer’s agents, successors, and assigns, from and against any and all Damages arising, resulting from or relating to: (i) any Excluded Liabilities; or (ii) the ownership of the Assets and operation of the Business, in each instance arising on or prior to the Closing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both"/>
        <w:ind w:right="20" w:firstLine="648"/>
        <w:spacing w:after="0" w:line="259" w:lineRule="auto"/>
        <w:rPr>
          <w:sz w:val="20"/>
          <w:szCs w:val="20"/>
          <w:color w:val="auto"/>
        </w:rPr>
      </w:pPr>
      <w:r>
        <w:rPr>
          <w:rFonts w:ascii="Arial" w:cs="Arial" w:eastAsia="Arial" w:hAnsi="Arial"/>
          <w:sz w:val="18"/>
          <w:szCs w:val="18"/>
          <w:color w:val="auto"/>
        </w:rPr>
        <w:t>9.4 In the event any claim for indemnification hereunder arises, including, without limitation, on account of a claim or action made or instituted by a third party, the party to this Agreement seeking indemnification (the “Indemnified Party”) hereunder shall notify in writing the party hereto from which it seeks indemnification (the “Indemnifying Party”) as soon as reasonably practicable, but in no event later than fifteen (15) days, after the Indemnified Party has actual knowledge of any claim that it has under this Section 9.</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9.5 Notwithstanding any provisions of this Agreement to the contrary, each party expressly agrees that (i) in no event shall any indemnifying party’s aggregate liability for any Damages payable to the indemnified parties pursuant to the indemnification provisions of this Section 9 exceed an amount equal to Closing Cash; (ii) in the absence of fraud, gross negligence, or intentional misconduct (a) recourse for any Damages payable to the indemnified parties pursuant to the indemnification provisions of this Section 9 shall be limited to assets then held by the applicable indemnifying party; and (b) no party shall seek to recover Damages from any employee, officer, director, manager, stockholder (other than a Seller), member (other than a Seller), any affiliate (or any employee, officer, director, manager, stockholder, or member of any affiliate) of the indemnifying party.</w:t>
      </w:r>
    </w:p>
    <w:p>
      <w:pPr>
        <w:spacing w:after="0" w:line="174" w:lineRule="exact"/>
        <w:rPr>
          <w:sz w:val="20"/>
          <w:szCs w:val="20"/>
          <w:color w:val="auto"/>
        </w:rPr>
      </w:pPr>
    </w:p>
    <w:p>
      <w:pPr>
        <w:jc w:val="both"/>
        <w:ind w:firstLine="8"/>
        <w:spacing w:after="0" w:line="289" w:lineRule="auto"/>
        <w:tabs>
          <w:tab w:leader="none" w:pos="270"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Sellers’ Accounts Receivable</w:t>
      </w:r>
      <w:r>
        <w:rPr>
          <w:rFonts w:ascii="Arial" w:cs="Arial" w:eastAsia="Arial" w:hAnsi="Arial"/>
          <w:sz w:val="16"/>
          <w:szCs w:val="16"/>
          <w:b w:val="1"/>
          <w:bCs w:val="1"/>
          <w:color w:val="auto"/>
        </w:rPr>
        <w:t xml:space="preserve"> . </w:t>
      </w:r>
      <w:r>
        <w:rPr>
          <w:rFonts w:ascii="Arial" w:cs="Arial" w:eastAsia="Arial" w:hAnsi="Arial"/>
          <w:sz w:val="16"/>
          <w:szCs w:val="16"/>
          <w:color w:val="auto"/>
        </w:rPr>
        <w:t>All accounts receivable of any of the Sellers, or any of them, including third-party receivables, which accrue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Date shall remain the property of Sellers. For a period of ninety (90) days from and after the Closing Date, Buyer agrees to accept payment of accounts receivable for and on behalf of Sellers, and shall make an accounting of and transmit such collected receivables to the Company on Friday of each</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week, whether received during such 90-day period or thereafter (“A/R Payments”). On the 91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the Closing Date, Buyer shall return all records of A/R Payments to the Company. A/R Payments received, unless otherwise specified by any payer, shall be allocated on a first in first out basis. Notwithstanding any of the above, Buyer shall have no duty actively to attempt to collect such receivables, but will cooperate with Sellers in such collection.</w:t>
      </w:r>
    </w:p>
    <w:p>
      <w:pPr>
        <w:spacing w:after="0" w:line="192"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Publicity and Disclosure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11.1 Buyer and the Company shall mutually determine the form and substance of any press release, publicity or other public communication related to this Agreement or the transactions contemplated hereby. Each party shall use commercially reasonable efforts to provide the other with the opportunity to comment on the initial press release announcing this Agreement and the transactions contemplated hereby prior to its release. No party shall make any disclosure of this Agreement or the existence, terms and conditions hereof (whether or not in response to an inquiry about the existence or subject matter of this Agreement), unless previously approved by Buyer and the Company. Notwithstanding the foregoing, nothing contained herein shall prohibit any party from making any disclosure which the party in good faith believes is required by, or advisable according to, applicable laws, regulations or stock market rules.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jc w:val="both"/>
        <w:ind w:firstLine="648"/>
        <w:spacing w:after="0" w:line="253" w:lineRule="auto"/>
        <w:rPr>
          <w:sz w:val="20"/>
          <w:szCs w:val="20"/>
          <w:color w:val="auto"/>
        </w:rPr>
      </w:pPr>
      <w:r>
        <w:rPr>
          <w:rFonts w:ascii="Arial" w:cs="Arial" w:eastAsia="Arial" w:hAnsi="Arial"/>
          <w:sz w:val="18"/>
          <w:szCs w:val="18"/>
          <w:color w:val="auto"/>
        </w:rPr>
        <w:t>11.2 Sellers hereby agree that each shall hold, and shall use its commercially reasonable efforts to cause its Representatives to hold, in strict confidence from any Person (other than such Representatives), and shall not (and shall use commercially reasonable efforts to cause its Representatives not to) disclose, transfer, transmit or use, any and all Buyer Confidential Information (defined below), except to the extent: (i) compelled to disclosure by judicial or administrative process or by other requirements of law upon the advice of counsel and following prompt notice to Buyer of any related proceeding thereby allowing Buyer reasonable opportunity to seek an appropriate protective order or other assurance that Buyer Confidential Information shall be afforded confidential treatment, (ii) previously known by the Person receiving such Buyer Confidential Information or (iii) in the public domain through no fault of the receiving person. After the Closing, each Seller shall, and shall use commercially reasonable efforts to cause their Representatives to, at the request and option of Buyer, deliver all tangible embodiments (and all copies) of Buyer Confidential Information that are in such party’s possession or under such party’s control.</w:t>
      </w:r>
    </w:p>
    <w:p>
      <w:pPr>
        <w:spacing w:after="0" w:line="193"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u w:val="single" w:color="auto"/>
          <w:color w:val="auto"/>
        </w:rPr>
        <w:t>Covenant Not to Compete</w:t>
      </w:r>
      <w:r>
        <w:rPr>
          <w:rFonts w:ascii="Arial" w:cs="Arial" w:eastAsia="Arial" w:hAnsi="Arial"/>
          <w:sz w:val="17"/>
          <w:szCs w:val="17"/>
          <w:color w:val="auto"/>
        </w:rPr>
        <w:t>. For the period commencing with the Closing and ending on the second anniversary of the Closing, each of Sellers and their respective directors, officers, managers, affiliates, agents, successors and assigns (except, in each instance, for any stockholder of the Company or any directors, officers, managers, affiliates (other than the Subsidiaries), agents, successors, and assigns of any stockholder of the Company), shall not, for any reason whatsoever, directly or indirectly, for themselves, as a principal, or for another’s account, on behalf of or in conjunction with any other person or through any form of ownership in any person, anywhere in the continental United States:</w:t>
      </w:r>
    </w:p>
    <w:p>
      <w:pPr>
        <w:spacing w:after="0" w:line="17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12.1.1 engage in, research, develop, plan, participate, sponsor, organize, encourage, lend to, or invest in any activity competitive with any aspect of the Business, including activities related or ancillary thereto and reasonable extensions thereof, or be employed or engaged by or involved with any person in connection with such activities;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12.1.2 cause, induce, solicit or encourage any contractor, vendor, service provider, strategic partner or actual or prospective customer of the Business (the “Covered Persons”) to terminate such status or advise any person against entering into such status;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12.1.3 hire or attempt to hire, or solicit business from or provide services to, any Person who was a Covered Person within the twenty-four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(24) months preceding the Closing Date;</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12.1.4 otherwise intentionally disrupt or interfere with, or attempt to disrupt or interfere with, the relations of Buyer with any Covered Person as such relations relate to the Assets or Business; or</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12.1.5 disparage or make any false or inaccurate statements (whether in oral, written, electronic or other form) to any media source, industry member, company, or group, financial institution or Covered Person regarding Buyer as they relate to the Assets or Business; provided, that the foregoing shall not prohibit any such persons from, collectively, owning as a passive investment two percent (2%) or less of the equity of any publicly-traded entity. For purposes of the foregoing, a person who is not a customer of the Business shall be considered a “prospective customer” if any Subsidiaries made a presentation or written proposal to such person during the twenty-four (24) month period preceding the date hereof or was preparing to make such a presentation or proposal on the date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jc w:val="both"/>
        <w:ind w:firstLine="648"/>
        <w:spacing w:after="0" w:line="25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Damages</w:t>
      </w:r>
      <w:r>
        <w:rPr>
          <w:rFonts w:ascii="Arial" w:cs="Arial" w:eastAsia="Arial" w:hAnsi="Arial"/>
          <w:sz w:val="18"/>
          <w:szCs w:val="18"/>
          <w:color w:val="auto"/>
        </w:rPr>
        <w:t>. Because of the difficulty of measuring economic losses to Buyer as a result of a breach of the foregoing covenants in this Section 12, and because of the immediate and irreparable damage that could be caused to Buyer for which Buyer would have no other adequate remedy, Sellers hereby agree that the foregoing covenants contained in this Section 12 may be enforced by Buyer in the event of a breach or threatened breach by any Sellers, in addition to, but not in lieu of, any other available remedies (including, without limitation, monetary Damages), by injunctions, restraining orders, or other equitable remedies, without necessity of posting an injunction bond.</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Reasonable Restraint</w:t>
      </w:r>
      <w:r>
        <w:rPr>
          <w:rFonts w:ascii="Arial" w:cs="Arial" w:eastAsia="Arial" w:hAnsi="Arial"/>
          <w:sz w:val="18"/>
          <w:szCs w:val="18"/>
          <w:color w:val="auto"/>
        </w:rPr>
        <w:t>. It is agreed by the parties that the foregoing covenants in this Section 12 impose a reasonable and valid restraint on Sellers in light of the activities and business of Sellers and Buyer on the date of the execution of this Agreement.</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u w:val="single" w:color="auto"/>
          <w:color w:val="auto"/>
        </w:rPr>
        <w:t>Independent Covenant</w:t>
      </w:r>
      <w:r>
        <w:rPr>
          <w:rFonts w:ascii="Arial" w:cs="Arial" w:eastAsia="Arial" w:hAnsi="Arial"/>
          <w:sz w:val="17"/>
          <w:szCs w:val="17"/>
          <w:color w:val="auto"/>
        </w:rPr>
        <w:t>. It is understood by the parties that each of the covenants contained in this Section 12 are essential elements of this Agreement and that, but for the agreement of Sellers to comply with such covenants, Buyer would not have agreed to enter into this Agreement. Sellers each hereby agree that all covenants contained in this Section 12 are material, reasonable, and valid. The covenants in this Section 12 are severable and separate, and the unenforceability of any specific covenant shall not affect the provisions of any other covenant and the existence of any claim or cause of action of any Sellers against Buyer, whether predicated on this Agreement or otherwise, shall not constitute a defense to the enforcement by Buyer of any such covenant. Moreover, in the event that any court of competent jurisdiction shall determine that the scope, time or territorial restrictions set forth are not permitted by applicable law or are too broad or to any extent invalid, then it is the intention of the parties that such restrictions be enforced to the fullest extent which the court deems to be permissible by applicable law, and this Agreement shall thereby be reformed.</w:t>
      </w:r>
    </w:p>
    <w:p>
      <w:pPr>
        <w:spacing w:after="0" w:line="172"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13.1.1 “Assets” means all of Sellers’ respective right, title and, interest in and to all assets properties, interests, and other rights of Sellers other than Excluded Assets, including without limitation: (i) all contract rights with respect to the Assumed Contracts; (ii) all prepaid expenses, deposits, rebates, credits, advances, other prepayments and related rights paid, obtained by, or related to Sellers; (iii) all intellectual property rights (including, without limitation, all patent rights, trademarks, copyrights, inventions, trade secrets, and other intellectual property and proprietary rights owned by Sellers relating to the foregoing) of Sellers and all rights thereunder or in respect thereof, including, without limitation, but only to the extent transferable, any third-party intellectual property rights licensed by any Sellers and all rights to the names of each Seller; (iv) all training materials, presentation materials, and sales or promotional materials of each Seller; (v) all tangible and intangible assets, including the Closing Inventory and all other inventory, equipment, and fixed assets; (vi) all internal systems and software (as well as the source code for, and documentation applicable to, each current version of the software with which such software may be compiled, used, or interoperate) owned by, or used pursuant to a transferable license, or used by Sellers; (vii) copies of all Pharmacy Records, customer lists, books, files, papers, ledgers, correspondence, databases, information systems, programs, materials, documents and records of each Seller relating to the Business as physically maintained or maintained on any other medium; (viii) to the extent transferable, all permits of Sellers; and (ix) all claims, causes of action, rights to tender claims, or other rights against any person related to the Assets, including, without limitation, those assets set forth on the asset schedule, dated as of August 26, 2015, delivered by Buyers to Sellers, but excluding, in all instances, the Excluded Assets.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5" w:name="page76"/>
    <w:bookmarkEnd w:id="75"/>
    <w:p>
      <w:pPr>
        <w:ind w:left="1300"/>
        <w:spacing w:after="0"/>
        <w:rPr>
          <w:sz w:val="20"/>
          <w:szCs w:val="20"/>
          <w:color w:val="auto"/>
        </w:rPr>
      </w:pPr>
      <w:r>
        <w:rPr>
          <w:rFonts w:ascii="Arial" w:cs="Arial" w:eastAsia="Arial" w:hAnsi="Arial"/>
          <w:sz w:val="18"/>
          <w:szCs w:val="18"/>
          <w:color w:val="auto"/>
        </w:rPr>
        <w:t>13.1.2 “Business” means the collective the pharmacy businesses of Sellers.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13.1.3 “Buyer Confidential Information” means all: (i) documents and information concerning Buyer or any of its respective Representatives furnished in connection with this Agreement, any of the other Transaction Agreements or the transactions contemplated hereby or thereby (including, without limitation, any claim or dispute arising out of or related to this Agreement or the transactions contemplated hereby, or the interpretation, making, performance, breach or termination thereof); and (ii) all information concerning the Agreement, the Business and the Assets that is not generally available to the public and including, without limitation, any information provided or made available to the Company following the Closing pursuant to the Agreement.</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13.1.4 “Company Confidential Information” means all documents and information concerning Sellers or any of their respective Representatives or affiliates furnished in connection with this Agreement or the transactions contemplated hereby; provided, however, that Company Confidential Information shall not include the Assets.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13.1.5 “Damages” means all liabilities, losses, claims, damages, causes of actions, lawsuits, administrative proceedings (including informal proceedings), investigations, audits, demands, assessments, adjustments, judgments, settlement payments, deficiencies, penalties, fines, taxes, and costs and expenses (including, without limitation, reasonable and documented attorneys’ fees).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13.1.6 “Encumbrance” means any claim, lien, pledge, assignment, option, charge, easement, license, restraint, security interest, right-of-way, encumbrance, mortgage or other right or obligation (including, without limitation, with respect to any securities, any preemptive right, right of first refusal, put, call or other restriction on transfer, and, with respect to intellectual property rights, any license, covenant, release or immunity), other than encumbrances created by or through Buyer.</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13.1.7 “Excluded Assets” means, with respect to each Seller, any cash on hand, cash in banks, accounts receivable, any contracts and contract rights with respect to all contracts that are not Assumed Contracts, anticipated or actual tax refunds, any and all refunds payable to any Seller by Amerisource Bergen, and rights under insurance policies, including any refunds of prepaid insurance or refunds upon termination, as well as the real property leases and permits held by ASL or SD.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ind w:left="1300"/>
        <w:spacing w:after="0"/>
        <w:rPr>
          <w:sz w:val="20"/>
          <w:szCs w:val="20"/>
          <w:color w:val="auto"/>
        </w:rPr>
      </w:pPr>
      <w:r>
        <w:rPr>
          <w:rFonts w:ascii="Arial" w:cs="Arial" w:eastAsia="Arial" w:hAnsi="Arial"/>
          <w:sz w:val="18"/>
          <w:szCs w:val="18"/>
          <w:color w:val="auto"/>
        </w:rPr>
        <w:t>13.1.8 “PBM” means pharmacy benefit managers.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13.1.9 “Permitted Encumbrance” means (a) liens imposed by law for taxes that are not yet due; (b) carriers’, warehousemen’s, mechanics’, materialmen’s, repairmen’s and other like liens imposed by law, securing obligations that are not overdue; (c) rights reserved to or vested in any governmental authority to control or regulate, or obligations or duties to any governmental authority with respect to, any right, power, franchise, grant, license, permit or use of any property; and (d) any extension, renewal or replacement of the foregoing.</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13.1.10 “Representatives”, with respect to any person (which shall include any person, limited liability company, partnership, trust, unincorporated organization, corporation, association, joint stock company, business, governmental authority or other entity), means the directors, officers, employees, consultants, agents or other representatives thereof (including legal counsel, accountants, financial advisors, investment bankers and brokers).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13.1.11 “Transaction Agreements” means this Agreement, the Bill of Sale delivered pursuant to Section 8.2.4(f), the Power of Attorney delivered pursuant to Section 8.2.4(g), and any other documents or instruments delivered pursuant to Section 8.2.4(i).</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After the Closing Date, Sellers, and each of them, shall execute and deliver all such further instruments, documents, deeds, bills of sale, assignments and assurances and shall take and perform all other acts which the other may reasonably request in order to further effect or perfect the sale and transfer of the Assets to Buyer as contemplated in this Agreement. Following the Closing: (i) Buyer shall promptly deliver to the Company any mail or other communications received by Buyer relating to the Excluded Assets or the Excluded Liabilities; (ii) each Seller, as applicable, shall promptly forward to Buyer any payments received by such Seller on account of any Purchased Assets; and (iii) each Seller shall promptly deliver to Buyer any mail or other communications received by such Seller relating to the Assets or the Lease.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be terminated and abandoned at any time prior to the Closing Date by (i) mutual written agreement of Sellers and Buyer, (ii) by written notice from Sellers to Buyer or Buyer to Sellers if the Closing shall not have occurred on or before September 28, 2015 (provided, however, that the party seeking to terminate this Agreement shall not seek to terminate because of its breach or violation of any representation, warranty, or covenant contained herein having caused or resulted in a failure of the Closing to occur by such date), (iii) by Sellers’ written notice to Buyer in the event of a material breach by Buyer, provided, Sellers are not then in material breach of any of the provisions of this Agreement, (iv) by Buyer’s written notice to Sellers in the event of a material breach by any Seller, provided Buyer is not then in material breach of any of the provisions of this Agreement, or (v) by the Buyer if a third party initiates a claim or proceeding which has or is reasonably likely to have a material adverse effect on the Assets or the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Time</w:t>
      </w:r>
      <w:r>
        <w:rPr>
          <w:rFonts w:ascii="Arial" w:cs="Arial" w:eastAsia="Arial" w:hAnsi="Arial"/>
          <w:sz w:val="18"/>
          <w:szCs w:val="18"/>
          <w:color w:val="auto"/>
        </w:rPr>
        <w:t>. Time is of the essence to the performance of the parties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u w:val="single" w:color="auto"/>
          <w:color w:val="auto"/>
        </w:rPr>
        <w:t>Sales Tax; Property Taxes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13.5.1 Buyer and Company shall each pay one-half of all sales and use taxes arising out of transfer of the Assets, if any.</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13.5.2 Liability for all personal property taxes and any real property taxes payable in connection with the Lease, and similar ad valorem obligations levied with respect to the Assets or the Lease for a taxable period that includes (but does not end on) the Closing Date (the “Apportioned Obligations”) shall be apportioned between Sellers and Buyer based on the number of days of such taxable period included in the period ending on the Closing Date (the “Pre-Closing Tax Period”) and the number of days of such taxable period included in the period after the Pre-Closing Tax Period (the “Post-Closing Tax Period”). Sellers shall be liable for the proportionate amount of such Apportioned Obligations that is attributable to the Pre-Closing Tax Period and Buyer shall be liable for the proportionate amount of such Apportioned Obligations that is attributable to the Post-Closing Tax Period. At the Closing, the amount of any unpaid Apportioned Obligations payable by Sellers with respect to the Pre-Closing Period, if any, shall be set off against the Closing Cash payable by Buyer and if any portion of the Apportioned Obligations payable with respect to the Post-Closing Period were paid by Sellers, Buyer shall reimburse Sellers for such amount (the “Apportioned Obligations Reimbursement”).</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u w:val="single" w:color="auto"/>
          <w:color w:val="auto"/>
        </w:rPr>
        <w:t>License and Permit Transfer Fees and Costs</w:t>
      </w:r>
      <w:r>
        <w:rPr>
          <w:rFonts w:ascii="Arial" w:cs="Arial" w:eastAsia="Arial" w:hAnsi="Arial"/>
          <w:sz w:val="18"/>
          <w:szCs w:val="18"/>
          <w:b w:val="1"/>
          <w:bCs w:val="1"/>
          <w:color w:val="auto"/>
        </w:rPr>
        <w:t>.</w:t>
      </w:r>
      <w:r>
        <w:rPr>
          <w:rFonts w:ascii="Arial" w:cs="Arial" w:eastAsia="Arial" w:hAnsi="Arial"/>
          <w:sz w:val="18"/>
          <w:szCs w:val="18"/>
          <w:color w:val="auto"/>
        </w:rPr>
        <w:t xml:space="preserve"> Buyer will be responsible for any and all fees and costs associated with the assumption or transfer to Buyer, or any company owned by Buyer, of any licenses or permits held by any Sellers.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statements or demands shall be in writing and shall be served in person, by facsimile, by express mail, by certified mail or by private overnight delivery. Service shall be deemed conclusively made: (i) at the time of service, if personally served; (ii) at the time of receipt, if served by facsimile; (iii) twenty four (24) hours after deposit in the United States mail, properly addressed and postage prepaid, if served by express mail; (iv) five</w:t>
      </w:r>
    </w:p>
    <w:p>
      <w:pPr>
        <w:spacing w:after="0" w:line="2" w:lineRule="exact"/>
        <w:rPr>
          <w:sz w:val="20"/>
          <w:szCs w:val="20"/>
          <w:color w:val="auto"/>
        </w:rPr>
      </w:pPr>
    </w:p>
    <w:p>
      <w:pPr>
        <w:ind w:right="20" w:firstLine="8"/>
        <w:spacing w:after="0" w:line="323" w:lineRule="auto"/>
        <w:tabs>
          <w:tab w:leader="none" w:pos="2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days after deposit in the United States mail, properly addressed and postage prepaid, return receipt requested, if served by certified mail; and (v) twenty four (24) hours after delivery by the party giving the notice, statement or demand to the private overnight deliverer, if served by private overnight delivery.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ind w:left="1140"/>
              <w:spacing w:after="0"/>
              <w:rPr>
                <w:sz w:val="20"/>
                <w:szCs w:val="20"/>
                <w:color w:val="auto"/>
              </w:rPr>
            </w:pPr>
            <w:r>
              <w:rPr>
                <w:rFonts w:ascii="Arial" w:cs="Arial" w:eastAsia="Arial" w:hAnsi="Arial"/>
                <w:sz w:val="18"/>
                <w:szCs w:val="18"/>
                <w:color w:val="auto"/>
              </w:rPr>
              <w:t>Any notice to Sellers shall be given to:</w:t>
            </w:r>
          </w:p>
        </w:tc>
        <w:tc>
          <w:tcPr>
            <w:tcW w:w="6960" w:type="dxa"/>
            <w:vAlign w:val="bottom"/>
          </w:tcPr>
          <w:p>
            <w:pPr>
              <w:ind w:left="520"/>
              <w:spacing w:after="0"/>
              <w:rPr>
                <w:sz w:val="20"/>
                <w:szCs w:val="20"/>
                <w:color w:val="auto"/>
              </w:rPr>
            </w:pPr>
            <w:r>
              <w:rPr>
                <w:rFonts w:ascii="Arial" w:cs="Arial" w:eastAsia="Arial" w:hAnsi="Arial"/>
                <w:sz w:val="18"/>
                <w:szCs w:val="18"/>
                <w:color w:val="auto"/>
              </w:rPr>
              <w:t>Thousand Oaks Holding Company</w:t>
            </w:r>
          </w:p>
        </w:tc>
      </w:tr>
      <w:tr>
        <w:trPr>
          <w:trHeight w:val="230"/>
        </w:trPr>
        <w:tc>
          <w:tcPr>
            <w:tcW w:w="446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c/o DW Healthcare Partners, L.P.</w:t>
            </w:r>
          </w:p>
        </w:tc>
      </w:tr>
      <w:tr>
        <w:trPr>
          <w:trHeight w:val="418"/>
        </w:trPr>
        <w:tc>
          <w:tcPr>
            <w:tcW w:w="4460" w:type="dxa"/>
            <w:vAlign w:val="bottom"/>
          </w:tcPr>
          <w:p>
            <w:pPr>
              <w:ind w:left="1140"/>
              <w:spacing w:after="0"/>
              <w:rPr>
                <w:sz w:val="20"/>
                <w:szCs w:val="20"/>
                <w:color w:val="auto"/>
              </w:rPr>
            </w:pPr>
            <w:r>
              <w:rPr>
                <w:rFonts w:ascii="Arial" w:cs="Arial" w:eastAsia="Arial" w:hAnsi="Arial"/>
                <w:sz w:val="18"/>
                <w:szCs w:val="18"/>
                <w:color w:val="auto"/>
              </w:rPr>
              <w:t>Any notice to Buyer shall be given to:</w:t>
            </w:r>
          </w:p>
        </w:tc>
        <w:tc>
          <w:tcPr>
            <w:tcW w:w="6960" w:type="dxa"/>
            <w:vAlign w:val="bottom"/>
          </w:tcPr>
          <w:p>
            <w:pPr>
              <w:ind w:left="520"/>
              <w:spacing w:after="0"/>
              <w:rPr>
                <w:sz w:val="20"/>
                <w:szCs w:val="20"/>
                <w:color w:val="auto"/>
              </w:rPr>
            </w:pPr>
            <w:r>
              <w:rPr>
                <w:rFonts w:ascii="Arial" w:cs="Arial" w:eastAsia="Arial" w:hAnsi="Arial"/>
                <w:sz w:val="18"/>
                <w:szCs w:val="18"/>
                <w:color w:val="auto"/>
              </w:rPr>
              <w:t>Imprimis Pharmaceuticals</w:t>
            </w:r>
          </w:p>
        </w:tc>
      </w:tr>
      <w:tr>
        <w:trPr>
          <w:trHeight w:val="216"/>
        </w:trPr>
        <w:tc>
          <w:tcPr>
            <w:tcW w:w="44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Attn:</w:t>
            </w:r>
          </w:p>
        </w:tc>
      </w:tr>
      <w:tr>
        <w:trPr>
          <w:trHeight w:val="216"/>
        </w:trPr>
        <w:tc>
          <w:tcPr>
            <w:tcW w:w="446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12264 El Camino Real, Suite 350</w:t>
            </w:r>
          </w:p>
        </w:tc>
      </w:tr>
      <w:tr>
        <w:trPr>
          <w:trHeight w:val="230"/>
        </w:trPr>
        <w:tc>
          <w:tcPr>
            <w:tcW w:w="446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San Diego, CA 92130</w:t>
            </w:r>
          </w:p>
        </w:tc>
      </w:tr>
      <w:tr>
        <w:trPr>
          <w:trHeight w:val="439"/>
        </w:trPr>
        <w:tc>
          <w:tcPr>
            <w:tcW w:w="44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688" w:right="239" w:bottom="1440" w:gutter="0" w:footer="0" w:header="0"/>
        </w:sectPr>
      </w:pPr>
    </w:p>
    <w:bookmarkStart w:id="78" w:name="page79"/>
    <w:bookmarkEnd w:id="78"/>
    <w:p>
      <w:pPr>
        <w:jc w:val="both"/>
        <w:ind w:right="20"/>
        <w:spacing w:after="0" w:line="277" w:lineRule="auto"/>
        <w:rPr>
          <w:sz w:val="20"/>
          <w:szCs w:val="20"/>
          <w:color w:val="auto"/>
        </w:rPr>
      </w:pPr>
      <w:r>
        <w:rPr>
          <w:rFonts w:ascii="Arial" w:cs="Arial" w:eastAsia="Arial" w:hAnsi="Arial"/>
          <w:sz w:val="18"/>
          <w:szCs w:val="18"/>
          <w:color w:val="auto"/>
        </w:rPr>
        <w:t>Either party may, by virtue of written notice in compliance with this paragraph, alter or change the address or the identity of the person to whom any notice, or copy thereof, is to be sent.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u w:val="single" w:color="auto"/>
          <w:color w:val="auto"/>
        </w:rPr>
        <w:t>Waivers</w:t>
      </w:r>
      <w:r>
        <w:rPr>
          <w:rFonts w:ascii="Arial" w:cs="Arial" w:eastAsia="Arial" w:hAnsi="Arial"/>
          <w:sz w:val="18"/>
          <w:szCs w:val="18"/>
          <w:color w:val="auto"/>
        </w:rPr>
        <w:t>. A waiver by any party of any of the terms and conditions of this Agreement in any one instance shall not be deemed or construed to be a waiver of such term or condition for the future, or of any subsequent breach thereof, nor shall it be deemed a waiver of performance of any other obligation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the successors and assignees of the parties.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subject headings of the paragraphs and subparagraphs of this Agreement are for convenience only and shall not in any way affect the construction or interpretation of any provision of this Agreement.</w:t>
      </w:r>
    </w:p>
    <w:p>
      <w:pPr>
        <w:spacing w:after="0" w:line="162"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contains the entire understanding of the parties hereto relating to the subject matter hereof and supersedes all prior and collateral agreements, understandings, statements and negotiations of the parties. Each party acknowledges that no representations, inducements promises, or agreements, oral or written, with reference to the subject matter hereof have been made other than as expressly set forth herein.</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as applied to any party or to any circumstance, shall be found by a court of competent jurisdiction to be void, invalid or unenforceable, the same shall in no way affect any other provision of this Agreement, the application of any such provision in any other circumstance, or the validity or enforceability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u w:val="single" w:color="auto"/>
          <w:color w:val="auto"/>
        </w:rPr>
        <w:t>Governing Law/Interpretation</w:t>
      </w:r>
      <w:r>
        <w:rPr>
          <w:rFonts w:ascii="Arial" w:cs="Arial" w:eastAsia="Arial" w:hAnsi="Arial"/>
          <w:sz w:val="18"/>
          <w:szCs w:val="18"/>
          <w:color w:val="auto"/>
        </w:rPr>
        <w:t>. This Agreement shall be governed by, construed in accordance with and enforced under the internal laws of the State of California. Words used herein, regardless of the number and gender specifically used, shall be deemed and construed to include any other number, singular or plural, and any other gender, masculine, feminine or neuter, as the context requires.</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b w:val="1"/>
          <w:bCs w:val="1"/>
          <w:u w:val="single" w:color="auto"/>
          <w:color w:val="auto"/>
        </w:rPr>
        <w:t>Disputes</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a dispute should arise between any of the Sellers, on the one hand, and Buyer, on the other, whether based on contract, tort, statute, or other legal theory, arising out of this Agreement, such dispute shall be resolved by binding arbitration to take place in the State of California.</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respective rights and obligations of the parties to this Agreement may not be assigned by any party without the prior written consent of the other, which consent may not be unreasonably withheld or delayed.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terms and provisions of this Agreement shall be binding on and inure to the benefit of the successors and assigns of the parties.</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13.17 </w:t>
      </w:r>
      <w:r>
        <w:rPr>
          <w:rFonts w:ascii="Arial" w:cs="Arial" w:eastAsia="Arial" w:hAnsi="Arial"/>
          <w:sz w:val="17"/>
          <w:szCs w:val="17"/>
          <w:b w:val="1"/>
          <w:bCs w:val="1"/>
          <w:u w:val="single" w:color="auto"/>
          <w:color w:val="auto"/>
        </w:rPr>
        <w:t>Modification and Waiver</w:t>
      </w:r>
      <w:r>
        <w:rPr>
          <w:rFonts w:ascii="Arial" w:cs="Arial" w:eastAsia="Arial" w:hAnsi="Arial"/>
          <w:sz w:val="17"/>
          <w:szCs w:val="17"/>
          <w:color w:val="auto"/>
        </w:rPr>
        <w:t>. This Agreement may not be amended, modified, or supplemented except by written agreement signed by each of the parties hereto. No waiver of any of the provisions of this Agreement shall be deemed, or shall constitute, a waiver of any other provision.</w:t>
      </w:r>
    </w:p>
    <w:p>
      <w:pPr>
        <w:spacing w:after="0" w:line="13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or more counterparts, which when taken together, whether or not including any transmitted by email or facsimile, shall constitute a single, signed, final, original edition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on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SELLERS</w:t>
            </w:r>
          </w:p>
        </w:tc>
        <w:tc>
          <w:tcPr>
            <w:tcW w:w="5800" w:type="dxa"/>
            <w:vAlign w:val="bottom"/>
            <w:gridSpan w:val="2"/>
          </w:tcPr>
          <w:p>
            <w:pPr>
              <w:ind w:left="200"/>
              <w:spacing w:after="0"/>
              <w:rPr>
                <w:sz w:val="20"/>
                <w:szCs w:val="20"/>
                <w:color w:val="auto"/>
              </w:rPr>
            </w:pPr>
            <w:r>
              <w:rPr>
                <w:rFonts w:ascii="Arial" w:cs="Arial" w:eastAsia="Arial" w:hAnsi="Arial"/>
                <w:sz w:val="18"/>
                <w:szCs w:val="18"/>
                <w:b w:val="1"/>
                <w:bCs w:val="1"/>
                <w:color w:val="auto"/>
              </w:rPr>
              <w:t>BUYER</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Thousand Oaks Holding Company, Inc.</w:t>
            </w:r>
            <w:r>
              <w:rPr>
                <w:rFonts w:ascii="Arial" w:cs="Arial" w:eastAsia="Arial" w:hAnsi="Arial"/>
                <w:sz w:val="18"/>
                <w:szCs w:val="18"/>
                <w:color w:val="auto"/>
              </w:rPr>
              <w:t>,</w:t>
            </w:r>
          </w:p>
        </w:tc>
        <w:tc>
          <w:tcPr>
            <w:tcW w:w="5800" w:type="dxa"/>
            <w:vAlign w:val="bottom"/>
            <w:gridSpan w:val="2"/>
          </w:tcPr>
          <w:p>
            <w:pPr>
              <w:ind w:left="200"/>
              <w:spacing w:after="0"/>
              <w:rPr>
                <w:sz w:val="20"/>
                <w:szCs w:val="20"/>
                <w:color w:val="auto"/>
              </w:rPr>
            </w:pPr>
            <w:r>
              <w:rPr>
                <w:rFonts w:ascii="Arial" w:cs="Arial" w:eastAsia="Arial" w:hAnsi="Arial"/>
                <w:sz w:val="18"/>
                <w:szCs w:val="18"/>
                <w:b w:val="1"/>
                <w:bCs w:val="1"/>
                <w:color w:val="auto"/>
              </w:rPr>
              <w:t>ImprimisRx PA, Inc.,</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a Delaware corporation</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r>
      <w:tr>
        <w:trPr>
          <w:trHeight w:val="230"/>
        </w:trPr>
        <w:tc>
          <w:tcPr>
            <w:tcW w:w="36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Fischer, President</w:t>
            </w:r>
          </w:p>
        </w:tc>
        <w:tc>
          <w:tcPr>
            <w:tcW w:w="560" w:type="dxa"/>
            <w:vAlign w:val="bottom"/>
          </w:tcPr>
          <w:p>
            <w:pPr>
              <w:spacing w:after="0"/>
              <w:rPr>
                <w:sz w:val="20"/>
                <w:szCs w:val="20"/>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L. Baum, Chief Executive Officer</w:t>
            </w:r>
          </w:p>
        </w:tc>
      </w:tr>
      <w:tr>
        <w:trPr>
          <w:trHeight w:val="40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Topical Apothecary Group, LLC,</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Pennsylvania limited liability company</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98"/>
        </w:trPr>
        <w:tc>
          <w:tcPr>
            <w:tcW w:w="360" w:type="dxa"/>
            <w:vAlign w:val="bottom"/>
          </w:tcPr>
          <w:p>
            <w:pPr>
              <w:spacing w:after="0"/>
              <w:rPr>
                <w:sz w:val="17"/>
                <w:szCs w:val="17"/>
                <w:color w:val="auto"/>
              </w:rPr>
            </w:pPr>
          </w:p>
        </w:tc>
        <w:tc>
          <w:tcPr>
            <w:tcW w:w="5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Paul Fischer, Manager</w:t>
            </w:r>
          </w:p>
        </w:tc>
        <w:tc>
          <w:tcPr>
            <w:tcW w:w="56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Aerosol Science Laboratories, Inc.,</w:t>
            </w: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California corporation</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98"/>
        </w:trPr>
        <w:tc>
          <w:tcPr>
            <w:tcW w:w="360" w:type="dxa"/>
            <w:vAlign w:val="bottom"/>
          </w:tcPr>
          <w:p>
            <w:pPr>
              <w:spacing w:after="0"/>
              <w:rPr>
                <w:sz w:val="17"/>
                <w:szCs w:val="17"/>
                <w:color w:val="auto"/>
              </w:rPr>
            </w:pPr>
          </w:p>
        </w:tc>
        <w:tc>
          <w:tcPr>
            <w:tcW w:w="5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Paul Fischer, President</w:t>
            </w:r>
          </w:p>
        </w:tc>
        <w:tc>
          <w:tcPr>
            <w:tcW w:w="56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SinuTopic, Inc.</w:t>
            </w: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Fischer, President</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0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Mycotoxins, LLC</w:t>
            </w: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California limited liability company</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Thomas Rafferty</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Rafferty, President</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25"/>
        </w:trPr>
        <w:tc>
          <w:tcPr>
            <w:tcW w:w="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FIRST AMENDMENT TO ASSET PURCHASE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FIRST AMENDMENT TO ASSET PURCHASE AGREEMENT (the “Amended Agreement”), is made this 15th day of October, 2015, by and among Thousand Oaks Holding Company, Inc., a Delaware corporation (“Company”), Topical Apothecary Group, LLC, a Pennsylvania limited liability company (“TAG”), Aerosol Science Laboratories, Inc., a California corporation (“ASL”), SinuTopic, Inc., a Delaware corporation (“SD”), Mycotoxins, LLC, a California limited liability company (“MYC” and together with TAG, ASL, SD, and the Company, collectively, “Sellers” and each, individually, a “Seller”), and ImprimisRx PA, Inc., a Delaware corporation (“Buyer”).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Sellers and Buyer entered into that certain Asset Purchase Agreement dated as of September 23, 2015 (the “Purchase Agreement”).</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due to a delay in the closing of the Purchase Agreement, on or about October 2, 2015, the Sellers and Buyer entered into that certain Interim Provisional Letter Amendment to Asset Purchase Agreement (the “Interim Management Agreement”) wherein the parties agreed that the Buyer would fund all reasonable operating expenses of TAG Pharmacy which arose in the ordinary course of business (the “TAG Expenses”), of which the Sellers would reimburse the Buyer for.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pursuant to the terms of the Interim Management Agreement, as of the date of this Amended Agreement, the Buyer has incurred total TAG Expenses of Seventeen Thousand Three Hundred Forty Six Dollars and Forty Three Cents ($17,346.43), a complete accounting of which has been attached hereto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amend Section 2.1 of the Purchase Agreement for the sole purpose of amending the final Closing Cash amount (all capitalized terms used herein and not defined shall have the meanings provided for in the Purchase Agreement).</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other agreements described in this Amended Agreement, and for good and valuable consideration, receipt of which is hereby acknowledged, the parties hereby agree as follows:</w:t>
      </w:r>
    </w:p>
    <w:p>
      <w:pPr>
        <w:spacing w:after="0" w:line="166"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to 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of the Purchase Agreement shall be amended in its entirety as follows: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2.1 </w:t>
      </w:r>
      <w:r>
        <w:rPr>
          <w:rFonts w:ascii="Arial" w:cs="Arial" w:eastAsia="Arial" w:hAnsi="Arial"/>
          <w:sz w:val="18"/>
          <w:szCs w:val="18"/>
          <w:b w:val="1"/>
          <w:bCs w:val="1"/>
          <w:i w:val="1"/>
          <w:iCs w:val="1"/>
          <w:u w:val="single" w:color="auto"/>
          <w:color w:val="auto"/>
        </w:rPr>
        <w:t>Closing Cash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As partial consideration for the sale, conveyance, assignment, transfer and delivery to Buyer of the Assets, on the Closing Date,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Buyer shall pay to Company by wire transfer of immediately available funds to an account or accounts designated by Company the sum of Five Hundred Twenty Four Thousand Dollars ($524,000.00) less TAG Expenses of Seventeen Thousand Three Hundred Forty Six Dollars and Forty Three Cents ($17,346.43) which shall be retained by the Buyer and thus reduce the total amount due and payable pursuant to the terms of the Interim Management Agreement, for a net payment to the Sellers of Five Hundred and Six Thousand Six Hundred Fifty Three Dollars and Fifty Seven Cents ($506,653.57) (the “Closing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1" w:name="page82"/>
    <w:bookmarkEnd w:id="81"/>
    <w:p>
      <w:pPr>
        <w:ind w:left="172" w:hanging="172"/>
        <w:spacing w:after="0"/>
        <w:tabs>
          <w:tab w:leader="none" w:pos="1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Amended Agreement binds and is for the benefit of the successors and permitted assigns of each party.</w:t>
      </w:r>
    </w:p>
    <w:p>
      <w:pPr>
        <w:spacing w:after="0" w:line="225" w:lineRule="exact"/>
        <w:rPr>
          <w:rFonts w:ascii="Arial" w:cs="Arial" w:eastAsia="Arial" w:hAnsi="Arial"/>
          <w:sz w:val="18"/>
          <w:szCs w:val="18"/>
          <w:b w:val="1"/>
          <w:bCs w:val="1"/>
          <w:color w:val="auto"/>
        </w:rPr>
      </w:pPr>
    </w:p>
    <w:p>
      <w:pPr>
        <w:jc w:val="both"/>
        <w:ind w:left="-8" w:firstLine="8"/>
        <w:spacing w:after="0" w:line="289" w:lineRule="auto"/>
        <w:tabs>
          <w:tab w:leader="none" w:pos="172"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Law/Interpretation</w:t>
      </w:r>
      <w:r>
        <w:rPr>
          <w:rFonts w:ascii="Arial" w:cs="Arial" w:eastAsia="Arial" w:hAnsi="Arial"/>
          <w:sz w:val="17"/>
          <w:szCs w:val="17"/>
          <w:color w:val="auto"/>
        </w:rPr>
        <w:t>. This Amended Agreement and the Purchase Agreement shall be governed by, construed in accordance with and enforced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internal laws of the State of California. Words used herein, regardless of the number and gender specifically used, shall be deemed and construed to include any other number, singular or plural, and any other gender, masculine, feminine or neuter, as the context requires.</w:t>
      </w:r>
    </w:p>
    <w:p>
      <w:pPr>
        <w:spacing w:after="0" w:line="158" w:lineRule="exact"/>
        <w:rPr>
          <w:rFonts w:ascii="Arial" w:cs="Arial" w:eastAsia="Arial" w:hAnsi="Arial"/>
          <w:sz w:val="17"/>
          <w:szCs w:val="17"/>
          <w:b w:val="1"/>
          <w:bCs w:val="1"/>
          <w:color w:val="auto"/>
        </w:rPr>
      </w:pPr>
    </w:p>
    <w:p>
      <w:pPr>
        <w:jc w:val="both"/>
        <w:ind w:left="-8" w:firstLine="8"/>
        <w:spacing w:after="0" w:line="261" w:lineRule="auto"/>
        <w:tabs>
          <w:tab w:leader="none" w:pos="1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Complete Agreement; Amendments</w:t>
      </w:r>
      <w:r>
        <w:rPr>
          <w:rFonts w:ascii="Arial" w:cs="Arial" w:eastAsia="Arial" w:hAnsi="Arial"/>
          <w:sz w:val="18"/>
          <w:szCs w:val="18"/>
          <w:color w:val="auto"/>
        </w:rPr>
        <w:t>. This Amended Agreement and the Purchase Agreement represent the entire agreement about this subject matter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prior negotiations or agreements with respect to such subject matter. All prior agreements, understandings, representations, warranties, and negotiations between the parties about the subject matter of this Amended Agreement and the Purchase Agreement merge into this Amended Agreement and the Purchase Agreement.</w:t>
      </w:r>
    </w:p>
    <w:p>
      <w:pPr>
        <w:spacing w:after="0" w:line="180" w:lineRule="exact"/>
        <w:rPr>
          <w:rFonts w:ascii="Arial" w:cs="Arial" w:eastAsia="Arial" w:hAnsi="Arial"/>
          <w:sz w:val="18"/>
          <w:szCs w:val="18"/>
          <w:b w:val="1"/>
          <w:bCs w:val="1"/>
          <w:color w:val="auto"/>
        </w:rPr>
      </w:pPr>
    </w:p>
    <w:p>
      <w:pPr>
        <w:ind w:left="-8" w:firstLine="8"/>
        <w:spacing w:after="0" w:line="282" w:lineRule="auto"/>
        <w:tabs>
          <w:tab w:leader="none" w:pos="1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of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provision of this Amended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1" w:lineRule="exact"/>
        <w:rPr>
          <w:rFonts w:ascii="Arial" w:cs="Arial" w:eastAsia="Arial" w:hAnsi="Arial"/>
          <w:sz w:val="18"/>
          <w:szCs w:val="18"/>
          <w:b w:val="1"/>
          <w:bCs w:val="1"/>
          <w:color w:val="auto"/>
        </w:rPr>
      </w:pPr>
    </w:p>
    <w:p>
      <w:pPr>
        <w:jc w:val="both"/>
        <w:ind w:left="-8" w:firstLine="8"/>
        <w:spacing w:after="0" w:line="261" w:lineRule="auto"/>
        <w:tabs>
          <w:tab w:leader="none" w:pos="1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Amended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 Delivery of an executed counterpart of a signature page of this Amended Agreement by facsimile, portable document format (.pdf) or other electronic transmission will be as effective as delivery of a manually executed counterpart hereof.</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First Amendment to Asset Purchase Agreement on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SELLERS</w:t>
            </w:r>
          </w:p>
        </w:tc>
        <w:tc>
          <w:tcPr>
            <w:tcW w:w="2400" w:type="dxa"/>
            <w:vAlign w:val="bottom"/>
          </w:tcPr>
          <w:p>
            <w:pPr>
              <w:spacing w:after="0"/>
              <w:rPr>
                <w:sz w:val="20"/>
                <w:szCs w:val="20"/>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b w:val="1"/>
                <w:bCs w:val="1"/>
                <w:color w:val="auto"/>
              </w:rPr>
              <w:t>BUYER</w:t>
            </w:r>
          </w:p>
        </w:tc>
      </w:tr>
      <w:tr>
        <w:trPr>
          <w:trHeight w:val="418"/>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5"/>
              </w:rPr>
              <w:t>Thousand Oaks Holding Company, Inc.</w:t>
            </w:r>
          </w:p>
        </w:tc>
        <w:tc>
          <w:tcPr>
            <w:tcW w:w="2400" w:type="dxa"/>
            <w:vAlign w:val="bottom"/>
          </w:tcPr>
          <w:p>
            <w:pPr>
              <w:spacing w:after="0"/>
              <w:rPr>
                <w:sz w:val="24"/>
                <w:szCs w:val="24"/>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b w:val="1"/>
                <w:bCs w:val="1"/>
                <w:color w:val="auto"/>
              </w:rPr>
              <w:t>ImprimisRx PA, Inc.</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2400" w:type="dxa"/>
            <w:vAlign w:val="bottom"/>
          </w:tcPr>
          <w:p>
            <w:pPr>
              <w:spacing w:after="0"/>
              <w:rPr>
                <w:sz w:val="20"/>
                <w:szCs w:val="20"/>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a Delaware corporation</w:t>
            </w:r>
          </w:p>
        </w:tc>
      </w:tr>
      <w:tr>
        <w:trPr>
          <w:trHeight w:val="453"/>
        </w:trPr>
        <w:tc>
          <w:tcPr>
            <w:tcW w:w="3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240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r>
      <w:tr>
        <w:trPr>
          <w:trHeight w:val="230"/>
        </w:trPr>
        <w:tc>
          <w:tcPr>
            <w:tcW w:w="36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Fischer, its President</w:t>
            </w:r>
          </w:p>
        </w:tc>
        <w:tc>
          <w:tcPr>
            <w:tcW w:w="24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L. Baum, Chief Executive Officer</w:t>
            </w:r>
          </w:p>
        </w:tc>
      </w:tr>
      <w:tr>
        <w:trPr>
          <w:trHeight w:val="40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Topical Apothecary Group, LLC</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a Pennsylvania limited liability company</w:t>
            </w: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3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Fischer, its Manager</w:t>
            </w:r>
          </w:p>
        </w:tc>
        <w:tc>
          <w:tcPr>
            <w:tcW w:w="24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0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Aerosol Science Laboratories, Inc.</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a California corporation</w:t>
            </w: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3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Fischer, its President</w:t>
            </w:r>
          </w:p>
        </w:tc>
        <w:tc>
          <w:tcPr>
            <w:tcW w:w="24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0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SinuTopic, Inc.</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3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Fischer</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Fischer, its President</w:t>
            </w:r>
          </w:p>
        </w:tc>
        <w:tc>
          <w:tcPr>
            <w:tcW w:w="24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0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Mycotoxins, LLC</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a California limited liability company</w:t>
            </w: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3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Thomas Rafferty</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Rafferty, its President</w:t>
            </w:r>
          </w:p>
        </w:tc>
        <w:tc>
          <w:tcPr>
            <w:tcW w:w="24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0" w:type="dxa"/>
            <w:vAlign w:val="bottom"/>
            <w:gridSpan w:val="3"/>
          </w:tcPr>
          <w:p>
            <w:pPr>
              <w:ind w:left="180"/>
              <w:spacing w:after="0"/>
              <w:rPr>
                <w:sz w:val="20"/>
                <w:szCs w:val="20"/>
                <w:color w:val="auto"/>
              </w:rPr>
            </w:pPr>
            <w:r>
              <w:rPr>
                <w:rFonts w:ascii="Arial" w:cs="Arial" w:eastAsia="Arial" w:hAnsi="Arial"/>
                <w:sz w:val="18"/>
                <w:szCs w:val="18"/>
                <w:color w:val="auto"/>
              </w:rPr>
              <w:t>[SIGNATURE PAGE TO ASSET PURCHASE AGREEMENT]</w:t>
            </w:r>
          </w:p>
        </w:tc>
      </w:tr>
      <w:tr>
        <w:trPr>
          <w:trHeight w:val="439"/>
        </w:trPr>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52"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80" w:hanging="454"/>
        <w:spacing w:after="0" w:line="342" w:lineRule="auto"/>
        <w:tabs>
          <w:tab w:leader="none" w:pos="13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80" w:hanging="454"/>
        <w:spacing w:after="0" w:line="264"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80" w:hanging="454"/>
        <w:spacing w:after="0" w:line="308" w:lineRule="auto"/>
        <w:tabs>
          <w:tab w:leader="none" w:pos="13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80" w:hanging="454"/>
        <w:spacing w:after="0" w:line="27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12, 2015</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920" w:hanging="45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52"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8"/>
          <w:szCs w:val="18"/>
          <w:color w:val="auto"/>
        </w:rPr>
      </w:pPr>
    </w:p>
    <w:p>
      <w:pPr>
        <w:jc w:val="both"/>
        <w:ind w:left="1380" w:hanging="454"/>
        <w:spacing w:after="0" w:line="264"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80" w:hanging="454"/>
        <w:spacing w:after="0" w:line="342" w:lineRule="auto"/>
        <w:tabs>
          <w:tab w:leader="none" w:pos="13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80" w:hanging="454"/>
        <w:spacing w:after="0" w:line="264"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80" w:hanging="454"/>
        <w:spacing w:after="0" w:line="308" w:lineRule="auto"/>
        <w:tabs>
          <w:tab w:leader="none" w:pos="13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80" w:hanging="454"/>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12, 2015</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September 30, 2015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3"/>
    </w:lvl>
  </w:abstractNum>
  <w:abstractNum w:abstractNumId="15">
    <w:nsid w:val="75A2A8D4"/>
    <w:multiLevelType w:val="hybridMultilevel"/>
    <w:lvl w:ilvl="0">
      <w:lvlJc w:val="left"/>
      <w:lvlText w:val="(%1)"/>
      <w:numFmt w:val="lowerRoman"/>
      <w:start w:val="3"/>
    </w:lvl>
  </w:abstractNum>
  <w:abstractNum w:abstractNumId="16">
    <w:nsid w:val="8EDBDAB"/>
    <w:multiLevelType w:val="hybridMultilevel"/>
    <w:lvl w:ilvl="0">
      <w:lvlJc w:val="left"/>
      <w:lvlText w:val="%1."/>
      <w:numFmt w:val="decimal"/>
      <w:start w:val="4"/>
    </w:lvl>
  </w:abstractNum>
  <w:abstractNum w:abstractNumId="17">
    <w:nsid w:val="79838CB2"/>
    <w:multiLevelType w:val="hybridMultilevel"/>
    <w:lvl w:ilvl="0">
      <w:lvlJc w:val="left"/>
      <w:lvlText w:val="%1."/>
      <w:numFmt w:val="decimal"/>
      <w:start w:val="5"/>
    </w:lvl>
  </w:abstractNum>
  <w:abstractNum w:abstractNumId="18">
    <w:nsid w:val="4353D0CD"/>
    <w:multiLevelType w:val="hybridMultilevel"/>
    <w:lvl w:ilvl="0">
      <w:lvlJc w:val="left"/>
      <w:lvlText w:val="%1."/>
      <w:numFmt w:val="decimal"/>
      <w:start w:val="6"/>
    </w:lvl>
  </w:abstractNum>
  <w:abstractNum w:abstractNumId="19">
    <w:nsid w:val="B03E0C6"/>
    <w:multiLevelType w:val="hybridMultilevel"/>
    <w:lvl w:ilvl="0">
      <w:lvlJc w:val="left"/>
      <w:lvlText w:val="%1."/>
      <w:numFmt w:val="decimal"/>
      <w:start w:val="7"/>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decimal"/>
      <w:start w:val="9"/>
    </w:lvl>
    <w:lvl w:ilvl="1">
      <w:lvlJc w:val="left"/>
      <w:lvlText w:val="%2"/>
      <w:numFmt w:val="lowerLetter"/>
      <w:start w:val="1"/>
    </w:lvl>
  </w:abstractNum>
  <w:abstractNum w:abstractNumId="23">
    <w:nsid w:val="2CA88611"/>
    <w:multiLevelType w:val="hybridMultilevel"/>
    <w:lvl w:ilvl="0">
      <w:lvlJc w:val="left"/>
      <w:lvlText w:val="%1."/>
      <w:numFmt w:val="decimal"/>
      <w:start w:val="10"/>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2"/>
    </w:lvl>
  </w:abstractNum>
  <w:abstractNum w:abstractNumId="26">
    <w:nsid w:val="3A95F874"/>
    <w:multiLevelType w:val="hybridMultilevel"/>
    <w:lvl w:ilvl="0">
      <w:lvlJc w:val="left"/>
      <w:lvlText w:val="%1."/>
      <w:numFmt w:val="decimal"/>
      <w:start w:val="13"/>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2"/>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2020-01-25T03:17:23Z</dcterms:created>
  <dcterms:modified xsi:type="dcterms:W3CDTF">2020-01-25T03:17:23Z</dcterms:modified>
</cp:coreProperties>
</file>