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333-198675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903730" cy="857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73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3"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(“Cantor Fitzgerald”) relating to shares of our common stock offered by this prospectus supplement. In accordance with the terms of the Sales Agreement, we may offer and sell shares of our common stock having an aggregate offering price of up to $10,000,000 from time to time through Cantor Fitzgerald, acting as sales agent.</w:t>
      </w:r>
    </w:p>
    <w:p>
      <w:pPr>
        <w:spacing w:after="0" w:line="190"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is listed on the NASDAQ Capital Market under the symbol “IMMY.” On November 25, 2015, the last reported sales price of our common stock on the NASDAQ Capital Market was $6.36 per share. Based on 9,681,646 shares of outstanding common stock as of November 11, 2015, of which 7,292,203 were held by non-affiliates as of such date, and a per share price of $8.37 as of October 28, 2015, the last reported sales price of our common stock on the NASDAQ Capital Market on such date, the aggregate market value of our outstanding common stock held by non-affiliates is approximately $61,035,739. We have offered and sold no securities pursuant to General Instruction I.B.6 of Form S-3 during the twelve calendar month period that ends on, and includes, the date of this prospectus supplement.</w:t>
      </w:r>
    </w:p>
    <w:p>
      <w:pPr>
        <w:spacing w:after="0" w:line="193" w:lineRule="exact"/>
        <w:rPr>
          <w:sz w:val="24"/>
          <w:szCs w:val="24"/>
          <w:color w:val="auto"/>
        </w:rPr>
      </w:pPr>
    </w:p>
    <w:p>
      <w:pPr>
        <w:jc w:val="both"/>
        <w:ind w:firstLine="648"/>
        <w:spacing w:after="0" w:line="271" w:lineRule="auto"/>
        <w:rPr>
          <w:sz w:val="20"/>
          <w:szCs w:val="20"/>
          <w:color w:val="auto"/>
        </w:rPr>
      </w:pPr>
      <w:r>
        <w:rPr>
          <w:rFonts w:ascii="Arial" w:cs="Arial" w:eastAsia="Arial" w:hAnsi="Arial"/>
          <w:sz w:val="17"/>
          <w:szCs w:val="17"/>
          <w:color w:val="auto"/>
        </w:rPr>
        <w:t>Sales of our common stock, if any, under this prospectus supplement and the accompanying prospectus may be made in sales deemed to be “at-the-market” equity offerings as defined in Rule 415 promulgated under the Securities Act of 1933, as amended (the “Securities Act”), including sales made directly on or through the NASDAQ Capital Market, the existing trading market for our common stock, sales made to or through a market maker other than on an exchange or otherwise, in negotiated transactions at market prices prevailing at the time of sale or at prices related to such prevailing market prices, and/or any other method permitted by law. Cantor Fitzgerald is not required to sell any specific number or dollar amount of securities, but will act as a sales agent using commercially reasonable efforts to sell on our behalf all of the shares of common stock requested to be sold by us, consistent with its normal trading and sales practices, on mutually agreed terms between Cantor Fitzgerald and us as set forth in the Sales Agreement. There is no arrangement for funds to be received in any escrow, trust or similar arrangement.</w:t>
      </w:r>
    </w:p>
    <w:p>
      <w:pPr>
        <w:spacing w:after="0" w:line="179"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Cantor Fitzgerald will be entitled to compensation under the terms of the Sales Agreement at a fixed commission rate of 3.0% of the aggregate gross sales price per share sold. In connection with the sale of our common stock on our behalf, Cantor Fitzgerald will be deemed to be an “underwriter” within the meaning of the Securities Act and the compensation of Cantor Fitzgerald will be deemed to be underwriting commissions or discounts.</w:t>
      </w:r>
    </w:p>
    <w:p>
      <w:pPr>
        <w:spacing w:after="0" w:line="162"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S-3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123190</wp:posOffset>
            </wp:positionV>
            <wp:extent cx="225552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80" w:type="dxa"/>
            <w:vAlign w:val="bottom"/>
            <w:gridSpan w:val="17"/>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tcBorders>
              <w:top w:val="single" w:sz="8" w:color="CCEEFF"/>
            </w:tcBorders>
            <w:gridSpan w:val="16"/>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Borders>
              <w:top w:val="single" w:sz="8" w:color="0000EE"/>
            </w:tcBorders>
            <w:gridSpan w:val="12"/>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73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95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DILUTION</w:t>
              </w:r>
            </w:hyperlink>
          </w:p>
        </w:tc>
        <w:tc>
          <w:tcPr>
            <w:tcW w:w="920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80" w:type="dxa"/>
            <w:vAlign w:val="bottom"/>
            <w:gridSpan w:val="17"/>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CCEEFF"/>
              <w:bottom w:val="single" w:sz="8" w:color="0000EE"/>
            </w:tcBorders>
            <w:gridSpan w:val="7"/>
            <w:shd w:val="clear" w:color="auto" w:fill="CCEEFF"/>
          </w:tcPr>
          <w:p>
            <w:pPr>
              <w:spacing w:after="0" w:line="142" w:lineRule="exact"/>
              <w:rPr>
                <w:rFonts w:ascii="Arial" w:cs="Arial" w:eastAsia="Arial" w:hAnsi="Arial"/>
                <w:sz w:val="16"/>
                <w:szCs w:val="16"/>
                <w:color w:val="0000EE"/>
              </w:rPr>
            </w:pPr>
            <w:hyperlink w:anchor="page18">
              <w:r>
                <w:rPr>
                  <w:rFonts w:ascii="Arial" w:cs="Arial" w:eastAsia="Arial" w:hAnsi="Arial"/>
                  <w:sz w:val="16"/>
                  <w:szCs w:val="16"/>
                  <w:color w:val="0000EE"/>
                </w:rPr>
                <w:t>PROSPECTUS SUMMARY</w:t>
              </w:r>
            </w:hyperlink>
          </w:p>
        </w:tc>
        <w:tc>
          <w:tcPr>
            <w:tcW w:w="868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FORWARD-LOOKING STATEMENTS</w:t>
              </w:r>
            </w:hyperlink>
          </w:p>
        </w:tc>
        <w:tc>
          <w:tcPr>
            <w:tcW w:w="78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DESCRIPTION OF CAPITAL STOCK</w:t>
              </w:r>
            </w:hyperlink>
          </w:p>
        </w:tc>
        <w:tc>
          <w:tcPr>
            <w:tcW w:w="79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DEBT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5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supplement and the accompanying base prospectus is part of a registration statement that we filed with the Securities and Exchange Commission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September 10, 2014, and was declared effective by the SEC on September 29, 2014. This prospectus supplement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Cantor Fitzgerald has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regardless of the time of delivery of this prospectus supplement, the accompanying base prospectus or any free writing prospectus or the time of any sale of a security. Our business, financial condition, results of operations and prospects may have changed since those dates. </w:t>
      </w:r>
      <w:r>
        <w:rPr>
          <w:rFonts w:ascii="Arial" w:cs="Arial" w:eastAsia="Arial" w:hAnsi="Arial"/>
          <w:sz w:val="16"/>
          <w:szCs w:val="16"/>
          <w:b w:val="1"/>
          <w:bCs w:val="1"/>
          <w:color w:val="auto"/>
        </w:rPr>
        <w:t>You should carefully read this prospectus supplement, the accompanying base prospectus and the information and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otherwise stated or the context requires otherwise, all references in this prospectus to the “Company,” “we,” “us,” “our” and “Imprimis” refer to Imprimis Pharmaceuticals, Inc., a Delaware corporation, and its consolidated subsidiaries. We own the registered trademarks or trademark applications for Imprimis™, ImprimisRx™, SSP Technology™, Go Dropless™, LessDrops™, Dropless™, Dropless Cataract Surgery™, Dropless Cataract Therapy™, Dropless Therapy™, Defeat IC™, HLA Therapy™, Triple Drop™, PPS-DR™, Trimix-LP™, Stericheck™, Trimoxi™, Predmoxi™, Combination Drop Therapy™, and ED Free™. All other trademarks, trade names and service marks included or incorporated by reference into this prospectus supplement, the accompanying base prospectus and any applicable free writing prospectus are the property of their respective owners.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7306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30631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S-3 and our consolidated financial statements and the related notes and the other information incorporated by reference into this prospectus supplement and the accompanying base prospectus, before making an investment decision.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We are a pharmaceutical company focused on developing and commercializing innovative and high-quality proprietary compounded drug therapies and making these therapies available to physicians and patients at accessible prices. We own, market and sell a portfolio of proprietary combination formulations in ophthalmology, urology and otolaryngology that we believe may offer competitive advantages and serve unmet needs in the marketplace. Our ophthalmic compounded formulations, led by our Dropless Therapy™ injectables and LessDrops™ combination topical eye drops, compete in the multi-billion dollar market for ophthalmic antibiotic and anti-inflammatory drugs. Importantly, our formulations which are comprised of active pharmaceutical ingredients are uniquely designed to address patient compliance issues and provide other medical and economic benefits to physicians and patients. Our urology business, led by our Defeat IC™ campaign, includes a patented compounded formulation for patients suffering from interstitial cystitis. Our otolaryngology business includes topical compounded sinus formulations, delivery systems and patented packaging. We are also developing additional complementary proprietary compounded formulations to add to our ophthalmology and urology formulation portfolios. We make, dispense and sell our proprietary compounded formulations, as well as non-proprietary products, through our wholly-owned compounding pharmacies Pharmacy Creations, LLC (“Pharmacy Creations”), South Coast Specialty Compounding, Inc. D/B/A Park Compounding (“Park”), JT Pharmacy, Inc. D/B/A Central Allen Pharmacy (“CAP”) and ImprimisRx PA, Inc. D/B/A ImprimisRx. In this prospectus supplement, we refer to all of our wholly owned compounding pharmacies collectively as our “ImprimisRx™ compounding pharmacies.” Beginning with our acquisition of Park in early 2015, we have been marketing a portfolio of non-proprietary compounded formulations consisting of sterile injectable and non-sterile integrative medicine therapies that are used in various therapeutic areas, including oncology, autoimmunity, chronic infectious diseases, and endocrine and metabolic diseases. We also recently introduced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which is aligned with our corporate mission to help provide physicians and patients access to cost-effective compounded formulations as alternatives for certain generic drugs approved by the U.S. Food and Drug Administration (the “FDA”).</w:t>
      </w:r>
    </w:p>
    <w:p>
      <w:pPr>
        <w:spacing w:after="0" w:line="391"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selecting a commercialization pathway and investing in commercialization activities. Although our business is focused on a compounding strategy, which entails dispensing formulations through compounding pharmacies and other prescription dispensing facilities pursuant to a prescription for an individually identified patient, we also consider other commercialization pathways, including pursuing FDA approval to market and sell a drug formulation or technology. We believe our model allows us to meet the realities of the current healthcare economy by offering quality pharmaceutical innovation at accessible prices.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our inception on July 24, 1998. In addition, we have an accumulated deficit of approximately $53 million at September 30, 2015. Beginning on April 1, 2014, the date of our acquisition of Pharmacy Creations,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located at 12264 El Camino Real, Suite 350, San Diego, California 92130 and our telephone number at such offices is (858) 704-4040. Our website address is www.imprimispharma.com. Information contained on our website is not part of this prospectus supplement.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04" w:right="5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5797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797550"/>
                    </a:xfrm>
                    <a:prstGeom prst="rect">
                      <a:avLst/>
                    </a:prstGeom>
                    <a:noFill/>
                  </pic:spPr>
                </pic:pic>
              </a:graphicData>
            </a:graphic>
          </wp:anchor>
        </w:drawing>
        <w:t>The Offering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ectPr>
          <w:pgSz w:w="11900" w:h="16838" w:orient="portrait"/>
          <w:cols w:equalWidth="0" w:num="1">
            <w:col w:w="10840"/>
          </w:cols>
          <w:pgMar w:left="540" w:top="904" w:right="5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$10,000,000.</w:t>
      </w:r>
    </w:p>
    <w:p>
      <w:pPr>
        <w:spacing w:after="0" w:line="200" w:lineRule="exact"/>
        <w:rPr>
          <w:sz w:val="20"/>
          <w:szCs w:val="20"/>
          <w:color w:val="auto"/>
        </w:rPr>
      </w:pPr>
    </w:p>
    <w:p>
      <w:pPr>
        <w:sectPr>
          <w:pgSz w:w="11900" w:h="16838" w:orient="portrait"/>
          <w:cols w:equalWidth="0" w:num="2">
            <w:col w:w="2240" w:space="720"/>
            <w:col w:w="7880"/>
          </w:cols>
          <w:pgMar w:left="540" w:top="904" w:right="519" w:bottom="1440"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 to 11,253,973 shares (as more fully described in the notes following this table), assuming sales of 1,572,327 shares of our common stock in this offering at an offering price of $6.36 per share, which was the last reported sales price of our common stock on the NASDAQ Capital Market on November 25, 2015. The actual number of shares issued will vary depending on the sales prices under this offering.</w:t>
      </w:r>
    </w:p>
    <w:p>
      <w:pPr>
        <w:spacing w:after="0" w:line="171" w:lineRule="exact"/>
        <w:rPr>
          <w:sz w:val="20"/>
          <w:szCs w:val="20"/>
          <w:color w:val="auto"/>
        </w:rPr>
      </w:pPr>
    </w:p>
    <w:p>
      <w:pPr>
        <w:sectPr>
          <w:pgSz w:w="11900" w:h="16838" w:orient="portrait"/>
          <w:cols w:equalWidth="0" w:num="2">
            <w:col w:w="2380" w:space="580"/>
            <w:col w:w="7880"/>
          </w:cols>
          <w:pgMar w:left="5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“At-the-market” offering that may be made from time to time through our sales agent, Cantor Fitzgerald. See “Plan of Distribution” on page S-10.</w:t>
      </w:r>
    </w:p>
    <w:p>
      <w:pPr>
        <w:spacing w:after="0" w:line="170" w:lineRule="exact"/>
        <w:rPr>
          <w:sz w:val="20"/>
          <w:szCs w:val="20"/>
          <w:color w:val="auto"/>
        </w:rPr>
      </w:pPr>
    </w:p>
    <w:p>
      <w:pPr>
        <w:sectPr>
          <w:pgSz w:w="11900" w:h="16838" w:orient="portrait"/>
          <w:cols w:equalWidth="0" w:num="2">
            <w:col w:w="2240" w:space="720"/>
            <w:col w:w="7880"/>
          </w:cols>
          <w:pgMar w:left="540" w:top="904" w:right="5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expect to use the net proceeds from this offering, if any, for working capital and general corporate purposes. See “Use of Proceeds” on page S-8.</w:t>
      </w:r>
    </w:p>
    <w:p>
      <w:pPr>
        <w:spacing w:after="0" w:line="166" w:lineRule="exact"/>
        <w:rPr>
          <w:sz w:val="20"/>
          <w:szCs w:val="20"/>
          <w:color w:val="auto"/>
        </w:rPr>
      </w:pPr>
    </w:p>
    <w:p>
      <w:pPr>
        <w:sectPr>
          <w:pgSz w:w="11900" w:h="16838" w:orient="portrait"/>
          <w:cols w:equalWidth="0" w:num="2">
            <w:col w:w="2240" w:space="720"/>
            <w:col w:w="7880"/>
          </w:cols>
          <w:pgMar w:left="540" w:top="904" w:right="5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8"/>
          <w:szCs w:val="18"/>
          <w:b w:val="1"/>
          <w:bCs w:val="1"/>
          <w:color w:val="auto"/>
        </w:rPr>
        <w:t>Investing in our common stock involves significant risks. See “Risk Factors” beginning on page S-3 and the other information included or incorporated by reference in this prospectus supplement and the accompanying base prospectus for a discussion of factors you should carefully consider before deciding to invest in our common stock.</w:t>
      </w:r>
    </w:p>
    <w:p>
      <w:pPr>
        <w:spacing w:after="0" w:line="184" w:lineRule="exact"/>
        <w:rPr>
          <w:sz w:val="20"/>
          <w:szCs w:val="20"/>
          <w:color w:val="auto"/>
        </w:rPr>
      </w:pPr>
    </w:p>
    <w:p>
      <w:pPr>
        <w:sectPr>
          <w:pgSz w:w="11900" w:h="16838" w:orient="portrait"/>
          <w:cols w:equalWidth="0" w:num="2">
            <w:col w:w="2240" w:space="720"/>
            <w:col w:w="7880"/>
          </w:cols>
          <w:pgMar w:left="540" w:top="904" w:right="519" w:bottom="1440" w:gutter="0" w:footer="0" w:header="0"/>
          <w:type w:val="continuous"/>
        </w:sectPr>
      </w:pPr>
    </w:p>
    <w:p>
      <w:pPr>
        <w:ind w:right="360"/>
        <w:spacing w:after="0" w:line="277" w:lineRule="auto"/>
        <w:rPr>
          <w:sz w:val="20"/>
          <w:szCs w:val="20"/>
          <w:color w:val="auto"/>
        </w:rPr>
      </w:pPr>
      <w:r>
        <w:rPr>
          <w:rFonts w:ascii="Arial" w:cs="Arial" w:eastAsia="Arial" w:hAnsi="Arial"/>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“IMMY”</w:t>
      </w:r>
    </w:p>
    <w:p>
      <w:pPr>
        <w:spacing w:after="0" w:line="440" w:lineRule="exact"/>
        <w:rPr>
          <w:sz w:val="20"/>
          <w:szCs w:val="20"/>
          <w:color w:val="auto"/>
        </w:rPr>
      </w:pPr>
    </w:p>
    <w:p>
      <w:pPr>
        <w:sectPr>
          <w:pgSz w:w="11900" w:h="16838" w:orient="portrait"/>
          <w:cols w:equalWidth="0" w:num="2">
            <w:col w:w="2240" w:space="720"/>
            <w:col w:w="7880"/>
          </w:cols>
          <w:pgMar w:left="540" w:top="904" w:right="51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The number of shares of our common stock expected to be outstanding after this offering is based on 9,681,646 shares of common stock outstanding as of September 30, 2015 and excludes the following:</w:t>
      </w:r>
    </w:p>
    <w:p>
      <w:pPr>
        <w:spacing w:after="0" w:line="170" w:lineRule="exact"/>
        <w:rPr>
          <w:sz w:val="20"/>
          <w:szCs w:val="20"/>
          <w:color w:val="auto"/>
        </w:rPr>
      </w:pPr>
    </w:p>
    <w:p>
      <w:pPr>
        <w:ind w:left="820" w:hanging="235"/>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1,563,213 shares of common stock issuable upon exercise of options outstanding as of September 30, 2015, which have a weighted average exercise price of $7.05 per share and of which 613,121 shares are exercisable as of September 30, 2015;</w:t>
      </w:r>
    </w:p>
    <w:p>
      <w:pPr>
        <w:spacing w:after="0" w:line="170" w:lineRule="exact"/>
        <w:rPr>
          <w:rFonts w:ascii="Arial" w:cs="Arial" w:eastAsia="Arial" w:hAnsi="Arial"/>
          <w:sz w:val="18"/>
          <w:szCs w:val="18"/>
          <w:color w:val="auto"/>
        </w:rPr>
      </w:pPr>
    </w:p>
    <w:p>
      <w:pPr>
        <w:ind w:left="820" w:hanging="235"/>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1,498,237 shares of common stock issuable upon the vesting of restricted stock units as of September 30, 2015;</w:t>
      </w:r>
    </w:p>
    <w:p>
      <w:pPr>
        <w:spacing w:after="0" w:line="225" w:lineRule="exact"/>
        <w:rPr>
          <w:rFonts w:ascii="Arial" w:cs="Arial" w:eastAsia="Arial" w:hAnsi="Arial"/>
          <w:sz w:val="18"/>
          <w:szCs w:val="18"/>
          <w:color w:val="auto"/>
        </w:rPr>
      </w:pPr>
    </w:p>
    <w:p>
      <w:pPr>
        <w:ind w:left="820" w:hanging="235"/>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1,334,192 shares of common stock reserved for issuance and available for future grant under our equity incentive plans as of September 30, 2015; and</w:t>
      </w:r>
    </w:p>
    <w:p>
      <w:pPr>
        <w:spacing w:after="0" w:line="170" w:lineRule="exact"/>
        <w:rPr>
          <w:rFonts w:ascii="Arial" w:cs="Arial" w:eastAsia="Arial" w:hAnsi="Arial"/>
          <w:sz w:val="18"/>
          <w:szCs w:val="18"/>
          <w:color w:val="auto"/>
        </w:rPr>
      </w:pPr>
    </w:p>
    <w:p>
      <w:pPr>
        <w:ind w:left="820" w:hanging="235"/>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September 30, 2015, which have a weighted average exercise price of $7.41 per share and of which 240,688 shares are exercisable as of September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540" w:top="904" w:right="51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the price per share of our common stock being offered may be higher than the book value per share of our common stock, you may suffer immediate substantial dilution in the net tangible book value of the common stock you purchase in this offering. See “Dilution” on page S-9 for a more detailed discussion of the dilution you may incur if you purchase shares of our common stock in this offering.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if any, and we may not use these proceeds effectively or in a manner with which you agree.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anticipate using the net proceeds from this offering, if any, for working capital and general corporate purposes. This represents our best estimate of the manner in which we will use any net proceeds we receive from this offering based upon the current status of our business, but we have not reserved or allocated amounts for specific purposes and we cannot specify with certainty how or when we will use any net proceeds. Accordingly, our management will have broad discretion in the application of any net proceeds we receive from this offering. You will not have the opportunity, as part of your investment decision, to assess whether any proceeds are being used effectively or in a manner with which you agree. The net proceeds, if any, may be used for corporate purposes that do not increase our operating results or market value. Until any net proceeds are used, they may be placed in investments that do not produce income or that lose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in the past been, and may in the future be, highly volatile and subject to wide fluctuations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working capital financing when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risks affecting our business discussed in these risk factors and the other risk factors incorporated herein by reference.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will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any contractual restrictions, such as those contained in our May 2015 loan agreement,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 and sales of common stock by these stockholders from time to time could cause our stock price to decline.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November 25, 2015, approximately 17% of our common stock that would be outstanding following such issuances. In addition, five individual stockholders collectively own, or have the right to acquire within 60 days after November 25, 2015, an additional approximately 41% of our common stock that would be outstanding following such issuances. The sale of even a portion of these shares, or the perception that such sales could occur, would likely have a material adverse effect on our stock price. In addition,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acquirer from making a tender offer or otherwise attempting to obtain control of our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issue preferred stock, it would likely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numerous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numerous risks, all of which you should consider carefully before making a decision to invest in our common stock. These risks include, among others, those listed below, which are more fully described in the reports we periodically file with the SEC and which are incorporated herein by reference. See “Incorporation of Certain Documents by Reference” and “Where You Can Find More Information” in this prospectus supplement for further information.</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in every year of our operations, and we may never become profitable.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commercializing our formulations or acquiring, building or operating compounding pharmacies or other prescription dispensing facilities. We have only been pursuing our business as a pharmaceutical company since December 2011, upon the dismissal of our previously filed petition for reorganization relief under Chapter 11 of the U.S. Bankruptcy Code, and we have only been pursuing our focus on compounded formulations and compounding pharmacies since November 2013, when we abandoned our efforts to develop our historical product candidate Impracor.</w:t>
      </w:r>
    </w:p>
    <w:p>
      <w:pPr>
        <w:spacing w:after="0" w:line="18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market acceptance of compounding pharmacies and compounded formulations, which contain FDA-approved ingredients but are not themselves approved by the FDA. As a result, physicians may be unwilling to prescribe, and patients may be unwilling to use, our proprietary customizable compounded formulations.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receive sufficient revenue through our ImprimisRx compounding pharmacies or other compounding pharmacies we may acquire or develop or with which we may partner to fund our operations and recover our development costs.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compounding pharmacy business is significantly impacted by state and federal pharmacy, healthcare and other statutes and regulations, which may be costly to comply with and which are subject to change.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ImprimisRx compounding pharmacies or any other pharmacy or outsourcing facility we acquire or build or with which we partner fails to comply with the Controlled Substances Act, the Food Drug and Cosmetic Act,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pharmaceutical and pharmacy industries are highly competitive, and as a result there are many competitive risks related to marketing and selling our proprietary formulations and operating our compounding pharmacy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revenues will be diminished if we fail to obtain acceptable prices or an adequate level of reimbursement from third-party payors.</w:t>
      </w:r>
    </w:p>
    <w:p>
      <w:pPr>
        <w:spacing w:after="0" w:line="170" w:lineRule="exact"/>
        <w:rPr>
          <w:rFonts w:ascii="Arial" w:cs="Arial" w:eastAsia="Arial" w:hAnsi="Arial"/>
          <w:sz w:val="18"/>
          <w:szCs w:val="18"/>
          <w:color w:val="auto"/>
        </w:rPr>
      </w:pPr>
    </w:p>
    <w:p>
      <w:pPr>
        <w:jc w:val="both"/>
        <w:ind w:left="324" w:right="20" w:hanging="324"/>
        <w:spacing w:after="0" w:line="264"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successfully develop and commercialize our proprietary formulations or any other assets we may acquire.</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train and maintain an effective sales and marketing infrastructure, we will not be able to commercialize our proprietary formulations successfully.</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 the past and may in the future participate in strategic transactions that could impact our liquidity, increase our expenses and distract our management.</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significant indebtedness, which will require substantial cash to service and which subjects our business to certain restrictions.</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correctly estimate our future operating expenses, which could lead to cash shortfalls.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capital in order to continue operating our business, and such additional funds may not be available when needed, on acceptable terms, or at all.</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FDA approval to market and sell any of our proprietary formulations, we may be unable to demonstrate the necessary safety and efficacy to obtain such FDA approval.</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conduct or completion of, or the termination of, any clinical or non-clinical trials for any product candidates for which we seek FDA approval could adversely affect our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not pursuing further development of our historical product candidate Impracor, and we do not expect to receive any revenue from Impracor to recover the significant costs we have incurred in the past in our efforts to develop this product candidate.</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in the U.S. or abroad, we may not be able to prevent others from using our intellectual property, which may reduce the competitiveness and value of the related assets.</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formulations and technologies could potentially conflict with the rights of others, which may result in legal actions or force us to alter our products, cease or limit our operations relating to the affected products, or seek to obtain a license in order to continue manufacturing the affected products, which may not be available on acceptable terms or at all.</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our CEO, Mark L. Baum, for the continued growth and development of our Company.</w:t>
      </w:r>
    </w:p>
    <w:p>
      <w:pPr>
        <w:spacing w:after="0" w:line="225"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attract and retain key personnel and outside consultants, we may be unable to maintain or expand our business. We depend upon consultants and outside contractors for key aspects of our business, which we may be unable to sufficiently manage.</w:t>
      </w:r>
    </w:p>
    <w:p>
      <w:pPr>
        <w:spacing w:after="0" w:line="14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amount of net proceeds we receive from this offering will depend upon the number of shares of our common stock sold and the market price at which they are sold. We may not be able to sell any shares under or fully utilize the Sales Agreement with Cantor Fitzgerald as a source of financing.</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to use the net proceeds from this offering, if any, for working capital and general corporate purposes.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any net proceeds we receive from this offering based upon the current status of our business, but we have not reserved or allocated amounts for specific purposes and we cannot specify with certainty how or when we will use any net proceeds. Amounts and timing of our actual expenditures will depend on numerous factors, including our pharmacy development and formulation commercialization efforts, as well as the amount of cash we use in our operations. Our management will have significant flexibility in applying the net proceeds, if any, from this offering.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funds are used, we intend to invest any net proceeds from this offering in interest-bearing money market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net tangible book value (deficit) as of September 30, 2015 was approximately $(2,345,000), or approximately $(0.24) per share. Net tangible book value (deficit) is determined by subtracting our total liabilities from our total tangible assets, and net tangible book value (deficit) per share is determined by dividing our net tangible book value (deficit) by the number of outstanding shares of our common stock. After giving effect to the proposed sale of $10,000,000 of our common stock in this offering at an assumed offering price of $6.36 per share, which was the last reported sales price of our common stock on the NASDAQ Capital Market on November 25, 2015, and after deducting offering commissions and estimated expenses payable by us, our adjusted net tangible book value (deficit) as of September 30, 2015 would have been approximately $7,255,000, or approximately $0.64 per share. This represents an immediate increase in net tangible book value (deficit) of approximately $0.88 per share to our existing stockholders and an immediate dilution in net tangible book value (deficit) of approximately $5.72 per share to investors participating in this offering. The following table illustrates this calculation on a per share basis: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 of common stock</w:t>
            </w:r>
          </w:p>
        </w:tc>
        <w:tc>
          <w:tcPr>
            <w:tcW w:w="6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tangible book value (deficit) per share as of September 30, 2015</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(0.24)</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0.88</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3"/>
        </w:trPr>
        <w:tc>
          <w:tcPr>
            <w:tcW w:w="8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net tangible book value (deficit) per share after giving effect to this offering</w:t>
            </w:r>
          </w:p>
        </w:tc>
        <w:tc>
          <w:tcPr>
            <w:tcW w:w="6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960" w:type="dxa"/>
            <w:vAlign w:val="bottom"/>
            <w:tcBorders>
              <w:top w:val="single" w:sz="8" w:color="CCEEFF"/>
            </w:tcBorders>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0.64</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6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9,681,646 shares of common stock issued and outstanding as of September 30, 2015 and exclude:</w:t>
      </w:r>
    </w:p>
    <w:p>
      <w:pPr>
        <w:spacing w:after="0" w:line="24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1,563,213 shares of common stock issuable upon exercise of options outstanding as of September 30, 2015, which have a weighted average exercise price of $7.05 per share and of which 613,121 shares are exercisable as of September 30, 2015;</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1,498,237 shares of common stock issuable upon the vesting of restricted stock units as of September 30,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1,334,192 shares of common stock reserved for issuance and available for future grant under our equity incentive plans as of September 30, 2015;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September 30, 2015, which have a weighted average exercise price of $7.41 per share and of which 240,688 shares are exercisable as of September 30, 2015.</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the Sales Agreement with Cantor Fitzgerald, under which we may offer and sell shares of our common stock from time to time through Cantor Fitzgerald, acting as agent. Pursuant to this prospectus supplement, we may offer and sell shares of our common stock having an aggregate offering price of up to $10,000,000. The Sales Agreement will be filed as an exhibit to a Current Report on Form 8-K under the Exchange Act, which will be incorporated by reference in this prospectus supplement.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delivery of a placement notice and subject to the terms and conditions of the Sales Agreement, Cantor Fitzgerald may sell shares of our common stock by any method permitted by law deemed to be an “at-the-market” offering as defined in Rule 415 promulgated under the Securities Act, including sales made directly on the NASDAQ Capital Market, on any other existing trading market for our common stock or to or through a market maker. Subject to our prior written consent, Cantor Fitzgerald may also sell shares of our common stock by any other method permitted by law, including in privately negotiated transactions. We may instruct Cantor Fitzgerald not to sell shares of our common stock if the sales cannot be effected at or above the price designated by us from time to time. We or Cantor Fitzgerald may suspend the offering of common stock upon notice and subject to other conditions.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pay Cantor Fitzgerald cash commissions for its services in acting as agent in the sale of our common stock. Cantor Fitzgerald will be entitled to compensation at a commission rate of 3.0% of the aggregate gross sales price per share sold. Because there is no minimum offering amount required as a condition to close this offering, the actual total public offering amount, commissions and proceeds to us, if any, are not determinable at this time. We have also agreed to reimburse Cantor Fitzgerald for certain specified expenses, including the fees and disbursements of its legal counsel, in an amount not to exceed $50,000. We estimate that the total expenses for the offering payable by us, excluding compensation and reimbursements payable to Cantor Fitzgerald under the terms of the Sales Agreement, will be approximately $50,000.</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Settlement for sales of common stock will occur on the third trading day following the date on which any sales are made, or on some other date that is agreed upon by us and Cantor Fitzgerald in connection with a particular transaction, in return for payment of the net proceeds to us. Sales of shares of our common stock as contemplated in this prospectus supplement will be settled through the facilities of The Depository Trust Company or by such other means as we and Cantor Fitzgerald may agree upon. There is no arrangement for funds to be received in an escrow, trust or similar arrangement.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Cantor Fitzgerald will use its commercially reasonable efforts, consistent with its normal trading and sales practices, to solicit offers to purchase shares of our common stock under the terms and subject to the conditions set forth in the Sales Agreement. In connection with the sale of shares of our common stock on our behalf, Cantor Fitzgerald will be deemed to be an “underwriter” within the meaning of the Securities Act and the compensation of Cantor Fitzgerald will be deemed to be underwriting commissions or discounts. We have agreed to provide indemnification and contribution to Cantor Fitzgerald against certain civil liabilities, including liabilities under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offering of our common stock pursuant to the Sales Agreement will terminate upon the termination of the Sales Agreement as permitted therein.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Cantor Fitzgerald may each terminate the Sales Agreement at any time upon ten days’ prior notice.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Cantor Fitzgerald and its affiliates may in the future provide various investment banking, commercial banking and other financial services for us and our affiliates, for which services they may in the future receive customary fees. To the extent required by Regulation M promulgated under the Exchange Act, Cantor Fitzgerald will not engage in any market making activities involving our common stock while the offering is ongoing under this prospectus supplement.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prospectus supplement and the accompanying base prospectus in electronic format may be made available on a website maintained by Cantor Fitzgerald, and Cantor Fitzgerald may distribute this prospectus supplement and the accompanying base prospectus electronically.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by this prospectus supplement will be passed upon for us by Morrison &amp; Foerster LLP, San Diego,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is being represented in connection with this offering by Cooley LLP,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subsidiary included in the Company’s Annual Report on Form 10-K for the year ended December 31, 2014 have been audited by KMJ Corbin &amp; Company LLP, an independent registered public accounting firm, as stated in their report which is incorporated by reference herein, and has been so incorporated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jc w:val="both"/>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2014 filed with the SEC on March 12, 2015 (and any portions of our Definitive Proxy Statement on Schedule 14A filed on April 10, 2015 that are incorporated by reference into such Annual Report on Form 10-K);</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June 30, 2015 and September 30, 2015 filed with the SEC on May 13, 2015, August 12, 2015, and November 12, 2015, respectively;</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2015, February 2, 2015, May 12, 2015, May 15, 2015, July 16, 2015, August 5, 2015, August 12, 2015, September 2, 2015, September 29, 2015, and October 20, 2015, and the amendments to our Current Reports on Form 8-K filed with the SEC on March 12, 2015 and August 6, 2015;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www.imprimispharma.com. We have not incorporated by reference into this prospectus supplement the information on our website and it is not a part of this document.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4160" w:hanging="154"/>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4160" w:hanging="154"/>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2014, the closing price of our common stock on the NASDAQCM was $8.22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CCEEFF"/>
              <w:bottom w:val="single" w:sz="8" w:color="0000EE"/>
            </w:tcBorders>
            <w:gridSpan w:val="7"/>
            <w:shd w:val="clear" w:color="auto" w:fill="CCEEFF"/>
          </w:tcPr>
          <w:p>
            <w:pPr>
              <w:spacing w:after="0" w:line="142" w:lineRule="exact"/>
              <w:rPr>
                <w:rFonts w:ascii="Arial" w:cs="Arial" w:eastAsia="Arial" w:hAnsi="Arial"/>
                <w:sz w:val="16"/>
                <w:szCs w:val="16"/>
                <w:color w:val="0000EE"/>
              </w:rPr>
            </w:pPr>
            <w:hyperlink w:anchor="page18">
              <w:r>
                <w:rPr>
                  <w:rFonts w:ascii="Arial" w:cs="Arial" w:eastAsia="Arial" w:hAnsi="Arial"/>
                  <w:sz w:val="16"/>
                  <w:szCs w:val="16"/>
                  <w:color w:val="0000EE"/>
                </w:rPr>
                <w:t>PROSPECTUS SUMMARY</w:t>
              </w:r>
            </w:hyperlink>
          </w:p>
        </w:tc>
        <w:tc>
          <w:tcPr>
            <w:tcW w:w="868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FORWARD-LOOKING STATEMENTS</w:t>
              </w:r>
            </w:hyperlink>
          </w:p>
        </w:tc>
        <w:tc>
          <w:tcPr>
            <w:tcW w:w="78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DESCRIPTION OF CAPITAL STOCK</w:t>
              </w:r>
            </w:hyperlink>
          </w:p>
        </w:tc>
        <w:tc>
          <w:tcPr>
            <w:tcW w:w="79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DEBT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8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1300" w:hanging="320"/>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07"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2833370</wp:posOffset>
            </wp:positionH>
            <wp:positionV relativeFrom="page">
              <wp:posOffset>431800</wp:posOffset>
            </wp:positionV>
            <wp:extent cx="1903730" cy="857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90373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Up to $10,000,000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847090</wp:posOffset>
            </wp:positionV>
            <wp:extent cx="21697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161925</wp:posOffset>
            </wp:positionV>
            <wp:extent cx="21697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9795" cy="1714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873760</wp:posOffset>
            </wp:positionV>
            <wp:extent cx="2512695" cy="857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12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lvl w:ilvl="1">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2020-01-25T09:43:41Z</dcterms:created>
  <dcterms:modified xsi:type="dcterms:W3CDTF">2020-01-25T09:43:41Z</dcterms:modified>
</cp:coreProperties>
</file>