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Graves Adrienne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HARROW,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 WOODMONT BLVD, SUITE 610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HARROW, INC.</w:t>
              </w:r>
            </w:hyperlink>
            <w:r>
              <w:rPr/>
              <w:t xml:space="preserve"> [ </w:t>
            </w:r>
            <w:r>
              <w:rPr>
                <w:rFonts w:ascii="Times;serif" w:hAnsi="Times;serif"/>
                <w:color w:val="0000FF"/>
                <w:sz w:val="24"/>
                <w:shd w:fill="FFFFFF" w:val="clear"/>
              </w:rPr>
              <w:t>HROW</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01/26/2024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RSU</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01/26/2024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3,119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3,119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were received as a compensatory award for services rendered or to be rendered.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Award of Restricted Stock Units vests in full on June 21, 2024. The shares underlying such Restricted Stock Units will not be delivered to the Reporting Person and may not be transferred or sold until the termination of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R. Boll as Attorney in Fact for Adrienne L. Graves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01/30/2024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26192" TargetMode="External"/><Relationship Id="rId4" Type="http://schemas.openxmlformats.org/officeDocument/2006/relationships/hyperlink" Target="http://www.sec.gov/cgi-bin/browse-edgar?action=getcompany&amp;CIK=000136021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3345</Characters>
  <CharactersWithSpaces>3908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