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989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9898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BAUM MARK 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tcPr>
          <w:p>
            <w:pPr>
              <w:ind w:left="4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5"/>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HARROW, INC.</w:t>
            </w:r>
          </w:p>
        </w:tc>
        <w:tc>
          <w:tcPr>
            <w:tcW w:w="880" w:type="dxa"/>
            <w:vAlign w:val="bottom"/>
          </w:tcPr>
          <w:p>
            <w:pPr>
              <w:spacing w:after="0"/>
              <w:rPr>
                <w:sz w:val="23"/>
                <w:szCs w:val="23"/>
                <w:color w:val="auto"/>
              </w:rPr>
            </w:pPr>
          </w:p>
        </w:tc>
      </w:tr>
      <w:tr>
        <w:trPr>
          <w:trHeight w:val="255"/>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102 WOODMONT BLVD, SUITE 610</w:t>
            </w:r>
          </w:p>
        </w:tc>
      </w:tr>
      <w:tr>
        <w:trPr>
          <w:trHeight w:val="423"/>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8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37205</w:t>
            </w:r>
          </w:p>
        </w:tc>
      </w:tr>
      <w:tr>
        <w:trPr>
          <w:trHeight w:val="461"/>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HARROW,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HROW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380" w:type="dxa"/>
            <w:vAlign w:val="bottom"/>
          </w:tcPr>
          <w:p>
            <w:pPr>
              <w:spacing w:after="0"/>
              <w:rPr>
                <w:sz w:val="3"/>
                <w:szCs w:val="3"/>
                <w:color w:val="auto"/>
              </w:rPr>
            </w:pPr>
          </w:p>
        </w:tc>
        <w:tc>
          <w:tcPr>
            <w:tcW w:w="1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2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460" w:type="dxa"/>
            <w:vAlign w:val="bottom"/>
            <w:gridSpan w:val="3"/>
            <w:vMerge w:val="continue"/>
          </w:tcPr>
          <w:p>
            <w:pPr>
              <w:spacing w:after="0"/>
              <w:rPr>
                <w:sz w:val="10"/>
                <w:szCs w:val="10"/>
                <w:color w:val="auto"/>
              </w:rPr>
            </w:pPr>
          </w:p>
        </w:tc>
        <w:tc>
          <w:tcPr>
            <w:tcW w:w="2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3"/>
                <w:szCs w:val="13"/>
                <w:color w:val="auto"/>
              </w:rPr>
            </w:pP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02/20/2024</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150,000</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10.67</w:t>
            </w: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2,188,361</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02/20/2024</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ind w:right="2"/>
              <w:spacing w:after="0"/>
              <w:rPr>
                <w:sz w:val="20"/>
                <w:szCs w:val="20"/>
                <w:color w:val="auto"/>
              </w:rPr>
            </w:pPr>
            <w:r>
              <w:rPr>
                <w:rFonts w:ascii="Times New Roman" w:cs="Times New Roman" w:eastAsia="Times New Roman" w:hAnsi="Times New Roman"/>
                <w:sz w:val="17"/>
                <w:szCs w:val="17"/>
                <w:color w:val="0000FF"/>
              </w:rPr>
              <w:t>59,836</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10.67</w:t>
            </w: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2,128,525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line="241" w:lineRule="exact"/>
              <w:rPr>
                <w:sz w:val="20"/>
                <w:szCs w:val="20"/>
                <w:color w:val="auto"/>
              </w:rPr>
            </w:pPr>
            <w:r>
              <w:rPr>
                <w:rFonts w:ascii="Times New Roman" w:cs="Times New Roman" w:eastAsia="Times New Roman" w:hAnsi="Times New Roman"/>
                <w:sz w:val="25"/>
                <w:szCs w:val="25"/>
                <w:color w:val="0000FF"/>
                <w:vertAlign w:val="subscript"/>
              </w:rPr>
              <w:t>RSU</w:t>
            </w:r>
            <w:r>
              <w:rPr>
                <w:rFonts w:ascii="Times New Roman" w:cs="Times New Roman" w:eastAsia="Times New Roman" w:hAnsi="Times New Roman"/>
                <w:sz w:val="11"/>
                <w:szCs w:val="11"/>
                <w:color w:val="008000"/>
              </w:rPr>
              <w:t>(1)</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02/20/2024</w:t>
            </w:r>
          </w:p>
        </w:tc>
        <w:tc>
          <w:tcPr>
            <w:tcW w:w="108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150,000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00" w:type="dxa"/>
            <w:vAlign w:val="bottom"/>
          </w:tcPr>
          <w:p>
            <w:pPr>
              <w:spacing w:after="0"/>
              <w:rPr>
                <w:sz w:val="21"/>
                <w:szCs w:val="21"/>
                <w:color w:val="auto"/>
              </w:rPr>
            </w:pPr>
          </w:p>
        </w:tc>
        <w:tc>
          <w:tcPr>
            <w:tcW w:w="540" w:type="dxa"/>
            <w:vAlign w:val="bottom"/>
          </w:tcPr>
          <w:p>
            <w:pPr>
              <w:jc w:val="right"/>
              <w:ind w:right="215"/>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150,000</w:t>
            </w:r>
          </w:p>
        </w:tc>
        <w:tc>
          <w:tcPr>
            <w:tcW w:w="40" w:type="dxa"/>
            <w:vAlign w:val="bottom"/>
          </w:tcPr>
          <w:p>
            <w:pPr>
              <w:spacing w:after="0"/>
              <w:rPr>
                <w:sz w:val="21"/>
                <w:szCs w:val="21"/>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21"/>
                <w:szCs w:val="21"/>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-1653540</wp:posOffset>
            </wp:positionV>
            <wp:extent cx="28575" cy="1658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586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4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listed acquired 150,000 shares of Harrow, Inc. ("Harrow")_common stock represent restricted stock units (RSUs") granted to Mr. Baum on February 19, 2021 under the Issuer's 2017 Stock Incentive and Awards Plan, as amended. The RSUs vested after a three-year period following the award date. 59,836 shares of Harrow common stock listed as disposed were withheld from issuance by Harrow to satisfy Mr. Baum's payroll tax liability incident related to the vesting of the RSUs. Such withholding did not involve any market sales or other market transactions.</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Mark L. Baum</w:t>
            </w:r>
          </w:p>
        </w:tc>
        <w:tc>
          <w:tcPr>
            <w:tcW w:w="10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02/21/2024</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4282"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2024-02-21T18:34:48Z</dcterms:created>
  <dcterms:modified xsi:type="dcterms:W3CDTF">2024-02-21T18:34:48Z</dcterms:modified>
</cp:coreProperties>
</file>