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102 Woodmont Blvd., Suite 610</w:t>
      </w:r>
    </w:p>
    <w:p>
      <w:pPr>
        <w:spacing w:after="0" w:line="39"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8"/>
        <w:spacing w:after="0" w:line="263"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15, 2020, Stephen G. Austin informed the Board of Directors (the “Board”) of Harrow Health, Inc. (the “Company”) that he will resign as a member of the Company’s Board, with such resignation to be effective immediately. Mr. Austin did not resign as a result of any disagreements with the Company on any matter relating to the Company’s operations, policies or practices.</w:t>
      </w:r>
    </w:p>
    <w:p>
      <w:pPr>
        <w:spacing w:after="0" w:line="184" w:lineRule="exact"/>
        <w:rPr>
          <w:sz w:val="20"/>
          <w:szCs w:val="20"/>
          <w:color w:val="auto"/>
        </w:rPr>
      </w:pPr>
    </w:p>
    <w:p>
      <w:pPr>
        <w:jc w:val="both"/>
        <w:ind w:firstLine="8"/>
        <w:spacing w:after="0" w:line="257" w:lineRule="auto"/>
        <w:tabs>
          <w:tab w:leader="none" w:pos="26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16, 2020, the Company announced that effective as of March 16, 2020, upon the resignation of Mr. Austin, the Board appointed Ms. Teresa Sparks to fill the vacancy on the Board resulting from the resignation of Mr. Austin. Ms. Sparks will serve until the Company’s Annual Meeting of Stockholders in 2020, subject to her prior death, resignation or removal from office. Ms. Sparks is an independent member of the Board and will serve on the Company’s Audit Committee, Compensation Committee and Nominating and Corporate Governance Committee, including serving as the Chair of the Audit Committee.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Ms. Sparks, age 51, is the Executive Vice President and Chief Financial Officer of Envision Healthcare Corporation, having served in that role since October 2018. Prior to Envision, Ms. Sparks was the interim Chief Financial Officer at Brookdale Senior Living, Inc. from March 2018 until September 2018. Previous to that, she served as Executive Vice President and Chief Financial Officer of Surgery Center Holdings, Inc. from its acquisition of Symbion in November 2014 until January 2018. Prior to that, Ms. Sparks served as Senior Vice President and Chief Financial Officer of Symbion Holdings Corporation and Symbion, Inc. from August 2007 to November 2014 and as Corporate Controller from Symbion’s inception in 1996 through August 2007 and was named Vice President in December 2002. Prior to joining Symbion, she served as Assistant Controller for HealthWise of America, Inc., a managed care organization, and was a senior healthcare auditor for Deloitte &amp; Touche LLP. Ms. Sparks is a Certified Public Accountant (inactive) and holds a bachelor’s degree in Accounting and Business Administration from Trevecca Nazarene University.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no other arrangement or understanding between Ms. Sparks and any other person pursuant to which she was appointed as a director of the Company. In connection with her service, Ms. Sparks will receive the Company’s standard director’s compensation package including cash and equity compensation as described in the Company’s most recent proxy statement, and an initial award of 10,000 restricted stock units which units will vest one year from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March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2020-03-17T08:22:07Z</dcterms:created>
  <dcterms:modified xsi:type="dcterms:W3CDTF">2020-03-17T08:22:07Z</dcterms:modified>
</cp:coreProperties>
</file>