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BOLL ANDREW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339" w:lineRule="auto"/>
        <w:rPr>
          <w:sz w:val="20"/>
          <w:szCs w:val="20"/>
          <w:color w:val="auto"/>
        </w:rPr>
      </w:pPr>
      <w:r>
        <w:rPr>
          <w:rFonts w:ascii="Arial" w:cs="Arial" w:eastAsia="Arial" w:hAnsi="Arial"/>
          <w:sz w:val="16"/>
          <w:szCs w:val="16"/>
          <w:color w:val="0000FF"/>
        </w:rPr>
        <w:t>C/O IMPRIMIS PHARMACEUTICALS, INC. 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Imprimis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IMMY</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48" w:lineRule="exact"/>
        <w:rPr>
          <w:sz w:val="24"/>
          <w:szCs w:val="24"/>
          <w:color w:val="auto"/>
        </w:rPr>
      </w:pPr>
    </w:p>
    <w:p>
      <w:pPr>
        <w:sectPr>
          <w:pgSz w:w="11900" w:h="16838" w:orient="portrait"/>
          <w:cols w:equalWidth="0" w:num="3">
            <w:col w:w="3460" w:space="620"/>
            <w:col w:w="3500" w:space="4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7"/>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SAN DIEGO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02/01/2015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10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8"/>
                <w:szCs w:val="18"/>
                <w:color w:val="0000FF"/>
              </w:rPr>
              <w:t>157,500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157,500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02/01/2015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30,000</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187,500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performance-based restricted stock units ("PSUs") granted under the Issuer's 2007 Stock Incentive and Awards Plan (the "Plan"). Each PSU represents a contingent right to receive one share of common stock of the Issuer upon the vesting and settlement of the PSU. The PSUs settle in full on the third anniversary of the grant date if certain stock-price based performance targets have been satisfied during the term of the PSUs.</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92"/>
              </w:rPr>
              <w:t>/s/ Andrew R. Boll</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02/02/2015</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2020-01-22T06:05:37Z</dcterms:created>
  <dcterms:modified xsi:type="dcterms:W3CDTF">2020-01-22T06:05:37Z</dcterms:modified>
</cp:coreProperties>
</file>