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705" cy="33020"/>
                    </a:xfrm>
                    <a:prstGeom prst="rect">
                      <a:avLst/>
                    </a:prstGeom>
                    <a:noFill/>
                  </pic:spPr>
                </pic:pic>
              </a:graphicData>
            </a:graphic>
          </wp:anchor>
        </w:drawing>
        <w:drawing>
          <wp:anchor simplePos="0" relativeHeight="251657728" behindDoc="1" locked="0" layoutInCell="0" allowOverlap="1">
            <wp:simplePos x="0" y="0"/>
            <wp:positionH relativeFrom="page">
              <wp:posOffset>192405</wp:posOffset>
            </wp:positionH>
            <wp:positionV relativeFrom="page">
              <wp:posOffset>292100</wp:posOffset>
            </wp:positionV>
            <wp:extent cx="716470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705" cy="6350"/>
                    </a:xfrm>
                    <a:prstGeom prst="rect">
                      <a:avLst/>
                    </a:prstGeom>
                    <a:noFill/>
                  </pic:spPr>
                </pic:pic>
              </a:graphicData>
            </a:graphic>
          </wp:anchor>
        </w:drawing>
        <w:t>UNITED STATES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September 26, 2025</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HARROW, INC.</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Delaware</w:t>
            </w:r>
          </w:p>
        </w:tc>
        <w:tc>
          <w:tcPr>
            <w:tcW w:w="3040" w:type="dxa"/>
            <w:vAlign w:val="bottom"/>
            <w:gridSpan w:val="3"/>
          </w:tcPr>
          <w:p>
            <w:pPr>
              <w:jc w:val="center"/>
              <w:ind w:left="731"/>
              <w:spacing w:after="0"/>
              <w:rPr>
                <w:sz w:val="20"/>
                <w:szCs w:val="20"/>
                <w:color w:val="auto"/>
              </w:rPr>
            </w:pPr>
            <w:r>
              <w:rPr>
                <w:rFonts w:ascii="Times New Roman" w:cs="Times New Roman" w:eastAsia="Times New Roman" w:hAnsi="Times New Roman"/>
                <w:sz w:val="14"/>
                <w:szCs w:val="14"/>
                <w:b w:val="1"/>
                <w:bCs w:val="1"/>
                <w:color w:val="auto"/>
                <w:w w:val="98"/>
              </w:rPr>
              <w:t>001-35814</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80" w:type="dxa"/>
            <w:vAlign w:val="bottom"/>
            <w:gridSpan w:val="2"/>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45-0567010</w:t>
            </w:r>
          </w:p>
        </w:tc>
      </w:tr>
      <w:tr>
        <w:trPr>
          <w:trHeight w:val="165"/>
        </w:trPr>
        <w:tc>
          <w:tcPr>
            <w:tcW w:w="20" w:type="dxa"/>
            <w:vAlign w:val="bottom"/>
          </w:tcPr>
          <w:p>
            <w:pPr>
              <w:spacing w:after="0"/>
              <w:rPr>
                <w:sz w:val="14"/>
                <w:szCs w:val="14"/>
                <w:color w:val="auto"/>
              </w:rPr>
            </w:pP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(State or other jurisdiction</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80" w:type="dxa"/>
            <w:vAlign w:val="bottom"/>
            <w:gridSpan w:val="3"/>
          </w:tcPr>
          <w:p>
            <w:pPr>
              <w:jc w:val="center"/>
              <w:ind w:right="1020"/>
              <w:spacing w:after="0"/>
              <w:rPr>
                <w:sz w:val="20"/>
                <w:szCs w:val="20"/>
                <w:color w:val="auto"/>
              </w:rPr>
            </w:pPr>
            <w:r>
              <w:rPr>
                <w:rFonts w:ascii="Times New Roman" w:cs="Times New Roman" w:eastAsia="Times New Roman" w:hAnsi="Times New Roman"/>
                <w:sz w:val="14"/>
                <w:szCs w:val="14"/>
                <w:color w:val="auto"/>
                <w:w w:val="97"/>
              </w:rPr>
              <w:t>(Commission</w:t>
            </w:r>
          </w:p>
        </w:tc>
        <w:tc>
          <w:tcPr>
            <w:tcW w:w="1240" w:type="dxa"/>
            <w:vAlign w:val="bottom"/>
          </w:tcPr>
          <w:p>
            <w:pPr>
              <w:spacing w:after="0"/>
              <w:rPr>
                <w:sz w:val="14"/>
                <w:szCs w:val="14"/>
                <w:color w:val="auto"/>
              </w:rPr>
            </w:pPr>
          </w:p>
        </w:tc>
        <w:tc>
          <w:tcPr>
            <w:tcW w:w="2240" w:type="dxa"/>
            <w:vAlign w:val="bottom"/>
          </w:tcPr>
          <w:p>
            <w:pPr>
              <w:jc w:val="center"/>
              <w:ind w:right="1291"/>
              <w:spacing w:after="0"/>
              <w:rPr>
                <w:sz w:val="20"/>
                <w:szCs w:val="20"/>
                <w:color w:val="auto"/>
              </w:rPr>
            </w:pPr>
            <w:r>
              <w:rPr>
                <w:rFonts w:ascii="Times New Roman" w:cs="Times New Roman" w:eastAsia="Times New Roman" w:hAnsi="Times New Roman"/>
                <w:sz w:val="14"/>
                <w:szCs w:val="14"/>
                <w:color w:val="auto"/>
                <w:w w:val="98"/>
              </w:rPr>
              <w:t>(IRS Employer</w:t>
            </w:r>
          </w:p>
        </w:tc>
      </w:tr>
      <w:tr>
        <w:trPr>
          <w:trHeight w:val="179"/>
        </w:trPr>
        <w:tc>
          <w:tcPr>
            <w:tcW w:w="20" w:type="dxa"/>
            <w:vAlign w:val="bottom"/>
          </w:tcPr>
          <w:p>
            <w:pPr>
              <w:spacing w:after="0"/>
              <w:rPr>
                <w:sz w:val="15"/>
                <w:szCs w:val="15"/>
                <w:color w:val="auto"/>
              </w:rPr>
            </w:pP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8"/>
              </w:rPr>
              <w:t>of incorporation)</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80" w:type="dxa"/>
            <w:vAlign w:val="bottom"/>
            <w:gridSpan w:val="3"/>
          </w:tcPr>
          <w:p>
            <w:pPr>
              <w:jc w:val="center"/>
              <w:ind w:right="1020"/>
              <w:spacing w:after="0"/>
              <w:rPr>
                <w:sz w:val="20"/>
                <w:szCs w:val="20"/>
                <w:color w:val="auto"/>
              </w:rPr>
            </w:pPr>
            <w:r>
              <w:rPr>
                <w:rFonts w:ascii="Times New Roman" w:cs="Times New Roman" w:eastAsia="Times New Roman" w:hAnsi="Times New Roman"/>
                <w:sz w:val="14"/>
                <w:szCs w:val="14"/>
                <w:color w:val="auto"/>
                <w:w w:val="97"/>
              </w:rPr>
              <w:t>File Number)</w:t>
            </w:r>
          </w:p>
        </w:tc>
        <w:tc>
          <w:tcPr>
            <w:tcW w:w="3480" w:type="dxa"/>
            <w:vAlign w:val="bottom"/>
            <w:gridSpan w:val="2"/>
          </w:tcPr>
          <w:p>
            <w:pPr>
              <w:jc w:val="center"/>
              <w:ind w:right="31"/>
              <w:spacing w:after="0"/>
              <w:rPr>
                <w:sz w:val="20"/>
                <w:szCs w:val="20"/>
                <w:color w:val="auto"/>
              </w:rPr>
            </w:pPr>
            <w:r>
              <w:rPr>
                <w:rFonts w:ascii="Times New Roman" w:cs="Times New Roman" w:eastAsia="Times New Roman" w:hAnsi="Times New Roman"/>
                <w:sz w:val="14"/>
                <w:szCs w:val="14"/>
                <w:color w:val="auto"/>
                <w:w w:val="97"/>
              </w:rPr>
              <w:t>Identification No.)</w:t>
            </w:r>
          </w:p>
        </w:tc>
      </w:tr>
      <w:tr>
        <w:trPr>
          <w:trHeight w:val="313"/>
        </w:trPr>
        <w:tc>
          <w:tcPr>
            <w:tcW w:w="20" w:type="dxa"/>
            <w:vAlign w:val="bottom"/>
          </w:tcPr>
          <w:p>
            <w:pPr>
              <w:spacing w:after="0"/>
              <w:rPr>
                <w:sz w:val="24"/>
                <w:szCs w:val="24"/>
                <w:color w:val="auto"/>
              </w:rPr>
            </w:pPr>
          </w:p>
        </w:tc>
        <w:tc>
          <w:tcPr>
            <w:tcW w:w="3720" w:type="dxa"/>
            <w:vAlign w:val="bottom"/>
            <w:gridSpan w:val="2"/>
          </w:tcPr>
          <w:p>
            <w:pPr>
              <w:jc w:val="center"/>
              <w:ind w:left="1711"/>
              <w:spacing w:after="0"/>
              <w:rPr>
                <w:sz w:val="20"/>
                <w:szCs w:val="20"/>
                <w:color w:val="auto"/>
              </w:rPr>
            </w:pPr>
            <w:r>
              <w:rPr>
                <w:rFonts w:ascii="Times New Roman" w:cs="Times New Roman" w:eastAsia="Times New Roman" w:hAnsi="Times New Roman"/>
                <w:sz w:val="14"/>
                <w:szCs w:val="14"/>
                <w:b w:val="1"/>
                <w:bCs w:val="1"/>
                <w:color w:val="auto"/>
                <w:w w:val="99"/>
              </w:rPr>
              <w:t>1A Burton Hills Blvd., Suite 200</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3720" w:type="dxa"/>
            <w:vAlign w:val="bottom"/>
            <w:gridSpan w:val="2"/>
          </w:tcPr>
          <w:p>
            <w:pPr>
              <w:jc w:val="center"/>
              <w:ind w:left="1711"/>
              <w:spacing w:after="0"/>
              <w:rPr>
                <w:sz w:val="20"/>
                <w:szCs w:val="20"/>
                <w:color w:val="auto"/>
              </w:rPr>
            </w:pPr>
            <w:r>
              <w:rPr>
                <w:rFonts w:ascii="Times New Roman" w:cs="Times New Roman" w:eastAsia="Times New Roman" w:hAnsi="Times New Roman"/>
                <w:sz w:val="14"/>
                <w:szCs w:val="14"/>
                <w:b w:val="1"/>
                <w:bCs w:val="1"/>
                <w:color w:val="auto"/>
                <w:w w:val="95"/>
              </w:rPr>
              <w:t>Nashville, Tennessee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37215</w:t>
            </w:r>
          </w:p>
        </w:tc>
        <w:tc>
          <w:tcPr>
            <w:tcW w:w="2240" w:type="dxa"/>
            <w:vAlign w:val="bottom"/>
          </w:tcPr>
          <w:p>
            <w:pPr>
              <w:spacing w:after="0"/>
              <w:rPr>
                <w:sz w:val="14"/>
                <w:szCs w:val="14"/>
                <w:color w:val="auto"/>
              </w:rPr>
            </w:pPr>
          </w:p>
        </w:tc>
      </w:tr>
      <w:tr>
        <w:trPr>
          <w:trHeight w:val="179"/>
        </w:trPr>
        <w:tc>
          <w:tcPr>
            <w:tcW w:w="20" w:type="dxa"/>
            <w:vAlign w:val="bottom"/>
          </w:tcPr>
          <w:p>
            <w:pPr>
              <w:spacing w:after="0"/>
              <w:rPr>
                <w:sz w:val="15"/>
                <w:szCs w:val="15"/>
                <w:color w:val="auto"/>
              </w:rPr>
            </w:pPr>
          </w:p>
        </w:tc>
        <w:tc>
          <w:tcPr>
            <w:tcW w:w="7780" w:type="dxa"/>
            <w:vAlign w:val="bottom"/>
            <w:gridSpan w:val="7"/>
          </w:tcPr>
          <w:p>
            <w:pPr>
              <w:jc w:val="center"/>
              <w:ind w:right="2280"/>
              <w:spacing w:after="0"/>
              <w:rPr>
                <w:sz w:val="20"/>
                <w:szCs w:val="20"/>
                <w:color w:val="auto"/>
              </w:rPr>
            </w:pPr>
            <w:r>
              <w:rPr>
                <w:rFonts w:ascii="Times New Roman" w:cs="Times New Roman" w:eastAsia="Times New Roman" w:hAnsi="Times New Roman"/>
                <w:sz w:val="14"/>
                <w:szCs w:val="14"/>
                <w:color w:val="auto"/>
                <w:w w:val="98"/>
              </w:rPr>
              <w:t>(Address of principal executive offices)</w:t>
            </w:r>
          </w:p>
        </w:tc>
        <w:tc>
          <w:tcPr>
            <w:tcW w:w="3480" w:type="dxa"/>
            <w:vAlign w:val="bottom"/>
            <w:gridSpan w:val="2"/>
          </w:tcPr>
          <w:p>
            <w:pPr>
              <w:jc w:val="center"/>
              <w:ind w:right="1971"/>
              <w:spacing w:after="0"/>
              <w:rPr>
                <w:sz w:val="20"/>
                <w:szCs w:val="20"/>
                <w:color w:val="auto"/>
              </w:rPr>
            </w:pPr>
            <w:r>
              <w:rPr>
                <w:rFonts w:ascii="Times New Roman" w:cs="Times New Roman" w:eastAsia="Times New Roman" w:hAnsi="Times New Roman"/>
                <w:sz w:val="14"/>
                <w:szCs w:val="14"/>
                <w:color w:val="auto"/>
                <w:w w:val="96"/>
              </w:rPr>
              <w:t>(Zip Code)</w:t>
            </w:r>
          </w:p>
        </w:tc>
      </w:tr>
      <w:tr>
        <w:trPr>
          <w:trHeight w:val="331"/>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color w:val="auto"/>
                <w:w w:val="98"/>
              </w:rPr>
              <w:t xml:space="preserve">Registrant’s telephone number, including area code: </w:t>
            </w:r>
            <w:r>
              <w:rPr>
                <w:rFonts w:ascii="Times New Roman" w:cs="Times New Roman" w:eastAsia="Times New Roman" w:hAnsi="Times New Roman"/>
                <w:sz w:val="14"/>
                <w:szCs w:val="14"/>
                <w:b w:val="1"/>
                <w:bCs w:val="1"/>
                <w:color w:val="auto"/>
                <w:w w:val="98"/>
              </w:rPr>
              <w:t>(615) 733-4730</w:t>
            </w:r>
          </w:p>
        </w:tc>
        <w:tc>
          <w:tcPr>
            <w:tcW w:w="12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30"/>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3"/>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1240" w:type="dxa"/>
            <w:vAlign w:val="bottom"/>
            <w:tcBorders>
              <w:bottom w:val="single" w:sz="8" w:color="auto"/>
            </w:tcBorders>
          </w:tcPr>
          <w:p>
            <w:pPr>
              <w:spacing w:after="0"/>
              <w:rPr>
                <w:sz w:val="24"/>
                <w:szCs w:val="24"/>
                <w:color w:val="auto"/>
              </w:rPr>
            </w:pPr>
          </w:p>
        </w:tc>
        <w:tc>
          <w:tcPr>
            <w:tcW w:w="224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color w:val="auto"/>
                <w:w w:val="97"/>
              </w:rPr>
              <w:t>(Former Name or Former Address, if Changed Since Last Report)</w:t>
            </w:r>
          </w:p>
        </w:tc>
        <w:tc>
          <w:tcPr>
            <w:tcW w:w="124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318"/>
        </w:trPr>
        <w:tc>
          <w:tcPr>
            <w:tcW w:w="3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30"/>
        </w:trPr>
        <w:tc>
          <w:tcPr>
            <w:tcW w:w="20" w:type="dxa"/>
            <w:vAlign w:val="bottom"/>
          </w:tcPr>
          <w:p>
            <w:pPr>
              <w:spacing w:after="0"/>
              <w:rPr>
                <w:sz w:val="24"/>
                <w:szCs w:val="24"/>
                <w:color w:val="auto"/>
              </w:rPr>
            </w:pPr>
          </w:p>
        </w:tc>
        <w:tc>
          <w:tcPr>
            <w:tcW w:w="3720" w:type="dxa"/>
            <w:vAlign w:val="bottom"/>
            <w:gridSpan w:val="2"/>
          </w:tcPr>
          <w:p>
            <w:pPr>
              <w:jc w:val="center"/>
              <w:ind w:left="471"/>
              <w:spacing w:after="0"/>
              <w:rPr>
                <w:sz w:val="20"/>
                <w:szCs w:val="20"/>
                <w:color w:val="auto"/>
              </w:rPr>
            </w:pPr>
            <w:r>
              <w:rPr>
                <w:rFonts w:ascii="Times New Roman" w:cs="Times New Roman" w:eastAsia="Times New Roman" w:hAnsi="Times New Roman"/>
                <w:sz w:val="14"/>
                <w:szCs w:val="14"/>
                <w:color w:val="auto"/>
                <w:w w:val="96"/>
              </w:rPr>
              <w:t>Title of each class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80" w:type="dxa"/>
            <w:vAlign w:val="bottom"/>
            <w:gridSpan w:val="3"/>
          </w:tcPr>
          <w:p>
            <w:pPr>
              <w:jc w:val="center"/>
              <w:ind w:right="1040"/>
              <w:spacing w:after="0"/>
              <w:rPr>
                <w:sz w:val="20"/>
                <w:szCs w:val="20"/>
                <w:color w:val="auto"/>
              </w:rPr>
            </w:pPr>
            <w:r>
              <w:rPr>
                <w:rFonts w:ascii="Times New Roman" w:cs="Times New Roman" w:eastAsia="Times New Roman" w:hAnsi="Times New Roman"/>
                <w:sz w:val="14"/>
                <w:szCs w:val="14"/>
                <w:color w:val="auto"/>
                <w:w w:val="97"/>
              </w:rPr>
              <w:t>Trading Symbol(s)</w:t>
            </w:r>
          </w:p>
        </w:tc>
        <w:tc>
          <w:tcPr>
            <w:tcW w:w="3480" w:type="dxa"/>
            <w:vAlign w:val="bottom"/>
            <w:gridSpan w:val="2"/>
          </w:tcPr>
          <w:p>
            <w:pPr>
              <w:jc w:val="center"/>
              <w:ind w:right="711"/>
              <w:spacing w:after="0"/>
              <w:rPr>
                <w:sz w:val="20"/>
                <w:szCs w:val="20"/>
                <w:color w:val="auto"/>
              </w:rPr>
            </w:pPr>
            <w:r>
              <w:rPr>
                <w:rFonts w:ascii="Times New Roman" w:cs="Times New Roman" w:eastAsia="Times New Roman" w:hAnsi="Times New Roman"/>
                <w:sz w:val="14"/>
                <w:szCs w:val="14"/>
                <w:color w:val="auto"/>
                <w:w w:val="98"/>
              </w:rPr>
              <w:t>Name on exchange on which registered</w:t>
            </w:r>
          </w:p>
        </w:tc>
      </w:tr>
      <w:tr>
        <w:trPr>
          <w:trHeight w:val="143"/>
        </w:trPr>
        <w:tc>
          <w:tcPr>
            <w:tcW w:w="20" w:type="dxa"/>
            <w:vAlign w:val="bottom"/>
          </w:tcPr>
          <w:p>
            <w:pPr>
              <w:spacing w:after="0"/>
              <w:rPr>
                <w:sz w:val="12"/>
                <w:szCs w:val="12"/>
                <w:color w:val="auto"/>
              </w:rPr>
            </w:pPr>
          </w:p>
        </w:tc>
        <w:tc>
          <w:tcPr>
            <w:tcW w:w="3720" w:type="dxa"/>
            <w:vAlign w:val="bottom"/>
            <w:tcBorders>
              <w:top w:val="single" w:sz="8" w:color="auto"/>
            </w:tcBorders>
            <w:gridSpan w:val="2"/>
          </w:tcPr>
          <w:p>
            <w:pPr>
              <w:jc w:val="center"/>
              <w:ind w:left="471"/>
              <w:spacing w:after="0" w:line="143" w:lineRule="exact"/>
              <w:rPr>
                <w:sz w:val="20"/>
                <w:szCs w:val="20"/>
                <w:color w:val="auto"/>
              </w:rPr>
            </w:pPr>
            <w:r>
              <w:rPr>
                <w:rFonts w:ascii="Times New Roman" w:cs="Times New Roman" w:eastAsia="Times New Roman" w:hAnsi="Times New Roman"/>
                <w:sz w:val="14"/>
                <w:szCs w:val="14"/>
                <w:color w:val="auto"/>
                <w:w w:val="98"/>
              </w:rPr>
              <w:t>Common Stock, $0.001 par value per share</w:t>
            </w: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6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w w:val="98"/>
              </w:rPr>
              <w:t>HROW</w:t>
            </w: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480" w:type="dxa"/>
            <w:vAlign w:val="bottom"/>
            <w:tcBorders>
              <w:top w:val="single" w:sz="8" w:color="auto"/>
            </w:tcBorders>
            <w:gridSpan w:val="2"/>
          </w:tcPr>
          <w:p>
            <w:pPr>
              <w:jc w:val="center"/>
              <w:ind w:right="711"/>
              <w:spacing w:after="0" w:line="143" w:lineRule="exact"/>
              <w:rPr>
                <w:sz w:val="20"/>
                <w:szCs w:val="20"/>
                <w:color w:val="auto"/>
              </w:rPr>
            </w:pPr>
            <w:r>
              <w:rPr>
                <w:rFonts w:ascii="Times New Roman" w:cs="Times New Roman" w:eastAsia="Times New Roman" w:hAnsi="Times New Roman"/>
                <w:sz w:val="14"/>
                <w:szCs w:val="14"/>
                <w:color w:val="auto"/>
                <w:w w:val="98"/>
              </w:rPr>
              <w:t>The Nasdaq Stock Market LLC</w:t>
            </w:r>
          </w:p>
        </w:tc>
      </w:tr>
      <w:tr>
        <w:trPr>
          <w:trHeight w:val="165"/>
        </w:trPr>
        <w:tc>
          <w:tcPr>
            <w:tcW w:w="20" w:type="dxa"/>
            <w:vAlign w:val="bottom"/>
          </w:tcPr>
          <w:p>
            <w:pPr>
              <w:spacing w:after="0"/>
              <w:rPr>
                <w:sz w:val="14"/>
                <w:szCs w:val="14"/>
                <w:color w:val="auto"/>
              </w:rPr>
            </w:pPr>
          </w:p>
        </w:tc>
        <w:tc>
          <w:tcPr>
            <w:tcW w:w="3720" w:type="dxa"/>
            <w:vAlign w:val="bottom"/>
            <w:gridSpan w:val="2"/>
          </w:tcPr>
          <w:p>
            <w:pPr>
              <w:jc w:val="center"/>
              <w:ind w:left="451"/>
              <w:spacing w:after="0"/>
              <w:rPr>
                <w:sz w:val="20"/>
                <w:szCs w:val="20"/>
                <w:color w:val="auto"/>
              </w:rPr>
            </w:pPr>
            <w:r>
              <w:rPr>
                <w:rFonts w:ascii="Times New Roman" w:cs="Times New Roman" w:eastAsia="Times New Roman" w:hAnsi="Times New Roman"/>
                <w:sz w:val="14"/>
                <w:szCs w:val="14"/>
                <w:color w:val="auto"/>
                <w:w w:val="98"/>
              </w:rPr>
              <w:t>8.625% Senior Notes due 2026</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80" w:type="dxa"/>
            <w:vAlign w:val="bottom"/>
            <w:gridSpan w:val="3"/>
          </w:tcPr>
          <w:p>
            <w:pPr>
              <w:jc w:val="center"/>
              <w:ind w:right="1020"/>
              <w:spacing w:after="0"/>
              <w:rPr>
                <w:sz w:val="20"/>
                <w:szCs w:val="20"/>
                <w:color w:val="auto"/>
              </w:rPr>
            </w:pPr>
            <w:r>
              <w:rPr>
                <w:rFonts w:ascii="Times New Roman" w:cs="Times New Roman" w:eastAsia="Times New Roman" w:hAnsi="Times New Roman"/>
                <w:sz w:val="14"/>
                <w:szCs w:val="14"/>
                <w:color w:val="auto"/>
                <w:w w:val="97"/>
              </w:rPr>
              <w:t>HROWL</w:t>
            </w:r>
          </w:p>
        </w:tc>
        <w:tc>
          <w:tcPr>
            <w:tcW w:w="3480" w:type="dxa"/>
            <w:vAlign w:val="bottom"/>
            <w:gridSpan w:val="2"/>
          </w:tcPr>
          <w:p>
            <w:pPr>
              <w:jc w:val="center"/>
              <w:ind w:right="711"/>
              <w:spacing w:after="0"/>
              <w:rPr>
                <w:sz w:val="20"/>
                <w:szCs w:val="20"/>
                <w:color w:val="auto"/>
              </w:rPr>
            </w:pPr>
            <w:r>
              <w:rPr>
                <w:rFonts w:ascii="Times New Roman" w:cs="Times New Roman" w:eastAsia="Times New Roman" w:hAnsi="Times New Roman"/>
                <w:sz w:val="14"/>
                <w:szCs w:val="14"/>
                <w:color w:val="auto"/>
                <w:w w:val="98"/>
              </w:rPr>
              <w:t>The Nasdaq Stock Market LLC</w:t>
            </w:r>
          </w:p>
        </w:tc>
      </w:tr>
      <w:tr>
        <w:trPr>
          <w:trHeight w:val="179"/>
        </w:trPr>
        <w:tc>
          <w:tcPr>
            <w:tcW w:w="20" w:type="dxa"/>
            <w:vAlign w:val="bottom"/>
          </w:tcPr>
          <w:p>
            <w:pPr>
              <w:spacing w:after="0"/>
              <w:rPr>
                <w:sz w:val="15"/>
                <w:szCs w:val="15"/>
                <w:color w:val="auto"/>
              </w:rPr>
            </w:pPr>
          </w:p>
        </w:tc>
        <w:tc>
          <w:tcPr>
            <w:tcW w:w="3720" w:type="dxa"/>
            <w:vAlign w:val="bottom"/>
            <w:gridSpan w:val="2"/>
          </w:tcPr>
          <w:p>
            <w:pPr>
              <w:jc w:val="center"/>
              <w:ind w:left="471"/>
              <w:spacing w:after="0"/>
              <w:rPr>
                <w:sz w:val="20"/>
                <w:szCs w:val="20"/>
                <w:color w:val="auto"/>
              </w:rPr>
            </w:pPr>
            <w:r>
              <w:rPr>
                <w:rFonts w:ascii="Times New Roman" w:cs="Times New Roman" w:eastAsia="Times New Roman" w:hAnsi="Times New Roman"/>
                <w:sz w:val="14"/>
                <w:szCs w:val="14"/>
                <w:color w:val="auto"/>
                <w:w w:val="97"/>
              </w:rPr>
              <w:t>11.875% Senior Notes due 2027</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80" w:type="dxa"/>
            <w:vAlign w:val="bottom"/>
            <w:gridSpan w:val="3"/>
          </w:tcPr>
          <w:p>
            <w:pPr>
              <w:jc w:val="center"/>
              <w:ind w:right="1020"/>
              <w:spacing w:after="0"/>
              <w:rPr>
                <w:sz w:val="20"/>
                <w:szCs w:val="20"/>
                <w:color w:val="auto"/>
              </w:rPr>
            </w:pPr>
            <w:r>
              <w:rPr>
                <w:rFonts w:ascii="Times New Roman" w:cs="Times New Roman" w:eastAsia="Times New Roman" w:hAnsi="Times New Roman"/>
                <w:sz w:val="14"/>
                <w:szCs w:val="14"/>
                <w:color w:val="auto"/>
                <w:w w:val="97"/>
              </w:rPr>
              <w:t>HROWM</w:t>
            </w:r>
          </w:p>
        </w:tc>
        <w:tc>
          <w:tcPr>
            <w:tcW w:w="3480" w:type="dxa"/>
            <w:vAlign w:val="bottom"/>
            <w:gridSpan w:val="2"/>
          </w:tcPr>
          <w:p>
            <w:pPr>
              <w:jc w:val="center"/>
              <w:ind w:right="711"/>
              <w:spacing w:after="0"/>
              <w:rPr>
                <w:sz w:val="20"/>
                <w:szCs w:val="20"/>
                <w:color w:val="auto"/>
              </w:rPr>
            </w:pPr>
            <w:r>
              <w:rPr>
                <w:rFonts w:ascii="Times New Roman" w:cs="Times New Roman" w:eastAsia="Times New Roman" w:hAnsi="Times New Roman"/>
                <w:sz w:val="14"/>
                <w:szCs w:val="14"/>
                <w:color w:val="auto"/>
                <w:w w:val="98"/>
              </w:rPr>
              <w:t>The Nasdaq Stock Market LLC</w:t>
            </w:r>
          </w:p>
        </w:tc>
      </w:tr>
    </w:tbl>
    <w:p>
      <w:pPr>
        <w:spacing w:after="0" w:line="15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70"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4"/>
          <w:szCs w:val="14"/>
          <w:color w:val="auto"/>
        </w:rPr>
        <w:t>☐</w:t>
      </w:r>
    </w:p>
    <w:p>
      <w:pPr>
        <w:spacing w:after="0" w:line="132"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716470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70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105410</wp:posOffset>
            </wp:positionV>
            <wp:extent cx="7164705"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354330</wp:posOffset>
            </wp:positionV>
            <wp:extent cx="716470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9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On September 26, 2025, Harrow, Inc. (the “Company”) hosted its Investor Day. In connection with this event, the Company is furnishing as Exhibit 99.1 to this Current Report on Form 8-K a copy of the investor presentation (the “Presentation”) that the Company used at the event and in subsequent investor meetings.</w:t>
      </w:r>
    </w:p>
    <w:p>
      <w:pPr>
        <w:spacing w:after="0" w:line="13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information contained in this Item 7.01 and in Exhibit 99.1 is being furnished and shall not be deemed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(the “Securities Act”), or the Exchange Act, except as shall be expressly set forth by specific reference in such filing.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70" w:lineRule="exact"/>
        <w:rPr>
          <w:sz w:val="20"/>
          <w:szCs w:val="20"/>
          <w:color w:val="auto"/>
        </w:rPr>
      </w:pPr>
    </w:p>
    <w:p>
      <w:pPr>
        <w:ind w:left="600" w:hanging="597"/>
        <w:spacing w:after="0"/>
        <w:tabs>
          <w:tab w:leader="none" w:pos="600" w:val="left"/>
        </w:tabs>
        <w:numPr>
          <w:ilvl w:val="0"/>
          <w:numId w:val="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Exhibits</w:t>
      </w:r>
    </w:p>
    <w:p>
      <w:pPr>
        <w:spacing w:after="0" w:line="19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4"/>
          <w:szCs w:val="14"/>
          <w:color w:val="auto"/>
        </w:rPr>
        <w:t>99.1</w:t>
      </w:r>
      <w:r>
        <w:rPr>
          <w:sz w:val="20"/>
          <w:szCs w:val="20"/>
          <w:color w:val="auto"/>
        </w:rPr>
        <w:tab/>
      </w:r>
      <w:r>
        <w:rPr>
          <w:rFonts w:ascii="Times New Roman" w:cs="Times New Roman" w:eastAsia="Times New Roman" w:hAnsi="Times New Roman"/>
          <w:sz w:val="13"/>
          <w:szCs w:val="13"/>
          <w:u w:val="single" w:color="auto"/>
          <w:color w:val="0000EE"/>
        </w:rPr>
        <w:t>Harrow, Inc. Investor Day Presentation, dated September 26, 2025.</w:t>
      </w:r>
    </w:p>
    <w:p>
      <w:pPr>
        <w:spacing w:after="0" w:line="17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80" w:type="dxa"/>
            <w:vAlign w:val="bottom"/>
          </w:tcPr>
          <w:p>
            <w:pPr>
              <w:spacing w:after="0"/>
              <w:rPr>
                <w:sz w:val="15"/>
                <w:szCs w:val="15"/>
                <w:color w:val="auto"/>
              </w:rPr>
            </w:pPr>
          </w:p>
        </w:tc>
        <w:tc>
          <w:tcPr>
            <w:tcW w:w="7700" w:type="dxa"/>
            <w:vAlign w:val="bottom"/>
            <w:gridSpan w:val="2"/>
          </w:tcPr>
          <w:p>
            <w:pPr>
              <w:ind w:left="2080"/>
              <w:spacing w:after="0"/>
              <w:rPr>
                <w:sz w:val="20"/>
                <w:szCs w:val="20"/>
                <w:color w:val="auto"/>
              </w:rPr>
            </w:pPr>
            <w:r>
              <w:rPr>
                <w:rFonts w:ascii="Times New Roman" w:cs="Times New Roman" w:eastAsia="Times New Roman" w:hAnsi="Times New Roman"/>
                <w:sz w:val="14"/>
                <w:szCs w:val="14"/>
                <w:b w:val="1"/>
                <w:bCs w:val="1"/>
                <w:color w:val="auto"/>
              </w:rPr>
              <w:t>HARROW, INC.</w:t>
            </w:r>
          </w:p>
        </w:tc>
      </w:tr>
      <w:tr>
        <w:trPr>
          <w:trHeight w:val="330"/>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Dated: September 26, 2025</w:t>
            </w:r>
          </w:p>
        </w:tc>
        <w:tc>
          <w:tcPr>
            <w:tcW w:w="7700" w:type="dxa"/>
            <w:vAlign w:val="bottom"/>
            <w:gridSpan w:val="2"/>
          </w:tcPr>
          <w:p>
            <w:pPr>
              <w:ind w:left="208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i w:val="1"/>
                <w:iCs w:val="1"/>
                <w:color w:val="auto"/>
              </w:rPr>
              <w:t>/s/ Andrew R. Boll</w:t>
            </w:r>
          </w:p>
        </w:tc>
      </w:tr>
      <w:tr>
        <w:trPr>
          <w:trHeight w:val="143"/>
        </w:trPr>
        <w:tc>
          <w:tcPr>
            <w:tcW w:w="35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530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Andrew R. Boll</w:t>
            </w:r>
          </w:p>
        </w:tc>
      </w:tr>
      <w:tr>
        <w:trPr>
          <w:trHeight w:val="179"/>
        </w:trPr>
        <w:tc>
          <w:tcPr>
            <w:tcW w:w="35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President and Chief Financial Officer</w:t>
            </w:r>
          </w:p>
        </w:tc>
      </w:tr>
      <w:tr>
        <w:trPr>
          <w:trHeight w:val="330"/>
        </w:trPr>
        <w:tc>
          <w:tcPr>
            <w:tcW w:w="35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36" w:right="319" w:bottom="1440" w:gutter="0" w:footer="0" w:header="0"/>
        </w:sectPr>
      </w:pPr>
    </w:p>
    <w:bookmarkStart w:id="3" w:name="page4"/>
    <w:bookmarkEnd w:id="3"/>
    <w:p>
      <w:pPr>
        <w:ind w:left="9440"/>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139065</wp:posOffset>
            </wp:positionV>
            <wp:extent cx="7211695" cy="42906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0" w:num="1">
            <w:col w:w="10140"/>
          </w:cols>
          <w:pgMar w:left="1440" w:top="309"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377190</wp:posOffset>
            </wp:positionV>
            <wp:extent cx="7211695" cy="42906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377190</wp:posOffset>
            </wp:positionV>
            <wp:extent cx="7211695" cy="42906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377190</wp:posOffset>
            </wp:positionV>
            <wp:extent cx="7211695" cy="42906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377190</wp:posOffset>
            </wp:positionV>
            <wp:extent cx="7211695" cy="42906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377190</wp:posOffset>
            </wp:positionV>
            <wp:extent cx="7211695" cy="42906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377190</wp:posOffset>
            </wp:positionV>
            <wp:extent cx="7211695" cy="42906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377190</wp:posOffset>
            </wp:positionV>
            <wp:extent cx="7211695" cy="42906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377190</wp:posOffset>
            </wp:positionV>
            <wp:extent cx="7211695" cy="42906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377190</wp:posOffset>
            </wp:positionV>
            <wp:extent cx="7211695" cy="42906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377190</wp:posOffset>
            </wp:positionV>
            <wp:extent cx="7211695" cy="42906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377190</wp:posOffset>
            </wp:positionV>
            <wp:extent cx="7211695" cy="42906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377190</wp:posOffset>
            </wp:positionV>
            <wp:extent cx="7211695" cy="42906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377190</wp:posOffset>
            </wp:positionV>
            <wp:extent cx="7211695" cy="42906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377190</wp:posOffset>
            </wp:positionV>
            <wp:extent cx="7211695" cy="42906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377190</wp:posOffset>
            </wp:positionV>
            <wp:extent cx="7211695" cy="42906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377190</wp:posOffset>
            </wp:positionV>
            <wp:extent cx="7211695" cy="42906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377190</wp:posOffset>
            </wp:positionV>
            <wp:extent cx="7211695" cy="42906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377190</wp:posOffset>
            </wp:positionV>
            <wp:extent cx="7211695" cy="42906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377190</wp:posOffset>
            </wp:positionV>
            <wp:extent cx="7211695" cy="42906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377190</wp:posOffset>
            </wp:positionV>
            <wp:extent cx="7211695" cy="42906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377190</wp:posOffset>
            </wp:positionV>
            <wp:extent cx="7211695" cy="42906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377190</wp:posOffset>
            </wp:positionV>
            <wp:extent cx="7211695" cy="42906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377190</wp:posOffset>
            </wp:positionV>
            <wp:extent cx="7211695" cy="42906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377190</wp:posOffset>
            </wp:positionV>
            <wp:extent cx="7211695" cy="42906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377190</wp:posOffset>
            </wp:positionV>
            <wp:extent cx="7211695" cy="42906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2025-09-26T15:26:12Z</dcterms:created>
  <dcterms:modified xsi:type="dcterms:W3CDTF">2025-09-26T15:26:12Z</dcterms:modified>
</cp:coreProperties>
</file>