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17, 2021 (the “Closing Date”), Harrow Health, Inc. (the “Company”) entered into an Asset Purchase Agreement (the “Agreement”) with Novartis Technology, LLC and Novartis Ophthalmics AG (together, “Novartis”), pursuant to which the Company purchased from Novartis the exclusive commercial rights to assets associated with ophthalmic products Moxeza® (moxifloxacin) 0.5%, Iopidine® (apraclonidine hydrochloride) 1% and 0.5%, and Maxitrol® (Neomycin/Polymyxin B/Dexamethasone) eyedrops suspension (collectively the “Products”) in the United States of America (“U.S.”). On the Closing Date, the Company made a one-time payment of fourteen million fifty thousand dollars ($14,050,000) to Novartis for the U.S. rights to the Products and their related intellectual property.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Agreement and various ancillary agreements, immediately following the Closing Date and subject to certain conditions, for a period of up to six months, and prior to the transfer of the Products new drug applications (the “NDAs”) to the Company, Novartis will continue to sell the Products on the Company’s behalf and transfer the net profit from the sale of the Products to the Company. Novartis has agreed to supply certain Products to the Company for a period of time after the NDAs are transferred to the Company and to assist with technology transfer of the Products manufacturing to other third-party manufacturers, if needed.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foregoing is a summary description of certain terms of the Agreement, is not complete and is qualified in its entirety by reference to the text of the Agreement, which the Company expects to file as an exhibit to the Company’s Annual Report on Form 10-K for the year ending December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20, 2021, the Company issued a press release announcing its Novartis transaction. A copy of the press release is attached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1100" w:hanging="1092"/>
        <w:spacing w:after="0"/>
        <w:tabs>
          <w:tab w:leader="none" w:pos="11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00" w:type="dxa"/>
            <w:vAlign w:val="bottom"/>
            <w:gridSpan w:val="2"/>
          </w:tcPr>
          <w:p>
            <w:pPr>
              <w:spacing w:after="0"/>
              <w:rPr>
                <w:sz w:val="20"/>
                <w:szCs w:val="20"/>
                <w:color w:val="auto"/>
              </w:rPr>
            </w:pPr>
            <w:r>
              <w:rPr>
                <w:rFonts w:ascii="Arial" w:cs="Arial" w:eastAsia="Arial" w:hAnsi="Arial"/>
                <w:sz w:val="18"/>
                <w:szCs w:val="18"/>
                <w:color w:val="auto"/>
              </w:rPr>
              <w:t>Item</w:t>
            </w:r>
          </w:p>
        </w:tc>
        <w:tc>
          <w:tcPr>
            <w:tcW w:w="101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4000" w:type="dxa"/>
            <w:vAlign w:val="bottom"/>
            <w:tcBorders>
              <w:top w:val="single" w:sz="8" w:color="auto"/>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Harrow Health Press Release dated December 20, 2021</w:t>
              </w:r>
            </w:hyperlink>
          </w:p>
        </w:tc>
        <w:tc>
          <w:tcPr>
            <w:tcW w:w="614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December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154305</wp:posOffset>
            </wp:positionV>
            <wp:extent cx="1774190"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Acquires U.S. Commercial Rights to Four Branded Eye Drops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Expands and Strengthens Portfolio of Product Offerings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Ophthalmic Surgical and Acute Care Markets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NASHVILLE, Tenn., December 20, 2021 – Harrow Health, Inc. (NASDAQ: HROW), an ophthalmic-focused healthcare company, today announced its acquisition of the exclusive U.S. commercialization rights of four FDA-approved ophthalmic medicines, IOPIDINE® 1% and 0.5% (apraclonidine hydrochloride), and MAXITROL® (neomycin and polymyxin B sulfate and dexamethasone) 3.5mg/10,000 units/0.1%, and MOXEZA® 0.5% (moxifloxacin hydrochloride), from Novartis. The acquired products, which will be sold, marketed, and distributed through Harrow’s wholly owned subsidiary, ImprimisRx, combined with the Company’s existing ophthalmic-focused product portfolio, support Harrow’s growing ophthalmic surgical and acute care market presence.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commenting on the announcement, William F. Wiley, M.D., Medical Director of the Cleveland Eye Clinic, said, “FDA-approved IOPIDINE 1% is the gold standard for treating or preventing intraocular pressure during and after YAG laser eye surgery, which is required for about 40% of all prior cataract surgery patients. IOPIDINE 0.5% has been trusted by physicians for many years. As a private practice clinic, we have found that these important medicines aren’t readily available from our distributors. Harrow and ImprimisRx will change that.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practice typically prescribes ImprimisRx’s compounded </w:t>
      </w:r>
      <w:r>
        <w:rPr>
          <w:rFonts w:ascii="Arial" w:cs="Arial" w:eastAsia="Arial" w:hAnsi="Arial"/>
          <w:sz w:val="18"/>
          <w:szCs w:val="18"/>
          <w:u w:val="single" w:color="auto"/>
          <w:color w:val="auto"/>
        </w:rPr>
        <w:t>LessDrops®</w:t>
      </w:r>
      <w:r>
        <w:rPr>
          <w:rFonts w:ascii="Arial" w:cs="Arial" w:eastAsia="Arial" w:hAnsi="Arial"/>
          <w:sz w:val="18"/>
          <w:szCs w:val="18"/>
          <w:color w:val="auto"/>
        </w:rPr>
        <w:t xml:space="preserve"> formulations, but despite our best efforts to control costs, not all patients can afford cash-pay products, and a growing number of patients want to use their Medicare and Medicaid benefits. For some of these patients, we prescribe MAXITROL, because of its wide insurance coverage and long history of success. Also, MOXEZA, which has broad spectrum microbial coverage and is a fourth generation fluoroquinolone, is the only topical in its class that is approved for twice-daily (BID) use. It’s exciting to know that ImprimisRx will soon be making these branded products widely available, which will provide doctor and patient access to the most appropriate pharmaceutical option – all from a single, easy-to-use, and trusted source.”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Mark L. Baum, CEO of Harrow Health, added, “We are pleased to now be the only U.S. ophthalmic pharmaceutical company to provide both branded FDA-approved products and high-quality compounded formulations. In addition, we uniquely have self-distribution capabilities, direct to institutions like hospitals, ambulatory surgery centers, and doctors’ offices, as well as to consumers through our ImprimisRx 50-state mail order pharmacy. These acquisitions, along with previously announced transactions for </w:t>
      </w:r>
      <w:r>
        <w:rPr>
          <w:rFonts w:ascii="Arial" w:cs="Arial" w:eastAsia="Arial" w:hAnsi="Arial"/>
          <w:sz w:val="16"/>
          <w:szCs w:val="16"/>
          <w:u w:val="single" w:color="auto"/>
          <w:color w:val="auto"/>
        </w:rPr>
        <w:t>AMP-100</w:t>
      </w:r>
      <w:r>
        <w:rPr>
          <w:rFonts w:ascii="Arial" w:cs="Arial" w:eastAsia="Arial" w:hAnsi="Arial"/>
          <w:sz w:val="16"/>
          <w:szCs w:val="16"/>
          <w:color w:val="auto"/>
        </w:rPr>
        <w:t xml:space="preserve">, </w:t>
      </w:r>
      <w:r>
        <w:rPr>
          <w:rFonts w:ascii="Arial" w:cs="Arial" w:eastAsia="Arial" w:hAnsi="Arial"/>
          <w:sz w:val="16"/>
          <w:szCs w:val="16"/>
          <w:u w:val="single" w:color="auto"/>
          <w:color w:val="auto"/>
        </w:rPr>
        <w:t>MAQ-100</w:t>
      </w:r>
      <w:r>
        <w:rPr>
          <w:rFonts w:ascii="Arial" w:cs="Arial" w:eastAsia="Arial" w:hAnsi="Arial"/>
          <w:sz w:val="16"/>
          <w:szCs w:val="16"/>
          <w:color w:val="auto"/>
        </w:rPr>
        <w:t xml:space="preserve">, and the expansion of our relationship to sell and market </w:t>
      </w:r>
      <w:r>
        <w:rPr>
          <w:rFonts w:ascii="Arial" w:cs="Arial" w:eastAsia="Arial" w:hAnsi="Arial"/>
          <w:sz w:val="16"/>
          <w:szCs w:val="16"/>
          <w:u w:val="single" w:color="auto"/>
          <w:color w:val="auto"/>
        </w:rPr>
        <w:t>DEXYCU®</w:t>
      </w:r>
      <w:r>
        <w:rPr>
          <w:rFonts w:ascii="Arial" w:cs="Arial" w:eastAsia="Arial" w:hAnsi="Arial"/>
          <w:sz w:val="16"/>
          <w:szCs w:val="16"/>
          <w:color w:val="auto"/>
        </w:rPr>
        <w:t>, are consistent with our strategic mission to leverage the ImprimisRx commercial platform by adding high-value FDA-approved products into our family of ophthalmic pharmaceutical products. We are excited about the benefits these newest products provide our more than 10,000 customers, and we expect ImprimisRx’s commercial and distribution platform to be a tremendous advantage in the lifecycle management of these clinically valuable medicines.”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Acquires U.S. Commercial Rights to Four Branded Eye Drops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agreement, after closing, Harrow and Novartis will immediately begin a transition period where Novartis will continue to sell the products and transfer the net profit to Harrow. Following the transition period, Harrow expects to have the products manufactured by third parties and commercialize the products for the U.S. market, while Novartis will retain all rights to the products outside of the U.S. Under the terms of the agreement, Harrow made a one-time payment of $14 million USD at closing.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VelocityHealth Securities and B. Riley Securities acted as financial advisors to Harrow Health on the transaction.</w:t>
      </w:r>
    </w:p>
    <w:p>
      <w:pPr>
        <w:spacing w:after="0" w:line="225" w:lineRule="exact"/>
        <w:rPr>
          <w:sz w:val="20"/>
          <w:szCs w:val="20"/>
          <w:color w:val="auto"/>
        </w:rPr>
      </w:pPr>
    </w:p>
    <w:p>
      <w:pPr>
        <w:spacing w:after="0"/>
        <w:tabs>
          <w:tab w:leader="none" w:pos="560" w:val="left"/>
          <w:tab w:leader="none" w:pos="1560" w:val="left"/>
          <w:tab w:leader="none" w:pos="2440" w:val="left"/>
          <w:tab w:leader="none" w:pos="3620" w:val="left"/>
          <w:tab w:leader="none" w:pos="4340" w:val="left"/>
          <w:tab w:leader="none" w:pos="5440" w:val="left"/>
          <w:tab w:leader="none" w:pos="6060" w:val="left"/>
          <w:tab w:leader="none" w:pos="7060" w:val="left"/>
          <w:tab w:leader="none" w:pos="8100" w:val="left"/>
          <w:tab w:leader="none" w:pos="8860" w:val="left"/>
          <w:tab w:leader="none" w:pos="10080" w:val="left"/>
          <w:tab w:leader="none" w:pos="108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complete</w:t>
      </w:r>
      <w:r>
        <w:rPr>
          <w:sz w:val="20"/>
          <w:szCs w:val="20"/>
          <w:color w:val="auto"/>
        </w:rPr>
        <w:tab/>
      </w:r>
      <w:r>
        <w:rPr>
          <w:rFonts w:ascii="Arial" w:cs="Arial" w:eastAsia="Arial" w:hAnsi="Arial"/>
          <w:sz w:val="18"/>
          <w:szCs w:val="18"/>
          <w:color w:val="auto"/>
        </w:rPr>
        <w:t>product</w:t>
      </w:r>
      <w:r>
        <w:rPr>
          <w:sz w:val="20"/>
          <w:szCs w:val="20"/>
          <w:color w:val="auto"/>
        </w:rPr>
        <w:tab/>
      </w:r>
      <w:r>
        <w:rPr>
          <w:rFonts w:ascii="Arial" w:cs="Arial" w:eastAsia="Arial" w:hAnsi="Arial"/>
          <w:sz w:val="18"/>
          <w:szCs w:val="18"/>
          <w:color w:val="auto"/>
        </w:rPr>
        <w:t>information</w:t>
      </w:r>
      <w:r>
        <w:rPr>
          <w:sz w:val="20"/>
          <w:szCs w:val="20"/>
          <w:color w:val="auto"/>
        </w:rPr>
        <w:tab/>
      </w: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IOPIDINE</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including</w:t>
      </w:r>
      <w:r>
        <w:rPr>
          <w:sz w:val="20"/>
          <w:szCs w:val="20"/>
          <w:color w:val="auto"/>
        </w:rPr>
        <w:tab/>
      </w:r>
      <w:r>
        <w:rPr>
          <w:rFonts w:ascii="Arial" w:cs="Arial" w:eastAsia="Arial" w:hAnsi="Arial"/>
          <w:sz w:val="18"/>
          <w:szCs w:val="18"/>
          <w:color w:val="auto"/>
        </w:rPr>
        <w:t>important</w:t>
      </w:r>
      <w:r>
        <w:rPr>
          <w:sz w:val="20"/>
          <w:szCs w:val="20"/>
          <w:color w:val="auto"/>
        </w:rPr>
        <w:tab/>
      </w:r>
      <w:r>
        <w:rPr>
          <w:rFonts w:ascii="Arial" w:cs="Arial" w:eastAsia="Arial" w:hAnsi="Arial"/>
          <w:sz w:val="18"/>
          <w:szCs w:val="18"/>
          <w:color w:val="auto"/>
        </w:rPr>
        <w:t>safety</w:t>
      </w:r>
      <w:r>
        <w:rPr>
          <w:sz w:val="20"/>
          <w:szCs w:val="20"/>
          <w:color w:val="auto"/>
        </w:rPr>
        <w:tab/>
      </w:r>
      <w:r>
        <w:rPr>
          <w:rFonts w:ascii="Arial" w:cs="Arial" w:eastAsia="Arial" w:hAnsi="Arial"/>
          <w:sz w:val="18"/>
          <w:szCs w:val="18"/>
          <w:color w:val="auto"/>
        </w:rPr>
        <w:t>information,</w:t>
      </w:r>
      <w:r>
        <w:rPr>
          <w:sz w:val="20"/>
          <w:szCs w:val="20"/>
          <w:color w:val="auto"/>
        </w:rPr>
        <w:tab/>
      </w:r>
      <w:r>
        <w:rPr>
          <w:rFonts w:ascii="Arial" w:cs="Arial" w:eastAsia="Arial" w:hAnsi="Arial"/>
          <w:sz w:val="18"/>
          <w:szCs w:val="18"/>
          <w:color w:val="auto"/>
        </w:rPr>
        <w:t>please</w:t>
      </w:r>
      <w:r>
        <w:rPr>
          <w:sz w:val="20"/>
          <w:szCs w:val="20"/>
          <w:color w:val="auto"/>
        </w:rPr>
        <w:tab/>
      </w:r>
      <w:r>
        <w:rPr>
          <w:rFonts w:ascii="Arial" w:cs="Arial" w:eastAsia="Arial" w:hAnsi="Arial"/>
          <w:sz w:val="18"/>
          <w:szCs w:val="18"/>
          <w:color w:val="auto"/>
        </w:rPr>
        <w:t>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https://www.accessdata.fda.gov/drugsatfda_docs/label/2018/019779s025lbl.pdf</w:t>
      </w: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560" w:val="left"/>
          <w:tab w:leader="none" w:pos="1540" w:val="left"/>
          <w:tab w:leader="none" w:pos="2400" w:val="left"/>
          <w:tab w:leader="none" w:pos="3560" w:val="left"/>
          <w:tab w:leader="none" w:pos="4280" w:val="left"/>
          <w:tab w:leader="none" w:pos="5380" w:val="left"/>
          <w:tab w:leader="none" w:pos="6120" w:val="left"/>
          <w:tab w:leader="none" w:pos="7120" w:val="left"/>
          <w:tab w:leader="none" w:pos="8140" w:val="left"/>
          <w:tab w:leader="none" w:pos="8880" w:val="left"/>
          <w:tab w:leader="none" w:pos="10080" w:val="left"/>
          <w:tab w:leader="none" w:pos="108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complete</w:t>
      </w:r>
      <w:r>
        <w:rPr>
          <w:sz w:val="20"/>
          <w:szCs w:val="20"/>
          <w:color w:val="auto"/>
        </w:rPr>
        <w:tab/>
      </w:r>
      <w:r>
        <w:rPr>
          <w:rFonts w:ascii="Arial" w:cs="Arial" w:eastAsia="Arial" w:hAnsi="Arial"/>
          <w:sz w:val="18"/>
          <w:szCs w:val="18"/>
          <w:color w:val="auto"/>
        </w:rPr>
        <w:t>product</w:t>
      </w:r>
      <w:r>
        <w:rPr>
          <w:sz w:val="20"/>
          <w:szCs w:val="20"/>
          <w:color w:val="auto"/>
        </w:rPr>
        <w:tab/>
      </w:r>
      <w:r>
        <w:rPr>
          <w:rFonts w:ascii="Arial" w:cs="Arial" w:eastAsia="Arial" w:hAnsi="Arial"/>
          <w:sz w:val="18"/>
          <w:szCs w:val="18"/>
          <w:color w:val="auto"/>
        </w:rPr>
        <w:t>information</w:t>
      </w:r>
      <w:r>
        <w:rPr>
          <w:sz w:val="20"/>
          <w:szCs w:val="20"/>
          <w:color w:val="auto"/>
        </w:rPr>
        <w:tab/>
      </w: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IOPIDINE</w:t>
      </w:r>
      <w:r>
        <w:rPr>
          <w:sz w:val="20"/>
          <w:szCs w:val="20"/>
          <w:color w:val="auto"/>
        </w:rPr>
        <w:tab/>
      </w:r>
      <w:r>
        <w:rPr>
          <w:rFonts w:ascii="Arial" w:cs="Arial" w:eastAsia="Arial" w:hAnsi="Arial"/>
          <w:sz w:val="18"/>
          <w:szCs w:val="18"/>
          <w:color w:val="auto"/>
        </w:rPr>
        <w:t>0.5%,</w:t>
      </w:r>
      <w:r>
        <w:rPr>
          <w:sz w:val="20"/>
          <w:szCs w:val="20"/>
          <w:color w:val="auto"/>
        </w:rPr>
        <w:tab/>
      </w:r>
      <w:r>
        <w:rPr>
          <w:rFonts w:ascii="Arial" w:cs="Arial" w:eastAsia="Arial" w:hAnsi="Arial"/>
          <w:sz w:val="18"/>
          <w:szCs w:val="18"/>
          <w:color w:val="auto"/>
        </w:rPr>
        <w:t>including</w:t>
      </w:r>
      <w:r>
        <w:rPr>
          <w:sz w:val="20"/>
          <w:szCs w:val="20"/>
          <w:color w:val="auto"/>
        </w:rPr>
        <w:tab/>
      </w:r>
      <w:r>
        <w:rPr>
          <w:rFonts w:ascii="Arial" w:cs="Arial" w:eastAsia="Arial" w:hAnsi="Arial"/>
          <w:sz w:val="18"/>
          <w:szCs w:val="18"/>
          <w:color w:val="auto"/>
        </w:rPr>
        <w:t>important</w:t>
      </w:r>
      <w:r>
        <w:rPr>
          <w:sz w:val="20"/>
          <w:szCs w:val="20"/>
          <w:color w:val="auto"/>
        </w:rPr>
        <w:tab/>
      </w:r>
      <w:r>
        <w:rPr>
          <w:rFonts w:ascii="Arial" w:cs="Arial" w:eastAsia="Arial" w:hAnsi="Arial"/>
          <w:sz w:val="18"/>
          <w:szCs w:val="18"/>
          <w:color w:val="auto"/>
        </w:rPr>
        <w:t>safety</w:t>
      </w:r>
      <w:r>
        <w:rPr>
          <w:sz w:val="20"/>
          <w:szCs w:val="20"/>
          <w:color w:val="auto"/>
        </w:rPr>
        <w:tab/>
      </w:r>
      <w:r>
        <w:rPr>
          <w:rFonts w:ascii="Arial" w:cs="Arial" w:eastAsia="Arial" w:hAnsi="Arial"/>
          <w:sz w:val="18"/>
          <w:szCs w:val="18"/>
          <w:color w:val="auto"/>
        </w:rPr>
        <w:t>information,</w:t>
      </w:r>
      <w:r>
        <w:rPr>
          <w:sz w:val="20"/>
          <w:szCs w:val="20"/>
          <w:color w:val="auto"/>
        </w:rPr>
        <w:tab/>
      </w:r>
      <w:r>
        <w:rPr>
          <w:rFonts w:ascii="Arial" w:cs="Arial" w:eastAsia="Arial" w:hAnsi="Arial"/>
          <w:sz w:val="18"/>
          <w:szCs w:val="18"/>
          <w:color w:val="auto"/>
        </w:rPr>
        <w:t>please</w:t>
      </w:r>
      <w:r>
        <w:rPr>
          <w:sz w:val="20"/>
          <w:szCs w:val="20"/>
          <w:color w:val="auto"/>
        </w:rPr>
        <w:tab/>
      </w:r>
      <w:r>
        <w:rPr>
          <w:rFonts w:ascii="Arial" w:cs="Arial" w:eastAsia="Arial" w:hAnsi="Arial"/>
          <w:sz w:val="18"/>
          <w:szCs w:val="18"/>
          <w:color w:val="auto"/>
        </w:rPr>
        <w:t>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https://www.accessdata.fda.gov/drugsatfda_docs/label/2017/020258s026lbl.pdf</w:t>
      </w: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500" w:val="left"/>
          <w:tab w:leader="none" w:pos="1420" w:val="left"/>
          <w:tab w:leader="none" w:pos="2220" w:val="left"/>
          <w:tab w:leader="none" w:pos="3340" w:val="left"/>
          <w:tab w:leader="none" w:pos="4000" w:val="left"/>
          <w:tab w:leader="none" w:pos="5200" w:val="left"/>
          <w:tab w:leader="none" w:pos="5700" w:val="left"/>
          <w:tab w:leader="none" w:pos="6420" w:val="left"/>
          <w:tab w:leader="none" w:pos="7360" w:val="left"/>
          <w:tab w:leader="none" w:pos="8300" w:val="left"/>
          <w:tab w:leader="none" w:pos="9000" w:val="left"/>
          <w:tab w:leader="none" w:pos="10160" w:val="left"/>
          <w:tab w:leader="none" w:pos="10860" w:val="left"/>
        </w:tabs>
        <w:rPr>
          <w:sz w:val="20"/>
          <w:szCs w:val="20"/>
          <w:color w:val="auto"/>
        </w:rPr>
      </w:pPr>
      <w:r>
        <w:rPr>
          <w:rFonts w:ascii="Arial" w:cs="Arial" w:eastAsia="Arial" w:hAnsi="Arial"/>
          <w:sz w:val="18"/>
          <w:szCs w:val="18"/>
          <w:color w:val="auto"/>
        </w:rPr>
        <w:t>For</w:t>
        <w:tab/>
        <w:t>complete</w:t>
        <w:tab/>
        <w:t>product</w:t>
        <w:tab/>
        <w:t>information</w:t>
        <w:tab/>
        <w:t>about</w:t>
        <w:tab/>
        <w:t>MAXITROL</w:t>
        <w:tab/>
        <w:t>eye</w:t>
        <w:tab/>
        <w:t>drops,</w:t>
        <w:tab/>
        <w:t>including</w:t>
        <w:tab/>
        <w:t>important</w:t>
        <w:tab/>
        <w:t>safety</w:t>
        <w:tab/>
        <w:t>information,</w:t>
        <w:tab/>
        <w:t>please</w:t>
        <w:tab/>
        <w:t>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https://www.accessdata.fda.gov/drugsatfda_docs/label/2017/050065s061lbl.pdf</w:t>
      </w:r>
    </w:p>
    <w:p>
      <w:pPr>
        <w:spacing w:after="0" w:line="211" w:lineRule="exact"/>
        <w:rPr>
          <w:sz w:val="20"/>
          <w:szCs w:val="20"/>
          <w:color w:val="auto"/>
        </w:rPr>
      </w:pPr>
    </w:p>
    <w:p>
      <w:pPr>
        <w:spacing w:after="0"/>
        <w:tabs>
          <w:tab w:leader="none" w:pos="620" w:val="left"/>
          <w:tab w:leader="none" w:pos="1660" w:val="left"/>
          <w:tab w:leader="none" w:pos="2600" w:val="left"/>
          <w:tab w:leader="none" w:pos="3820" w:val="left"/>
          <w:tab w:leader="none" w:pos="4600" w:val="left"/>
          <w:tab w:leader="none" w:pos="5800" w:val="left"/>
          <w:tab w:leader="none" w:pos="6860" w:val="left"/>
          <w:tab w:leader="none" w:pos="7940" w:val="left"/>
          <w:tab w:leader="none" w:pos="8760" w:val="left"/>
          <w:tab w:leader="none" w:pos="10020" w:val="left"/>
          <w:tab w:leader="none" w:pos="108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complete</w:t>
      </w:r>
      <w:r>
        <w:rPr>
          <w:sz w:val="20"/>
          <w:szCs w:val="20"/>
          <w:color w:val="auto"/>
        </w:rPr>
        <w:tab/>
      </w:r>
      <w:r>
        <w:rPr>
          <w:rFonts w:ascii="Arial" w:cs="Arial" w:eastAsia="Arial" w:hAnsi="Arial"/>
          <w:sz w:val="18"/>
          <w:szCs w:val="18"/>
          <w:color w:val="auto"/>
        </w:rPr>
        <w:t>product</w:t>
      </w:r>
      <w:r>
        <w:rPr>
          <w:sz w:val="20"/>
          <w:szCs w:val="20"/>
          <w:color w:val="auto"/>
        </w:rPr>
        <w:tab/>
      </w:r>
      <w:r>
        <w:rPr>
          <w:rFonts w:ascii="Arial" w:cs="Arial" w:eastAsia="Arial" w:hAnsi="Arial"/>
          <w:sz w:val="18"/>
          <w:szCs w:val="18"/>
          <w:color w:val="auto"/>
        </w:rPr>
        <w:t>information</w:t>
      </w:r>
      <w:r>
        <w:rPr>
          <w:sz w:val="20"/>
          <w:szCs w:val="20"/>
          <w:color w:val="auto"/>
        </w:rPr>
        <w:tab/>
      </w: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MOXEZA,</w:t>
      </w:r>
      <w:r>
        <w:rPr>
          <w:sz w:val="20"/>
          <w:szCs w:val="20"/>
          <w:color w:val="auto"/>
        </w:rPr>
        <w:tab/>
      </w:r>
      <w:r>
        <w:rPr>
          <w:rFonts w:ascii="Arial" w:cs="Arial" w:eastAsia="Arial" w:hAnsi="Arial"/>
          <w:sz w:val="18"/>
          <w:szCs w:val="18"/>
          <w:color w:val="auto"/>
        </w:rPr>
        <w:t>including</w:t>
      </w:r>
      <w:r>
        <w:rPr>
          <w:sz w:val="20"/>
          <w:szCs w:val="20"/>
          <w:color w:val="auto"/>
        </w:rPr>
        <w:tab/>
      </w:r>
      <w:r>
        <w:rPr>
          <w:rFonts w:ascii="Arial" w:cs="Arial" w:eastAsia="Arial" w:hAnsi="Arial"/>
          <w:sz w:val="18"/>
          <w:szCs w:val="18"/>
          <w:color w:val="auto"/>
        </w:rPr>
        <w:t>important</w:t>
      </w:r>
      <w:r>
        <w:rPr>
          <w:sz w:val="20"/>
          <w:szCs w:val="20"/>
          <w:color w:val="auto"/>
        </w:rPr>
        <w:tab/>
      </w:r>
      <w:r>
        <w:rPr>
          <w:rFonts w:ascii="Arial" w:cs="Arial" w:eastAsia="Arial" w:hAnsi="Arial"/>
          <w:sz w:val="18"/>
          <w:szCs w:val="18"/>
          <w:color w:val="auto"/>
        </w:rPr>
        <w:t>safety</w:t>
      </w:r>
      <w:r>
        <w:rPr>
          <w:sz w:val="20"/>
          <w:szCs w:val="20"/>
          <w:color w:val="auto"/>
        </w:rPr>
        <w:tab/>
      </w:r>
      <w:r>
        <w:rPr>
          <w:rFonts w:ascii="Arial" w:cs="Arial" w:eastAsia="Arial" w:hAnsi="Arial"/>
          <w:sz w:val="18"/>
          <w:szCs w:val="18"/>
          <w:color w:val="auto"/>
        </w:rPr>
        <w:t>information,</w:t>
      </w:r>
      <w:r>
        <w:rPr>
          <w:sz w:val="20"/>
          <w:szCs w:val="20"/>
          <w:color w:val="auto"/>
        </w:rPr>
        <w:tab/>
      </w:r>
      <w:r>
        <w:rPr>
          <w:rFonts w:ascii="Arial" w:cs="Arial" w:eastAsia="Arial" w:hAnsi="Arial"/>
          <w:sz w:val="18"/>
          <w:szCs w:val="18"/>
          <w:color w:val="auto"/>
        </w:rPr>
        <w:t>please</w:t>
      </w:r>
      <w:r>
        <w:rPr>
          <w:sz w:val="20"/>
          <w:szCs w:val="20"/>
          <w:color w:val="auto"/>
        </w:rPr>
        <w:tab/>
      </w:r>
      <w:r>
        <w:rPr>
          <w:rFonts w:ascii="Arial" w:cs="Arial" w:eastAsia="Arial" w:hAnsi="Arial"/>
          <w:sz w:val="18"/>
          <w:szCs w:val="18"/>
          <w:color w:val="auto"/>
        </w:rPr>
        <w:t>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https://www.accessdata.fda.gov/drugsatfda_docs/label/2012/022428s002lbl.pdf.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Harrow Health, Inc. (NASDAQ: HROW) is an ophthalmic-focused healthcare company. The Company owns and operates </w:t>
      </w:r>
      <w:r>
        <w:rPr>
          <w:rFonts w:ascii="Arial" w:cs="Arial" w:eastAsia="Arial" w:hAnsi="Arial"/>
          <w:sz w:val="17"/>
          <w:szCs w:val="17"/>
          <w:u w:val="single" w:color="auto"/>
          <w:color w:val="auto"/>
        </w:rPr>
        <w:t>ImprimisRx</w:t>
      </w:r>
      <w:r>
        <w:rPr>
          <w:rFonts w:ascii="Arial" w:cs="Arial" w:eastAsia="Arial" w:hAnsi="Arial"/>
          <w:sz w:val="17"/>
          <w:szCs w:val="17"/>
          <w:color w:val="auto"/>
        </w:rPr>
        <w:t xml:space="preserve">, one of the nation’s leading ophthalmology-focused pharmaceutical businesses, and </w:t>
      </w:r>
      <w:r>
        <w:rPr>
          <w:rFonts w:ascii="Arial" w:cs="Arial" w:eastAsia="Arial" w:hAnsi="Arial"/>
          <w:sz w:val="17"/>
          <w:szCs w:val="17"/>
          <w:u w:val="single" w:color="auto"/>
          <w:color w:val="auto"/>
        </w:rPr>
        <w:t>Visionology</w:t>
      </w:r>
      <w:r>
        <w:rPr>
          <w:rFonts w:ascii="Arial" w:cs="Arial" w:eastAsia="Arial" w:hAnsi="Arial"/>
          <w:sz w:val="17"/>
          <w:szCs w:val="17"/>
          <w:color w:val="auto"/>
        </w:rPr>
        <w:t xml:space="preserve">, a direct-to-consumer eye care subsidiary focused on chronic vision care. Harrow Health also holds non-controlling equity positions in </w:t>
      </w:r>
      <w:r>
        <w:rPr>
          <w:rFonts w:ascii="Arial" w:cs="Arial" w:eastAsia="Arial" w:hAnsi="Arial"/>
          <w:sz w:val="17"/>
          <w:szCs w:val="17"/>
          <w:u w:val="single" w:color="auto"/>
          <w:color w:val="auto"/>
        </w:rPr>
        <w:t>Eton Pharmaceuticals</w:t>
      </w:r>
      <w:r>
        <w:rPr>
          <w:rFonts w:ascii="Arial" w:cs="Arial" w:eastAsia="Arial" w:hAnsi="Arial"/>
          <w:sz w:val="17"/>
          <w:szCs w:val="17"/>
          <w:color w:val="auto"/>
        </w:rPr>
        <w:t xml:space="preserve">, </w:t>
      </w:r>
      <w:r>
        <w:rPr>
          <w:rFonts w:ascii="Arial" w:cs="Arial" w:eastAsia="Arial" w:hAnsi="Arial"/>
          <w:sz w:val="17"/>
          <w:szCs w:val="17"/>
          <w:u w:val="single" w:color="auto"/>
          <w:color w:val="auto"/>
        </w:rPr>
        <w:t>Surface Ophthalmics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Melt Pharmaceuticals</w:t>
      </w:r>
      <w:r>
        <w:rPr>
          <w:rFonts w:ascii="Arial" w:cs="Arial" w:eastAsia="Arial" w:hAnsi="Arial"/>
          <w:sz w:val="17"/>
          <w:szCs w:val="17"/>
          <w:color w:val="auto"/>
        </w:rPr>
        <w:t xml:space="preserve">, all of which started as Harrow Health subsidiaries, and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7"/>
          <w:szCs w:val="17"/>
          <w:u w:val="single" w:color="auto"/>
          <w:color w:val="auto"/>
        </w:rPr>
        <w:t>harrowinc.com</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Acquires U.S. Commercial Rights to Four Branded Eye Drops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194"/>
        </w:trPr>
        <w:tc>
          <w:tcPr>
            <w:tcW w:w="7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7"/>
              </w:rPr>
              <w:t>Investors</w:t>
            </w:r>
          </w:p>
        </w:tc>
        <w:tc>
          <w:tcPr>
            <w:tcW w:w="328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3"/>
              </w:rPr>
              <w:t>Media</w:t>
            </w:r>
          </w:p>
        </w:tc>
        <w:tc>
          <w:tcPr>
            <w:tcW w:w="5000" w:type="dxa"/>
            <w:vAlign w:val="bottom"/>
            <w:gridSpan w:val="2"/>
          </w:tcPr>
          <w:p>
            <w:pPr>
              <w:spacing w:after="0"/>
              <w:rPr>
                <w:sz w:val="16"/>
                <w:szCs w:val="16"/>
                <w:color w:val="auto"/>
              </w:rPr>
            </w:pPr>
          </w:p>
        </w:tc>
      </w:tr>
      <w:tr>
        <w:trPr>
          <w:trHeight w:val="222"/>
        </w:trPr>
        <w:tc>
          <w:tcPr>
            <w:tcW w:w="4000" w:type="dxa"/>
            <w:vAlign w:val="bottom"/>
            <w:gridSpan w:val="3"/>
          </w:tcPr>
          <w:p>
            <w:pPr>
              <w:spacing w:after="0"/>
              <w:rPr>
                <w:sz w:val="20"/>
                <w:szCs w:val="20"/>
                <w:color w:val="auto"/>
              </w:rPr>
            </w:pPr>
            <w:r>
              <w:rPr>
                <w:rFonts w:ascii="Arial" w:cs="Arial" w:eastAsia="Arial" w:hAnsi="Arial"/>
                <w:sz w:val="18"/>
                <w:szCs w:val="18"/>
                <w:color w:val="auto"/>
              </w:rPr>
              <w:t>Jamie Webb</w:t>
            </w:r>
          </w:p>
        </w:tc>
        <w:tc>
          <w:tcPr>
            <w:tcW w:w="7240" w:type="dxa"/>
            <w:vAlign w:val="bottom"/>
            <w:gridSpan w:val="4"/>
          </w:tcPr>
          <w:p>
            <w:pPr>
              <w:ind w:left="1740"/>
              <w:spacing w:after="0"/>
              <w:rPr>
                <w:sz w:val="20"/>
                <w:szCs w:val="20"/>
                <w:color w:val="auto"/>
              </w:rPr>
            </w:pPr>
            <w:r>
              <w:rPr>
                <w:rFonts w:ascii="Arial" w:cs="Arial" w:eastAsia="Arial" w:hAnsi="Arial"/>
                <w:sz w:val="18"/>
                <w:szCs w:val="18"/>
                <w:color w:val="auto"/>
              </w:rPr>
              <w:t>Deb Holliday</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Director of Communications and IR</w:t>
            </w:r>
          </w:p>
        </w:tc>
        <w:tc>
          <w:tcPr>
            <w:tcW w:w="7240" w:type="dxa"/>
            <w:vAlign w:val="bottom"/>
            <w:gridSpan w:val="4"/>
          </w:tcPr>
          <w:p>
            <w:pPr>
              <w:ind w:left="1740"/>
              <w:spacing w:after="0"/>
              <w:rPr>
                <w:sz w:val="20"/>
                <w:szCs w:val="20"/>
                <w:color w:val="auto"/>
              </w:rPr>
            </w:pPr>
            <w:r>
              <w:rPr>
                <w:rFonts w:ascii="Arial" w:cs="Arial" w:eastAsia="Arial" w:hAnsi="Arial"/>
                <w:sz w:val="18"/>
                <w:szCs w:val="18"/>
                <w:color w:val="auto"/>
              </w:rPr>
              <w:t>Holliday Communications, Inc.</w:t>
            </w:r>
          </w:p>
        </w:tc>
      </w:tr>
      <w:tr>
        <w:trPr>
          <w:trHeight w:val="190"/>
        </w:trPr>
        <w:tc>
          <w:tcPr>
            <w:tcW w:w="17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2"/>
              </w:rPr>
              <w:t>jwebb@harrowinc.com</w:t>
            </w:r>
          </w:p>
        </w:tc>
        <w:tc>
          <w:tcPr>
            <w:tcW w:w="2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1"/>
              </w:rPr>
              <w:t>deb@hollidaycommunications.net</w:t>
            </w:r>
          </w:p>
        </w:tc>
        <w:tc>
          <w:tcPr>
            <w:tcW w:w="3020" w:type="dxa"/>
            <w:vAlign w:val="bottom"/>
          </w:tcPr>
          <w:p>
            <w:pPr>
              <w:spacing w:after="0"/>
              <w:rPr>
                <w:sz w:val="16"/>
                <w:szCs w:val="16"/>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8"/>
                <w:szCs w:val="18"/>
                <w:color w:val="auto"/>
              </w:rPr>
              <w:t>615-733-4737</w:t>
            </w:r>
          </w:p>
        </w:tc>
        <w:tc>
          <w:tcPr>
            <w:tcW w:w="2300" w:type="dxa"/>
            <w:vAlign w:val="bottom"/>
          </w:tcPr>
          <w:p>
            <w:pPr>
              <w:spacing w:after="0"/>
              <w:rPr>
                <w:sz w:val="20"/>
                <w:szCs w:val="20"/>
                <w:color w:val="auto"/>
              </w:rPr>
            </w:pPr>
          </w:p>
        </w:tc>
        <w:tc>
          <w:tcPr>
            <w:tcW w:w="4220" w:type="dxa"/>
            <w:vAlign w:val="bottom"/>
            <w:gridSpan w:val="3"/>
          </w:tcPr>
          <w:p>
            <w:pPr>
              <w:ind w:left="1740"/>
              <w:spacing w:after="0"/>
              <w:rPr>
                <w:sz w:val="20"/>
                <w:szCs w:val="20"/>
                <w:color w:val="auto"/>
              </w:rPr>
            </w:pPr>
            <w:r>
              <w:rPr>
                <w:rFonts w:ascii="Arial" w:cs="Arial" w:eastAsia="Arial" w:hAnsi="Arial"/>
                <w:sz w:val="18"/>
                <w:szCs w:val="18"/>
                <w:color w:val="auto"/>
              </w:rPr>
              <w:t>412-877-4519</w:t>
            </w:r>
          </w:p>
        </w:tc>
        <w:tc>
          <w:tcPr>
            <w:tcW w:w="30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40" w:type="dxa"/>
            <w:vAlign w:val="bottom"/>
            <w:gridSpan w:val="4"/>
          </w:tcPr>
          <w:p>
            <w:pPr>
              <w:ind w:left="1380"/>
              <w:spacing w:after="0"/>
              <w:rPr>
                <w:sz w:val="20"/>
                <w:szCs w:val="20"/>
                <w:color w:val="auto"/>
              </w:rPr>
            </w:pPr>
            <w:r>
              <w:rPr>
                <w:rFonts w:ascii="Arial" w:cs="Arial" w:eastAsia="Arial" w:hAnsi="Arial"/>
                <w:sz w:val="18"/>
                <w:szCs w:val="18"/>
                <w:color w:val="auto"/>
              </w:rPr>
              <w:t>-END-</w:t>
            </w:r>
          </w:p>
        </w:tc>
      </w:tr>
      <w:tr>
        <w:trPr>
          <w:trHeight w:val="439"/>
        </w:trPr>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2021-12-20T07:07:18Z</dcterms:created>
  <dcterms:modified xsi:type="dcterms:W3CDTF">2021-12-20T07:07:18Z</dcterms:modified>
</cp:coreProperties>
</file>