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LINDSTROM RICHARD L MD</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HARROW HEALTH,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HROW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6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C/O HARROW HEALTH, INC.</w:t>
            </w: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80" w:type="dxa"/>
            <w:vAlign w:val="bottom"/>
            <w:gridSpan w:val="6"/>
          </w:tcPr>
          <w:p>
            <w:pPr>
              <w:ind w:left="160"/>
              <w:spacing w:after="0"/>
              <w:rPr>
                <w:sz w:val="20"/>
                <w:szCs w:val="20"/>
                <w:color w:val="auto"/>
              </w:rPr>
            </w:pPr>
            <w:r>
              <w:rPr>
                <w:rFonts w:ascii="Arial" w:cs="Arial" w:eastAsia="Arial" w:hAnsi="Arial"/>
                <w:sz w:val="17"/>
                <w:szCs w:val="17"/>
                <w:color w:val="0000FF"/>
              </w:rPr>
              <w:t>09/15/2021</w:t>
            </w: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102 WOODMONT BLVD. SUITE 610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NASHVILLE   TN</w:t>
            </w:r>
          </w:p>
        </w:tc>
        <w:tc>
          <w:tcPr>
            <w:tcW w:w="8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7"/>
                <w:szCs w:val="17"/>
                <w:color w:val="0000FF"/>
              </w:rPr>
              <w:t>37205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2"/>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21"/>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5"/>
                <w:szCs w:val="15"/>
                <w:color w:val="auto"/>
              </w:rPr>
            </w:pPr>
          </w:p>
        </w:tc>
        <w:tc>
          <w:tcPr>
            <w:tcW w:w="120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1740" w:type="dxa"/>
            <w:vAlign w:val="bottom"/>
            <w:gridSpan w:val="6"/>
            <w:vMerge w:val="restart"/>
          </w:tcPr>
          <w:p>
            <w:pPr>
              <w:ind w:left="760"/>
              <w:spacing w:after="0"/>
              <w:rPr>
                <w:sz w:val="20"/>
                <w:szCs w:val="20"/>
                <w:color w:val="auto"/>
              </w:rPr>
            </w:pPr>
            <w:r>
              <w:rPr>
                <w:rFonts w:ascii="Arial" w:cs="Arial" w:eastAsia="Arial" w:hAnsi="Arial"/>
                <w:sz w:val="17"/>
                <w:szCs w:val="17"/>
                <w:color w:val="0000FF"/>
              </w:rPr>
              <w:t>09/15/2021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94"/>
              </w:rPr>
              <w:t>14,160</w:t>
            </w:r>
            <w:r>
              <w:rPr>
                <w:rFonts w:ascii="Arial" w:cs="Arial" w:eastAsia="Arial" w:hAnsi="Arial"/>
                <w:sz w:val="22"/>
                <w:szCs w:val="22"/>
                <w:color w:val="008000"/>
                <w:w w:val="94"/>
                <w:vertAlign w:val="superscript"/>
              </w:rPr>
              <w:t>(1)</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9.09</w:t>
            </w:r>
            <w:r>
              <w:rPr>
                <w:rFonts w:ascii="Arial" w:cs="Arial" w:eastAsia="Arial" w:hAnsi="Arial"/>
                <w:sz w:val="22"/>
                <w:szCs w:val="22"/>
                <w:color w:val="008000"/>
                <w:w w:val="92"/>
                <w:vertAlign w:val="superscript"/>
              </w:rPr>
              <w:t>(2)</w:t>
            </w:r>
          </w:p>
        </w:tc>
        <w:tc>
          <w:tcPr>
            <w:tcW w:w="60" w:type="dxa"/>
            <w:vAlign w:val="bottom"/>
          </w:tcPr>
          <w:p>
            <w:pPr>
              <w:spacing w:after="0"/>
              <w:rPr>
                <w:sz w:val="22"/>
                <w:szCs w:val="22"/>
                <w:color w:val="auto"/>
              </w:rPr>
            </w:pP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2"/>
              </w:rPr>
              <w:t>75,840</w:t>
            </w:r>
          </w:p>
        </w:tc>
        <w:tc>
          <w:tcPr>
            <w:tcW w:w="300" w:type="dxa"/>
            <w:vAlign w:val="bottom"/>
          </w:tcPr>
          <w:p>
            <w:pPr>
              <w:spacing w:after="0"/>
              <w:rPr>
                <w:sz w:val="22"/>
                <w:szCs w:val="22"/>
                <w:color w:val="auto"/>
              </w:rPr>
            </w:pPr>
          </w:p>
        </w:tc>
        <w:tc>
          <w:tcPr>
            <w:tcW w:w="560" w:type="dxa"/>
            <w:vAlign w:val="bottom"/>
            <w:vMerge w:val="restart"/>
          </w:tcPr>
          <w:p>
            <w:pPr>
              <w:jc w:val="center"/>
              <w:ind w:right="292"/>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1740" w:type="dxa"/>
            <w:vAlign w:val="bottom"/>
            <w:gridSpan w:val="6"/>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1740" w:type="dxa"/>
            <w:vAlign w:val="bottom"/>
            <w:gridSpan w:val="6"/>
            <w:vMerge w:val="restart"/>
          </w:tcPr>
          <w:p>
            <w:pPr>
              <w:ind w:left="760"/>
              <w:spacing w:after="0"/>
              <w:rPr>
                <w:sz w:val="20"/>
                <w:szCs w:val="20"/>
                <w:color w:val="auto"/>
              </w:rPr>
            </w:pPr>
            <w:r>
              <w:rPr>
                <w:rFonts w:ascii="Arial" w:cs="Arial" w:eastAsia="Arial" w:hAnsi="Arial"/>
                <w:sz w:val="17"/>
                <w:szCs w:val="17"/>
                <w:color w:val="0000FF"/>
              </w:rPr>
              <w:t>09/16/2021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7"/>
                <w:szCs w:val="17"/>
                <w:color w:val="0000FF"/>
              </w:rPr>
              <w:t>5,840</w:t>
            </w:r>
            <w:r>
              <w:rPr>
                <w:rFonts w:ascii="Arial" w:cs="Arial" w:eastAsia="Arial" w:hAnsi="Arial"/>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9.02</w:t>
            </w:r>
            <w:r>
              <w:rPr>
                <w:rFonts w:ascii="Arial" w:cs="Arial" w:eastAsia="Arial" w:hAnsi="Arial"/>
                <w:sz w:val="22"/>
                <w:szCs w:val="22"/>
                <w:color w:val="008000"/>
                <w:w w:val="92"/>
                <w:vertAlign w:val="superscript"/>
              </w:rPr>
              <w:t>(4)</w:t>
            </w:r>
          </w:p>
        </w:tc>
        <w:tc>
          <w:tcPr>
            <w:tcW w:w="60" w:type="dxa"/>
            <w:vAlign w:val="bottom"/>
          </w:tcPr>
          <w:p>
            <w:pPr>
              <w:spacing w:after="0"/>
              <w:rPr>
                <w:sz w:val="22"/>
                <w:szCs w:val="22"/>
                <w:color w:val="auto"/>
              </w:rPr>
            </w:pP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2"/>
              </w:rPr>
              <w:t>70,000</w:t>
            </w:r>
          </w:p>
        </w:tc>
        <w:tc>
          <w:tcPr>
            <w:tcW w:w="300" w:type="dxa"/>
            <w:vAlign w:val="bottom"/>
          </w:tcPr>
          <w:p>
            <w:pPr>
              <w:spacing w:after="0"/>
              <w:rPr>
                <w:sz w:val="22"/>
                <w:szCs w:val="22"/>
                <w:color w:val="auto"/>
              </w:rPr>
            </w:pPr>
          </w:p>
        </w:tc>
        <w:tc>
          <w:tcPr>
            <w:tcW w:w="560" w:type="dxa"/>
            <w:vAlign w:val="bottom"/>
            <w:vMerge w:val="restart"/>
          </w:tcPr>
          <w:p>
            <w:pPr>
              <w:jc w:val="center"/>
              <w:ind w:right="292"/>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1740" w:type="dxa"/>
            <w:vAlign w:val="bottom"/>
            <w:gridSpan w:val="6"/>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6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91"/>
              </w:rPr>
              <w:t>100,000</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3"/>
          </w:tcPr>
          <w:p>
            <w:pPr>
              <w:spacing w:after="0"/>
              <w:rPr>
                <w:sz w:val="8"/>
                <w:szCs w:val="8"/>
                <w:color w:val="auto"/>
              </w:rPr>
            </w:pPr>
          </w:p>
        </w:tc>
        <w:tc>
          <w:tcPr>
            <w:tcW w:w="104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80" w:type="dxa"/>
            <w:vAlign w:val="bottom"/>
            <w:gridSpan w:val="15"/>
          </w:tcPr>
          <w:p>
            <w:pPr>
              <w:ind w:lef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in June 2021.</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$8.98 to $9.28, inclusive. The reporting person undertakes to provide to Harrow Health, Inc. ("Harrow"), any security holder of Harrow,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held by the Lindstrom Family Limited Partnership No. 2, a limited partnership of which the reporting person is the general partner.</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$9.00 to $9.10, inclusive. The reporting person undertakes to provide to Harrow, any security holder of Harrow, or the staff of the Securities and Exchange Commission, upon request, full information regarding the number of shares sold at each separate price within the range set forth in this footnote.</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Richard L. Lindstrom</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09/17/2021</w:t>
            </w:r>
          </w:p>
        </w:tc>
      </w:tr>
      <w:tr>
        <w:trPr>
          <w:trHeight w:val="20"/>
        </w:trPr>
        <w:tc>
          <w:tcPr>
            <w:tcW w:w="1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2177"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2021-09-17T16:17:21Z</dcterms:created>
  <dcterms:modified xsi:type="dcterms:W3CDTF">2021-09-17T16:17:21Z</dcterms:modified>
</cp:coreProperties>
</file>