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3820" w:right="1880" w:hanging="3812"/>
        <w:spacing w:after="0" w:line="500" w:lineRule="auto"/>
        <w:tabs>
          <w:tab w:leader="none" w:pos="22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240" w:right="1860" w:hanging="3232"/>
        <w:spacing w:after="0" w:line="500" w:lineRule="auto"/>
        <w:tabs>
          <w:tab w:leader="none" w:pos="21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001-35814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74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45-0567010</w:t>
            </w:r>
          </w:p>
        </w:tc>
      </w:tr>
      <w:tr>
        <w:trPr>
          <w:trHeight w:val="216"/>
        </w:trPr>
        <w:tc>
          <w:tcPr>
            <w:tcW w:w="474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4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74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1A Burton Hills Blvd., Suite 200</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20"/>
        </w:trPr>
        <w:tc>
          <w:tcPr>
            <w:tcW w:w="474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37215</w:t>
            </w:r>
          </w:p>
        </w:tc>
      </w:tr>
      <w:tr>
        <w:trPr>
          <w:trHeight w:val="234"/>
        </w:trPr>
        <w:tc>
          <w:tcPr>
            <w:tcW w:w="474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7"/>
              </w:rPr>
              <w:t>(Zip code)</w:t>
            </w:r>
          </w:p>
        </w:tc>
      </w:tr>
      <w:tr>
        <w:trPr>
          <w:trHeight w:val="414"/>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(615) 733-4730</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7600" w:type="dxa"/>
            <w:vAlign w:val="bottom"/>
            <w:gridSpan w:val="5"/>
          </w:tcPr>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640" w:type="dxa"/>
            <w:vAlign w:val="bottom"/>
          </w:tcPr>
          <w:p>
            <w:pPr>
              <w:spacing w:after="0"/>
              <w:rPr>
                <w:sz w:val="20"/>
                <w:szCs w:val="20"/>
                <w:color w:val="auto"/>
              </w:rPr>
            </w:pPr>
          </w:p>
        </w:tc>
      </w:tr>
      <w:tr>
        <w:trPr>
          <w:trHeight w:val="432"/>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9"/>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Trading Symbol(s)</w:t>
            </w:r>
          </w:p>
        </w:tc>
        <w:tc>
          <w:tcPr>
            <w:tcW w:w="36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23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9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8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6, 2026, there were 37,275,107 shares of the registrant’s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120" w:type="dxa"/>
            <w:vAlign w:val="bottom"/>
            <w:gridSpan w:val="6"/>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8"/>
              </w:rPr>
              <w:t>HARROW, INC.</w:t>
            </w:r>
          </w:p>
        </w:tc>
        <w:tc>
          <w:tcPr>
            <w:tcW w:w="640" w:type="dxa"/>
            <w:vAlign w:val="bottom"/>
          </w:tcPr>
          <w:p>
            <w:pPr>
              <w:spacing w:after="0"/>
              <w:rPr>
                <w:sz w:val="20"/>
                <w:szCs w:val="20"/>
                <w:color w:val="auto"/>
              </w:rPr>
            </w:pPr>
          </w:p>
        </w:tc>
      </w:tr>
      <w:tr>
        <w:trPr>
          <w:trHeight w:val="391"/>
        </w:trPr>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20" w:type="dxa"/>
            <w:vAlign w:val="bottom"/>
            <w:gridSpan w:val="5"/>
          </w:tcPr>
          <w:p>
            <w:pPr>
              <w:jc w:val="center"/>
              <w:ind w:right="43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640" w:type="dxa"/>
            <w:vAlign w:val="bottom"/>
          </w:tcPr>
          <w:p>
            <w:pPr>
              <w:spacing w:after="0"/>
              <w:rPr>
                <w:sz w:val="24"/>
                <w:szCs w:val="24"/>
                <w:color w:val="auto"/>
              </w:rPr>
            </w:pPr>
          </w:p>
        </w:tc>
      </w:tr>
      <w:tr>
        <w:trPr>
          <w:trHeight w:val="466"/>
        </w:trPr>
        <w:tc>
          <w:tcPr>
            <w:tcW w:w="9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800" w:type="dxa"/>
            <w:vAlign w:val="bottom"/>
            <w:tcBorders>
              <w:top w:val="single" w:sz="8" w:color="auto"/>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30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0"/>
        </w:trPr>
        <w:tc>
          <w:tcPr>
            <w:tcW w:w="96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auto"/>
              </w:rPr>
              <w:t>Part I</w:t>
            </w:r>
          </w:p>
        </w:tc>
        <w:tc>
          <w:tcPr>
            <w:tcW w:w="9640" w:type="dxa"/>
            <w:vAlign w:val="bottom"/>
            <w:gridSpan w:val="17"/>
            <w:shd w:val="clear" w:color="auto" w:fill="CCEEFF"/>
          </w:tcPr>
          <w:p>
            <w:pPr>
              <w:ind w:left="140"/>
              <w:spacing w:after="0" w:line="136" w:lineRule="exact"/>
              <w:rPr>
                <w:sz w:val="20"/>
                <w:szCs w:val="20"/>
                <w:color w:val="auto"/>
              </w:rPr>
            </w:pPr>
            <w:r>
              <w:rPr>
                <w:rFonts w:ascii="Times New Roman" w:cs="Times New Roman" w:eastAsia="Times New Roman" w:hAnsi="Times New Roman"/>
                <w:sz w:val="15"/>
                <w:szCs w:val="15"/>
                <w:color w:val="0000EE"/>
              </w:rPr>
              <w:t>FINANCIAL INFORMATION</w:t>
            </w: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2</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40" w:type="dxa"/>
            <w:vAlign w:val="bottom"/>
            <w:gridSpan w:val="17"/>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9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5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432"/>
        </w:trPr>
        <w:tc>
          <w:tcPr>
            <w:tcW w:w="9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400" w:type="dxa"/>
            <w:vAlign w:val="bottom"/>
            <w:tcBorders>
              <w:top w:val="single" w:sz="8" w:color="CCEEFF"/>
              <w:bottom w:val="single" w:sz="8" w:color="auto"/>
            </w:tcBorders>
            <w:gridSpan w:val="12"/>
          </w:tcPr>
          <w:p>
            <w:pPr>
              <w:jc w:val="center"/>
              <w:ind w:left="3030"/>
              <w:spacing w:after="0"/>
              <w:rPr>
                <w:sz w:val="20"/>
                <w:szCs w:val="20"/>
                <w:color w:val="auto"/>
              </w:rPr>
            </w:pPr>
            <w:r>
              <w:rPr>
                <w:rFonts w:ascii="Times New Roman" w:cs="Times New Roman" w:eastAsia="Times New Roman" w:hAnsi="Times New Roman"/>
                <w:sz w:val="18"/>
                <w:szCs w:val="18"/>
                <w:color w:val="auto"/>
                <w:w w:val="88"/>
              </w:rPr>
              <w:t>1</w:t>
            </w:r>
          </w:p>
        </w:tc>
        <w:tc>
          <w:tcPr>
            <w:tcW w:w="1300" w:type="dxa"/>
            <w:vAlign w:val="bottom"/>
            <w:tcBorders>
              <w:top w:val="single" w:sz="8" w:color="CCEEFF"/>
              <w:bottom w:val="single" w:sz="8" w:color="auto"/>
            </w:tcBorders>
          </w:tcPr>
          <w:p>
            <w:pPr>
              <w:spacing w:after="0"/>
              <w:rPr>
                <w:sz w:val="24"/>
                <w:szCs w:val="24"/>
                <w:color w:val="auto"/>
              </w:rPr>
            </w:pPr>
          </w:p>
        </w:tc>
        <w:tc>
          <w:tcPr>
            <w:tcW w:w="30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0" w:type="dxa"/>
            <w:vAlign w:val="bottom"/>
          </w:tcPr>
          <w:p>
            <w:pPr>
              <w:spacing w:after="0"/>
              <w:rPr>
                <w:sz w:val="19"/>
                <w:szCs w:val="19"/>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4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94,644,000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72,927,000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101,259,000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110,895,000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16,496,000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13,523,000</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13,985,000</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14,405,000</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226,384,000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3,130,000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3,260,000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costs,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1,052,000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1,183,000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7,591,000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7,783,000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181,054,000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175,174,000</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332,000</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332,000</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419,543,000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399,482,000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176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30,017,000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41,959,000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rebates and copay assistance</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51,127,000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42,236,000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9,231,000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10,432,000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788,000</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260" w:type="dxa"/>
            <w:vAlign w:val="bottom"/>
          </w:tcPr>
          <w:p>
            <w:pPr>
              <w:spacing w:after="0"/>
              <w:rPr>
                <w:sz w:val="19"/>
                <w:szCs w:val="19"/>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915,000</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887,000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91,439,000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portion</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7,666,000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7,905,000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unamortized debt discount</w:t>
            </w: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292,087,000</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243,184,000</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391,192,000</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347,391,000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50,000,000 shares authorized, 37,269,400 and 37,229,159 shares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37,000</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37,000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212,795,000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208,933,000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(184,126,000)</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(156,524,000)</w:t>
            </w:r>
          </w:p>
        </w:tc>
        <w:tc>
          <w:tcPr>
            <w:tcW w:w="0" w:type="dxa"/>
            <w:vAlign w:val="bottom"/>
          </w:tcPr>
          <w:p>
            <w:pPr>
              <w:spacing w:after="0"/>
              <w:rPr>
                <w:sz w:val="1"/>
                <w:szCs w:val="1"/>
                <w:color w:val="auto"/>
              </w:rPr>
            </w:pPr>
          </w:p>
        </w:tc>
      </w:tr>
      <w:tr>
        <w:trPr>
          <w:trHeight w:val="20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HARROW, INC. STOCKHOLDERS’ EQUITY</w:t>
            </w: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28,706,000</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52,446,000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(355,000)</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(355,000)</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28,351,000</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52,091,000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419,543,000</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399,482,000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sales, net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44,130,000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47,745,000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revenues</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73,000</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86,000</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44,203,000</w:t>
            </w:r>
          </w:p>
        </w:tc>
        <w:tc>
          <w:tcPr>
            <w:tcW w:w="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(17,158,000)</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(15,524,000)</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27,045,000</w:t>
            </w:r>
          </w:p>
        </w:tc>
        <w:tc>
          <w:tcPr>
            <w:tcW w:w="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32,307,000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43,230,000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40,513,000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5,895,000</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3,026,000</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49,125,000</w:t>
            </w:r>
          </w:p>
        </w:tc>
        <w:tc>
          <w:tcPr>
            <w:tcW w:w="3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43,539,000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(22,080,000)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(5,497,000)</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(6,548,000)</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(27,577,000)</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(25,000)</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(27,602,000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tcPr>
          <w:p>
            <w:pPr>
              <w:jc w:val="right"/>
              <w:ind w:right="181"/>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basic and diluted</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37,231,321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35,826,452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11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2"/>
        </w:trPr>
        <w:tc>
          <w:tcPr>
            <w:tcW w:w="2900" w:type="dxa"/>
            <w:vAlign w:val="bottom"/>
          </w:tcPr>
          <w:p>
            <w:pPr>
              <w:spacing w:after="0"/>
              <w:rPr>
                <w:sz w:val="21"/>
                <w:szCs w:val="21"/>
                <w:color w:val="auto"/>
              </w:rPr>
            </w:pPr>
          </w:p>
        </w:tc>
        <w:tc>
          <w:tcPr>
            <w:tcW w:w="20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Harrow, Inc.</w:t>
            </w:r>
          </w:p>
        </w:tc>
        <w:tc>
          <w:tcPr>
            <w:tcW w:w="134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1"/>
        </w:trPr>
        <w:tc>
          <w:tcPr>
            <w:tcW w:w="29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Par</w:t>
            </w:r>
          </w:p>
        </w:tc>
        <w:tc>
          <w:tcPr>
            <w:tcW w:w="200" w:type="dxa"/>
            <w:vAlign w:val="bottom"/>
          </w:tcPr>
          <w:p>
            <w:pPr>
              <w:spacing w:after="0"/>
              <w:rPr>
                <w:sz w:val="17"/>
                <w:szCs w:val="17"/>
                <w:color w:val="auto"/>
              </w:rPr>
            </w:pPr>
          </w:p>
        </w:tc>
        <w:tc>
          <w:tcPr>
            <w:tcW w:w="110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00" w:type="dxa"/>
            <w:vAlign w:val="bottom"/>
          </w:tcPr>
          <w:p>
            <w:pPr>
              <w:spacing w:after="0"/>
              <w:rPr>
                <w:sz w:val="17"/>
                <w:szCs w:val="17"/>
                <w:color w:val="auto"/>
              </w:rPr>
            </w:pPr>
          </w:p>
        </w:tc>
        <w:tc>
          <w:tcPr>
            <w:tcW w:w="1200" w:type="dxa"/>
            <w:vAlign w:val="bottom"/>
            <w:gridSpan w:val="2"/>
          </w:tcPr>
          <w:p>
            <w:pPr>
              <w:jc w:val="right"/>
              <w:ind w:right="81"/>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7"/>
                <w:szCs w:val="17"/>
                <w:color w:val="auto"/>
              </w:rPr>
            </w:pPr>
          </w:p>
        </w:tc>
        <w:tc>
          <w:tcPr>
            <w:tcW w:w="1340" w:type="dxa"/>
            <w:vAlign w:val="bottom"/>
            <w:gridSpan w:val="3"/>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180" w:type="dxa"/>
            <w:vAlign w:val="bottom"/>
          </w:tcPr>
          <w:p>
            <w:pPr>
              <w:spacing w:after="0"/>
              <w:rPr>
                <w:sz w:val="17"/>
                <w:szCs w:val="17"/>
                <w:color w:val="auto"/>
              </w:rPr>
            </w:pPr>
          </w:p>
        </w:tc>
        <w:tc>
          <w:tcPr>
            <w:tcW w:w="1160" w:type="dxa"/>
            <w:vAlign w:val="bottom"/>
            <w:gridSpan w:val="2"/>
          </w:tcPr>
          <w:p>
            <w:pPr>
              <w:jc w:val="center"/>
              <w:ind w:right="281"/>
              <w:spacing w:after="0" w:line="201"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20" w:type="dxa"/>
            <w:vAlign w:val="bottom"/>
          </w:tcPr>
          <w:p>
            <w:pPr>
              <w:spacing w:after="0"/>
              <w:rPr>
                <w:sz w:val="17"/>
                <w:szCs w:val="17"/>
                <w:color w:val="auto"/>
              </w:rPr>
            </w:pPr>
          </w:p>
        </w:tc>
        <w:tc>
          <w:tcPr>
            <w:tcW w:w="118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29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20"/>
                <w:szCs w:val="20"/>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80" w:type="dxa"/>
            <w:vAlign w:val="bottom"/>
          </w:tcPr>
          <w:p>
            <w:pPr>
              <w:spacing w:after="0"/>
              <w:rPr>
                <w:sz w:val="20"/>
                <w:szCs w:val="20"/>
                <w:color w:val="auto"/>
              </w:rPr>
            </w:pPr>
          </w:p>
        </w:tc>
        <w:tc>
          <w:tcPr>
            <w:tcW w:w="116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35,622,214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$ 221,002,000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(151,385,000)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69,652,000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69,297,000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2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employee stock-based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2,743</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23,000</w:t>
            </w:r>
          </w:p>
        </w:tc>
        <w:tc>
          <w:tcPr>
            <w:tcW w:w="13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23,000</w:t>
            </w:r>
          </w:p>
        </w:tc>
        <w:tc>
          <w:tcPr>
            <w:tcW w:w="18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23,000</w:t>
            </w:r>
          </w:p>
        </w:tc>
        <w:tc>
          <w:tcPr>
            <w:tcW w:w="80" w:type="dxa"/>
            <w:vAlign w:val="bottom"/>
          </w:tcPr>
          <w:p>
            <w:pPr>
              <w:spacing w:after="0"/>
              <w:rPr>
                <w:sz w:val="20"/>
                <w:szCs w:val="20"/>
                <w:color w:val="auto"/>
              </w:rPr>
            </w:pPr>
          </w:p>
        </w:tc>
      </w:tr>
      <w:tr>
        <w:trPr>
          <w:trHeight w:val="216"/>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RSUs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29,214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4,556,000</w:t>
            </w:r>
          </w:p>
        </w:tc>
        <w:tc>
          <w:tcPr>
            <w:tcW w:w="13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4,556,000</w:t>
            </w:r>
          </w:p>
        </w:tc>
        <w:tc>
          <w:tcPr>
            <w:tcW w:w="18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4,556,000</w:t>
            </w:r>
          </w:p>
        </w:tc>
        <w:tc>
          <w:tcPr>
            <w:tcW w:w="80" w:type="dxa"/>
            <w:vAlign w:val="bottom"/>
          </w:tcPr>
          <w:p>
            <w:pPr>
              <w:spacing w:after="0"/>
              <w:rPr>
                <w:sz w:val="18"/>
                <w:szCs w:val="18"/>
                <w:color w:val="auto"/>
              </w:rPr>
            </w:pPr>
          </w:p>
        </w:tc>
      </w:tr>
      <w:tr>
        <w:trPr>
          <w:trHeight w:val="229"/>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(17,780,000)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(17,780,000)</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(17,780,000)</w:t>
            </w:r>
          </w:p>
        </w:tc>
      </w:tr>
      <w:tr>
        <w:trPr>
          <w:trHeight w:val="22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35,654,171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225,581,000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(169,165,000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56,451,000</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56,096,000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80" w:type="dxa"/>
            <w:vAlign w:val="bottom"/>
          </w:tcPr>
          <w:p>
            <w:pPr>
              <w:spacing w:after="0"/>
              <w:rPr>
                <w:sz w:val="18"/>
                <w:szCs w:val="18"/>
                <w:color w:val="auto"/>
              </w:rPr>
            </w:pPr>
          </w:p>
        </w:tc>
        <w:tc>
          <w:tcPr>
            <w:tcW w:w="110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2660" w:type="dxa"/>
            <w:vAlign w:val="bottom"/>
          </w:tcPr>
          <w:p>
            <w:pPr>
              <w:spacing w:after="0"/>
              <w:rPr>
                <w:sz w:val="21"/>
                <w:szCs w:val="21"/>
                <w:color w:val="auto"/>
              </w:rPr>
            </w:pPr>
          </w:p>
        </w:tc>
        <w:tc>
          <w:tcPr>
            <w:tcW w:w="18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1"/>
                <w:szCs w:val="21"/>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Harrow, Inc.</w:t>
            </w:r>
          </w:p>
        </w:tc>
        <w:tc>
          <w:tcPr>
            <w:tcW w:w="128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01"/>
        </w:trPr>
        <w:tc>
          <w:tcPr>
            <w:tcW w:w="26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Par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160"/>
              <w:spacing w:after="0" w:line="201"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280" w:type="dxa"/>
            <w:vAlign w:val="bottom"/>
            <w:gridSpan w:val="2"/>
          </w:tcPr>
          <w:p>
            <w:pPr>
              <w:jc w:val="right"/>
              <w:ind w:right="141"/>
              <w:spacing w:after="0" w:line="201"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7"/>
                <w:szCs w:val="17"/>
                <w:color w:val="auto"/>
              </w:rPr>
            </w:pPr>
          </w:p>
        </w:tc>
        <w:tc>
          <w:tcPr>
            <w:tcW w:w="1340" w:type="dxa"/>
            <w:vAlign w:val="bottom"/>
            <w:gridSpan w:val="2"/>
          </w:tcPr>
          <w:p>
            <w:pPr>
              <w:jc w:val="center"/>
              <w:ind w:right="28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180" w:type="dxa"/>
            <w:vAlign w:val="bottom"/>
          </w:tcPr>
          <w:p>
            <w:pPr>
              <w:spacing w:after="0"/>
              <w:rPr>
                <w:sz w:val="17"/>
                <w:szCs w:val="17"/>
                <w:color w:val="auto"/>
              </w:rPr>
            </w:pPr>
          </w:p>
        </w:tc>
        <w:tc>
          <w:tcPr>
            <w:tcW w:w="1100" w:type="dxa"/>
            <w:vAlign w:val="bottom"/>
            <w:gridSpan w:val="2"/>
          </w:tcPr>
          <w:p>
            <w:pPr>
              <w:jc w:val="center"/>
              <w:ind w:right="221"/>
              <w:spacing w:after="0" w:line="201"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8"/>
        </w:trPr>
        <w:tc>
          <w:tcPr>
            <w:tcW w:w="266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8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80" w:type="dxa"/>
            <w:vAlign w:val="bottom"/>
          </w:tcPr>
          <w:p>
            <w:pPr>
              <w:spacing w:after="0"/>
              <w:rPr>
                <w:sz w:val="20"/>
                <w:szCs w:val="20"/>
                <w:color w:val="auto"/>
              </w:rPr>
            </w:pPr>
          </w:p>
        </w:tc>
        <w:tc>
          <w:tcPr>
            <w:tcW w:w="110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37,229,159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$ 208,933,000</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(156,524,000)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52,446,000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connection with:</w:t>
            </w: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2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employee stock-</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options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40,241</w:t>
            </w: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25,000</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3,837,000</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3,837,000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3,837,000</w:t>
            </w: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(27,602,000)</w:t>
            </w:r>
          </w:p>
        </w:tc>
        <w:tc>
          <w:tcPr>
            <w:tcW w:w="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(27,602,000)</w:t>
            </w:r>
          </w:p>
        </w:tc>
        <w:tc>
          <w:tcPr>
            <w:tcW w:w="180" w:type="dxa"/>
            <w:vAlign w:val="bottom"/>
          </w:tcPr>
          <w:p>
            <w:pPr>
              <w:spacing w:after="0"/>
              <w:rPr>
                <w:sz w:val="19"/>
                <w:szCs w:val="19"/>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(27,602,000)</w:t>
            </w:r>
          </w:p>
        </w:tc>
      </w:tr>
      <w:tr>
        <w:trPr>
          <w:trHeight w:val="223"/>
        </w:trPr>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37,269,400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212,795,000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(184,126,000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28,706,000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60" w:type="dxa"/>
            <w:vAlign w:val="bottom"/>
            <w:gridSpan w:val="6"/>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(27,602,000)</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(17,780,000)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of property, plant and equipment and software development costs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455,000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465,000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5,129,000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4,226,000</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192,000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217,000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114,000</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 and debt discount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451,000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1,275,000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3,837,000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4,556,000</w:t>
            </w:r>
          </w:p>
        </w:tc>
        <w:tc>
          <w:tcPr>
            <w:tcW w:w="0" w:type="dxa"/>
            <w:vAlign w:val="bottom"/>
          </w:tcPr>
          <w:p>
            <w:pPr>
              <w:spacing w:after="0"/>
              <w:rPr>
                <w:sz w:val="1"/>
                <w:szCs w:val="1"/>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9,831,000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39,196,000</w:t>
            </w:r>
          </w:p>
        </w:tc>
        <w:tc>
          <w:tcPr>
            <w:tcW w:w="0" w:type="dxa"/>
            <w:vAlign w:val="bottom"/>
          </w:tcPr>
          <w:p>
            <w:pPr>
              <w:spacing w:after="0"/>
              <w:rPr>
                <w:sz w:val="1"/>
                <w:szCs w:val="1"/>
                <w:color w:val="auto"/>
              </w:rPr>
            </w:pPr>
          </w:p>
        </w:tc>
      </w:tr>
      <w:tr>
        <w:trPr>
          <w:trHeight w:val="216"/>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(2,973,000)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346,000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299,000</w:t>
            </w:r>
          </w:p>
        </w:tc>
        <w:tc>
          <w:tcPr>
            <w:tcW w:w="0" w:type="dxa"/>
            <w:vAlign w:val="bottom"/>
          </w:tcPr>
          <w:p>
            <w:pPr>
              <w:spacing w:after="0"/>
              <w:rPr>
                <w:sz w:val="1"/>
                <w:szCs w:val="1"/>
                <w:color w:val="auto"/>
              </w:rPr>
            </w:pPr>
          </w:p>
        </w:tc>
      </w:tr>
      <w:tr>
        <w:trPr>
          <w:trHeight w:val="216"/>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 accrued expenses, accrued rebates and copay assistance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3,377,000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(11,096,000)</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payroll and related liabilities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(1,201,000)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(1,891,000)</w:t>
            </w:r>
          </w:p>
        </w:tc>
        <w:tc>
          <w:tcPr>
            <w:tcW w:w="0" w:type="dxa"/>
            <w:vAlign w:val="bottom"/>
          </w:tcPr>
          <w:p>
            <w:pPr>
              <w:spacing w:after="0"/>
              <w:rPr>
                <w:sz w:val="1"/>
                <w:szCs w:val="1"/>
                <w:color w:val="auto"/>
              </w:rPr>
            </w:pPr>
          </w:p>
        </w:tc>
      </w:tr>
      <w:tr>
        <w:trPr>
          <w:trHeight w:val="229"/>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(639,000)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101,000</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(8,992,000</w:t>
            </w:r>
          </w:p>
        </w:tc>
        <w:tc>
          <w:tcPr>
            <w:tcW w:w="2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patent and trademark assets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product rights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(18,000,000)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(194,000)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0" w:type="dxa"/>
            <w:vAlign w:val="bottom"/>
          </w:tcPr>
          <w:p>
            <w:pPr>
              <w:spacing w:after="0"/>
              <w:rPr>
                <w:sz w:val="1"/>
                <w:szCs w:val="1"/>
                <w:color w:val="auto"/>
              </w:rPr>
            </w:pPr>
          </w:p>
        </w:tc>
      </w:tr>
      <w:tr>
        <w:trPr>
          <w:trHeight w:val="210"/>
        </w:trPr>
        <w:tc>
          <w:tcPr>
            <w:tcW w:w="7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(18,203,000</w:t>
            </w:r>
          </w:p>
        </w:tc>
        <w:tc>
          <w:tcPr>
            <w:tcW w:w="2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8.625% notes payable, net of commissions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49,000,000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48,912,000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21,717,000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72,927,000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47,247,000</w:t>
            </w:r>
          </w:p>
        </w:tc>
        <w:tc>
          <w:tcPr>
            <w:tcW w:w="0" w:type="dxa"/>
            <w:vAlign w:val="bottom"/>
          </w:tcPr>
          <w:p>
            <w:pPr>
              <w:spacing w:after="0"/>
              <w:rPr>
                <w:sz w:val="1"/>
                <w:szCs w:val="1"/>
                <w:color w:val="auto"/>
              </w:rPr>
            </w:pPr>
          </w:p>
        </w:tc>
      </w:tr>
      <w:tr>
        <w:trPr>
          <w:trHeight w:val="263"/>
        </w:trPr>
        <w:tc>
          <w:tcPr>
            <w:tcW w:w="7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CASH EQUIVALENTS, end of period</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94,644,000</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66,726,000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5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38,000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6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10,960,000</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6,392,000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Unpaid debt issuance costs</w:t>
            </w:r>
          </w:p>
        </w:tc>
        <w:tc>
          <w:tcPr>
            <w:tcW w:w="5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361,000</w:t>
            </w:r>
          </w:p>
        </w:tc>
        <w:tc>
          <w:tcPr>
            <w:tcW w:w="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and Background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Harrow, Inc. (together with its consolidated subsidiaries, unless the context indicates or otherwise requires, the “Company” or “Harrow”)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The Company owns commercial rights to one of the largest portfolios of branded ophthalmic pharmaceutical products in the U.S., all of which are marketed under its Harrow name. The Company also owns and operates ImprimisRx, one of the nation’s leading ophthalmology-focused pharmaceutical-compounding businesses.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accompanying unaudited condensed consolidated financial statements in accordance with accounting principles generally accepted in the United States of America (“GAAP”) for interim financial information and in accordance with the rules and regulations of the U.S. Securities and Exchange Commission.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months ended March 31, 2026 are not necessarily indicative of the results that may be expected for the year ending December 31, 2026 or for any other period. For further information, refer to the Company’s audited consolidated financial statements and notes thereto included in the Company’s Annual Report on Form 10-K for the year ended December 31,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 owned and majority-owned subsidiaries.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Harrow consolidates entities in which it has a controlling financial interest. The Company assesses control under the variable interest entity (“VIE”) model to determine whether the Company is the primary beneficiary of that entity. The Company consolidates (i) entities in which it holds and/or controls, directly or indirectly, more than 50% of the voting rights, and (ii) VIEs for which the Company is deemed to be the primary beneficiary. All material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represents an update for the three months ended March 31, 2026 to the significant accounting policies described in the Company’s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judgments that affect the reported amounts of assets and liabilities and disclosure of contingent assets and liabilities at the date of the financial statements and reported amounts of revenues and expenses during the reporting periods. Significant estimates made by management are, among others, allowance for credit losses, variable consideration determined based on accruals for chargebacks, administrative fees and rebates, government rebates, returns and other allowances, renewal periods and discount rates for leases, realizability of inventories, recoverability of investments, realizability of deferred tax assets, recoverability of long-lived assets and goodwill, valuations and purchase price allocations related to business combinations and asset acquisitions, fair value of loans payable, and valuation of stock-based transactions with employees and non-employees. Actual results could differ from those estimates.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Risks, Uncertainties and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certain regulatory standards, approvals, guidelines and inspections which could impact the Company’s ability to make, dispense, and sell certain products. If the Company was required to cease compounding and selling certain products because of regulatory guidelines or inspections, this may have a material impact on the Company’s financial condition, liquidity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Losses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and records a provision for its expected credit losses related to its financial instruments, including its trade receivables. Management considers historical collection rates, the current financial status of the Company’s customers, macroeconomic factors, and other industry-specific factors when evaluating for current expected credit losses. Forward-looking information is also considered in the evaluation of current expected credit losses. However, because of the short time to the expected receipt of accounts receivable, management believes that the carrying value, net of expected losses, approximates fair value and therefore, relies more on historical and current analysis of such financial instruments, including its trade receivables.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determine the provision for credit losses for accounts receivable, the Company has disaggregated its accounts receivable by class of customer at the business component level, as management determined that the risk profile of the Company’s customers is consistent based on the type and industry in which they operate, mainly in the pharmaceuticals industry. Each business component is analyzed for estimated credit losses individually. In doing so, the Company establishes a historical loss matrix, based on the previous collections of accounts receivable by the age of such receivables, and evaluates the current and forecasted financial position of its customers, as available. Further, the Company considers macroeconomic factors and the status of the pharmaceuticals industry to estimate if there are current expected credit losses within its trade receivables based on the trends of the Company’s expectation of the future status of such economic and industry-specific factors. Also, specific allowance amounts are established based on review of outstanding invoices to record the appropriate provision for customers that have a higher probability of default.</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that is deducted from accounts receivable to present the net amount expected to be collected at March 31, 2026:</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2026</w:t>
            </w: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884,000</w:t>
            </w:r>
          </w:p>
        </w:tc>
        <w:tc>
          <w:tcPr>
            <w:tcW w:w="80" w:type="dxa"/>
            <w:vAlign w:val="bottom"/>
            <w:shd w:val="clear" w:color="auto" w:fill="CCEEFF"/>
          </w:tcPr>
          <w:p>
            <w:pPr>
              <w:spacing w:after="0"/>
              <w:rPr>
                <w:sz w:val="18"/>
                <w:szCs w:val="18"/>
                <w:color w:val="auto"/>
              </w:rPr>
            </w:pPr>
          </w:p>
        </w:tc>
      </w:tr>
      <w:tr>
        <w:trPr>
          <w:trHeight w:val="216"/>
        </w:trPr>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expected credit losses</w:t>
            </w:r>
          </w:p>
        </w:tc>
        <w:tc>
          <w:tcPr>
            <w:tcW w:w="56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(195,000)</w:t>
            </w:r>
          </w:p>
        </w:tc>
      </w:tr>
      <w:tr>
        <w:trPr>
          <w:trHeight w:val="230"/>
        </w:trPr>
        <w:tc>
          <w:tcPr>
            <w:tcW w:w="9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5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(38,000)</w:t>
            </w:r>
          </w:p>
        </w:tc>
      </w:tr>
      <w:tr>
        <w:trPr>
          <w:trHeight w:val="223"/>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5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0" w:lineRule="exact"/>
        <w:rPr>
          <w:sz w:val="20"/>
          <w:szCs w:val="20"/>
          <w:color w:val="auto"/>
        </w:rPr>
      </w:pPr>
    </w:p>
    <w:p>
      <w:pPr>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jc w:val="both"/>
        <w:ind w:left="3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2030 Notes (as defined in Note 8) are carried at face value, including the unamortized premium, less unamortized debt issuance costs on the condensed consolidated balance sheets and the Company presents fair value for disclosure purposes only. The 2030 Notes are classified as Level 1 instruments as the fair value is determined using quoted market prices in active markets for the same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fair values and the carrying values: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5"/>
          </w:tcPr>
          <w:p>
            <w:pPr>
              <w:ind w:left="9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3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4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Notes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292,087,000</w:t>
            </w: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303,750,000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243,184,000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other financial instruments include cash and cash equivalents, accounts receivable, accounts payable and accrued expenses, accrued payroll and related liabilities, deferred revenue and customer deposits and operating lease liabilities. The carrying amount of these financial instruments, except for operating lease liabilities, approximates fair value due to the short-term maturity of these instruments. Based on borrowing rates currently available to the Company, the carrying value of the operating lease liabilities approximate their respective fair values.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restricted stock units (“RSUs”), performance stock units (“PSUs”), and warrants, outstanding during the period. Common equivalent shares (using the treasury stock or “if converted” method) from stock options, unvested RSUs, unvested PSUs were 1,556,232 and 4,367,766 at March 31, 2026 and 2025, respectively, and are excluded in the calculation of diluted net loss per common share for the periods presented, because the effect is anti-dilutive. Included in the basic and diluted net loss per share calculation were RSUs awarded to directors that had vested, but the issuance and delivery of the shares are deferred until the director ceases providing services to the Company. The number of shares underlying vested RSUs at March 31, 2026 and 2025 was 195,785 and 199,216,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Guidance Issued but Not Adopted at March 31, 2026</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Accounting Standards Update (“ASU”) 2023-06</w:t>
      </w:r>
      <w:r>
        <w:rPr>
          <w:rFonts w:ascii="Times New Roman" w:cs="Times New Roman" w:eastAsia="Times New Roman" w:hAnsi="Times New Roman"/>
          <w:sz w:val="18"/>
          <w:szCs w:val="18"/>
          <w:i w:val="1"/>
          <w:iCs w:val="1"/>
          <w:color w:val="auto"/>
        </w:rPr>
        <w:t>, Disclosure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Codification Amendments in Response to the SEC’s Disclosure Update and Simplification Initiative</w:t>
      </w:r>
      <w:r>
        <w:rPr>
          <w:rFonts w:ascii="Times New Roman" w:cs="Times New Roman" w:eastAsia="Times New Roman" w:hAnsi="Times New Roman"/>
          <w:sz w:val="18"/>
          <w:szCs w:val="18"/>
          <w:color w:val="auto"/>
        </w:rPr>
        <w:t>. This ASU modifies the disclosure or presentation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a variety of topics in the codification by aligning them with the SEC’s regulations. The amendments to the various topics should be applied prospectively, and the effective date for the Company for each amendment will be determined based on the effective date of the SEC’s removal of the related disclosure from Regulation S-X or Regulation S-K. If the SEC has not removed the applicable requirement by June 30, 2027, then the related amendment in ASU 2023-06 will be removed from the codification and will not become effective. Early adoption of this ASU is prohibited. The Company does not expect the amendments in this ASU to have a material impact on the disclosures or presentation in its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i w:val="1"/>
          <w:iCs w:val="1"/>
          <w:color w:val="auto"/>
        </w:rPr>
        <w:t>, Income Statement – Reporting Comprehensive Income – Expense Disaggregation Disclosures</w:t>
      </w:r>
      <w:r>
        <w:rPr>
          <w:rFonts w:ascii="Times New Roman" w:cs="Times New Roman" w:eastAsia="Times New Roman" w:hAnsi="Times New Roman"/>
          <w:sz w:val="18"/>
          <w:szCs w:val="18"/>
          <w:color w:val="auto"/>
        </w:rPr>
        <w:t>, to improve the disclosures by a public business entity about the types of expenses in commonly presented expense captions. This ASU is effective for annual reporting periods beginning after December 15, 2026, and interim reporting periods beginning after December 15, 2027, with early adoption permitted. Except for expanded footnote disclosure, the Company does not expect the adoption of ASU 2024-03 will have a material effect on its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contracts with customers in accordance with ASC 606, </w:t>
      </w:r>
      <w:r>
        <w:rPr>
          <w:rFonts w:ascii="Times New Roman" w:cs="Times New Roman" w:eastAsia="Times New Roman" w:hAnsi="Times New Roman"/>
          <w:sz w:val="18"/>
          <w:szCs w:val="18"/>
          <w:i w:val="1"/>
          <w:iCs w:val="1"/>
          <w:color w:val="auto"/>
        </w:rPr>
        <w:t>Revenues from Contracts with Customers</w:t>
      </w:r>
      <w:r>
        <w:rPr>
          <w:rFonts w:ascii="Times New Roman" w:cs="Times New Roman" w:eastAsia="Times New Roman" w:hAnsi="Times New Roman"/>
          <w:sz w:val="18"/>
          <w:szCs w:val="18"/>
          <w:color w:val="auto"/>
        </w:rPr>
        <w:t xml:space="preserve"> (“ASC 606”). The Company has two primary streams of revenue: (1) product revenues, including revenue recognized from sales of products through its pharmacy and outsourcing facility and sales of branded products to wholesalers through a third-party logistics (“3PL”) partner, and (2) revenue recognized from intellectual property licenses and related arrangements.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sells prescription medications directly through its pharmacy, outsourcing facility and 3PL partner. Revenue from the Company’s pharmacy services includes: (i) the portion of the price the client pays directly to the Company, net of any volume-related or other discounts paid back to the client,</w:t>
      </w:r>
    </w:p>
    <w:p>
      <w:pPr>
        <w:ind w:right="20" w:firstLine="8"/>
        <w:spacing w:after="0" w:line="260" w:lineRule="auto"/>
        <w:tabs>
          <w:tab w:leader="none" w:pos="27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to the Company by individuals, and (iii) customer copayments made directly to the pharmacy network. Sales taxes are not included in revenue. Following the core principles of ASC 606, the Company has identified the following:</w:t>
      </w:r>
    </w:p>
    <w:p>
      <w:pPr>
        <w:spacing w:after="0" w:line="179" w:lineRule="exact"/>
        <w:rPr>
          <w:sz w:val="20"/>
          <w:szCs w:val="20"/>
          <w:color w:val="auto"/>
        </w:rPr>
      </w:pPr>
    </w:p>
    <w:p>
      <w:pPr>
        <w:jc w:val="both"/>
        <w:ind w:left="340" w:hanging="332"/>
        <w:spacing w:after="0" w:line="267"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contract(s) with a customer: </w:t>
      </w:r>
      <w:r>
        <w:rPr>
          <w:rFonts w:ascii="Times New Roman" w:cs="Times New Roman" w:eastAsia="Times New Roman" w:hAnsi="Times New Roman"/>
          <w:sz w:val="18"/>
          <w:szCs w:val="18"/>
          <w:color w:val="auto"/>
        </w:rPr>
        <w:t>A contract is deemed to exist when the customer places an order through receipt of a prescription, via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order or via receipt of a purchase order from a customer. For branded products, orders are received through the Company’s 3PL partner, and the customer takes title of the products via formal purchase orders placed and fulfilled.</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Obligations for fulfillment of the Company’s contracts consist of delivering the product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at their specified destination. For shipping and handling activities under ASC 606, if the customer takes control of the goods after shipment, shipping and handling activities would always be considered a fulfillment activity and not treated as a separate performance obligation. If the customer takes control of the goods before shipment, entities must make an accounting policy election to treat shipping and handling activities as either a fulfillment cost or as a separate performance obligation. The Company has elected to treat its shipping and handling activities as a fulfillment cost.</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based on an amount that reflects the consideration to which the Company expects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net of accruals for estimated rebates, wholesaler chargebacks, discounts, copay assistance and other deductions (collectively, sales deductions) and an estimate for returns and replacements established at the time of sale. The Company utilizes the services of a third-party professional services firm to estimate rebates and chargebacks associated with sales of its branded products. The transfer of promised goods is satisfied within a year, and therefore there are no significant financing components. There is no non-cash consideration related to product sales.</w:t>
      </w:r>
    </w:p>
    <w:p>
      <w:pPr>
        <w:spacing w:after="0" w:line="183"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Allocate the transaction price to the performance obligations in the contract: </w:t>
      </w:r>
      <w:r>
        <w:rPr>
          <w:rFonts w:ascii="Times New Roman" w:cs="Times New Roman" w:eastAsia="Times New Roman" w:hAnsi="Times New Roman"/>
          <w:sz w:val="18"/>
          <w:szCs w:val="18"/>
          <w:color w:val="auto"/>
        </w:rPr>
        <w:t>Because there is only one performance obligation for product sales,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allocation is necessary.</w:t>
      </w:r>
    </w:p>
    <w:p>
      <w:pPr>
        <w:spacing w:after="0" w:line="158"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Recognize revenue when (or as) the entity satisfies a performance obligation: </w:t>
      </w:r>
      <w:r>
        <w:rPr>
          <w:rFonts w:ascii="Times New Roman" w:cs="Times New Roman" w:eastAsia="Times New Roman" w:hAnsi="Times New Roman"/>
          <w:sz w:val="18"/>
          <w:szCs w:val="18"/>
          <w:color w:val="auto"/>
        </w:rPr>
        <w:t>Revenue from products is recognized upon transfer of control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to a customer. This generally occurs upon shipment unless contractual terms with a customer state that transfer of control occurs at delivery.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Sales of branded pharmaceutical products are subject to variable consideration due to chargebacks, government rebates, returns, administrative fees, co-pay assistance and other rebates, and prompt pay discounts. Estimates for these elements of variable consideration require significant judgment.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Chargebacks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Chargebacks, primarily from distributors and wholesalers, result from arrangements with indirect customers establishing prices for products which the indirect customer purchases through a wholesaler. Alternatively, the Company may pre-authorize wholesalers to offer specified contract pricing to other indirect customers. Under either arrangement, the Company provides a chargeback credit to the wholesaler for any difference between the contracted price with the indirect customer and the wholesaler’s invoice price, typically Wholesale Acquisition Cost (“WAC”).</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period chargebacks claimed by wholesalers are analyzed to determine the actual net price per package (“NPP”) for each product. This calculation is performed by product, by wholesaler. NPPs can be affected by several factors such as:</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mix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negotiated terms with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of off-contract purchases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 NPPs are adjusted based on anticipated changes in the factors above.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difference between NPP and WAC is recorded as a reduction in both gross revenues in the consolidated statements of operations and accounts receivable in the consolidated balance sheets, at the time revenue is recognized from the product sale. The Company continually monitors chargeback activity and adjusts NPPs when the Company believes that actual selling prices will differ from current NPPs.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Estimates for chargebacks, distribution service fees, wholesaler fees, and other commercial deductions may also be affected by timing differences, duplicate deductions, incorrect unit data, misapplied contractual rates, and other reconciliation matters, and the Company adjusts such estimates as claims are reconciled, disputed, settled, credited, refunded, offset, recouped, recovered, or otherwise resolved.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Rebates include estimated amounts payable to certain group purchasing organizations (“GPOs”) and under government rebate programs. GPO rebates are generally based on contractual rebate arrangements and are estimated using eligible sales volume, customer and channel mix, and available purchasing or utilization information. Rebates reserve consists of estimated payments due to governmental agencies or their administrators for utilization of the Company’s products by beneficiaries under such governmental programs. The two largest government programs are Medicaid and Medicare.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participates in the Medicaid Drug Rebate Program and pays rebates to the states related to Medicaid beneficiary utilization of the Company’s products. Medicaid rebates are billed within 60-90 days of the end of the quarter in which the product was dispensed to a Medicaid beneficiary. Medicaid rebate amounts per product unit are established by law, based on the Average Manufacturer Price (“AMP”), which is reported on a monthly and quarterly basis, and, in the case of branded products, best price, which is reported on a quarterly basis. Medicaid reserves are based on expected claims from state Medicaid programs. Estimates for expected claims are driven by patient usage, sales mix, calculated AMP or best price, as well as inventory in the distribution channel that will be subject to a Medicaid rebate. As a result of the delay between selling the products, dispensing the products and rebate billing, the Medicaid rebate reserve includes both an estimate of outstanding claims for end-customer sales that have occurred but for which the related claim has not been billed, as well as an estimate for future claims that will be made when inventory in the distribution channel is sold through to plan participants.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the Company’s branded products are also covered under Medicare. Beginning in 2025, the Medicare Part D benefit was redesigned under the Inflation Reduction Act, and the Coverage Gap Discount Program was replaced by the Medicare Part D Manufacturer Discount Program. To the extent the Company’s applicable branded products are covered under Medicare Part D, the Company is required to provide manufacturer discounts under that program during the applicable phases of the redesigned Part D benefit. The Company may also be subject to Medicare Part B and Medicare Part D inflation rebates and other statutory government pricing obligations, including under the Inflation Reduction Act, as applicable. Estimates for these rebates and discounts are based on historical experience with Medicare rebates for products available utilization data, applicable statutory formulas and program guidance, and other information available at the time the reserve is estimated. Medicare rebates and discounts are billed quarterly for drugs dispensed to Medicare beneficiaries in the prior quarter, which is typically 120 days after the product is shipped. As a result of the delay between selling the products, dispensing the products and rebate billing, Medicare rebate reserve includes both an estimate of outstanding claims for end-customer sales that have occurred but for which the related claim has not been billed, as well as an estimate for future claims that will be made when inventory in the distribution channel is sold through to Medicare beneficiaries.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Government rebate reserves require significant judgment and may be affected by incomplete or delayed claims data, changes in utilization or payor mix, channel inventory levels, labeler-code or product attribution, statutory or regulatory interpretations, and claims submitted by governmental agencies, customers, former product owners, or other third parties. From time to time, the Company may receive claims, invoices, or rebate demands that it believes are unsupported, duplicative, overstated, not attributable to the Company or its products, or otherwise inconsistent with applicable program requirements. The Company evaluates such matters as part of its estimate of variable consideration under ASC 606 and adjusts reserves when additional information becomes available or when claims are validated, settled, credited, refunded, offset, recouped, or otherwise resolved.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evaluate the adequacy of the government rebate reserves, reserves are reviewed on a quarterly basis against actual claims data and other available information to assess whether the liability is appropriately stated. The Company continually monitors the government rebate reserve and adjusts estimates if it is expected that actual government rebates may differ from established accruals. Accruals for government rebates are recorded as a reduction to gross revenues in the consolidated statements of operations and as an increase to accrued rebates in the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returns policy is in place that allows customers to return product within a specified period prior to and subsequent to the expiration date. Generally, product may be returned for a period beginning six months prior to its expiration date to up to one year after its expiration date. Product returns are settled through the issuance of a credit to the customer. The estimate for returns is based upon historical experience with actual returns. While such experience has allowed for reasonable estimation in the past, history may not always be an accurate indicator of future returns. The Company continually monitors estimates for returns and adjusts when it is expected that actual product returns may differ from the established accruals. Accruals for returns are recorded as a reduction to gross revenues in the consolidated statements of operations and as a decrease to accounts receivable in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Fees and Other Rebates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Administrative fees and/or rebates are offered to wholesalers and indirect customers. Fees and rebates are accrued, by product by wholesaler, at the time of sale based on contracted rates and NPP. To evaluate the adequacy of the administrative fee accruals, on-hand inventory counts are obtained from the wholesalers. The Company continually monitors administrative fee activity and adjusts accruals when it is expected that actual administrative fees may differ from the accruals. Accruals for administrative fees and other rebates are recorded as a reduction in both gross revenues in the consolidated statements of operations and accounts receivable or accrued expenses in the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Co-payment Assistance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Patients who meet certain eligibility requirements may receive co-payment assistance funded by the Company.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Prompt Payment Discounts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discounts may be granted to customers for prompt payment. The reserve for prompt payment discounts is based on invoices outstanding. Based on past experience, it is assumed that all available discounts will be taken. Accruals for prompt payment discounts are recorded as a reduction in both gross revenues in the consolidated statements of operations and accounts receivable in the condensed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and ending balances of the Company’s variable consideration provisions in the consolidated financial statements for the three months ended March 31, 2026 and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gridSpan w:val="1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Accruals for Chargebacks, Returns, and Other Allowances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Administrative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Prompt</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Fees and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Co-Pay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96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8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Returns</w:t>
            </w:r>
          </w:p>
        </w:tc>
        <w:tc>
          <w:tcPr>
            <w:tcW w:w="80" w:type="dxa"/>
            <w:vAlign w:val="bottom"/>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Rebates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Assistance</w:t>
            </w:r>
          </w:p>
        </w:tc>
        <w:tc>
          <w:tcPr>
            <w:tcW w:w="8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Discounts</w:t>
            </w: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
        </w:trPr>
        <w:tc>
          <w:tcPr>
            <w:tcW w:w="2960" w:type="dxa"/>
            <w:vAlign w:val="bottom"/>
            <w:vMerge w:val="restart"/>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Balance at December 31, 2024</w:t>
            </w:r>
            <w:r>
              <w:rPr>
                <w:rFonts w:ascii="Times New Roman" w:cs="Times New Roman" w:eastAsia="Times New Roman" w:hAnsi="Times New Roman"/>
                <w:sz w:val="29"/>
                <w:szCs w:val="29"/>
                <w:color w:val="auto"/>
                <w:vertAlign w:val="superscript"/>
              </w:rPr>
              <w:t>(1)</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960,000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$12,360,000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$ 1,449,000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32,873,000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9,612,000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2,377,000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59,631,000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Accruals/Adjustments</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5,325,000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5,857,000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14,907,000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20,824,000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50,641,000</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Credits Taken Against Reserve</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(3,687,000)</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(3,136,000)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(2,590,000)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(28,698,000)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(27,109,000)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(1,943,000)</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(67,163,000)</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line="256" w:lineRule="exact"/>
              <w:rPr>
                <w:sz w:val="20"/>
                <w:szCs w:val="20"/>
                <w:color w:val="auto"/>
              </w:rPr>
            </w:pPr>
            <w:r>
              <w:rPr>
                <w:rFonts w:ascii="Times New Roman" w:cs="Times New Roman" w:eastAsia="Times New Roman" w:hAnsi="Times New Roman"/>
                <w:sz w:val="18"/>
                <w:szCs w:val="18"/>
                <w:color w:val="auto"/>
              </w:rPr>
              <w:t>Balance at March 31, 2025</w:t>
            </w:r>
            <w:r>
              <w:rPr>
                <w:rFonts w:ascii="Times New Roman" w:cs="Times New Roman" w:eastAsia="Times New Roman" w:hAnsi="Times New Roman"/>
                <w:sz w:val="29"/>
                <w:szCs w:val="29"/>
                <w:color w:val="auto"/>
                <w:vertAlign w:val="superscript"/>
              </w:rPr>
              <w:t>(1)</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2,598,000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$15,081,000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$ 1,529,000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19,082,000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3,327,000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1,492,000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43,109,000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Balance at December 31, 2025</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11,027,000</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$28,217,000</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$ 8,018,000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16,540,000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2,085,000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2,494,000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68,381,000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Accruals/Adjustments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505,000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8,388,000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35,731,000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6,496,000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363,000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51,146,000</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Credits Taken Against Reserve</w:t>
            </w: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(5,272,000)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(9,514,000)</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(2,076,000)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(26,376,000)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(7,058,000)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(1,584,000)</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(51,880,000)</w:t>
            </w:r>
          </w:p>
        </w:tc>
        <w:tc>
          <w:tcPr>
            <w:tcW w:w="0" w:type="dxa"/>
            <w:vAlign w:val="bottom"/>
          </w:tcPr>
          <w:p>
            <w:pPr>
              <w:spacing w:after="0"/>
              <w:rPr>
                <w:sz w:val="1"/>
                <w:szCs w:val="1"/>
                <w:color w:val="auto"/>
              </w:rPr>
            </w:pPr>
          </w:p>
        </w:tc>
      </w:tr>
      <w:tr>
        <w:trPr>
          <w:trHeight w:val="20"/>
        </w:trPr>
        <w:tc>
          <w:tcPr>
            <w:tcW w:w="2960" w:type="dxa"/>
            <w:vAlign w:val="bottom"/>
            <w:vMerge w:val="restart"/>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Balance at March 31, 2026</w:t>
            </w:r>
            <w:r>
              <w:rPr>
                <w:rFonts w:ascii="Times New Roman" w:cs="Times New Roman" w:eastAsia="Times New Roman" w:hAnsi="Times New Roman"/>
                <w:sz w:val="29"/>
                <w:szCs w:val="29"/>
                <w:color w:val="auto"/>
                <w:vertAlign w:val="superscript"/>
              </w:rPr>
              <w:t>(1)</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96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6,260,000</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27,091,000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$ 5,605,000</w:t>
            </w: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25,895,000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1,523,000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1,273,000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67,647,000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Chargebacks and other allowances are included as an offset to accounts receivable in the condensed consolidated balance sheets. Administrative Fees and Other Rebates, Prompt Payment Discounts and Returns are included as a reduction to accounts receivable, net of chargebacks and other allowances or accrued expenses and other in the condensed consolidated balance sheets. Government rebates are included in accrued government rebates and copay assistance in the condensed consolidated balance sheets.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revenue and customer deposits at March 31, 2026 and December 31, 2025 were $149,000 and $788,000, respectively. All deferred revenue and customer deposit amounts at December 31, 2025 were recognized as revenue during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comprised of finished compounded formulations, over-the-counter and prescription retail pharmacy products, branded pharmaceutical products, including those held at the Company’s 3PL partner, related laboratory supplies and active pharmaceutical ingredients. The composition of inventories as of March 31, 2026 and December 31, 2025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7,481,000</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589,000</w:t>
            </w: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1,036,000</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8,426,000</w:t>
            </w: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5,529,000</w:t>
            </w:r>
          </w:p>
        </w:tc>
        <w:tc>
          <w:tcPr>
            <w:tcW w:w="0" w:type="dxa"/>
            <w:vAlign w:val="bottom"/>
          </w:tcPr>
          <w:p>
            <w:pPr>
              <w:spacing w:after="0"/>
              <w:rPr>
                <w:sz w:val="1"/>
                <w:szCs w:val="1"/>
                <w:color w:val="auto"/>
              </w:rPr>
            </w:pPr>
          </w:p>
        </w:tc>
      </w:tr>
      <w:tr>
        <w:trPr>
          <w:trHeight w:val="22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35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16,496,000</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352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4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at March 31, 2026 and December 31, 2025 consisted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4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Pr>
          <w:p>
            <w:pPr>
              <w:spacing w:after="0"/>
              <w:rPr>
                <w:sz w:val="20"/>
                <w:szCs w:val="20"/>
                <w:color w:val="auto"/>
              </w:rPr>
            </w:pPr>
          </w:p>
        </w:tc>
        <w:tc>
          <w:tcPr>
            <w:tcW w:w="202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929,000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Prepaid computer software licenses and related expenses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1,224,000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co-pay assistance</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3,377,000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4,241,000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Prepaid Prescription Drug User (“PDUFA”) fees</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2,885,000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4,327,000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1,329,000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2,128,000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14,405,000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INTANGIBLE ASSETS AND GOODWILL</w:t>
            </w: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intangible assets at March 31, 2026 consisted of the following:</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30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 useful</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life</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 w:type="dxa"/>
            <w:vAlign w:val="bottom"/>
          </w:tcPr>
          <w:p>
            <w:pPr>
              <w:spacing w:after="0"/>
              <w:rPr>
                <w:sz w:val="20"/>
                <w:szCs w:val="20"/>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0" w:type="dxa"/>
            <w:vAlign w:val="bottom"/>
          </w:tcPr>
          <w:p>
            <w:pPr>
              <w:spacing w:after="0"/>
              <w:rPr>
                <w:sz w:val="1"/>
                <w:szCs w:val="1"/>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Definite-lived Intangibles</w:t>
            </w: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Patents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239,000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Licenses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product rights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225,480,000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5"/>
          </w:tcPr>
          <w:p>
            <w:pPr>
              <w:jc w:val="right"/>
              <w:ind w:right="181"/>
              <w:spacing w:after="0"/>
              <w:rPr>
                <w:sz w:val="20"/>
                <w:szCs w:val="20"/>
                <w:color w:val="auto"/>
              </w:rPr>
            </w:pPr>
            <w:r>
              <w:rPr>
                <w:rFonts w:ascii="Times New Roman" w:cs="Times New Roman" w:eastAsia="Times New Roman" w:hAnsi="Times New Roman"/>
                <w:sz w:val="18"/>
                <w:szCs w:val="18"/>
                <w:color w:val="auto"/>
              </w:rPr>
              <w:t>(45,042,000)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180,438,000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9"/>
              </w:rPr>
              <w:t>(152,000)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38,000</w:t>
            </w:r>
          </w:p>
        </w:tc>
        <w:tc>
          <w:tcPr>
            <w:tcW w:w="0" w:type="dxa"/>
            <w:vAlign w:val="bottom"/>
          </w:tcPr>
          <w:p>
            <w:pPr>
              <w:spacing w:after="0"/>
              <w:rPr>
                <w:sz w:val="1"/>
                <w:szCs w:val="1"/>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70,000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66,000</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pharmacy licenses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Indefinite-lived Intangibles</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14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328,000</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226,365,000</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(45,311,000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181,054,000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for the three months ended March 31, 2026 and 2025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23"/>
        </w:trPr>
        <w:tc>
          <w:tcPr>
            <w:tcW w:w="74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Acquired NDAs</w:t>
            </w: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5,121,000</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4,220,000</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9"/>
                <w:szCs w:val="19"/>
                <w:color w:val="auto"/>
              </w:rPr>
            </w:pPr>
          </w:p>
        </w:tc>
      </w:tr>
      <w:tr>
        <w:trPr>
          <w:trHeight w:val="223"/>
        </w:trPr>
        <w:tc>
          <w:tcPr>
            <w:tcW w:w="74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5,129,000</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the Company’s intangible assets at March 31, 2026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22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16,334,000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19,369,000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16,414,000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16,244,000</w:t>
            </w: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15,739,000</w:t>
            </w: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96,626,000</w:t>
            </w:r>
          </w:p>
        </w:tc>
      </w:tr>
      <w:tr>
        <w:trPr>
          <w:trHeight w:val="223"/>
        </w:trPr>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180,726,000</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2026, the Company amended the Asset Purchase Agreement with Eyevance Pharmaceuticals, LLC and License Agreement with Santen S.A.S. (collectively, the “Santen Agreements”), each a subsidiary of Santen Pharmaceuticals Co., Ltd. (collectively, “Santen”). Pursuant to the amendment, the parties agreed to a full and final settlement of all contingent milestone obligations related to specified manufacturing-related events for the Santen products in exchange for a one-time lump sum payment by the Company of $7,000,000. Following this payment, no further milestone payments will be due under the Santen Agreements. The Company capitalized this payment as an intangible asset within acquired product rights.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2026, the Company made a one-time upfront payment of $4,000,000 to Samsung Bioepis Co., Ltd. (“Samsung”) upon the license effective date related to the development and commercialization agreement with Samsung entered into in July 2025. The milestone was capitalized as an intangible asset within acquired product rights.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March 2026, the Company paid a commercial milestone payment of $7,000,000 related to the sales of VEVYE during 2025. The milestone payment was included in accounts payable and accrued expenses on the December 31, 2025 condensed consolidated balance sheet and was capitalized in acquired product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to the carrying value of the Company’s goodwill during the three months ended March 31,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at March 31, 2026 and December 31, 2025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26,125,000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35,355,000</w:t>
            </w: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2,564,000</w:t>
            </w: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1,222,000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6,498,000</w:t>
            </w:r>
          </w:p>
        </w:tc>
      </w:tr>
      <w:tr>
        <w:trPr>
          <w:trHeight w:val="23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106,000</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106,000</w:t>
            </w:r>
          </w:p>
        </w:tc>
      </w:tr>
      <w:tr>
        <w:trPr>
          <w:trHeight w:val="223"/>
        </w:trPr>
        <w:tc>
          <w:tcPr>
            <w:tcW w:w="7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30,017,000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8.625% Senior Notes Due 2030</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2026, the Company entered into the First Supplemental Indenture to the Indenture dated September 12, 2025 pursuant to which the Company issued $50,000,000 aggregate principal amount of additional 8.625% Senior Notes due 2030 (the “New Notes”). The New Notes were issued at 100.25% of par value and resulted in net proceeds to the Company of $48,526,000 after deducting underwriting discounts, commissions and other unpaid offering expenses of $1,474,000. The New Notes, together with the 8.625% Senior Notes due 2030 issued in September 2025 (the “Existing Notes”) (together, the “2030 Notes”) are treated as a single series and have the same terms as the Existing Notes. The issuance costs and premium relating to the 2030 Notes were deferred and will be recognized to interest expense using the effective-interest method (9.35%) over the remaining term of the debt.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totaled $5,992,000 for the three months ended March 31, 2026, and included the amortization of debt issuance costs and premium of $451,000.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debt at March 31, 2026 and December 31,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300" w:type="dxa"/>
            <w:vAlign w:val="bottom"/>
            <w:tcBorders>
              <w:bottom w:val="single" w:sz="8" w:color="CCEEFF"/>
            </w:tcBorders>
          </w:tcPr>
          <w:p>
            <w:pPr>
              <w:spacing w:after="0"/>
              <w:rPr>
                <w:sz w:val="20"/>
                <w:szCs w:val="20"/>
                <w:color w:val="auto"/>
              </w:rPr>
            </w:pPr>
          </w:p>
        </w:tc>
        <w:tc>
          <w:tcPr>
            <w:tcW w:w="35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8.625% Senior Notes due September 2030</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300,000,000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(7,913,000)</w:t>
            </w: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(6,816,000)</w:t>
            </w: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292,087,000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243,184,000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580" w:type="dxa"/>
            <w:vAlign w:val="bottom"/>
            <w:vMerge w:val="restart"/>
          </w:tcPr>
          <w:p>
            <w:pPr>
              <w:jc w:val="right"/>
              <w:ind w:right="207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At March 31, 2026, future minimum principal payments under the Company’s debt were as follows:</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300,000,000</w:t>
            </w:r>
          </w:p>
        </w:tc>
        <w:tc>
          <w:tcPr>
            <w:tcW w:w="0" w:type="dxa"/>
            <w:vAlign w:val="bottom"/>
          </w:tcPr>
          <w:p>
            <w:pPr>
              <w:spacing w:after="0"/>
              <w:rPr>
                <w:sz w:val="1"/>
                <w:szCs w:val="1"/>
                <w:color w:val="auto"/>
              </w:rPr>
            </w:pPr>
          </w:p>
        </w:tc>
      </w:tr>
      <w:tr>
        <w:trPr>
          <w:trHeight w:val="209"/>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principal payments</w:t>
            </w:r>
          </w:p>
        </w:tc>
        <w:tc>
          <w:tcPr>
            <w:tcW w:w="4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issue costs and premium</w:t>
            </w:r>
          </w:p>
        </w:tc>
        <w:tc>
          <w:tcPr>
            <w:tcW w:w="4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(7,913,000)</w:t>
            </w:r>
          </w:p>
        </w:tc>
        <w:tc>
          <w:tcPr>
            <w:tcW w:w="0" w:type="dxa"/>
            <w:vAlign w:val="bottom"/>
          </w:tcPr>
          <w:p>
            <w:pPr>
              <w:spacing w:after="0"/>
              <w:rPr>
                <w:sz w:val="1"/>
                <w:szCs w:val="1"/>
                <w:color w:val="auto"/>
              </w:rPr>
            </w:pPr>
          </w:p>
        </w:tc>
      </w:tr>
      <w:tr>
        <w:trPr>
          <w:trHeight w:val="223"/>
        </w:trPr>
        <w:tc>
          <w:tcPr>
            <w:tcW w:w="9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net</w:t>
            </w: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292,087,000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Other</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involved in various legal proceedings, government investigations and other matters that are complex in nature and have outcomes that are difficult to predict. See also Part II, Item 1A. Risk Factors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describes legal proceedings and other matters that are/were significant or that it believes could become significant in this footnote.</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to the extent that it concludes it is probable that a liability has been incurred and the amount of the related loss can be reasonably estimated. The Company evaluates, on a quarterly basis, developments in legal proceedings and other matters that could cause an increase or decrease in the amount of a liability that has been accrued previously.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legal proceedings involve various aspects of its business and a variety of claims, some of which present novel factual allegations and/or unique legal theories. Typically, a number of matters pending against the Company are at early stages of the legal process, which in complex proceedings of the sort the Company face often extend for several years. While it is not possible to accurately predict or determine the eventual outcomes of matters that have not concluded, an adverse determination in one or more of these matters (whether discussed in this footnote or not) currently pending may have a material adverse effect on the Company’s consolidated results of operations, financial position or cash flows. Legal costs incurred for loss contingencies are expensed as incurred.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recent developments concerning legal proceedings the Company believes are or were material to its business and other matters are discussed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Ocular Science, Inc. et. al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July 2021, ImprimisRx, LLC, a subsidiary of the Company, filed a lawsuit against Ocular Science, Inc. and OSRX, Inc. (together, “OSRX”) in the U.S. District Court for the Southern District of California, asserting claims for copyright infringement, trademark infringement, unfair competition and false advertising (Lanham Act). Since July 2021, the complaint had been amended and OSRX added counterclaims alleging ImprimisRx, LLC was violating the Lanham Act with false advertising. The Court granted cross motions for summary judgment on each party’s Lanham Act claims, thus leaving only ImprimisRx, LLC’s copyright infringement, trademark infringement, and unfair competition claims for trial. Following a jury trial in November 2024, a jury found OSRX acted with malice, fraud, or oppression, willfully engaging in trademark infringement and unfair competition under California and federal law, and ImprimisRx, LLC received a $34,900,000 jury verdict award, which included $20,400,000 in punitive damages and $14,500,000 in actual damages. An amended final judgment was entered on October 1, 2025, which reduced the OSRX liability to $11,249,000, plus post-judgment interest, and required OSRX to cease use of certain trademarks. In October 2025, OSRX filed an appeal. No collection activity is allowed during the appeal. The Company intends to vigorously pursue enforcement of its judgment during the appeal process. However, due to uncertainty regarding the probability of collection, the Company has not recognized any amounts associated with the judgment during the three months ended March 31, 2026.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Product and Professional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and professional liability litigation represents an inherent risk to all firms in the pharmaceutical and pharmacy industry. The Company utilizes traditional third-party insurance policies with regard to our product and professional liability claims. Such insurance coverage at any given time reflects current market conditions, including cost and availability, when the policy is written.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Several of the Company’s asset purchase and license agreements contain customary representations, warranties, covenants and confidentiality provisions, and also contain mutual indemnification obligations related primarily to performance under the respective agreements.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Purchase, License and Related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Approved Product Acquisitions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the Company has acquired commercial and product rights to various FDA-approved ophthalmic medications and products through asset purchase, licenses, supply and/or other related agreements. In general, in exchange for product and commercial rights these agreements provide the counterparties with certain upfront and contingent milestone payments typically related to certain annual sales amounts and manufacturing events, and in certain cases, per unit transfer prices and royalties on sales of some of the products.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and 2025, $2,377,000 and $2,173,000, respectively, were incurred under these agreements as royalty expenses. During the three months ended March 31, 2026 and 2025, $11,000,000 and $0, respectively, were incurred under these agreements related to upfront and milestone payments under these agreements. As of March 31, 2026, the remaining contingent considerations payable pursuant to these agreements were not considered probable as the contingency is not resolved and therefore, no amount was accrued related to these contingent considerations during the three months ended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manufacturing agreements with respect to third-party contract manufacturers for its FDA-approved pharmaceutical products. Some of these contract manufacturing agreements require minimum annual order amounts. The Company has committed to pay approximately $10,723,000 related to contract manufacturing agreements for the year ending December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SEGMENTS AND CONCENTRATIONS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CODM does not review segment assets when assessing segment performance and deciding how to allocate resources. The Company reports on two reportable segments which are generally determined based on the decision-making structure of the Company and the grouping of similar products and services: Branded and Compounding.</w:t>
      </w:r>
    </w:p>
    <w:p>
      <w:pPr>
        <w:spacing w:after="0" w:line="172" w:lineRule="exact"/>
        <w:rPr>
          <w:sz w:val="20"/>
          <w:szCs w:val="20"/>
          <w:color w:val="auto"/>
        </w:rPr>
      </w:pPr>
    </w:p>
    <w:p>
      <w:pPr>
        <w:ind w:left="66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Branded</w:t>
      </w:r>
      <w:r>
        <w:rPr>
          <w:rFonts w:ascii="Times New Roman" w:cs="Times New Roman" w:eastAsia="Times New Roman" w:hAnsi="Times New Roman"/>
          <w:sz w:val="18"/>
          <w:szCs w:val="18"/>
          <w:color w:val="auto"/>
        </w:rPr>
        <w:t xml:space="preserve"> segment includes activities of the Company’s FDA-approved ophthalmology pharmaceutical products, including the out-licensing of rights to certain of our branded products.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Compounding</w:t>
      </w:r>
      <w:r>
        <w:rPr>
          <w:rFonts w:ascii="Times New Roman" w:cs="Times New Roman" w:eastAsia="Times New Roman" w:hAnsi="Times New Roman"/>
          <w:sz w:val="18"/>
          <w:szCs w:val="18"/>
          <w:color w:val="auto"/>
        </w:rPr>
        <w:t xml:space="preserve"> segment represents activities in the Company’s ophthalmology-focused pharmaceutical compounding business.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The CODM evaluates segment performance and makes resource-allocation decisions primarily on the basis of segment contribution. Segment contribution is the internal measure of profitability that the CODM reviews on a regular basis to assess the operational performance of each segment, determine the appropriate level of sales and marketing investments, evaluate pricing decisions, and prioritize capital deployment among branded product initiatives and the compounding operations.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Segment contribution for the segments represents net revenues less cost of sales, certain general and administrative expenses, selling and marketing expenses, and research and development expenses. The Company does not evaluate the following items at the segment level:</w:t>
      </w:r>
    </w:p>
    <w:p>
      <w:pPr>
        <w:spacing w:after="0" w:line="162"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that result from shared infrastructure, including certain expenses associated with legal matters, public company costs (e.g. investor relations), Board of Directors and principal executive officers and other similar shared expenses.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within selling, general and administrative expenses that result from the impact of corporate initiatives. Corporate initiatives primarily include integration, restructuring, acquisition and other shared costs.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select revenues and operating expenses including research and development expenses, amortization, and asset sales and impairments, net as not all such information has been accounted for at the segment level, or such information has not been used by all segments.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net revenues, segment operating expenses and segment contribution information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Branded</w:t>
            </w:r>
          </w:p>
        </w:tc>
        <w:tc>
          <w:tcPr>
            <w:tcW w:w="18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Compounding</w:t>
            </w:r>
          </w:p>
        </w:tc>
        <w:tc>
          <w:tcPr>
            <w:tcW w:w="280" w:type="dxa"/>
            <w:vAlign w:val="bottom"/>
          </w:tcPr>
          <w:p>
            <w:pPr>
              <w:spacing w:after="0"/>
              <w:rPr>
                <w:sz w:val="19"/>
                <w:szCs w:val="19"/>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30,631,000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13,499,000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tcPr>
          <w:p>
            <w:pPr>
              <w:spacing w:after="0"/>
              <w:rPr>
                <w:sz w:val="19"/>
                <w:szCs w:val="19"/>
                <w:color w:val="auto"/>
              </w:rPr>
            </w:pPr>
          </w:p>
        </w:tc>
        <w:tc>
          <w:tcPr>
            <w:tcW w:w="19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73,000</w:t>
            </w: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73,000</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30,704,000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13,499,000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9"/>
                <w:szCs w:val="19"/>
                <w:color w:val="auto"/>
              </w:rPr>
            </w:pPr>
          </w:p>
        </w:tc>
        <w:tc>
          <w:tcPr>
            <w:tcW w:w="19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10,954,000</w:t>
            </w: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6,204,000</w:t>
            </w:r>
          </w:p>
        </w:tc>
        <w:tc>
          <w:tcPr>
            <w:tcW w:w="280" w:type="dxa"/>
            <w:vAlign w:val="bottom"/>
          </w:tcPr>
          <w:p>
            <w:pPr>
              <w:spacing w:after="0"/>
              <w:rPr>
                <w:sz w:val="19"/>
                <w:szCs w:val="19"/>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17,158,000</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7,295,000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25,759,000</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6,742,000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32,501,000</w:t>
            </w: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9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5,621,000</w:t>
            </w: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210,000</w:t>
            </w:r>
          </w:p>
        </w:tc>
        <w:tc>
          <w:tcPr>
            <w:tcW w:w="280" w:type="dxa"/>
            <w:vAlign w:val="bottom"/>
          </w:tcPr>
          <w:p>
            <w:pPr>
              <w:spacing w:after="0"/>
              <w:rPr>
                <w:sz w:val="19"/>
                <w:szCs w:val="19"/>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5,831,000</w:t>
            </w:r>
          </w:p>
        </w:tc>
        <w:tc>
          <w:tcPr>
            <w:tcW w:w="0" w:type="dxa"/>
            <w:vAlign w:val="bottom"/>
          </w:tcPr>
          <w:p>
            <w:pPr>
              <w:spacing w:after="0"/>
              <w:rPr>
                <w:sz w:val="1"/>
                <w:szCs w:val="1"/>
                <w:color w:val="auto"/>
              </w:rPr>
            </w:pPr>
          </w:p>
        </w:tc>
      </w:tr>
      <w:tr>
        <w:trPr>
          <w:trHeight w:val="237"/>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(11,630,000</w:t>
            </w:r>
          </w:p>
        </w:tc>
        <w:tc>
          <w:tcPr>
            <w:tcW w:w="36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(11,287,000)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10,729,000</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64,000</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(22,080,000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w w:val="99"/>
              </w:rPr>
              <w:t>17</w:t>
            </w: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Branded</w:t>
            </w:r>
          </w:p>
        </w:tc>
        <w:tc>
          <w:tcPr>
            <w:tcW w:w="18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Compounding</w:t>
            </w:r>
          </w:p>
        </w:tc>
        <w:tc>
          <w:tcPr>
            <w:tcW w:w="280" w:type="dxa"/>
            <w:vAlign w:val="bottom"/>
          </w:tcPr>
          <w:p>
            <w:pPr>
              <w:spacing w:after="0"/>
              <w:rPr>
                <w:sz w:val="19"/>
                <w:szCs w:val="19"/>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19"/>
                <w:szCs w:val="19"/>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27,694,000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20,051,000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320" w:type="dxa"/>
            <w:vAlign w:val="bottom"/>
          </w:tcPr>
          <w:p>
            <w:pPr>
              <w:spacing w:after="0"/>
              <w:rPr>
                <w:sz w:val="19"/>
                <w:szCs w:val="19"/>
                <w:color w:val="auto"/>
              </w:rPr>
            </w:pPr>
          </w:p>
        </w:tc>
        <w:tc>
          <w:tcPr>
            <w:tcW w:w="17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86,000</w:t>
            </w: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86,000</w:t>
            </w:r>
          </w:p>
        </w:tc>
      </w:tr>
      <w:tr>
        <w:trPr>
          <w:trHeight w:val="209"/>
        </w:trPr>
        <w:tc>
          <w:tcPr>
            <w:tcW w:w="5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27,780,000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20,051,000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19"/>
                <w:szCs w:val="19"/>
                <w:color w:val="auto"/>
              </w:rPr>
            </w:pPr>
          </w:p>
        </w:tc>
        <w:tc>
          <w:tcPr>
            <w:tcW w:w="17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8,181,000</w:t>
            </w: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7,343,000</w:t>
            </w:r>
          </w:p>
        </w:tc>
        <w:tc>
          <w:tcPr>
            <w:tcW w:w="280" w:type="dxa"/>
            <w:vAlign w:val="bottom"/>
          </w:tcPr>
          <w:p>
            <w:pPr>
              <w:spacing w:after="0"/>
              <w:rPr>
                <w:sz w:val="19"/>
                <w:szCs w:val="19"/>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15,524,000</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19,599,000</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12,708,000</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20,682,000</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7,522,000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28,204,000</w:t>
            </w:r>
          </w:p>
        </w:tc>
      </w:tr>
      <w:tr>
        <w:trPr>
          <w:trHeight w:val="230"/>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7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1,993,000</w:t>
            </w:r>
          </w:p>
        </w:tc>
        <w:tc>
          <w:tcPr>
            <w:tcW w:w="18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224,000</w:t>
            </w:r>
          </w:p>
        </w:tc>
        <w:tc>
          <w:tcPr>
            <w:tcW w:w="280" w:type="dxa"/>
            <w:vAlign w:val="bottom"/>
          </w:tcPr>
          <w:p>
            <w:pPr>
              <w:spacing w:after="0"/>
              <w:rPr>
                <w:sz w:val="19"/>
                <w:szCs w:val="19"/>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2,217,000</w:t>
            </w:r>
          </w:p>
        </w:tc>
      </w:tr>
      <w:tr>
        <w:trPr>
          <w:trHeight w:val="236"/>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contribution</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(3,076,000</w:t>
            </w:r>
          </w:p>
        </w:tc>
        <w:tc>
          <w:tcPr>
            <w:tcW w:w="36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12,309,000</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809,000</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(11,232,000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revenue is attributable to the U.S. All long-lived assets at March 31, 2026 and December 31, 2025 were located in the U.S.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Revenues by segment are further described as follows:</w:t>
            </w: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r>
      <w:tr>
        <w:trPr>
          <w:trHeight w:val="223"/>
        </w:trPr>
        <w:tc>
          <w:tcPr>
            <w:tcW w:w="54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IHEEZO</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5,222,000</w:t>
            </w: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VEVYE</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20,947,000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21,516,000</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branded products</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7,833,000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956,000</w:t>
            </w: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73,000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86,000</w:t>
            </w:r>
          </w:p>
        </w:tc>
      </w:tr>
      <w:tr>
        <w:trPr>
          <w:trHeight w:val="209"/>
        </w:trPr>
        <w:tc>
          <w:tcPr>
            <w:tcW w:w="54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Branded revenue, net</w:t>
            </w:r>
          </w:p>
        </w:tc>
        <w:tc>
          <w:tcPr>
            <w:tcW w:w="1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30,704,000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Compounding revenue, net</w:t>
            </w: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13,499,000</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20,051,000</w:t>
            </w:r>
          </w:p>
        </w:tc>
      </w:tr>
      <w:tr>
        <w:trPr>
          <w:trHeight w:val="223"/>
        </w:trPr>
        <w:tc>
          <w:tcPr>
            <w:tcW w:w="54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 net</w:t>
            </w: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44,203,000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IHEEZO for the three months ended March 31, 2025 and VEVYE, no other products accounted for more than 10% of total revenues for the periods presented.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and Supplier Concentrations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the Company’s Branded sales are made to third-party distributors who sell the products to pharmacies and to the end-users. There were two customers who comprised more than 10% of the Company’s Branded revenues for the three months ended March 31, 2026 and one customer who comprised more than 10% of the Company’s Branded revenues for the three months ended March 31, 2025. There were no customers who comprised more than 10% of Compounding revenues for either the three months ended March 31, 2026 or 2025. As of March 31, 2026, accounts receivable from three customers accounted for 95% of total consolidated accounts receivable. As of December 31, 2025, accounts receivable from two customers accounted for 90% of total consolidated accounts receivable.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received its active pharmaceutical ingredients from three main suppliers during each of the three months ended March 31, 2026 and 2025. These suppliers collectively accounted for 69% and 67% of manufacturing supplies purchases during the three months ended March 31, 2026 and 2025,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GAAP.</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year ended December 31, 2025 and subsequent reports, which discuss our business in greater detail. As used in this discussion and analysis, unless the context indicates otherwise, the terms the “Company,” “Harrow,” “we,” “us” and “our” refer to Harrow, Inc. and its consolidated subsidiaries, including ImprimisRx, LLC, ImprimisRx NJ, LLC dba ImprimisRx, Imprimis NJOF, LLC, Harrow IP, LLC and Harrow Eye, LLC. In this discussion and analysis, we refer to our consolidated subsidiaries ImprimisRx, LLC, ImprimisRx NJ, LLC and Imprimis NJOF, LLC collectively as “ImprimisRx.”</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refinance and otherwise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the ongoing communications with the U.S. Food and Drug Administration relating to compliance and quality plans at our outsourcing facility in New Jersey;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physician interest in and market acceptance of our current and any future formulations and compounding pharmacies generally; and the other risks and uncertainties described under the heading “Risk Factors” in Part II, Item 1A of this Quarterly Report and in our other filings with the SEC.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leading eyecare pharmaceutical company engaged in the discovery, development, and commercialization of innovative ophthalmic pharmaceutical products for the U.S. market. We help U.S. eyecare professionals preserve the gift of sight by making our comprehensive portfolio of prescription and non-prescription pharmaceutical products accessible and affordable to millions of Americans each year. We own commercial rights to one of the largest portfolios of branded ophthalmic pharmaceutical products in North America, all of which are marketed under the Harrow name. We also own and operate ImprimisRx, one of the nation’s leading ophthalmology-focused pharmaceutical-compounding businesses.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primary factors affecting our performance are our ability to increase revenues of our branded pharmaceutical products, proprietary compounded formulations and certain non-proprietary products, grow and gain operating efficiencies in our operations, avoid or mitigate any potential regulatory-related restrictions, optimize pricing and obtain reimbursement options for our drug products, and continue to pursue development and commercialization opportunities for certain of our ophthalmology and other assets that we have not yet made commercially available. We believe we have built a tangible and intangible infrastructure that will allow us to scale revenues efficiently in the near and long-term. All of these activities may require significant costs and other resources, which we may not have or be able to obtain from operations or other sources. See “Liquidity and Capital Resources”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2026 activity is important to understanding our financial condition and results of operations. See the notes to our unaudited condensed consolidated financial statements included in this Quarterly Report for additional information about each of these developments.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8.625% Senior Notes Due 2030</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2026, we entered into the First Supplemental Indenture to the Indenture dated September 12, 2025 pursuant to which we issued $50,000,000 aggregate principal amount of additional 8.625% Senior Notes due 2030 (the “New Notes”). The New Notes were issued at 100.25% of par value and resulted in net proceeds to us of $48,526,000 after deducting underwriting discounts, commissions and other unpaid offering expenses of $1,474,000. The New Notes, together with the 8.625% Senior Notes due 2030 issued in September 2025 (the “Existing Notes”) (together, the “2030 Notes”) are treated as a single series and have the same terms as the Existing Notes. The issuance costs and premium relating to the New Notes were deferred and will be recognized to interest expense using the effective-interest method over the remaining term of the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period-to-period comparisons of our financial results for the three months ended March 31, 2026 and 2025 are not necessarily indicative of results for any future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revenues include amounts recorded from sales of proprietary compounded formulations, sales of branded products to wholesalers through a third-party logistics facility, commissions from third parties and revenues received from royalty payments owed to us pursuant to out-license arrangements. Revenues are recognized net of estimates for variable consideration, including government rebates, commercial rebates, chargebacks, wholesaler and distribution service fees, returns, patient assistance programs and other revenue deductions, and these estimates may be affected by delayed or incomplete claims data, channel inventory, product utilization, payor mix, labeler-code or product attribution, government program requirements, contractual interpretation, and disputed or reconciled deductions. From time to time, we receive claims, invoices or deductions from government agencies, wholesalers, distributors, customers, former product owners or other third parties that we believe are unsupported, overstated, duplicative, attributable to another party or product, or otherwise inconsistent with applicable requirements, and if our estimates differ from actual results or disputed amounts are resolved adversely to us, we may be required to record adjustments to net revenues, gross margin, operating income, cash flows or related balance sheet accounts in future periods.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presents our revenues for the three months ended March 31, 2026 and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8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IHEEZO</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1,851,000</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5,222,000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VEVYE</w:t>
            </w:r>
          </w:p>
        </w:tc>
        <w:tc>
          <w:tcPr>
            <w:tcW w:w="3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20,947,000</w:t>
            </w:r>
          </w:p>
        </w:tc>
        <w:tc>
          <w:tcPr>
            <w:tcW w:w="4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21,516,000</w:t>
            </w:r>
          </w:p>
        </w:tc>
        <w:tc>
          <w:tcPr>
            <w:tcW w:w="3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(569,000)</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branded products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7,833,000</w:t>
            </w: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956,000</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6,877,000</w:t>
            </w: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 net</w:t>
            </w:r>
          </w:p>
        </w:tc>
        <w:tc>
          <w:tcPr>
            <w:tcW w:w="3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73,000</w:t>
            </w:r>
          </w:p>
        </w:tc>
        <w:tc>
          <w:tcPr>
            <w:tcW w:w="4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86,000</w:t>
            </w:r>
          </w:p>
        </w:tc>
        <w:tc>
          <w:tcPr>
            <w:tcW w:w="3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Branded revenue, net</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30,704,000</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27,780,000</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Compounding revenue, net</w:t>
            </w:r>
          </w:p>
        </w:tc>
        <w:tc>
          <w:tcPr>
            <w:tcW w:w="3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13,499,000</w:t>
            </w:r>
          </w:p>
        </w:tc>
        <w:tc>
          <w:tcPr>
            <w:tcW w:w="4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20,051,000</w:t>
            </w:r>
          </w:p>
        </w:tc>
        <w:tc>
          <w:tcPr>
            <w:tcW w:w="30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(6,552,000)</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44,203,000</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47,831,000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Branded revenues from product sales was primarily related to a change in our customer mix, offset by a decrease in IHEEZO volume. The decrease in compounding revenue was primarily due to a decrease in volume and the discontinuation of sales of our Klarity-C compounded formulation which occurred during the second quarter of 2025. Our revenue for VEVYE decreased slightly from the three months ended March 31, 2025 as we recognized an increase in the gross-to-net revenue deductions associated with our recent coverage wins and our cash pay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 Gross Profit and Gross Margin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amortization of acquired product rights, and other related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Branded</w:t>
            </w:r>
          </w:p>
        </w:tc>
        <w:tc>
          <w:tcPr>
            <w:tcW w:w="2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7"/>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10,954,000</w:t>
            </w:r>
          </w:p>
        </w:tc>
        <w:tc>
          <w:tcPr>
            <w:tcW w:w="3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8,181,000</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2,773,000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40" w:type="dxa"/>
            <w:vAlign w:val="bottom"/>
            <w:tcBorders>
              <w:bottom w:val="single" w:sz="8" w:color="CCEEFF"/>
            </w:tcBorders>
            <w:gridSpan w:val="2"/>
            <w:vMerge w:val="continue"/>
          </w:tcPr>
          <w:p>
            <w:pPr>
              <w:spacing w:after="0"/>
              <w:rPr>
                <w:sz w:val="20"/>
                <w:szCs w:val="20"/>
                <w:color w:val="auto"/>
              </w:rPr>
            </w:pPr>
          </w:p>
        </w:tc>
        <w:tc>
          <w:tcPr>
            <w:tcW w:w="21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19,750,000</w:t>
            </w:r>
          </w:p>
        </w:tc>
        <w:tc>
          <w:tcPr>
            <w:tcW w:w="38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19,599,000</w:t>
            </w:r>
          </w:p>
        </w:tc>
        <w:tc>
          <w:tcPr>
            <w:tcW w:w="2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151,000</w:t>
            </w:r>
          </w:p>
        </w:tc>
        <w:tc>
          <w:tcPr>
            <w:tcW w:w="2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140" w:type="dxa"/>
            <w:vAlign w:val="bottom"/>
            <w:tcBorders>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Gross margin</w:t>
            </w:r>
          </w:p>
        </w:tc>
        <w:tc>
          <w:tcPr>
            <w:tcW w:w="2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64.3</w:t>
            </w:r>
          </w:p>
        </w:tc>
        <w:tc>
          <w:tcPr>
            <w:tcW w:w="380" w:type="dxa"/>
            <w:vAlign w:val="bottom"/>
            <w:tcBorders>
              <w:bottom w:val="single" w:sz="8" w:color="CCEEFF"/>
            </w:tcBorders>
            <w:shd w:val="clear" w:color="auto" w:fill="CCEEFF"/>
          </w:tcPr>
          <w:p>
            <w:pPr>
              <w:jc w:val="right"/>
              <w:ind w:right="130"/>
              <w:spacing w:after="0" w:line="195" w:lineRule="exact"/>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70.6</w:t>
            </w:r>
          </w:p>
        </w:tc>
        <w:tc>
          <w:tcPr>
            <w:tcW w:w="260" w:type="dxa"/>
            <w:vAlign w:val="bottom"/>
            <w:tcBorders>
              <w:bottom w:val="single" w:sz="8" w:color="CCEEFF"/>
            </w:tcBorders>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Branded cost of sales was primarily attributable to an increase in units sold during the three months ended March 31, 2026 compared to the prior year period and an increase in our fixed expenses. The decrease in the gross margin as a percent of revenue was primarily due to a decrease in sales of products that have a higher gross margin profile and an increase in gross-to-net revenue deductions associated with VEVYE as a result of our recent coverage wins and our cash pay program which reduced the gross margin profile for the product.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Compounding</w:t>
            </w: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104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gridSpan w:val="7"/>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4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6,204,000</w:t>
            </w:r>
          </w:p>
        </w:tc>
        <w:tc>
          <w:tcPr>
            <w:tcW w:w="3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7,343,000</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(1,139,000</w:t>
            </w:r>
          </w:p>
        </w:tc>
        <w:tc>
          <w:tcPr>
            <w:tcW w:w="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7"/>
        </w:trPr>
        <w:tc>
          <w:tcPr>
            <w:tcW w:w="3160" w:type="dxa"/>
            <w:vAlign w:val="bottom"/>
            <w:tcBorders>
              <w:bottom w:val="single" w:sz="8" w:color="CCEEFF"/>
            </w:tcBorders>
            <w:gridSpan w:val="2"/>
            <w:vMerge w:val="continue"/>
          </w:tcPr>
          <w:p>
            <w:pPr>
              <w:spacing w:after="0"/>
              <w:rPr>
                <w:sz w:val="20"/>
                <w:szCs w:val="20"/>
                <w:color w:val="auto"/>
              </w:rPr>
            </w:pPr>
          </w:p>
        </w:tc>
        <w:tc>
          <w:tcPr>
            <w:tcW w:w="21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7,295,000</w:t>
            </w:r>
          </w:p>
        </w:tc>
        <w:tc>
          <w:tcPr>
            <w:tcW w:w="38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12,708,000</w:t>
            </w:r>
          </w:p>
        </w:tc>
        <w:tc>
          <w:tcPr>
            <w:tcW w:w="2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(5,413,000</w:t>
            </w:r>
          </w:p>
        </w:tc>
        <w:tc>
          <w:tcPr>
            <w:tcW w:w="2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Gross margin</w:t>
            </w:r>
          </w:p>
        </w:tc>
        <w:tc>
          <w:tcPr>
            <w:tcW w:w="2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54.0</w:t>
            </w:r>
          </w:p>
        </w:tc>
        <w:tc>
          <w:tcPr>
            <w:tcW w:w="380" w:type="dxa"/>
            <w:vAlign w:val="bottom"/>
            <w:tcBorders>
              <w:bottom w:val="single" w:sz="8" w:color="CCEEFF"/>
            </w:tcBorders>
            <w:shd w:val="clear" w:color="auto" w:fill="CCEEFF"/>
          </w:tcPr>
          <w:p>
            <w:pPr>
              <w:jc w:val="right"/>
              <w:ind w:right="130"/>
              <w:spacing w:after="0" w:line="195" w:lineRule="exact"/>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63.4</w:t>
            </w:r>
          </w:p>
        </w:tc>
        <w:tc>
          <w:tcPr>
            <w:tcW w:w="260" w:type="dxa"/>
            <w:vAlign w:val="bottom"/>
            <w:tcBorders>
              <w:bottom w:val="single" w:sz="8" w:color="CCEEFF"/>
            </w:tcBorders>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Compounding costs of sales between the three months ended March 31, 2026 and 2025 was primarily attributable to a decrease in units sold. The decrease in the gross margin as a percent of revenue was largely due to a decrease in the utilization of our compounding facility during the three months ended March 31, 2026 compared to the same period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include personnel costs, including wages and stock-based compensation, corporate facility expenses, and investor relations, consulting, insurance, filing, legal and accounting fees and expenses as well as costs associated with our marketing activities and sales of our proprietary compounded formulations and other non-proprietary pharmacy products and formulations.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presents our selling, general and administrative expenses for the three months ended March 31, 2026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6"/>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100" w:type="dxa"/>
            <w:vAlign w:val="bottom"/>
            <w:tcBorders>
              <w:bottom w:val="single" w:sz="8" w:color="CCEEFF"/>
            </w:tcBorders>
          </w:tcPr>
          <w:p>
            <w:pPr>
              <w:spacing w:after="0"/>
              <w:rPr>
                <w:sz w:val="19"/>
                <w:szCs w:val="19"/>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43,230,000</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40,513,000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2,717,000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between periods was primarily due to an increase in personnel costs of $3,800,000 as we increased our headcount in sales, marketing and other departments to support current and expected growth partially offset by a decrease in stock-based compensation of $721,000 primarily due to market-based performance awards recognized in the three months ended March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research and development (“R&amp;D”) expenses primarily include personnel costs, including wages and stock-based compensation, expenses related to the development of intellectual property, investigator-initiated research and evaluations, formulation development, acquired in-process R&amp;D and other costs related to the clinical development of our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our research and development expenses for the three months ended March 31, 2026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6"/>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10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5,895,000</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2,869,000</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R&amp;D expenses of $2,869,000 in the three months ended March 31, 2026 as compared to the same period in 2025 was primarily due to clinical trials associated with the Melt Pharmaceuticals, Inc. drug candidate we acquired in November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was $5,497,000 for the three months ended March 31, 2026, compared to $6,548,000 for the same period in 2025. The decrease of $1,051,000 was primarily due to a lower effective interest rate during the three months ended March 31, 2026 compared to the same period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on hand at March 31, 2026 was $94,644,000 compared to $72,927,000 at December 31, 2025.</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cash and cash equivalents of $94,644,000 at March 31, 2026 will be sufficient to sustain our planned level of operations and capital expenditures for at least the next 12 months. We may consider the sale of certain assets including, but not limited to, part of, or all of, our investments and any of our consolidated subsidiaries. However, we may pursue acquisitions of products, drug candidates or other strategic transactions that involve large expenditures or we may experience growth more rapidly or on a larger scale than we expect, any of which could result in the depletion of capital resources more rapidly than anticipated and could require us to seek additional financing to support our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use our current cash position and funds generated from our operations and any financing to pursue our business plan, which includes developing and commercializing drug candidates, compounded formulations and technologies, integrating and developing our operations, pursuing potential future strategic transactions as opportunities arise, including potential acquisitions of additional drug products, drug candidates, and/or assets or technologies, pharmacies, outsourcing facilities, drug company and manufacturers, and otherwise fund our operations. We may also use our resources to conduct clinical trials or other studies in support of our formulations or any drug candidate for which we pursue FDA approval, to pursue additional development programs or to explore other development opportunities.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Cash Flow</w:t>
            </w:r>
          </w:p>
        </w:tc>
        <w:tc>
          <w:tcPr>
            <w:tcW w:w="1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provides detailed information about our net cash flows for the three months ended March 31, 2026 and 2025: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6"/>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5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0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(8,992,000)</w:t>
            </w:r>
          </w:p>
        </w:tc>
        <w:tc>
          <w:tcPr>
            <w:tcW w:w="6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19,668,000</w:t>
            </w:r>
          </w:p>
        </w:tc>
      </w:tr>
      <w:tr>
        <w:trPr>
          <w:trHeight w:val="198"/>
        </w:trPr>
        <w:tc>
          <w:tcPr>
            <w:tcW w:w="54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(18,203,000)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(212,000</w:t>
            </w:r>
          </w:p>
        </w:tc>
      </w:tr>
      <w:tr>
        <w:trPr>
          <w:trHeight w:val="229"/>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48,912,000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23,000</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21,717,000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19,479,000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72,927,000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47,247,000</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94,644,000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66,726,000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2026 was $8,992,000 compared to net cash provided by operating activities of $19,668,000 during the same period in the prior year. The variance was primarily due to an increase in our net loss of $9,822,000. Additionally, we collected $39,196,000 in accounts receivable during the three months ended March 31, 2025 due to increased collection efforts.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2026 was $18,203,000 compared to $212,000 during the same period in the prior year. Cash used in investing activities in 2026 was primarily related to investments in our acquired product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2026 and 2025 was $48,912,000 and $23,000, respectively. We completed the sale of $50,000,000 in principal amount of 2030 Notes during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Capital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our principal source of cash was from our financing activities. We expect future cash needs to be provided by operating activities, but our forecasts may not be accurate, and our plans may change. We may also sell some of our assets, or some or all of our ownership interests in our consolidated subsidiaries.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2025, we refinanced our long-term debt and entered into a revolving line of credit with Fifth Third Bank. The line of credit provides for an initial amount of $40,000,000 with an additional uncommitted amount of up to $20,000,000. The line of credit will mature in September 2030, or, if earlier, the date that is 91 days prior to the earliest maturity of our 2030 Notes. As of March 31, 2026, we have not drawn down on the line of credit.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4" w:name="page25"/>
    <w:bookmarkEnd w:id="24"/>
    <w:p>
      <w:pPr>
        <w:jc w:val="both"/>
        <w:spacing w:after="0" w:line="253" w:lineRule="auto"/>
        <w:rPr>
          <w:sz w:val="20"/>
          <w:szCs w:val="20"/>
          <w:color w:val="auto"/>
        </w:rPr>
      </w:pPr>
      <w:r>
        <w:rPr>
          <w:rFonts w:ascii="Times New Roman" w:cs="Times New Roman" w:eastAsia="Times New Roman" w:hAnsi="Times New Roman"/>
          <w:sz w:val="18"/>
          <w:szCs w:val="18"/>
          <w:color w:val="auto"/>
        </w:rPr>
        <w:t>We may acquire new products, product candidates and/or businesses and, as a result, we may need significant additional capital to support our business plan and fund our proposed business operations.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be unable to obtain financing when necessary as a result of, among other things, our performance, general economic conditions, conditions in the pharmaceuticals and pharmacy industries, or our operating history. In addition, the fact that we have a limited history of profitability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Ratings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26, 2026, Moody’s Investors Service affirmed a Long-Term Corporate Family Rating of B3 to Harrow, Inc. and affirmed a Stable outlook. As of March 26, 2026, Fitch Ratings affirmed a Long-Term Issuer Default Rating of B- (Outlook Stable) to Harrow, Inc., and a rating of B to our senior unsecured notes due September 2030 with a Recovery Rating of RR3. Credit ratings are subject to revision or withdrawal at any time by the issuing agencies and should not be construed as a recommendation to purchase, hold or sell securities or as a guarantee of our future performance. To the best of our knowledge, there have been no further changes to these ratings as of the date of this filing. Any downgrade in our corporate or senior unsecured debt rating may increase our cost of borrowing and may negatively impact our ability to raise additional debt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our unaudited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interest rates. Our exposure to market risk is limited and relates primarily to interest rate risk on our cash and cash equivalents and the fair value of our outstanding fixed-rate 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2026, all of our outstanding indebtedness bears interest at fixed rates. Accordingly, changes in market interest rates do not affect our contractual cash interest obligations or debt service requirements. However, changes in interest rates may affect the fair value of our fixed-rate debt. Based on our outstanding fixed-rate indebtedness as of March 31, 2026, a hypothetical 100 basis point movement in market interest rates would change the estimated fair value of such debt by approximately $3.0 million. These estimated changes would not impact our condensed consolidated statements of operations or cash flows unless the debt is refinanced, repurchased, or otherwise settled prior to maturity.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Our cash and cash equivalents consist primarily of demand deposits and other highly liquid instruments with short-term maturities. As a result, interest income earned on these balances may fluctuate with changes in short-term interest rates. We do not believe that reasonably likely changes in interest rates would have a material effect on our consolidated financial position,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use derivative financial instruments, including interest rate swaps, to manage interest rate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and Other Market Risks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material exposure to foreign currency exchange rate risk, commodity price risk, or other market risks.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 and that such information is accumulated and communicated to our management, including our principal executive officer and principal financial officer, as appropriate, to allow for timely decisions regarding required disclosure.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March 31, 2026. Based on this evaluation, our principal executive officer and principal financial officer have concluded that our disclosure controls and procedures were effective to achieve their stated purpose as of March 31, 2026, the end of the period covered by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during the quarter ended March 31, 2026,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9 to our unaudited condensed consolidated financial statements included in this Quarterly Report for information on various legal proceedings, which is incorporated into this Item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this Quarterly Report you should consider the risk factors and the other information in our Annual Report on Form 10-K for the year ended December 31, 2025, including our audited financial statements and the related notes and “Management’s Discussion and Analysis of Financial Condition and Results of Operations.” If any such risks actually occur, our business, financial condition, results of operations and future growth prospects would likely be materially and adversely affected. In these circumstances, the market price of our common stock would likely decline and you may lose all or part of your investment. Additional risks and uncertainties not presently known to us or that we currently deem immaterial also may impair our business operations.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Below we provide, in supplemental form, material changes to the risk factors previously disclosed in Part I, Item 1A of our Annual Report on Form 10-K for the year ended December 31, 2025. Except as set forth below, there have been no material changes to the risk factors previously disclosed in our Annual Report on Form 10-K, which are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risk factor amends and restates in its entirety the risk factor titled “Our sales depend on coverage and reimbursement from government and commercial third-party payors, and pricing and reimbursement pressures have affected, and are likely to continue to affect, our profitability” included in our Annual Report on Form 10-K for the year ended December 31, 2025.</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depend on coverage and reimbursement from government and commercial third-party payors, and pricing and reimbursement pressures have affected, and are likely to continue to affect, our profitability.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our products depend on the availability and extent of coverage and reimbursement from third-party payors, including government healthcare programs and private insurance plans. Payors continue to implement measures to manage utilization and contain costs, including step edits, prior authorization, formulary restrictions, increased patient cost sharing, and reimbursement rate reductions. These actions may reduce the number of patients for whom our products are reimbursed, delay or restrict patient access, and limit our ability to increase prices or maintain pricing levels, any of which could adversely affect our revenues and profitability.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legislative and regulatory actions continue to focus on reducing drug costs, including measures affecting Medicare reimbursement and manufacturer financial obligations. In addition, policymakers and CMS have advanced proposals that would reference prices in other economically comparable countries in determining Medicare beneficiary cost-sharing and/or additional manufacturer rebate obligations, sometimes described as “most-favored-nation” or international reference pricing policies. CMS has proposed mandatory demonstration models, including GLOBE for Medicare Part B and GUARD for Medicare Part D, that would assess additional manufacturer rebates based on international benchmarks for certain therapeutic categories that include ophthalmology or ophthalmic agents. Because certain of our ophthalmic products are reimbursed under Medicare Part B, and we may develop or acquire additional products reimbursed by government programs, these and similar initiatives could be particularly relevant to our business. Moreover, because we do not own global rights to many of the products we market in the United States and generally do not control commercialization or pricing outside the United States for those products, we may have limited or no ability to affect non-U.S. pricing that could be used as a benchmark under most-favored-nation or international reference pricing initiatives, which could increase our exposure to such policies.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spacing w:after="0" w:line="256" w:lineRule="auto"/>
        <w:rPr>
          <w:sz w:val="20"/>
          <w:szCs w:val="20"/>
          <w:color w:val="auto"/>
        </w:rPr>
      </w:pPr>
      <w:r>
        <w:rPr>
          <w:rFonts w:ascii="Times New Roman" w:cs="Times New Roman" w:eastAsia="Times New Roman" w:hAnsi="Times New Roman"/>
          <w:sz w:val="18"/>
          <w:szCs w:val="18"/>
          <w:color w:val="auto"/>
        </w:rPr>
        <w:t>Our reported revenues also depend on significant estimates of variable consideration, including estimates for government rebates, commercial rebates, chargebacks, wholesaler fees, distribution service fees, returns, administrative fees, patient assistance programs, and other gross-to-net revenue deductions. These estimates require judgment and are based on available information regarding contractual terms, channel inventory, product utilization, payor mix, wholesaler and distributor data, government program requirements, and historical and expected claims activity. Actual deductions may differ from our estimates, and we may be required to adjust revenues in future periods as new information becomes available or as claims are submitted, reconciled, disputed, validated, settled, or otherwise resolved.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receive rebate claims, chargebacks, fee-for-service deductions, invoices, or other claims from government agencies, wholesalers, distributors, customers, former product owners, or other third parties that we believe are unsupported, overstated, duplicative, attributable to another party or product, or otherwise inconsistent with applicable contracts, statutes, regulations, or program requirements. The resolution of these matters may require significant management judgment, data reconciliation, legal analysis, and interaction with third parties, and may involve uncertainty regarding matters such as product attribution, labeler codes, utilization data, 340B exclusions, Medicaid and Medicare program rules, wholesaler deduction timing, and other assumptions. If our estimates are inaccurate, if disputed amounts are ultimately resolved adversely to us, or if we are unable to obtain credits, offsets, refunds, recoupments, or other recoveries for amounts we believe were improperly claimed or deducted, our revenues, gross margins, cash flows, financial condition, and results of operations could be adversely affected.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the scope, timing, or ultimate impact of these or other policy, payor, reimbursement, pricing, or gross-to-net developments. If such developments decrease coverage or reimbursement, increase rebates or other price concessions, limit utilization, or result in revenue adjustments that differ materially from our estimates, our business, financial condition, results of operations, and cash flows could be materially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did not repurchase any shares of common stock as part of a publicly announced repurchase program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paid any dividends on our common stock since our inception and do not expect to pay dividends on our common stock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certain of our executive officers and directors may enter into, amend or terminate written trading arrangements pursuant to Rule 10b5-1 of the Exchange Act or otherwise. During the three months ended March 31, 2026, none of our directors or officers adopted or terminated any Rule 10b5-1 trading arrangement or non-Rule 10b5-1 trading arrangement (as such terms are defined in Item 408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24"/>
                <w:szCs w:val="24"/>
                <w:color w:val="auto"/>
              </w:rPr>
            </w:pPr>
          </w:p>
        </w:tc>
        <w:tc>
          <w:tcPr>
            <w:tcW w:w="10140" w:type="dxa"/>
            <w:vAlign w:val="bottom"/>
            <w:tcBorders>
              <w:top w:val="single" w:sz="8" w:color="auto"/>
              <w:bottom w:val="single" w:sz="8" w:color="0000EE"/>
            </w:tcBorders>
            <w:gridSpan w:val="11"/>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Amended and Restated Certificate of Incorporation, as amended (incorporated herein by reference to Exhibit 3.1 to the Current Report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Form 8-K of Harrow, Inc. filed with the Securities and Exchange Commission on September 29, 2023).</w:t>
              </w:r>
            </w:hyperlink>
          </w:p>
        </w:tc>
        <w:tc>
          <w:tcPr>
            <w:tcW w:w="26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Amended and Restated Bylaws of the Company, dated as of August 21, 2025 (incorporated herein by reference to Exhibit 3.1 to the Current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Report on Form 8-K of Harrow, Inc. filed with the Securities and Exchange Commission on August 25, 2025).</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First Supplemental Indenture, dated as of March 27, 2026, by and between the Company, the guarantors named therein and U.S. Bank Trust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Company, National Association, as trustee (incorporated herein by reference to Exhibit 4.3 to the Current Report on Form 8-K of Harrow,</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Inc. filed with the Securities and Exchange Commission on March 27, 2026).</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Form of 8.625% Senior Note due 2030 (included in Exhibit 4.1) (incorporated herein by reference to Exhibit 4.2 to the Current Report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Form 8-K of Harrow, Inc. filed with the Securities and Exchange Commission on March 27, 2026).</w:t>
              </w:r>
            </w:hyperlink>
          </w:p>
        </w:tc>
        <w:tc>
          <w:tcPr>
            <w:tcW w:w="29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Offer Letter dated January 30, 2026 by and between the Company and Patrick W. Sullivan (incorporated herein by reference to Exhibit 10.1</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to the Current Report on Form 8-K of Harrow, Inc. filed with the Securities and Exchange Commission on February 2, 2026).</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Consulting Agreement dated March 1, 2026 between Harrow, Inc. and John P. Saharek (incorporated herein by reference to Exhibit 10.30 to</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the Annual Report on Form 10-K for the year ended December 31, 2025 of Harrow, Inc. filed with the Securities and Exchange Commission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on March 2, 2026).</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Purchase Agreement, dated March 24, 2026, by and among the Company, the guarantors named therein and BTIG, LLC, as representative</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of the several initial purchasers named therein (incorporated herein by reference to Exhibit 10.1 to the Current Report on Form 8-K of</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Harrow, Inc. filed with the Securities and Exchange Commission on March 27, 2026).</w:t>
              </w:r>
            </w:hyperlink>
          </w:p>
        </w:tc>
        <w:tc>
          <w:tcPr>
            <w:tcW w:w="39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31.1*</w:t>
            </w:r>
          </w:p>
        </w:tc>
        <w:tc>
          <w:tcPr>
            <w:tcW w:w="120" w:type="dxa"/>
            <w:vAlign w:val="bottom"/>
          </w:tcPr>
          <w:p>
            <w:pPr>
              <w:spacing w:after="0"/>
              <w:rPr>
                <w:sz w:val="24"/>
                <w:szCs w:val="24"/>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Mark L. Baum, principal executive officer, pursuant to Rule 13a-14(a) or 15d-14(a) of the Securities and Exchange Act of</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 Oxley Act of 2002.</w:t>
            </w:r>
          </w:p>
        </w:tc>
        <w:tc>
          <w:tcPr>
            <w:tcW w:w="450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of Andrew R. Boll, principal financial officer, pursuant to Rule 13a-14(a) or 15d-14(a) of the Securities and Exchange Act of</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 Oxley Act of 2002.</w:t>
            </w:r>
          </w:p>
        </w:tc>
        <w:tc>
          <w:tcPr>
            <w:tcW w:w="45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32.1**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executed by Mark</w:t>
            </w: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L. Baum, principal executive officer, and Andrew R. Boll, principal financial officer.</w:t>
            </w: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101.INS*</w:t>
            </w:r>
          </w:p>
        </w:tc>
        <w:tc>
          <w:tcPr>
            <w:tcW w:w="6100" w:type="dxa"/>
            <w:vAlign w:val="bottom"/>
            <w:gridSpan w:val="4"/>
            <w:shd w:val="clear" w:color="auto" w:fill="0000EE"/>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100" w:type="dxa"/>
            <w:vAlign w:val="bottom"/>
            <w:gridSpan w:val="2"/>
            <w:vMerge w:val="continue"/>
          </w:tcPr>
          <w:p>
            <w:pPr>
              <w:spacing w:after="0"/>
              <w:rPr>
                <w:sz w:val="24"/>
                <w:szCs w:val="24"/>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101.SCH*</w:t>
            </w: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101.CAL*</w:t>
            </w: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101.DEF*</w:t>
            </w: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101.LAB*</w:t>
            </w: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101.PRE*</w:t>
            </w: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100" w:hanging="1092"/>
        <w:spacing w:after="0" w:line="282" w:lineRule="auto"/>
        <w:tabs>
          <w:tab w:leader="none" w:pos="11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cover page from the Company’s Quarterly Report on Form 10-Q for the quarter ended March 31, 2026, has been formatted in Inline XBRL.</w:t>
      </w:r>
    </w:p>
    <w:p>
      <w:pPr>
        <w:spacing w:after="0" w:line="16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May 11,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L. Baum</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L. Baum</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40" w:type="dxa"/>
            <w:vAlign w:val="bottom"/>
          </w:tcPr>
          <w:p>
            <w:pPr>
              <w:spacing w:after="0"/>
              <w:rPr>
                <w:sz w:val="24"/>
                <w:szCs w:val="24"/>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 (Principal Financial Officer)</w:t>
            </w:r>
          </w:p>
        </w:tc>
      </w:tr>
      <w:tr>
        <w:trPr>
          <w:trHeight w:val="432"/>
        </w:trPr>
        <w:tc>
          <w:tcPr>
            <w:tcW w:w="3540" w:type="dxa"/>
            <w:vAlign w:val="bottom"/>
          </w:tcPr>
          <w:p>
            <w:pPr>
              <w:spacing w:after="0"/>
              <w:rPr>
                <w:sz w:val="24"/>
                <w:szCs w:val="24"/>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Randall E. Pollard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Randall E. Pollard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29</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0" w:name="page31"/>
    <w:bookmarkEnd w:id="30"/>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Mark L. Baum, certify that:</w:t>
      </w:r>
    </w:p>
    <w:p>
      <w:pPr>
        <w:spacing w:after="0" w:line="22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Harrow,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L. Baum</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L. Baum</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1" w:name="page32"/>
    <w:bookmarkEnd w:id="31"/>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UNDER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Andrew R. Boll, certify that:</w:t>
      </w:r>
    </w:p>
    <w:p>
      <w:pPr>
        <w:spacing w:after="0" w:line="22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Harrow,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REQUIRED BY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OF TITLE 18 OF THE UNITED STATES CODE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his capacity as the specified officer of Harrow, Inc. (the “Company”), that, to the best of his knowledge, the Quarterly Report of the Company on Form 10-Q for the fiscal quarter ended March 31, 2026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R. Boll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Roman"/>
      <w:start w:val="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04"/>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37" Type="http://schemas.openxmlformats.org/officeDocument/2006/relationships/hyperlink" Target="https://www.sec.gov/Archives/edgar/data/1360214/000149315223034832/ex3-1.htm" TargetMode="External"/><Relationship Id="rId38" Type="http://schemas.openxmlformats.org/officeDocument/2006/relationships/hyperlink" Target="https://www.sec.gov/Archives/edgar/data/1360214/000164117225025336/ex3-1.htm" TargetMode="External"/><Relationship Id="rId39" Type="http://schemas.openxmlformats.org/officeDocument/2006/relationships/hyperlink" Target="https://www.sec.gov/Archives/edgar/data/1360214/000149315226013199/ex4-3.htm" TargetMode="External"/><Relationship Id="rId40" Type="http://schemas.openxmlformats.org/officeDocument/2006/relationships/hyperlink" Target="https://www.sec.gov/Archives/edgar/data/1360214/000149315225013268/ex4-1.htm" TargetMode="External"/><Relationship Id="rId41" Type="http://schemas.openxmlformats.org/officeDocument/2006/relationships/hyperlink" Target="https://www.sec.gov/Archives/edgar/data/1360214/000149315226004635/ex10-1.htm" TargetMode="External"/><Relationship Id="rId42" Type="http://schemas.openxmlformats.org/officeDocument/2006/relationships/hyperlink" Target="https://www.sec.gov/Archives/edgar/data/1360214/000149315226008562/ex10-30.htm" TargetMode="External"/><Relationship Id="rId43" Type="http://schemas.openxmlformats.org/officeDocument/2006/relationships/hyperlink" Target="https://www.sec.gov/Archives/edgar/data/1360214/000149315226013199/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2026-05-11T15:40:41Z</dcterms:created>
  <dcterms:modified xsi:type="dcterms:W3CDTF">2026-05-11T15:40:41Z</dcterms:modified>
</cp:coreProperties>
</file>