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37" w:lineRule="exact"/>
        <w:rPr>
          <w:sz w:val="24"/>
          <w:szCs w:val="24"/>
          <w:color w:val="auto"/>
        </w:rPr>
      </w:pPr>
    </w:p>
    <w:tbl>
      <w:tblPr>
        <w:tblLayout w:type="fixed"/>
        <w:tblInd w:w="3980" w:type="dxa"/>
        <w:tblCellMar>
          <w:top w:w="0" w:type="dxa"/>
          <w:left w:w="0" w:type="dxa"/>
          <w:bottom w:w="0" w:type="dxa"/>
          <w:right w:w="0" w:type="dxa"/>
        </w:tblCellMar>
      </w:tblPr>
      <w:tr>
        <w:trPr>
          <w:trHeight w:val="216"/>
        </w:trPr>
        <w:tc>
          <w:tcPr>
            <w:tcW w:w="2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Under the Securities Exchange Act of</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1934</w:t>
            </w:r>
          </w:p>
        </w:tc>
      </w:tr>
      <w:tr>
        <w:trPr>
          <w:trHeight w:val="198"/>
        </w:trPr>
        <w:tc>
          <w:tcPr>
            <w:tcW w:w="2720" w:type="dxa"/>
            <w:vAlign w:val="bottom"/>
            <w:gridSpan w:val="2"/>
          </w:tcPr>
          <w:p>
            <w:pPr>
              <w:ind w:left="420"/>
              <w:spacing w:after="0" w:line="198" w:lineRule="exact"/>
              <w:rPr>
                <w:sz w:val="20"/>
                <w:szCs w:val="20"/>
                <w:color w:val="auto"/>
              </w:rPr>
            </w:pPr>
            <w:r>
              <w:rPr>
                <w:rFonts w:ascii="Times New Roman" w:cs="Times New Roman" w:eastAsia="Times New Roman" w:hAnsi="Times New Roman"/>
                <w:sz w:val="18"/>
                <w:szCs w:val="18"/>
                <w:b w:val="1"/>
                <w:bCs w:val="1"/>
                <w:color w:val="auto"/>
              </w:rPr>
              <w:t>(Amendment No.   7</w:t>
            </w: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3"/>
              </w:rPr>
              <w:t>)*</w:t>
            </w:r>
          </w:p>
        </w:tc>
        <w:tc>
          <w:tcPr>
            <w:tcW w:w="380" w:type="dxa"/>
            <w:vAlign w:val="bottom"/>
          </w:tcPr>
          <w:p>
            <w:pPr>
              <w:spacing w:after="0"/>
              <w:rPr>
                <w:sz w:val="17"/>
                <w:szCs w:val="17"/>
                <w:color w:val="auto"/>
              </w:rPr>
            </w:pPr>
          </w:p>
        </w:tc>
      </w:tr>
      <w:tr>
        <w:trPr>
          <w:trHeight w:val="20"/>
        </w:trPr>
        <w:tc>
          <w:tcPr>
            <w:tcW w:w="1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415858109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James Silverman, One Boston Place,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12/31/23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900" w:firstLine="8"/>
        <w:spacing w:after="0" w:line="226" w:lineRule="exact"/>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46" w:lineRule="exact"/>
        <w:rPr>
          <w:sz w:val="24"/>
          <w:szCs w:val="24"/>
          <w:color w:val="auto"/>
        </w:rPr>
      </w:pPr>
    </w:p>
    <w:p>
      <w:pPr>
        <w:ind w:firstLine="8"/>
        <w:spacing w:after="0" w:line="195" w:lineRule="auto"/>
        <w:tabs>
          <w:tab w:leader="none" w:pos="112"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415858109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2 of 6 Pages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Opaleye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660" w:hanging="46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33" w:lineRule="exact"/>
        <w:rPr>
          <w:rFonts w:ascii="Times New Roman" w:cs="Times New Roman" w:eastAsia="Times New Roman" w:hAnsi="Times New Roman"/>
          <w:sz w:val="18"/>
          <w:szCs w:val="18"/>
          <w:color w:val="auto"/>
        </w:rPr>
      </w:pPr>
    </w:p>
    <w:p>
      <w:pPr>
        <w:ind w:left="660" w:right="5620" w:hanging="46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20" w:lineRule="exact"/>
        <w:rPr>
          <w:rFonts w:ascii="Times New Roman" w:cs="Times New Roman" w:eastAsia="Times New Roman" w:hAnsi="Times New Roman"/>
          <w:sz w:val="18"/>
          <w:szCs w:val="18"/>
          <w:color w:val="auto"/>
        </w:rPr>
      </w:pPr>
    </w:p>
    <w:p>
      <w:pPr>
        <w:ind w:left="900" w:hanging="244"/>
        <w:spacing w:after="0" w:line="207" w:lineRule="exact"/>
        <w:tabs>
          <w:tab w:leader="none" w:pos="90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920" w:hanging="264"/>
        <w:spacing w:after="0" w:line="207" w:lineRule="exact"/>
        <w:tabs>
          <w:tab w:leader="none" w:pos="9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5" w:lineRule="exact"/>
        <w:rPr>
          <w:rFonts w:ascii="Times New Roman" w:cs="Times New Roman" w:eastAsia="Times New Roman" w:hAnsi="Times New Roman"/>
          <w:sz w:val="18"/>
          <w:szCs w:val="18"/>
          <w:color w:val="auto"/>
        </w:rPr>
      </w:pPr>
    </w:p>
    <w:p>
      <w:pPr>
        <w:ind w:left="660" w:hanging="46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2" w:lineRule="exact"/>
        <w:rPr>
          <w:rFonts w:ascii="Times New Roman" w:cs="Times New Roman" w:eastAsia="Times New Roman" w:hAnsi="Times New Roman"/>
          <w:sz w:val="18"/>
          <w:szCs w:val="18"/>
          <w:color w:val="auto"/>
        </w:rPr>
      </w:pPr>
    </w:p>
    <w:p>
      <w:pPr>
        <w:ind w:left="660" w:right="6920" w:hanging="463"/>
        <w:spacing w:after="0" w:line="39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Massachusetts</w:t>
      </w:r>
    </w:p>
    <w:p>
      <w:pPr>
        <w:ind w:left="2600" w:hanging="459"/>
        <w:spacing w:after="0"/>
        <w:tabs>
          <w:tab w:leader="none" w:pos="26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-1559560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820" w:type="dxa"/>
            <w:vAlign w:val="bottom"/>
            <w:tcBorders>
              <w:bottom w:val="single" w:sz="8" w:color="auto"/>
            </w:tcBorders>
          </w:tcPr>
          <w:p>
            <w:pPr>
              <w:spacing w:after="0"/>
              <w:rPr>
                <w:sz w:val="20"/>
                <w:szCs w:val="20"/>
                <w:color w:val="auto"/>
              </w:rPr>
            </w:pPr>
          </w:p>
        </w:tc>
        <w:tc>
          <w:tcPr>
            <w:tcW w:w="8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2"/>
        </w:trPr>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SHARES</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BENEFICIALLY</w:t>
            </w:r>
          </w:p>
        </w:tc>
        <w:tc>
          <w:tcPr>
            <w:tcW w:w="820" w:type="dxa"/>
            <w:vAlign w:val="bottom"/>
          </w:tcPr>
          <w:p>
            <w:pPr>
              <w:spacing w:after="0"/>
              <w:rPr>
                <w:sz w:val="18"/>
                <w:szCs w:val="18"/>
                <w:color w:val="auto"/>
              </w:rPr>
            </w:pPr>
          </w:p>
        </w:tc>
        <w:tc>
          <w:tcPr>
            <w:tcW w:w="8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3,820,000</w:t>
            </w:r>
          </w:p>
        </w:tc>
        <w:tc>
          <w:tcPr>
            <w:tcW w:w="0" w:type="dxa"/>
            <w:vAlign w:val="bottom"/>
          </w:tcPr>
          <w:p>
            <w:pPr>
              <w:spacing w:after="0"/>
              <w:rPr>
                <w:sz w:val="1"/>
                <w:szCs w:val="1"/>
                <w:color w:val="auto"/>
              </w:rPr>
            </w:pPr>
          </w:p>
        </w:tc>
      </w:tr>
      <w:tr>
        <w:trPr>
          <w:trHeight w:val="187"/>
        </w:trPr>
        <w:tc>
          <w:tcPr>
            <w:tcW w:w="1600" w:type="dxa"/>
            <w:vAlign w:val="bottom"/>
          </w:tcPr>
          <w:p>
            <w:pPr>
              <w:jc w:val="center"/>
              <w:ind w:right="230"/>
              <w:spacing w:after="0" w:line="160" w:lineRule="exact"/>
              <w:rPr>
                <w:sz w:val="20"/>
                <w:szCs w:val="20"/>
                <w:color w:val="auto"/>
              </w:rPr>
            </w:pPr>
            <w:r>
              <w:rPr>
                <w:rFonts w:ascii="Times New Roman" w:cs="Times New Roman" w:eastAsia="Times New Roman" w:hAnsi="Times New Roman"/>
                <w:sz w:val="18"/>
                <w:szCs w:val="18"/>
                <w:color w:val="auto"/>
                <w:w w:val="99"/>
              </w:rPr>
              <w:t>OWNED BY</w:t>
            </w:r>
          </w:p>
        </w:tc>
        <w:tc>
          <w:tcPr>
            <w:tcW w:w="820" w:type="dxa"/>
            <w:vAlign w:val="bottom"/>
            <w:tcBorders>
              <w:bottom w:val="single" w:sz="8" w:color="auto"/>
            </w:tcBorders>
          </w:tcPr>
          <w:p>
            <w:pPr>
              <w:spacing w:after="0"/>
              <w:rPr>
                <w:sz w:val="16"/>
                <w:szCs w:val="16"/>
                <w:color w:val="auto"/>
              </w:rPr>
            </w:pPr>
          </w:p>
        </w:tc>
        <w:tc>
          <w:tcPr>
            <w:tcW w:w="8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EACH</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820" w:type="dxa"/>
            <w:vAlign w:val="bottom"/>
          </w:tcPr>
          <w:p>
            <w:pPr>
              <w:spacing w:after="0"/>
              <w:rPr>
                <w:sz w:val="18"/>
                <w:szCs w:val="18"/>
                <w:color w:val="auto"/>
              </w:rPr>
            </w:pPr>
          </w:p>
        </w:tc>
        <w:tc>
          <w:tcPr>
            <w:tcW w:w="8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4"/>
        </w:trPr>
        <w:tc>
          <w:tcPr>
            <w:tcW w:w="16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PERSON WITH</w:t>
            </w:r>
          </w:p>
        </w:tc>
        <w:tc>
          <w:tcPr>
            <w:tcW w:w="820" w:type="dxa"/>
            <w:vAlign w:val="bottom"/>
            <w:tcBorders>
              <w:bottom w:val="single" w:sz="8" w:color="auto"/>
            </w:tcBorders>
          </w:tcPr>
          <w:p>
            <w:pPr>
              <w:spacing w:after="0"/>
              <w:rPr>
                <w:sz w:val="18"/>
                <w:szCs w:val="18"/>
                <w:color w:val="auto"/>
              </w:rPr>
            </w:pPr>
          </w:p>
        </w:tc>
        <w:tc>
          <w:tcPr>
            <w:tcW w:w="8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2600" w:right="6120" w:hanging="459"/>
        <w:spacing w:after="0" w:line="380" w:lineRule="auto"/>
        <w:tabs>
          <w:tab w:leader="none" w:pos="26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3,820,000</w:t>
      </w:r>
    </w:p>
    <w:p>
      <w:pPr>
        <w:spacing w:after="0" w:line="1" w:lineRule="exact"/>
        <w:rPr>
          <w:rFonts w:ascii="Times New Roman" w:cs="Times New Roman" w:eastAsia="Times New Roman" w:hAnsi="Times New Roman"/>
          <w:sz w:val="18"/>
          <w:szCs w:val="18"/>
          <w:color w:val="auto"/>
        </w:rPr>
      </w:pPr>
    </w:p>
    <w:p>
      <w:pPr>
        <w:ind w:left="660" w:right="4040" w:hanging="463"/>
        <w:spacing w:after="0" w:line="39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3,820,000</w:t>
      </w:r>
    </w:p>
    <w:p>
      <w:pPr>
        <w:ind w:left="660" w:right="3940" w:hanging="553"/>
        <w:spacing w:after="0" w:line="239" w:lineRule="exact"/>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197" w:lineRule="exact"/>
        <w:rPr>
          <w:rFonts w:ascii="Times New Roman" w:cs="Times New Roman" w:eastAsia="Times New Roman" w:hAnsi="Times New Roman"/>
          <w:sz w:val="18"/>
          <w:szCs w:val="18"/>
          <w:color w:val="auto"/>
        </w:rPr>
      </w:pPr>
    </w:p>
    <w:p>
      <w:pPr>
        <w:ind w:left="660" w:hanging="54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10.88%</w:t>
      </w:r>
    </w:p>
    <w:p>
      <w:pPr>
        <w:spacing w:after="0" w:line="36" w:lineRule="exact"/>
        <w:rPr>
          <w:rFonts w:ascii="Times New Roman" w:cs="Times New Roman" w:eastAsia="Times New Roman" w:hAnsi="Times New Roman"/>
          <w:sz w:val="18"/>
          <w:szCs w:val="18"/>
          <w:color w:val="auto"/>
        </w:rPr>
      </w:pPr>
    </w:p>
    <w:p>
      <w:pPr>
        <w:ind w:left="660" w:hanging="553"/>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6"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Based upon 35,117,746 shares of common stock outstanding on November 13, 2023 as reported by the Issuer in a 10-Q for the period ending on 9/30/2023 filed with the Securities and Exchange Commission. This calculation does not include the exercise or conversion of outstanding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-2156460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-1727835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-1299210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-870585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 w:name="page3"/>
    <w:bookmarkEnd w:id="2"/>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415858109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3 of 6 Pages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Harrow Health,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940" w:right="4280" w:hanging="4608"/>
        <w:spacing w:after="0" w:line="312" w:lineRule="auto"/>
        <w:tabs>
          <w:tab w:leader="none" w:pos="65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Issuer’s Principal Executive Offices: 102 Woodmont Blvd., Suite 610 Nashville, Tennessee 37205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This statement is filed by the entities and persons listed below, who are collectively referred to herein as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xml:space="preserve"> with respect to the shares of common stock of the Company:</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Opaleye Fund</w:t>
      </w:r>
    </w:p>
    <w:p>
      <w:pPr>
        <w:spacing w:after="0" w:line="225" w:lineRule="exact"/>
        <w:rPr>
          <w:rFonts w:ascii="Times New Roman" w:cs="Times New Roman" w:eastAsia="Times New Roman" w:hAnsi="Times New Roman"/>
          <w:sz w:val="18"/>
          <w:szCs w:val="18"/>
          <w:color w:val="auto"/>
        </w:rPr>
      </w:pPr>
    </w:p>
    <w:p>
      <w:pPr>
        <w:ind w:left="660" w:right="45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Opaleye, L.P. (the “</w:t>
      </w:r>
      <w:r>
        <w:rPr>
          <w:rFonts w:ascii="Times New Roman" w:cs="Times New Roman" w:eastAsia="Times New Roman" w:hAnsi="Times New Roman"/>
          <w:sz w:val="18"/>
          <w:szCs w:val="18"/>
          <w:u w:val="single" w:color="auto"/>
          <w:color w:val="auto"/>
        </w:rPr>
        <w:t>Opaleye Fund</w:t>
      </w:r>
      <w:r>
        <w:rPr>
          <w:rFonts w:ascii="Times New Roman" w:cs="Times New Roman" w:eastAsia="Times New Roman" w:hAnsi="Times New Roman"/>
          <w:sz w:val="18"/>
          <w:szCs w:val="18"/>
          <w:color w:val="auto"/>
        </w:rPr>
        <w:t xml:space="preserve">”), a private fund formed in the state of Delaware. </w:t>
      </w:r>
      <w:r>
        <w:rPr>
          <w:rFonts w:ascii="Times New Roman" w:cs="Times New Roman" w:eastAsia="Times New Roman" w:hAnsi="Times New Roman"/>
          <w:sz w:val="18"/>
          <w:szCs w:val="18"/>
          <w:u w:val="single" w:color="auto"/>
          <w:color w:val="auto"/>
        </w:rPr>
        <w:t>Investment Manager</w:t>
      </w:r>
    </w:p>
    <w:p>
      <w:pPr>
        <w:spacing w:after="0" w:line="1"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Opaleye Management Inc. (the “</w:t>
      </w:r>
      <w:r>
        <w:rPr>
          <w:rFonts w:ascii="Times New Roman" w:cs="Times New Roman" w:eastAsia="Times New Roman" w:hAnsi="Times New Roman"/>
          <w:sz w:val="18"/>
          <w:szCs w:val="18"/>
          <w:u w:val="single" w:color="auto"/>
          <w:color w:val="auto"/>
        </w:rPr>
        <w:t>Investment Manager</w:t>
      </w:r>
      <w:r>
        <w:rPr>
          <w:rFonts w:ascii="Times New Roman" w:cs="Times New Roman" w:eastAsia="Times New Roman" w:hAnsi="Times New Roman"/>
          <w:sz w:val="18"/>
          <w:szCs w:val="18"/>
          <w:color w:val="auto"/>
        </w:rPr>
        <w:t>”), with respect to the shares of common stock held by the Opaleye Fund, a private fund to which the Investment Manager serves as investment manager. The Investment Manager also serves as a portfolio manager for a separate managed account (the “</w:t>
      </w:r>
      <w:r>
        <w:rPr>
          <w:rFonts w:ascii="Times New Roman" w:cs="Times New Roman" w:eastAsia="Times New Roman" w:hAnsi="Times New Roman"/>
          <w:sz w:val="18"/>
          <w:szCs w:val="18"/>
          <w:u w:val="single" w:color="auto"/>
          <w:color w:val="auto"/>
        </w:rPr>
        <w:t>Managed Account</w:t>
      </w:r>
      <w:r>
        <w:rPr>
          <w:rFonts w:ascii="Times New Roman" w:cs="Times New Roman" w:eastAsia="Times New Roman" w:hAnsi="Times New Roman"/>
          <w:sz w:val="18"/>
          <w:szCs w:val="18"/>
          <w:color w:val="auto"/>
        </w:rPr>
        <w:t>”) and may be deemed to indirectly beneficially own securities owned by the Managed Account. The Investment Manager disclaims beneficial ownership of the shares held by the Managed Account.</w:t>
      </w:r>
    </w:p>
    <w:p>
      <w:pPr>
        <w:spacing w:after="0" w:line="1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Individual</w:t>
      </w:r>
    </w:p>
    <w:p>
      <w:pPr>
        <w:spacing w:after="0" w:line="225"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Silverman (the “</w:t>
      </w:r>
      <w:r>
        <w:rPr>
          <w:rFonts w:ascii="Times New Roman" w:cs="Times New Roman" w:eastAsia="Times New Roman" w:hAnsi="Times New Roman"/>
          <w:sz w:val="18"/>
          <w:szCs w:val="18"/>
          <w:u w:val="single" w:color="auto"/>
          <w:color w:val="auto"/>
        </w:rPr>
        <w:t>Reporting Individual”</w:t>
      </w:r>
      <w:r>
        <w:rPr>
          <w:rFonts w:ascii="Times New Roman" w:cs="Times New Roman" w:eastAsia="Times New Roman" w:hAnsi="Times New Roman"/>
          <w:sz w:val="18"/>
          <w:szCs w:val="18"/>
          <w:color w:val="auto"/>
        </w:rPr>
        <w:t>), with respect to the shares of common stock held by the Opaleye Fund. Mr. Silverman is the President of the Investment Manager.</w:t>
      </w:r>
    </w:p>
    <w:p>
      <w:pPr>
        <w:spacing w:after="0" w:line="14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Address of the Principal Office or, if none, residence One Boston Place,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02108</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line="27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is set forth in Row 4 of the cover page for each Reporting Person and is incorporated herein by reference for each such Reporting Person.</w:t>
      </w:r>
    </w:p>
    <w:p>
      <w:pPr>
        <w:spacing w:after="0" w:line="16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 $0.001 par value per share</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CUSIP Number </w:t>
      </w:r>
      <w:r>
        <w:rPr>
          <w:rFonts w:ascii="Times New Roman" w:cs="Times New Roman" w:eastAsia="Times New Roman" w:hAnsi="Times New Roman"/>
          <w:sz w:val="18"/>
          <w:szCs w:val="18"/>
          <w:b w:val="1"/>
          <w:bCs w:val="1"/>
          <w:color w:val="auto"/>
        </w:rPr>
        <w:t>415858109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188" w:lineRule="exact"/>
        <w:rPr>
          <w:sz w:val="20"/>
          <w:szCs w:val="20"/>
          <w:color w:val="auto"/>
        </w:rPr>
      </w:pPr>
    </w:p>
    <w:p>
      <w:pPr>
        <w:ind w:left="660" w:hanging="328"/>
        <w:spacing w:after="0" w:line="207" w:lineRule="exact"/>
        <w:tabs>
          <w:tab w:leader="none" w:pos="66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415858109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4 of 6 Pages</w:t>
      </w:r>
    </w:p>
    <w:p>
      <w:pPr>
        <w:spacing w:after="0" w:line="188" w:lineRule="exact"/>
        <w:rPr>
          <w:sz w:val="20"/>
          <w:szCs w:val="20"/>
          <w:color w:val="auto"/>
        </w:rPr>
      </w:pPr>
    </w:p>
    <w:p>
      <w:pPr>
        <w:ind w:left="660" w:hanging="328"/>
        <w:spacing w:after="0" w:line="207" w:lineRule="exact"/>
        <w:tabs>
          <w:tab w:leader="none" w:pos="66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980" w:hanging="648"/>
        <w:spacing w:after="0" w:line="245" w:lineRule="exact"/>
        <w:tabs>
          <w:tab w:leader="none" w:pos="656"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58"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§240.13d-1(b)(1)(ii)(J).</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3,820,000</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10.88%</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3,820,000</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3,820,000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Instruction</w:t>
      </w:r>
      <w:r>
        <w:rPr>
          <w:rFonts w:ascii="Times New Roman" w:cs="Times New Roman" w:eastAsia="Times New Roman" w:hAnsi="Times New Roman"/>
          <w:sz w:val="18"/>
          <w:szCs w:val="18"/>
          <w:color w:val="auto"/>
        </w:rPr>
        <w:t>. For computations regarding securities which represent a right to acquire an underlying security</w:t>
      </w:r>
      <w:r>
        <w:rPr>
          <w:rFonts w:ascii="Times New Roman" w:cs="Times New Roman" w:eastAsia="Times New Roman" w:hAnsi="Times New Roman"/>
          <w:sz w:val="18"/>
          <w:szCs w:val="18"/>
          <w:i w:val="1"/>
          <w:iCs w:val="1"/>
          <w:color w:val="auto"/>
        </w:rPr>
        <w:t xml:space="preserve"> see §240.13d-3(d)(1).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Instruction</w:t>
      </w:r>
      <w:r>
        <w:rPr>
          <w:rFonts w:ascii="Times New Roman" w:cs="Times New Roman" w:eastAsia="Times New Roman" w:hAnsi="Times New Roman"/>
          <w:sz w:val="18"/>
          <w:szCs w:val="18"/>
          <w:color w:val="auto"/>
        </w:rPr>
        <w:t>. Dissolution of a group requires a response to this item.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 w:name="page5"/>
    <w:bookmarkEnd w:id="4"/>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415858109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5 of 6 Pages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§240.13d-1(b):</w:t>
      </w:r>
    </w:p>
    <w:p>
      <w:pPr>
        <w:spacing w:after="0" w:line="225"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§240.13d-1(c):</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 w:name="page6"/>
    <w:bookmarkEnd w:id="5"/>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415858109</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6 of 6 Pages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02/09/2024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James Silverman/Managing Member of Opaleye</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GP LLC, the General Partner of</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Opaleye,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79E2A9E3"/>
    <w:multiLevelType w:val="hybridMultilevel"/>
    <w:lvl w:ilvl="0">
      <w:lvlJc w:val="left"/>
      <w:lvlText w:val="%1"/>
      <w:numFmt w:val="decimal"/>
      <w:start w:val="1"/>
    </w:lvl>
    <w:lvl w:ilvl="1">
      <w:lvlJc w:val="left"/>
      <w:lvlText w:val="*"/>
      <w:numFmt w:val="bullet"/>
      <w:start w:val="1"/>
    </w:lvl>
    <w:lvl w:ilvl="2">
      <w:lvlJc w:val="left"/>
      <w:lvlText w:val="%3."/>
      <w:numFmt w:val="decimal"/>
      <w:start w:val="8"/>
    </w:lvl>
  </w:abstractNum>
  <w:abstractNum w:abstractNumId="4">
    <w:nsid w:val="7545E146"/>
    <w:multiLevelType w:val="hybridMultilevel"/>
    <w:lvl w:ilvl="0">
      <w:lvlJc w:val="left"/>
      <w:lvlText w:val="%1."/>
      <w:numFmt w:val="decimal"/>
      <w:start w:val="9"/>
    </w:lvl>
    <w:lvl w:ilvl="1">
      <w:lvlJc w:val="left"/>
      <w:lvlText w:val="*"/>
      <w:numFmt w:val="bullet"/>
      <w:start w:val="1"/>
    </w:lvl>
    <w:lvl w:ilvl="2">
      <w:lvlJc w:val="left"/>
      <w:lvlText w:val="%3"/>
      <w:numFmt w:val="decimal"/>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6"/>
    </w:lvl>
  </w:abstractNum>
  <w:abstractNum w:abstractNumId="9">
    <w:nsid w:val="216231B"/>
    <w:multiLevelType w:val="hybridMultilevel"/>
    <w:lvl w:ilvl="0">
      <w:lvlJc w:val="left"/>
      <w:lvlText w:val="(%1)"/>
      <w:numFmt w:val="lowerLetter"/>
      <w:start w:val="1"/>
    </w:lvl>
    <w:lvl w:ilvl="1">
      <w:lvlJc w:val="left"/>
      <w:lvlText w:val="(%2)"/>
      <w:numFmt w:val="lowerRoman"/>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2024-02-09T15:18:58Z</dcterms:created>
  <dcterms:modified xsi:type="dcterms:W3CDTF">2024-02-09T15:18:58Z</dcterms:modified>
</cp:coreProperties>
</file>