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 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333-265244</w:t>
      </w:r>
    </w:p>
    <w:p>
      <w:pPr>
        <w:spacing w:after="0" w:line="203"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CC062A"/>
        </w:rPr>
        <w:t>The information in this preliminary prospectus supplement and the accompanying prospectus is not complete and may be changed. This preliminary prospectus supplement and the accompanying prospectus are not an offer to sell these securities, and they are not soliciting an offer to buy these securities in any jurisdiction where the offer or sale thereof is not permitted.</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CC062A"/>
        </w:rPr>
        <w:t>SUBJECT TO COMPLETION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CC062A"/>
        </w:rPr>
        <w:t>PRELIMINARY PROSPECTUS SUPPLEMENT DATED DECEMBER 14, 2022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6, 2022)</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165100</wp:posOffset>
            </wp:positionV>
            <wp:extent cx="1808480" cy="951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8480" cy="951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 Senior Notes due 2027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offering $100,000,000 principal amount of our % senior notes due 2027 (the “Notes”) as described in this prospectus supplement and the accompanying prospectus. Interest on the Notes will accrue from December , 2022 and will be paid quarterly in arrears on January 31, April 30, July 31 and October 31 of each year, commencing on January 31, 2023, and at maturity. The Notes will mature on December 31, 2027. The Notes will be issued in denominations of $25 and in integral multiples in excess thereof.</w:t>
      </w:r>
    </w:p>
    <w:p>
      <w:pPr>
        <w:spacing w:after="0" w:line="180"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At any time prior to December 31, 2024, we may redeem the Notes for cash in whole or in part at any time at our option at a redemption price equal to 100.0% of the principal amount thereof plus the Make-Whole Amount (as defined in the “Description of the Notes – Optional Redemption”) as of, and accrued and unpaid interest to, but excluding, the date of redemption. We may redeem the Notes for cash in whole or in part at any time at our option</w:t>
      </w:r>
    </w:p>
    <w:p>
      <w:pPr>
        <w:spacing w:after="0" w:line="1" w:lineRule="exact"/>
        <w:rPr>
          <w:sz w:val="24"/>
          <w:szCs w:val="24"/>
          <w:color w:val="auto"/>
        </w:rPr>
      </w:pPr>
    </w:p>
    <w:p>
      <w:pPr>
        <w:jc w:val="both"/>
        <w:ind w:firstLine="8"/>
        <w:spacing w:after="0" w:line="252" w:lineRule="auto"/>
        <w:tabs>
          <w:tab w:leader="none" w:pos="22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See “Description of the Notes — Optional Redemption.” In addition, we are required to redeem the Notes, for cash, in whole but not in part, at the price of $25.50 per note, plus accrued and unpaid interest to, but excluding, the date of redemption, upon occurrence of certain events as described under “Description of the Notes — Mandatory Redemption.”</w:t>
      </w:r>
    </w:p>
    <w:p>
      <w:pPr>
        <w:spacing w:after="0" w:line="19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will be our senior unsecured obligations and will rank equal in right of payment with all of our existing and future senior unsecured and unsubordinated indebtedness, including our outstanding 8.625% Senior Notes due 2026. The Notes will be effectively subordinated in right of payment to all of our existing and future secured indebtedness, and the Notes will be structurally subordinated to all existing and future indebtedness (including trade payables) of our subsidiaries.</w:t>
      </w:r>
    </w:p>
    <w:p>
      <w:pPr>
        <w:spacing w:after="0" w:line="176"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 Notes involves a high degree of risk. You should carefully consider the risks described under “Risk Factors” beginning on page S-9 of this prospectus supplement and in the documents incorporated by reference in this prospectus supplement and the accompanying prospectus.</w:t>
      </w:r>
    </w:p>
    <w:p>
      <w:pPr>
        <w:spacing w:after="0" w:line="17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intend to apply to list the Notes on the Nasdaq Global Market (“Nasdaq”). If approved for listing, trading on Nasdaq is expected to begin within 30 business days of December , 2022, the original issue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114300</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340"/>
        </w:trPr>
        <w:tc>
          <w:tcPr>
            <w:tcW w:w="280" w:type="dxa"/>
            <w:vAlign w:val="bottom"/>
            <w:tcBorders>
              <w:bottom w:val="single" w:sz="8" w:color="CCEEFF"/>
            </w:tcBorders>
          </w:tcPr>
          <w:p>
            <w:pPr>
              <w:spacing w:after="0"/>
              <w:rPr>
                <w:sz w:val="24"/>
                <w:szCs w:val="24"/>
                <w:color w:val="auto"/>
              </w:rPr>
            </w:pPr>
          </w:p>
        </w:tc>
        <w:tc>
          <w:tcPr>
            <w:tcW w:w="25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24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Per Note</w:t>
            </w:r>
          </w:p>
        </w:tc>
        <w:tc>
          <w:tcPr>
            <w:tcW w:w="3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9"/>
                <w:szCs w:val="29"/>
                <w:color w:val="auto"/>
                <w:vertAlign w:val="superscript"/>
              </w:rPr>
              <w:t>(1)</w:t>
            </w:r>
          </w:p>
        </w:tc>
        <w:tc>
          <w:tcPr>
            <w:tcW w:w="100" w:type="dxa"/>
            <w:vAlign w:val="bottom"/>
            <w:tcBorders>
              <w:bottom w:val="single" w:sz="8" w:color="CCEEFF"/>
            </w:tcBorders>
          </w:tcPr>
          <w:p>
            <w:pPr>
              <w:spacing w:after="0"/>
              <w:rPr>
                <w:sz w:val="24"/>
                <w:szCs w:val="24"/>
                <w:color w:val="auto"/>
              </w:rPr>
            </w:pPr>
          </w:p>
        </w:tc>
      </w:tr>
      <w:tr>
        <w:trPr>
          <w:trHeight w:val="243"/>
        </w:trPr>
        <w:tc>
          <w:tcPr>
            <w:tcW w:w="320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Public offering price</w:t>
            </w:r>
            <w:r>
              <w:rPr>
                <w:rFonts w:ascii="Times New Roman" w:cs="Times New Roman" w:eastAsia="Times New Roman" w:hAnsi="Times New Roman"/>
                <w:sz w:val="28"/>
                <w:szCs w:val="28"/>
                <w:color w:val="auto"/>
                <w:vertAlign w:val="superscript"/>
              </w:rPr>
              <w:t>(2)</w:t>
            </w:r>
          </w:p>
        </w:tc>
        <w:tc>
          <w:tcPr>
            <w:tcW w:w="5940" w:type="dxa"/>
            <w:vAlign w:val="bottom"/>
            <w:gridSpan w:val="2"/>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51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21"/>
                <w:szCs w:val="21"/>
                <w:color w:val="auto"/>
              </w:rPr>
            </w:pPr>
          </w:p>
        </w:tc>
      </w:tr>
      <w:tr>
        <w:trPr>
          <w:trHeight w:val="257"/>
        </w:trPr>
        <w:tc>
          <w:tcPr>
            <w:tcW w:w="32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w:t>
            </w:r>
            <w:r>
              <w:rPr>
                <w:rFonts w:ascii="Times New Roman" w:cs="Times New Roman" w:eastAsia="Times New Roman" w:hAnsi="Times New Roman"/>
                <w:sz w:val="29"/>
                <w:szCs w:val="29"/>
                <w:color w:val="auto"/>
                <w:vertAlign w:val="superscript"/>
              </w:rPr>
              <w:t>(3)</w:t>
            </w:r>
          </w:p>
        </w:tc>
        <w:tc>
          <w:tcPr>
            <w:tcW w:w="5940" w:type="dxa"/>
            <w:vAlign w:val="bottom"/>
            <w:gridSpan w:val="2"/>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680" w:type="dxa"/>
            <w:vAlign w:val="bottom"/>
          </w:tcPr>
          <w:p>
            <w:pPr>
              <w:jc w:val="right"/>
              <w:ind w:right="151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2"/>
                <w:szCs w:val="22"/>
                <w:color w:val="auto"/>
              </w:rPr>
            </w:pPr>
          </w:p>
        </w:tc>
      </w:tr>
      <w:tr>
        <w:trPr>
          <w:trHeight w:val="256"/>
        </w:trPr>
        <w:tc>
          <w:tcPr>
            <w:tcW w:w="32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9"/>
                <w:szCs w:val="29"/>
                <w:color w:val="auto"/>
                <w:vertAlign w:val="superscript"/>
              </w:rPr>
              <w:t>(3)</w:t>
            </w:r>
          </w:p>
        </w:tc>
        <w:tc>
          <w:tcPr>
            <w:tcW w:w="5940" w:type="dxa"/>
            <w:vAlign w:val="bottom"/>
            <w:gridSpan w:val="2"/>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51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22"/>
                <w:szCs w:val="22"/>
                <w:color w:val="auto"/>
              </w:rPr>
            </w:pPr>
          </w:p>
        </w:tc>
      </w:tr>
      <w:tr>
        <w:trPr>
          <w:trHeight w:val="223"/>
        </w:trPr>
        <w:tc>
          <w:tcPr>
            <w:tcW w:w="280" w:type="dxa"/>
            <w:vAlign w:val="bottom"/>
          </w:tcPr>
          <w:p>
            <w:pPr>
              <w:spacing w:after="0"/>
              <w:rPr>
                <w:sz w:val="19"/>
                <w:szCs w:val="19"/>
                <w:color w:val="auto"/>
              </w:rPr>
            </w:pPr>
          </w:p>
        </w:tc>
        <w:tc>
          <w:tcPr>
            <w:tcW w:w="9180" w:type="dxa"/>
            <w:vAlign w:val="bottom"/>
            <w:gridSpan w:val="5"/>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2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Assumes no exercise of the option</w:t>
            </w:r>
          </w:p>
        </w:tc>
        <w:tc>
          <w:tcPr>
            <w:tcW w:w="6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described below.</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Plus accrued interest from December</w:t>
            </w:r>
          </w:p>
        </w:tc>
        <w:tc>
          <w:tcPr>
            <w:tcW w:w="6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2022, if the initial settlement occurs after that date.</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340" w:hanging="332"/>
        <w:spacing w:after="0" w:line="26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agreed to pay a structuring fee to B. Riley Securities, Inc. See “Underwriting” for a description of all underwriting compensation payable in connection with this offering. Assumes no exercise of the underwriters’ option described below.</w:t>
      </w:r>
    </w:p>
    <w:p>
      <w:pPr>
        <w:spacing w:after="0" w:line="181"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 $15,000,000 aggregate principal amount of the Notes within 30 days from the date of this prospectus supplement.</w:t>
      </w:r>
    </w:p>
    <w:p>
      <w:pPr>
        <w:sectPr>
          <w:pgSz w:w="11900" w:h="16914" w:orient="portrait"/>
          <w:cols w:equalWidth="0" w:num="1">
            <w:col w:w="11240"/>
          </w:cols>
          <w:pgMar w:left="320" w:top="441" w:right="339" w:bottom="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color w:val="auto"/>
        </w:rPr>
        <w:t>The underwriters expect to deliver the Notes to purchasers in book-entry form through the facilities of The Depository Trust Company for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of its participants on or about December</w:t>
            </w:r>
          </w:p>
        </w:tc>
        <w:tc>
          <w:tcPr>
            <w:tcW w:w="240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 2022.</w:t>
            </w: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414"/>
        </w:trPr>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i w:val="1"/>
                <w:iCs w:val="1"/>
                <w:color w:val="auto"/>
              </w:rPr>
              <w:t>Book-Running Managers</w:t>
            </w:r>
          </w:p>
        </w:tc>
        <w:tc>
          <w:tcPr>
            <w:tcW w:w="9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32"/>
        </w:trPr>
        <w:tc>
          <w:tcPr>
            <w:tcW w:w="29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B. Riley Securities</w:t>
            </w:r>
          </w:p>
        </w:tc>
        <w:tc>
          <w:tcPr>
            <w:tcW w:w="32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Janney Montgomery Scott</w:t>
            </w:r>
          </w:p>
        </w:tc>
        <w:tc>
          <w:tcPr>
            <w:tcW w:w="20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Ladenburg Thalmann</w:t>
            </w:r>
          </w:p>
        </w:tc>
        <w:tc>
          <w:tcPr>
            <w:tcW w:w="300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William Blair</w:t>
            </w:r>
          </w:p>
        </w:tc>
      </w:tr>
      <w:tr>
        <w:trPr>
          <w:trHeight w:val="432"/>
        </w:trPr>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0" w:type="dxa"/>
            <w:vAlign w:val="bottom"/>
          </w:tcPr>
          <w:p>
            <w:pPr>
              <w:jc w:val="center"/>
              <w:ind w:left="1250"/>
              <w:spacing w:after="0"/>
              <w:rPr>
                <w:sz w:val="20"/>
                <w:szCs w:val="20"/>
                <w:color w:val="auto"/>
              </w:rPr>
            </w:pPr>
            <w:r>
              <w:rPr>
                <w:rFonts w:ascii="Times New Roman" w:cs="Times New Roman" w:eastAsia="Times New Roman" w:hAnsi="Times New Roman"/>
                <w:sz w:val="18"/>
                <w:szCs w:val="18"/>
                <w:i w:val="1"/>
                <w:iCs w:val="1"/>
                <w:color w:val="auto"/>
                <w:w w:val="99"/>
              </w:rPr>
              <w:t>Lead Manager</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6"/>
              </w:rPr>
              <w:t>EF Hutton</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division of Benchmark Investments, LLC</w:t>
            </w:r>
          </w:p>
        </w:tc>
        <w:tc>
          <w:tcPr>
            <w:tcW w:w="9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0" w:type="dxa"/>
            <w:vAlign w:val="bottom"/>
          </w:tcPr>
          <w:p>
            <w:pPr>
              <w:jc w:val="center"/>
              <w:ind w:left="1230"/>
              <w:spacing w:after="0"/>
              <w:rPr>
                <w:sz w:val="20"/>
                <w:szCs w:val="20"/>
                <w:color w:val="auto"/>
              </w:rPr>
            </w:pPr>
            <w:r>
              <w:rPr>
                <w:rFonts w:ascii="Times New Roman" w:cs="Times New Roman" w:eastAsia="Times New Roman" w:hAnsi="Times New Roman"/>
                <w:sz w:val="18"/>
                <w:szCs w:val="18"/>
                <w:i w:val="1"/>
                <w:iCs w:val="1"/>
                <w:color w:val="auto"/>
                <w:w w:val="99"/>
              </w:rPr>
              <w:t>Co-Managers</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32"/>
        </w:trPr>
        <w:tc>
          <w:tcPr>
            <w:tcW w:w="29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Aegis Capital Corp.</w:t>
            </w:r>
          </w:p>
        </w:tc>
        <w:tc>
          <w:tcPr>
            <w:tcW w:w="820" w:type="dxa"/>
            <w:vAlign w:val="bottom"/>
          </w:tcPr>
          <w:p>
            <w:pPr>
              <w:spacing w:after="0"/>
              <w:rPr>
                <w:sz w:val="24"/>
                <w:szCs w:val="24"/>
                <w:color w:val="auto"/>
              </w:rPr>
            </w:pPr>
          </w:p>
        </w:tc>
        <w:tc>
          <w:tcPr>
            <w:tcW w:w="35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Huntington Capital Markets</w:t>
            </w:r>
          </w:p>
        </w:tc>
        <w:tc>
          <w:tcPr>
            <w:tcW w:w="900" w:type="dxa"/>
            <w:vAlign w:val="bottom"/>
          </w:tcPr>
          <w:p>
            <w:pPr>
              <w:spacing w:after="0"/>
              <w:rPr>
                <w:sz w:val="24"/>
                <w:szCs w:val="24"/>
                <w:color w:val="auto"/>
              </w:rPr>
            </w:pPr>
          </w:p>
        </w:tc>
        <w:tc>
          <w:tcPr>
            <w:tcW w:w="30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InspereX</w:t>
            </w:r>
          </w:p>
        </w:tc>
      </w:tr>
      <w:tr>
        <w:trPr>
          <w:trHeight w:val="432"/>
        </w:trPr>
        <w:tc>
          <w:tcPr>
            <w:tcW w:w="29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Maxim Group LLC</w:t>
            </w:r>
          </w:p>
        </w:tc>
        <w:tc>
          <w:tcPr>
            <w:tcW w:w="820" w:type="dxa"/>
            <w:vAlign w:val="bottom"/>
          </w:tcPr>
          <w:p>
            <w:pPr>
              <w:spacing w:after="0"/>
              <w:rPr>
                <w:sz w:val="24"/>
                <w:szCs w:val="24"/>
                <w:color w:val="auto"/>
              </w:rPr>
            </w:pPr>
          </w:p>
        </w:tc>
        <w:tc>
          <w:tcPr>
            <w:tcW w:w="35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Newbridge Securities Corporation</w:t>
            </w:r>
          </w:p>
        </w:tc>
        <w:tc>
          <w:tcPr>
            <w:tcW w:w="900" w:type="dxa"/>
            <w:vAlign w:val="bottom"/>
          </w:tcPr>
          <w:p>
            <w:pPr>
              <w:spacing w:after="0"/>
              <w:rPr>
                <w:sz w:val="24"/>
                <w:szCs w:val="24"/>
                <w:color w:val="auto"/>
              </w:rPr>
            </w:pPr>
          </w:p>
        </w:tc>
        <w:tc>
          <w:tcPr>
            <w:tcW w:w="30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Revere Securities LLC</w:t>
            </w:r>
          </w:p>
        </w:tc>
      </w:tr>
      <w:tr>
        <w:trPr>
          <w:trHeight w:val="432"/>
        </w:trPr>
        <w:tc>
          <w:tcPr>
            <w:tcW w:w="2940" w:type="dxa"/>
            <w:vAlign w:val="bottom"/>
          </w:tcPr>
          <w:p>
            <w:pPr>
              <w:spacing w:after="0"/>
              <w:rPr>
                <w:sz w:val="24"/>
                <w:szCs w:val="24"/>
                <w:color w:val="auto"/>
              </w:rPr>
            </w:pPr>
          </w:p>
        </w:tc>
        <w:tc>
          <w:tcPr>
            <w:tcW w:w="4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The date of this prospectus supplement is December</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 2022.</w:t>
            </w:r>
          </w:p>
        </w:tc>
        <w:tc>
          <w:tcPr>
            <w:tcW w:w="3000" w:type="dxa"/>
            <w:vAlign w:val="bottom"/>
          </w:tcPr>
          <w:p>
            <w:pPr>
              <w:spacing w:after="0"/>
              <w:rPr>
                <w:sz w:val="24"/>
                <w:szCs w:val="24"/>
                <w:color w:val="auto"/>
              </w:rPr>
            </w:pPr>
          </w:p>
        </w:tc>
      </w:tr>
      <w:tr>
        <w:trPr>
          <w:trHeight w:val="439"/>
        </w:trPr>
        <w:tc>
          <w:tcPr>
            <w:tcW w:w="29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gridSpan w:val="5"/>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17"/>
                <w:szCs w:val="17"/>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0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3"/>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2"/>
        </w:trPr>
        <w:tc>
          <w:tcPr>
            <w:tcW w:w="10600" w:type="dxa"/>
            <w:vAlign w:val="bottom"/>
            <w:gridSpan w:val="2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 SUPPLEMENT</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30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NOTES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8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MATERIAL U.S. FEDERAL INCOME TAX CONSIDERATIONS</w:t>
            </w:r>
          </w:p>
        </w:tc>
        <w:tc>
          <w:tcPr>
            <w:tcW w:w="492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S-26</w:t>
            </w: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UNDERWRITING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S-33</w:t>
            </w: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S-33</w:t>
            </w:r>
          </w:p>
        </w:tc>
      </w:tr>
      <w:tr>
        <w:trPr>
          <w:trHeight w:val="176"/>
        </w:trPr>
        <w:tc>
          <w:tcPr>
            <w:tcW w:w="50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5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S-33</w:t>
            </w:r>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40" w:type="dxa"/>
            <w:vAlign w:val="bottom"/>
            <w:gridSpan w:val="4"/>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640" w:type="dxa"/>
            <w:vAlign w:val="bottom"/>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76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DEPOSITARY SHARES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WARRANTS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288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UNITS</w:t>
            </w:r>
          </w:p>
        </w:tc>
        <w:tc>
          <w:tcPr>
            <w:tcW w:w="772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342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18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50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5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is a supplement to the accompanying prospectus. This prospectus supplement and the accompanying prospectus are part of a registration statement that we filed with the Securities and Exchange Commission, or SEC, utilizing a shelf registration process. This prospectus supplement provides you with specific information about this offering, including the price and terms of the Notes being offered and the risk of investing in our securities. The accompanying prospectus provides more general information, some of which may not apply to this offering. This prospectus supplement also adds to, updates and changes information contained in the accompanying prospectus. To the extent the information in this prospectus supplement is different from that in the accompanying prospectus, you should rely on the information in this prospectus supplement. You should read this prospectus supplement, the accompanying prospectus, and any related free writing prospectus together with the additional information described in the sections entitled “Incorporation of Certain Documents by Reference” and “Where You Can Find More Information” of this prospectus supplement.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We have not, and the underwriters have not, authorized any person to provide you with any information other than that contained in or incorporated by reference into this prospectus supplement and the accompanying prospectus or that is contained in any free writing prospectus issued by or on behalf of us or to which we have referred you. Neither we nor the underwriters take any responsibility for, and can provide no assurances as to the reliability of, any other information that others may give to you. This prospectus supplement, the accompanying prospectus and any applicable free writing prospectus is not an offer to sell, nor is it seeking an offer to buy, these securities in any state where the offer or sale is not permitted. The information in this prospectus supplement and the accompanying prospectus is complete and accurate as of the date on the front cover of this prospectus supplement, but the information and our business, cash flows, condition (financial and otherwise), liquidity, prospects and results of operations may have changed since that date.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or sale of these securities in some jurisdictions may be restricted by law. Persons outside of the United States who come into possession of this prospectus supplement and the accompanying prospectus are required by us and the underwriters to inform themselves about and to observe any applicable restrictions. This prospectus supplement and the accompanying prospectus may not be used for or in connection with an offer or solicitation by any person in any jurisdiction in which that offer or solicitation is not authorized or to any person to whom it is unlawful to make that offer or solicitation.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investing in our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and incorporate by reference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Generally, the words “anticipate,” “believe,” “continue,” “expect,” “intend,” “estimate,” “project,” “plan” and similar expressions identify forward-looking statements. In particular, statements about our expectations, beliefs, plans, objectives, assumptions or future events or performance contain forward-looking statements.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our Annual Report on Form 10-K for the year ended December 31, 2021, Quarterly Reports on Form 10-Q for the quarters ended March 31, 2022, June 30, 2022 and September 30, 2022, and other documents that we file from time to time with the SEC that are incorporated by reference in this prospectus supplement and the accompanying prospectus.</w:t>
      </w:r>
    </w:p>
    <w:p>
      <w:pPr>
        <w:spacing w:after="0" w:line="197"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This list of risks and uncertainties, however, is only a summary of some of the most important factors and is not intended to be exhaustive. 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prospectus supplement. Except as otherwise required by applicable law, we do not undertake and expressly disclaim any obligation to update any such statements or to publicly announce the results of any revisions to any such statements to reflect future events or developments. All subsequent written and oral forward-looking statements attributable to us, or to persons acting on our behalf, are expressly qualified in their entirety by these cautionary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7162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716216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or incorporated by reference in this prospectus supplement and the accompanying prospectus. This summary is not complete and does not contain all of the information that you should consider when making your investment decision. You should carefully read the entire prospectus supplement, the accompanying prospectus and the information incorporated herein by reference, including the section entitled “Risk Factors” beginning on page S-9 of this prospectus supplement and the “Risk Factors” section in the accompanying prospectus, in our Annual Report on Form 10-K for the year ended December 31, 2021, Quarterly Reports on Form 10-Q for the quarters ended March 31, 2022, June 30, 2022 and September 30, 2022, and in our other reports that we file with the SEC that are incorporated by reference into this prospectus supplement and the accompanying prospectus.</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this prospectus supplement, unless the context requires otherwise, references to “Harrow,” the “Company,” “we,” “us” and “our” refer to Harrow Health, Inc., together with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eyecare pharmaceutical company exclusively focused on the discovery, development, and commercialization of innovative ophthalmic therapies that are accessible and affordable.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owns non-controlling equity positions in Surface Ophthalmics, Inc. (“Surface”) and Melt Pharmaceuticals, Inc. (“Melt”), both companies that began as subsidiaries of Harrow. Harrow also owns royalty rights in various drug candidates being developed by Surface and Melt.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ImprimisRx</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ImprimisRx is our ophthalmology-focused prescription pharmaceutical compounding business. From its inception in 2014, ImprimisRx, which consists of integrated research and development, production, dispensing/distribution, sales, marketing, and customer service capabilities, has offered physician customers and their patients access to critical medicines to meet their clinical needs. Initially, ImprimisRx focused exclusively on compounded medications to serve needs unmet by commercially available medications. We also make these unique formulations available at prices that are, in most cases, lower than non-customized commercial medications. ImprimisRx’s customer base has grown to include more than 10,000 U.S. eyecare dedicated prescribers and institutions. Our current ophthalmology formulary includes over twenty compounded formulations, many of which are patented or patent-pending, and are customizable for the specific needs of a patient. Some of our compounded medications are various combinations of drugs formulated into one bottle and others are preservative free formulations. Depending on the formulation, the regulations of a specific state, and ultimately, the needs of the patient, ImprimisRx products may be dispensed (a) as patient-specific medications from our 503A pharmacy; or, (b) for in-office use made according to current good manufacturing practices (or “cGMPs”) or other FDA-guidance documents, in our FDA-registered New Jersey outsourcing facility (“NJOF”). In August 2020, ImprimisRx entered into a Commercial Alliance Agreement (the “Dexycu Agreement”) with Eyepoint Pharmaceuticals, Inc. (“Eyepoint”), pursuant to which Eyepoint granted ImprimisRx the right to promote DEXYCU® (dexamethasone intraocular suspension) 9% for the treatment of post-operative inflammation following ocular surgery in the United States. Pursuant to the Dexycu Agreement, Eyepoint pays ImprimisRx a fee that is calculated based on the quarterly sales of DEXYCU in the U.S. In October 2022, we entered into a mutual termination agreement with Eyepoint, pursuant to which we agreed to (a) continue to support the sale of DEXYCU through the fourth quarter of 2022, consistent with our level of effort during the January through June 2022 period, (b) decrease the required minimum quarterly sales levels based on DEXYCU unit demand for the fourth quarter of 2022, and (c) terminate the Dexycu Agreement, along with ancillary letter agreements, effective January 1, 2023. As a result, we expect our commissions from sales of DEXYCU to decrease through the end of 2022 and cease in 2023; however such effect is not expected to have a material impact on our business, financial statements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Branded Pharmaceuticals and Drug Candidates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 the past two years, in order to more fully serve the needs of our growing customer base, we have invested in broadening our product portfolio to include FDA-approved products. Our investments in this regard have led to the pursuit and completion of several announced transactions, and others we are continuing to pursue, all of which are focused in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145415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8696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8696325"/>
                    </a:xfrm>
                    <a:prstGeom prst="rect">
                      <a:avLst/>
                    </a:prstGeom>
                    <a:noFill/>
                  </pic:spPr>
                </pic:pic>
              </a:graphicData>
            </a:graphic>
          </wp:anchor>
        </w:drawing>
        <w:t>IOPIDINE®, MAXITROL®, MOXEZA®</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2021, we acquired U.S. commercial rights to four FDA-approved ophthalmic medicines: IOPIDINE 1% and 0.5% (apraclonidine hydrochloride); MAXITROL (neomycin/polymyxin B/dexamethasone) ophthalmic suspension; and MOXEZA (moxifloxacin hydrochloride). We believe by expanding our product portfolio to include branded FDA-approved products, we will be uniquely positioned to leverage our commercial platform to introduce unique lifecycle management strategies that could grow sales and address needs of our customers that we are unable to meet with our other compounded product offerings.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of closing the acquisition of the four products, we agreed to a transitional period with the seller, which lasted nine months following the closing of the transaction. During the transition period, the seller continued to sell the products and transferred the net profit from those sales to us. Following the transition period which ended in June 2022, we made IOPIDINE 1% and MAXITROL commercially available, and expect to re-launch MOXEZA at a later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IHEEZO</w:t>
      </w:r>
      <w:r>
        <w:rPr>
          <w:rFonts w:ascii="Times New Roman" w:cs="Times New Roman" w:eastAsia="Times New Roman" w:hAnsi="Times New Roman"/>
          <w:sz w:val="29"/>
          <w:szCs w:val="29"/>
          <w:i w:val="1"/>
          <w:iCs w:val="1"/>
          <w:color w:val="auto"/>
          <w:vertAlign w:val="superscript"/>
        </w:rPr>
        <w:t>TM</w:t>
      </w:r>
    </w:p>
    <w:p>
      <w:pPr>
        <w:spacing w:after="0" w:line="1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2021, we acquired the exclusive marketing and supply rights to IHEEZO (chloroprocaine hydrochloride ophthalmic gel) 3% in the U.S. and Canada for ocular surface anesthesia from Sintetica S.A. (“Sintetica”). The FDA approved IHEEZO for ocular surface anesthesia in September 2022. IHEEZO is protected by an Orange Book listed patent that is valid until 2038. We expect to commercially launch IHEEZO in the U.S. market during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MAQ-100</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we acquired the exclusive marketing rights to MAQ-100 in the U.S. and Canada from Wakamoto Pharmaceutical Co., Ltd. (“Wakamoto”). MAQ-100 is a preservative-free triamcinolone acetonide ophthalmic injection drug candidate. MAQ-100 is marketed and sold by Wakamoto in Japan as MaQaid®. Following Japan’s Ministry of Health Labor and Welfare (“MHLW”) approval, MaQaid was launched in Japan in 2010, indicated as an intravitreal injection for visualization for vitrectomy. Since its initial MHLW approval, the indication for MaQaid was expanded to include (a) treatments for alleviation of diabetic macular edema, (b) macular edema associated with retinal vein occlusion (or RVO), and (c) non-infectious uveitis. We intend to leverage the clinical data used for Japanese market approval of MaQaid to support a clinical program and U.S. market NDA submission of MAQ-100 for visualization during vitrectomy. In August 2022, we had a Type B meeting with the FDA to discuss our planned clinical program for MAQ-100. The FDA provided clarity on what would be required for a future NDA filing of MAQ-100, and we are working with Wakamoto accordingly in an effort to efficiently advance the clinical program of MAQ-100.</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continue to acquire and/or develop additional FDA-approved/approvable ophthalmic products and product candidates that will allow us to leverage our commercial infrastructure to promote, sell, and ultimately bring these products to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Carved-Out Businesses (De-Consolidated Businesses)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ownership interests in Surface, Melt, and Eton Pharmaceuticals, Inc. (“Eton”) and hold royalty interests in some of Surface’s and Melt’s drug candidates. These companies are pursuing market approval for their drug candidates under the Food Drug and Cosmetic Act, including in some instances under the abbreviated pathway described in Section 505(b)(2), which permits the submission of an NDA where at least some of the information required for approval comes from studies not conducted by or for the applicant and for which the applicant has not obtained a right of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Equity Interests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Surface Ophthalmics, Inc.</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Surface is a clinical-stage pharmaceutical company focused on development and commercialization of innovative therapeutics for ocular surface diseases.</w:t>
      </w:r>
    </w:p>
    <w:p>
      <w:pPr>
        <w:spacing w:after="0" w:line="162" w:lineRule="exact"/>
        <w:rPr>
          <w:sz w:val="20"/>
          <w:szCs w:val="20"/>
          <w:color w:val="auto"/>
        </w:rPr>
      </w:pPr>
    </w:p>
    <w:p>
      <w:pPr>
        <w:jc w:val="both"/>
        <w:ind w:left="1300" w:right="20" w:hanging="647"/>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SURF-100 for Chronic Dry Eye Disease</w:t>
      </w:r>
      <w:r>
        <w:rPr>
          <w:rFonts w:ascii="Times New Roman" w:cs="Times New Roman" w:eastAsia="Times New Roman" w:hAnsi="Times New Roman"/>
          <w:sz w:val="18"/>
          <w:szCs w:val="18"/>
          <w:color w:val="auto"/>
        </w:rPr>
        <w:t>: Surface completed its 350-patient Phase 2 clinical trial, comparing five active arms of SURF-100 study drugs with the current market-leading prescription chronic dry eye treatments. According to Surface, the SURF-100 Phase 2 clinical trial achieved positive results for both signs and symptoms of chronic dry eye disease, as well as generating positive data on onset and duration of action.</w:t>
      </w:r>
    </w:p>
    <w:p>
      <w:pPr>
        <w:spacing w:after="0" w:line="179" w:lineRule="exact"/>
        <w:rPr>
          <w:rFonts w:ascii="Times New Roman" w:cs="Times New Roman" w:eastAsia="Times New Roman" w:hAnsi="Times New Roman"/>
          <w:sz w:val="18"/>
          <w:szCs w:val="18"/>
          <w:color w:val="auto"/>
        </w:rPr>
      </w:pPr>
    </w:p>
    <w:p>
      <w:pPr>
        <w:ind w:left="1300" w:right="20" w:hanging="647"/>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SURF-200 for Acute Dry Eye</w:t>
      </w:r>
      <w:r>
        <w:rPr>
          <w:rFonts w:ascii="Times New Roman" w:cs="Times New Roman" w:eastAsia="Times New Roman" w:hAnsi="Times New Roman"/>
          <w:sz w:val="18"/>
          <w:szCs w:val="18"/>
          <w:color w:val="auto"/>
        </w:rPr>
        <w:t>: Surface has completed enrollment of its Phase 2 clinical trial for SURF-200 and expects to announce top-line results later this year.</w:t>
      </w:r>
    </w:p>
    <w:p>
      <w:pPr>
        <w:spacing w:after="0" w:line="161" w:lineRule="exact"/>
        <w:rPr>
          <w:rFonts w:ascii="Times New Roman" w:cs="Times New Roman" w:eastAsia="Times New Roman" w:hAnsi="Times New Roman"/>
          <w:sz w:val="18"/>
          <w:szCs w:val="18"/>
          <w:color w:val="auto"/>
        </w:rPr>
      </w:pPr>
    </w:p>
    <w:p>
      <w:pPr>
        <w:jc w:val="both"/>
        <w:ind w:left="1300" w:right="20" w:hanging="647"/>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SURF-201 for Pain and Inflammation Following Ocular Surgery</w:t>
      </w:r>
      <w:r>
        <w:rPr>
          <w:rFonts w:ascii="Times New Roman" w:cs="Times New Roman" w:eastAsia="Times New Roman" w:hAnsi="Times New Roman"/>
          <w:sz w:val="18"/>
          <w:szCs w:val="18"/>
          <w:color w:val="auto"/>
        </w:rPr>
        <w:t>: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140335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2" w:right="499" w:bottom="1440" w:gutter="0" w:footer="0" w:header="0"/>
        </w:sectPr>
      </w:pPr>
    </w:p>
    <w:bookmarkStart w:id="6" w:name="page7"/>
    <w:bookmarkEnd w:id="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927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5927725"/>
                    </a:xfrm>
                    <a:prstGeom prst="rect">
                      <a:avLst/>
                    </a:prstGeom>
                    <a:noFill/>
                  </pic:spPr>
                </pic:pic>
              </a:graphicData>
            </a:graphic>
          </wp:anchor>
        </w:drawing>
        <w:t>In 2018, Surface closed an offering of its Series A Preferred Stock. At that time, we lost our controlling interest and deconsolidated Surface from our consolidated financial statements. During May, June and July of 2021, Surface closed an offering of its preferred stock at a purchase price of $4.50 per share resulting in gross proceeds to Surface of approximately $25,000,000 (the “Surface Series B Offering”). We own 3,500,000 shares of Surface common stock, which was approximately 20% of Surface’s equity and voting interests as of September 30, 2022. Harrow owns mid-single digit royalty rights on net sales of SURF-100, SURF-200 and SURF-201.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 Pharmaceuticals, Inc.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pursuant to which Harrow assigned to Melt the underlying intellectual property for Melt’s current pipeline, including its lead drug candidate MELT-300. The core intellectual property Melt owns is a patented series of combination non-opioid sedation drug formulations that we estimate to have multitudinous applications.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MELT-300 is a novel, sublingually delivered, non-IV, opioid-free drug candidate being developed for procedural sedation. Melt filed an investigational new drug application (“IND”) with the FDA in June 2020 and began its clinical program for MELT-300. In February 2021, Melt announced data from, and the successful completion of, its Phase 1 study. Melt began enrolling patients in its Phase 2 study for MELT-300 during the fourth quarter of 2021, and we expect Melt to release top-line data related to this study sometime during the fourth quarter of 2022.</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2019, Melt closed an offering of its Series A Preferred Stock. At that time, we gave up our controlling interest and deconsolidated Melt from our consolidated financial statements. We own 3,500,000 shares of Melt common stock, which was approximately 46% of Melt’s equity and voting interests issued and outstanding as of September 30, 2022. In September 2021, we provided Melt with a senior secured loan with a principal amount of $13,500,000, which is intended, among other things, to fund the Phase 2 program of MELT-300. In connection with the loan, we were given the right, but not the obligation, to match any offer received by Melt associated with the commercial rights to any of its drug candidates for a period of five years. In September 2022, Melt filed a registration statement on Form S-1 with the United States Securities and Exchange Commission related to an initial public offering of Melt’s common stock in an underwritten offering (the “Melt IPO”). The registration statement contains, among other things, a description of Melt’s business, financial statements and strategic plans. If the Melt IPO is completed, we expect to settle $10,000,000 of the principal balance of our loan to Melt in exchange for Melt common stock at the price of the Melt IPO, net of any underwriting discounts.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Eton Pharmaceuticals, Inc.</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Eton is an innovative pharmaceutical company focused on developing, acquiring, and commercializing treatments for rare diseases. Eton currently commercializes ALKINDI SPRINKLE® and Carglumic Acid tablets and has four additional rare disease products under development, including dehydrated alcohol injection and the ZENEO® hydrocortisone autoinjector. In May 2017, we gave up our controlling interest in Eton. We own 1,982,000 shares of Eton common stock, which was less than 10% of the equity and voting interests issued and outstanding of Eton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145415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7985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7985125"/>
                    </a:xfrm>
                    <a:prstGeom prst="rect">
                      <a:avLst/>
                    </a:prstGeom>
                    <a:noFill/>
                  </pic:spPr>
                </pic:pic>
              </a:graphicData>
            </a:graphic>
          </wp:anchor>
        </w:drawing>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from Novartis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13, 2022, we entered into an Asset Purchase Agreement (the “Purchase Agreement”) with Novartis Technology, LLC and Novartis Innovative Therapies AG (together, “Novartis”), pursuant to which the Company agreed to purchase from Novartis the exclusive commercial rights to assets associated with the following ophthalmic products (collectively the “Products”) in the U.S. (the “Acquisition”) :</w:t>
      </w:r>
    </w:p>
    <w:p>
      <w:pPr>
        <w:spacing w:after="0" w:line="176" w:lineRule="exact"/>
        <w:rPr>
          <w:sz w:val="20"/>
          <w:szCs w:val="20"/>
          <w:color w:val="auto"/>
        </w:rPr>
      </w:pPr>
    </w:p>
    <w:p>
      <w:pPr>
        <w:ind w:left="66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ILEVRO® (nepafenac ophthalmic suspension) 0.3%, a non-steroidal, anti-inflammatory eye drop indicated for pain and inflammation associated with cataract surgery.</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NEVANAC® (nepafenac ophthalmic suspension) 0.1%, a non-steroidal, anti-inflammatory eye drop indicated for pain and inflammation associated with cataract surgery.</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VIGAMOX® (moxifloxacin hydrochloride ophthalmic solution) 0.5%, a fluoroquinolone antibiotic eye drop for the treatment of bacterial conjunctivitis caused by susceptible strains of organisms.</w:t>
      </w:r>
    </w:p>
    <w:p>
      <w:pPr>
        <w:spacing w:after="0" w:line="161"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MAXIDEX® (dexamethasone ophthalmic suspension) 0.1%, a steroid eye drop for steroid-responsive inflammatory conditions of the palpebral and bulbar conjunctiva, cornea, and anterior segment of the globe.</w:t>
      </w:r>
    </w:p>
    <w:p>
      <w:pPr>
        <w:spacing w:after="0" w:line="161" w:lineRule="exact"/>
        <w:rPr>
          <w:rFonts w:ascii="Times New Roman" w:cs="Times New Roman" w:eastAsia="Times New Roman" w:hAnsi="Times New Roman"/>
          <w:sz w:val="18"/>
          <w:szCs w:val="18"/>
          <w:color w:val="auto"/>
        </w:rPr>
      </w:pPr>
    </w:p>
    <w:p>
      <w:pPr>
        <w:ind w:left="660" w:hanging="331"/>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TRIESENCE® (triamcinolone acetonide injectable suspension) 40 mg/ml, a steroid injection for the treatment of certain ophthalmic diseases and for visualization during vitrectomy.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Purchase Agreement, we will make a one-time payment of $130,000,000 at closing, with up to another $45,000,000 due in a milestone payment related to the commercial availability of Triesence. The Acquisition is expected to close in the first quarter of 2023, subject to the satisfaction of customary closing conditions, including clearance under the Hart-Scott Rodino Antitrust Improvements Act. Pursuant to the Purchase Agreement and various ancillary agreements, immediately following the closing and subject to certain conditions, for a period that we expect to last approximately six months, and prior to the transfer of the Products new drug applications (the “NDAs”) to us, Novartis will continue to sell the Products on our behalf and transfer the net profit from the sale of the Products to us. Novartis has agreed to supply certain Products to the Company for a period of time after the NDAs are transferred to us and to assist with technology transfer of the Products manufacturing to other third-party manufacturers, if needed.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the Acquisition will help accelerate our vision of becoming a leading U.S. ophthalmic pharmaceutical company. Some of these products are patent protected with established insurance coverage, their brand names are well-known in the ophthalmology industry, and have other unique competitive advantages we intend to utilize to grow sales. We believe these five branded products provide an excellent complement to our existing portfolio of ophthalmic prescription products and will be of tremendous value to our customers – giving them more choices and flexibility when considering the best treatment options for their patients and the specific needs of their practices. As such, we intend to leverage our existing commercial infrastructure and shared resources to generate economies of scale, expand and grow our overall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Adjusted EBITDA and Financial Impact of the Acquisition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Company’s results of operations determined in accordance with U.S. generally accepted accounting principles (GAAP), which are presented and discussed in the Company’s Annual Report on Form 10-K and quarterly reports on Form 10-Q incorporated by reference in this prospectus, management also utilizes Adjusted EBITDA, an unaudited financial measure that is not calculated in accordance with GAAP, to evaluate the Company’s financial results and performance and to plan and forecast future periods. Investors are encouraged to review the Company’s complete results of operations and additional information provided in the Company’s Annual Report on Form 10-K and quarterly reports on Form 10-Q incorporated by reference to this prospectus. Management believes that the non-GAAP financial measure reflects an additional way of viewing aspects of the Company’s operations that, when viewed with GAAP results, provides a more complete understanding of the Company’s results of operations and the factors and trends affecting its business.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Given the expected significant impact of the Products acquired in the Acquisition on the Company’s financial results and performance, management believes that it would be meaningful to investors for the Company to present pro forma Adjusted EBITDA for the most recent twelve-month period reflecting management’s estimate of the impact of the Acquisition on Adjusted EBITDA. Historical and pro forma Adjusted EBITDA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6664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6664960"/>
                    </a:xfrm>
                    <a:prstGeom prst="rect">
                      <a:avLst/>
                    </a:prstGeom>
                    <a:noFill/>
                  </pic:spPr>
                </pic:pic>
              </a:graphicData>
            </a:graphic>
          </wp:anchor>
        </w:drawing>
        <w:t>For the twelve months ended September 30, 2022, the Company generated $13.4 million of Adjusted EBITDA. In the fourth quarter of 2021, the Company expensed $3.1 million of costs in connection with a milestone payment for IHEEZO prior to FDA approval which was accounted for as an acquisition of in-process research and development (“IPR&amp;D”). Management estimates that during the twelve months ended September 30, 2022, the Products acquired in the Acquisition with near immediate commercial availability (Ilevro, Nevanac, Vigamox and Maxidex) would have generated Adjusted EBITDA of $33.3 million which, when aggregated with the Company’s historical Adjusted EBITDA and the acquired IPR&amp;D costs would result in a sum of $49.8 million for the twelve months ended September 30, 2022. Management’s estimate of Adjusted EBITDA generated by the Acquisition for the twelve months ended September 30, 2022 assumes that the Acquisition was completed on October 1, 2021 and does not include sales figures associated with Triesence due to lack of commercial availability, among other factors, and is based on estimates of sales, cost of goods sold and marketing fees provided by Novartis as well as other estimates by management of the Company.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pro forma Adjusted EBITDA, a non-GAAP measure, to the most comparable GAAP measure, net loss, for the twelve months ended September 30, 2022 (amounts in thousands):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Twelve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Harrow Health Historical Adjusted EBITDA</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Loss(1)</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and Expenses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Loss,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Harrow Health Historical Adjusted EBITDA</w:t>
            </w:r>
          </w:p>
        </w:tc>
        <w:tc>
          <w:tcPr>
            <w:tcW w:w="20" w:type="dxa"/>
            <w:vAlign w:val="bottom"/>
          </w:tcPr>
          <w:p>
            <w:pPr>
              <w:spacing w:after="0"/>
              <w:rPr>
                <w:sz w:val="17"/>
                <w:szCs w:val="17"/>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7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Management Estimate of Acquired Asset EBITDA</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7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Harrow Health Historical Adjusted EBITDA + Management Estimate of Acquired Adjusted</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60" w:hanging="7"/>
        <w:spacing w:after="0" w:line="261" w:lineRule="auto"/>
        <w:tabs>
          <w:tab w:leader="none" w:pos="9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during the period presented includes $3,117 of acquired IPR&amp;D costs associated with the acquisition of IHEEZO. The Company recently made a change to its methodology for reporting of Adjusted EBITDA to include IPR&amp;D charges. During the 2021 reporting periods, including the fourth quarter of 2021, the IPR&amp;D costs associated with acquisition of IHEEZO and similar IPR&amp;D transactions were excluded from Adjusted EBITDA for reporting purposes.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Offering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13, 2022, we also sold, by means of a separate prospectus supplement, 2,376,426 shares of our common stock, par value $0.001 per share to certain institutional investors for aggregate gross proceeds of approximately $25,000,000. This prospectus supplement does not constitute an offer to buy any securities offered in the common stock offering. See “Use of Proceeds” in this prospectus supplement for additional information regarding the anticipated use of proceeds for the proceeds from this offering and the offering of the common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379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5379085"/>
                    </a:xfrm>
                    <a:prstGeom prst="rect">
                      <a:avLst/>
                    </a:prstGeom>
                    <a:noFill/>
                  </pic:spPr>
                </pic:pic>
              </a:graphicData>
            </a:graphic>
          </wp:anchor>
        </w:drawing>
        <w:t>Financing Commitments / Other Financing Transactions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aggregate gross proceeds from this offering are less than $100 million, BRS has committed to provide, through one or more affiliates, secured term indebtedness to the Company (the “Proposed Secured Loan”) in an amount equal to any such shortfall. The Proposed Secured Loan would have a three-year term, bear interest at a per annum rate equal to the interest rate established for the Notes issued in this offering less one percent (1.00%), and shall be secured by liens on substantially all the assets of the Company and its subsidiaries. The Proposed Secured Loan would provide for scheduled quarterly amortization payments of 2.5% of the original principal balance of the Proposed Secured Loan, and for mandatory prepayments of excess cash flow, proceeds of certain debt financings, and other customary prepayment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Divestment of Non-Ophthalmic Revenues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October 2022, we entered into an Asset Purchase Agreement (the “RPC Agreement”) with Innovation Compounding Pharmacy, LLC (the “Buyer”). The closing of the RPC Agreement was made effective on September 30, 2022. Under the terms of the RPC Agreement, the Company agreed to sell substantially all its assets associated with its non-ophthalmology related compounding business, including but not limited to, certain intellectual property rights, customer lists, databases, and formulations (the “RPC Assets”). The Buyer agreed to make offers of employment to six of the Company’s employees that were responsible for the sales activities associated with the RPC Assets. In connection with the RPC Agreement, the Company entered into a separate transition services agreement with the Buyer related to providing on going services, such as procuring and dispensing prescription orders associated with RPC Assets. The Company expects to provide transition services to the Buyer for up to six months following the effective date of the RPC Agreement. Under the terms of the RPC Agreement, the Buyer paid to the Company an aggregate cash amount of $6,000,000 on October 5, 2022. In addition, the Buyer is obligated to pay up to $4,500,000 to the Company based on mutually agreed upon revenue milestones during the calendar year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Times New Roman" w:cs="Times New Roman" w:eastAsia="Times New Roman" w:hAnsi="Times New Roman"/>
          <w:sz w:val="18"/>
          <w:szCs w:val="18"/>
          <w:i w:val="1"/>
          <w:iCs w:val="1"/>
          <w:color w:val="auto"/>
        </w:rPr>
        <w:t>harrowinc.com</w:t>
      </w:r>
      <w:r>
        <w:rPr>
          <w:rFonts w:ascii="Times New Roman" w:cs="Times New Roman" w:eastAsia="Times New Roman" w:hAnsi="Times New Roman"/>
          <w:sz w:val="18"/>
          <w:szCs w:val="18"/>
          <w:color w:val="auto"/>
        </w:rPr>
        <w:t>. Information contained on our website is not deemed part of this prospectus supplement or the accompanying prospectus and is not incorporated in this prospectus supplement, the accompanying prospectus or any other document that we file with the SEC by reference.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2" w:right="4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7436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t>The Offering</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 brief summary of certain material terms of the Notes. For more complete information about the Notes, see “Description of the Notes”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Harrow Health,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the Securities:</w:t>
            </w:r>
          </w:p>
        </w:tc>
        <w:tc>
          <w:tcPr>
            <w:tcW w:w="76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Senior Notes due 2027</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Aggregate Principal Amount Offered:</w:t>
            </w:r>
          </w:p>
        </w:tc>
        <w:tc>
          <w:tcPr>
            <w:tcW w:w="1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$100,000,000</w:t>
            </w:r>
          </w:p>
        </w:tc>
        <w:tc>
          <w:tcPr>
            <w:tcW w:w="6140" w:type="dxa"/>
            <w:vAlign w:val="bottom"/>
          </w:tcPr>
          <w:p>
            <w:pPr>
              <w:spacing w:after="0"/>
              <w:rPr>
                <w:sz w:val="24"/>
                <w:szCs w:val="24"/>
                <w:color w:val="auto"/>
              </w:rPr>
            </w:pP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Notes:</w:t>
            </w: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underwriters may also purchase from the Company up to an additional $15,000,000 aggregate</w:t>
            </w:r>
          </w:p>
        </w:tc>
      </w:tr>
      <w:tr>
        <w:trPr>
          <w:trHeight w:val="234"/>
        </w:trPr>
        <w:tc>
          <w:tcPr>
            <w:tcW w:w="3320" w:type="dxa"/>
            <w:vAlign w:val="bottom"/>
          </w:tcPr>
          <w:p>
            <w:pPr>
              <w:spacing w:after="0"/>
              <w:rPr>
                <w:sz w:val="20"/>
                <w:szCs w:val="20"/>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principal amount of the Notes, within 30 days of the date of this prospectus supplement.</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Initial Public Offering Price:</w:t>
            </w: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100% of the principal amount</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w:t>
            </w:r>
          </w:p>
        </w:tc>
        <w:tc>
          <w:tcPr>
            <w:tcW w:w="614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 2022</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Notes will mature on December 31, 2027, unless redeemed prior to maturity.</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76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per year, payable quarterly in arrears on January 31, April 30, July 31 and October 31 of</w:t>
            </w:r>
          </w:p>
        </w:tc>
      </w:tr>
      <w:tr>
        <w:trPr>
          <w:trHeight w:val="216"/>
        </w:trPr>
        <w:tc>
          <w:tcPr>
            <w:tcW w:w="3320" w:type="dxa"/>
            <w:vAlign w:val="bottom"/>
          </w:tcPr>
          <w:p>
            <w:pPr>
              <w:spacing w:after="0"/>
              <w:rPr>
                <w:sz w:val="18"/>
                <w:szCs w:val="18"/>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each year, commencing on January 31, 2023, and at maturity. If an interest payment date falls on a</w:t>
            </w:r>
          </w:p>
        </w:tc>
      </w:tr>
      <w:tr>
        <w:trPr>
          <w:trHeight w:val="216"/>
        </w:trPr>
        <w:tc>
          <w:tcPr>
            <w:tcW w:w="3320" w:type="dxa"/>
            <w:vAlign w:val="bottom"/>
          </w:tcPr>
          <w:p>
            <w:pPr>
              <w:spacing w:after="0"/>
              <w:rPr>
                <w:sz w:val="18"/>
                <w:szCs w:val="18"/>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day other than a business day, the applicable interest payment will be made on the next business</w:t>
            </w:r>
          </w:p>
        </w:tc>
      </w:tr>
      <w:tr>
        <w:trPr>
          <w:trHeight w:val="234"/>
        </w:trPr>
        <w:tc>
          <w:tcPr>
            <w:tcW w:w="3320" w:type="dxa"/>
            <w:vAlign w:val="bottom"/>
          </w:tcPr>
          <w:p>
            <w:pPr>
              <w:spacing w:after="0"/>
              <w:rPr>
                <w:sz w:val="20"/>
                <w:szCs w:val="20"/>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day and no additional interest will accrue as a result of such delayed payment.</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1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None.</w:t>
            </w:r>
          </w:p>
        </w:tc>
        <w:tc>
          <w:tcPr>
            <w:tcW w:w="6140" w:type="dxa"/>
            <w:vAlign w:val="bottom"/>
          </w:tcPr>
          <w:p>
            <w:pPr>
              <w:spacing w:after="0"/>
              <w:rPr>
                <w:sz w:val="24"/>
                <w:szCs w:val="24"/>
                <w:color w:val="auto"/>
              </w:rPr>
            </w:pP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Notes will be senior unsecured obligations of the Company, and will rank equal in right of</w:t>
            </w:r>
          </w:p>
        </w:tc>
      </w:tr>
      <w:tr>
        <w:trPr>
          <w:trHeight w:val="216"/>
        </w:trPr>
        <w:tc>
          <w:tcPr>
            <w:tcW w:w="3320" w:type="dxa"/>
            <w:vAlign w:val="bottom"/>
          </w:tcPr>
          <w:p>
            <w:pPr>
              <w:spacing w:after="0"/>
              <w:rPr>
                <w:sz w:val="18"/>
                <w:szCs w:val="18"/>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payment with all of its other existing and future senior unsecured and unsubordinated indebtedness,</w:t>
            </w:r>
          </w:p>
        </w:tc>
      </w:tr>
      <w:tr>
        <w:trPr>
          <w:trHeight w:val="216"/>
        </w:trPr>
        <w:tc>
          <w:tcPr>
            <w:tcW w:w="3320" w:type="dxa"/>
            <w:vAlign w:val="bottom"/>
          </w:tcPr>
          <w:p>
            <w:pPr>
              <w:spacing w:after="0"/>
              <w:rPr>
                <w:sz w:val="18"/>
                <w:szCs w:val="18"/>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including our outstanding 8.625% Senior Notes due 2026. The Notes will be effectively</w:t>
            </w:r>
          </w:p>
        </w:tc>
      </w:tr>
      <w:tr>
        <w:trPr>
          <w:trHeight w:val="216"/>
        </w:trPr>
        <w:tc>
          <w:tcPr>
            <w:tcW w:w="3320" w:type="dxa"/>
            <w:vAlign w:val="bottom"/>
          </w:tcPr>
          <w:p>
            <w:pPr>
              <w:spacing w:after="0"/>
              <w:rPr>
                <w:sz w:val="18"/>
                <w:szCs w:val="18"/>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subordinated to all of our existing and future secured indebtedness to the extent of the value of the</w:t>
            </w:r>
          </w:p>
        </w:tc>
      </w:tr>
      <w:tr>
        <w:trPr>
          <w:trHeight w:val="216"/>
        </w:trPr>
        <w:tc>
          <w:tcPr>
            <w:tcW w:w="3320" w:type="dxa"/>
            <w:vAlign w:val="bottom"/>
          </w:tcPr>
          <w:p>
            <w:pPr>
              <w:spacing w:after="0"/>
              <w:rPr>
                <w:sz w:val="18"/>
                <w:szCs w:val="18"/>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assets securing such indebtedness, including without limitation the Proposed Secured Loan. The</w:t>
            </w:r>
          </w:p>
        </w:tc>
      </w:tr>
      <w:tr>
        <w:trPr>
          <w:trHeight w:val="216"/>
        </w:trPr>
        <w:tc>
          <w:tcPr>
            <w:tcW w:w="3320" w:type="dxa"/>
            <w:vAlign w:val="bottom"/>
          </w:tcPr>
          <w:p>
            <w:pPr>
              <w:spacing w:after="0"/>
              <w:rPr>
                <w:sz w:val="18"/>
                <w:szCs w:val="18"/>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Notes will be structurally subordinated to all existing and future indebtedness (including trade</w:t>
            </w:r>
          </w:p>
        </w:tc>
      </w:tr>
      <w:tr>
        <w:trPr>
          <w:trHeight w:val="234"/>
        </w:trPr>
        <w:tc>
          <w:tcPr>
            <w:tcW w:w="3320" w:type="dxa"/>
            <w:vAlign w:val="bottom"/>
          </w:tcPr>
          <w:p>
            <w:pPr>
              <w:spacing w:after="0"/>
              <w:rPr>
                <w:sz w:val="20"/>
                <w:szCs w:val="20"/>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payables) of our subsidiaries.</w:t>
            </w:r>
          </w:p>
        </w:tc>
      </w:tr>
      <w:tr>
        <w:trPr>
          <w:trHeight w:val="414"/>
        </w:trPr>
        <w:tc>
          <w:tcPr>
            <w:tcW w:w="3320" w:type="dxa"/>
            <w:vAlign w:val="bottom"/>
          </w:tcPr>
          <w:p>
            <w:pPr>
              <w:spacing w:after="0"/>
              <w:rPr>
                <w:sz w:val="24"/>
                <w:szCs w:val="24"/>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indenture governing the Notes does not limit the amount of indebtedness that we or our</w:t>
            </w:r>
          </w:p>
        </w:tc>
      </w:tr>
      <w:tr>
        <w:trPr>
          <w:trHeight w:val="234"/>
        </w:trPr>
        <w:tc>
          <w:tcPr>
            <w:tcW w:w="3320" w:type="dxa"/>
            <w:vAlign w:val="bottom"/>
          </w:tcPr>
          <w:p>
            <w:pPr>
              <w:spacing w:after="0"/>
              <w:rPr>
                <w:sz w:val="20"/>
                <w:szCs w:val="20"/>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subsidiaries may incur or whether any such indebtedness can be secured by our assets.</w:t>
            </w:r>
          </w:p>
        </w:tc>
      </w:tr>
      <w:tr>
        <w:trPr>
          <w:trHeight w:val="414"/>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Prior to December 31, 2024 (the “Notes Make-Whole Call Date”), we may, at our option, redeem</w:t>
            </w:r>
          </w:p>
        </w:tc>
      </w:tr>
      <w:tr>
        <w:trPr>
          <w:trHeight w:val="216"/>
        </w:trPr>
        <w:tc>
          <w:tcPr>
            <w:tcW w:w="3320" w:type="dxa"/>
            <w:vAlign w:val="bottom"/>
          </w:tcPr>
          <w:p>
            <w:pPr>
              <w:spacing w:after="0"/>
              <w:rPr>
                <w:sz w:val="18"/>
                <w:szCs w:val="18"/>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Notes, in whole at any time or in part from time to time, at a redemption price equal to 100% of</w:t>
            </w:r>
          </w:p>
        </w:tc>
      </w:tr>
      <w:tr>
        <w:trPr>
          <w:trHeight w:val="216"/>
        </w:trPr>
        <w:tc>
          <w:tcPr>
            <w:tcW w:w="3320" w:type="dxa"/>
            <w:vAlign w:val="bottom"/>
          </w:tcPr>
          <w:p>
            <w:pPr>
              <w:spacing w:after="0"/>
              <w:rPr>
                <w:sz w:val="18"/>
                <w:szCs w:val="18"/>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principal amount of the Notes to be redeemed, plus a Make-Whole Amount (as defined in</w:t>
            </w:r>
          </w:p>
        </w:tc>
      </w:tr>
      <w:tr>
        <w:trPr>
          <w:trHeight w:val="216"/>
        </w:trPr>
        <w:tc>
          <w:tcPr>
            <w:tcW w:w="3320" w:type="dxa"/>
            <w:vAlign w:val="bottom"/>
          </w:tcPr>
          <w:p>
            <w:pPr>
              <w:spacing w:after="0"/>
              <w:rPr>
                <w:sz w:val="18"/>
                <w:szCs w:val="18"/>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“Description of the Notes — Optional Redemption”), if any, plus accrued and unpaid interest to,</w:t>
            </w:r>
          </w:p>
        </w:tc>
      </w:tr>
      <w:tr>
        <w:trPr>
          <w:trHeight w:val="234"/>
        </w:trPr>
        <w:tc>
          <w:tcPr>
            <w:tcW w:w="3320" w:type="dxa"/>
            <w:vAlign w:val="bottom"/>
          </w:tcPr>
          <w:p>
            <w:pPr>
              <w:spacing w:after="0"/>
              <w:rPr>
                <w:sz w:val="20"/>
                <w:szCs w:val="20"/>
                <w:color w:val="auto"/>
              </w:rPr>
            </w:pPr>
          </w:p>
        </w:tc>
        <w:tc>
          <w:tcPr>
            <w:tcW w:w="7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but excluding, the date of redemption.</w:t>
            </w:r>
          </w:p>
        </w:tc>
      </w:tr>
    </w:tbl>
    <w:p>
      <w:pPr>
        <w:spacing w:after="0" w:line="198" w:lineRule="exact"/>
        <w:rPr>
          <w:sz w:val="20"/>
          <w:szCs w:val="20"/>
          <w:color w:val="auto"/>
        </w:rPr>
      </w:pPr>
    </w:p>
    <w:p>
      <w:pPr>
        <w:jc w:val="both"/>
        <w:ind w:left="3720" w:right="20"/>
        <w:spacing w:after="0" w:line="254" w:lineRule="auto"/>
        <w:rPr>
          <w:sz w:val="20"/>
          <w:szCs w:val="20"/>
          <w:color w:val="auto"/>
        </w:rPr>
      </w:pPr>
      <w:r>
        <w:rPr>
          <w:rFonts w:ascii="Times New Roman" w:cs="Times New Roman" w:eastAsia="Times New Roman" w:hAnsi="Times New Roman"/>
          <w:sz w:val="18"/>
          <w:szCs w:val="18"/>
          <w:color w:val="auto"/>
        </w:rPr>
        <w:t>We may redeem the Notes for cash in whole or in part at any time at our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See “Description of the Notes — Optional Redemption” for additional details.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437"/>
        </w:trPr>
        <w:tc>
          <w:tcPr>
            <w:tcW w:w="40" w:type="dxa"/>
            <w:vAlign w:val="bottom"/>
            <w:tcBorders>
              <w:right w:val="single" w:sz="8" w:color="auto"/>
            </w:tcBorders>
          </w:tcPr>
          <w:p>
            <w:pPr>
              <w:spacing w:after="0"/>
              <w:rPr>
                <w:sz w:val="24"/>
                <w:szCs w:val="24"/>
                <w:color w:val="auto"/>
              </w:rPr>
            </w:pPr>
          </w:p>
        </w:tc>
        <w:tc>
          <w:tcPr>
            <w:tcW w:w="29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Mandatory Redemption:</w:t>
            </w:r>
          </w:p>
        </w:tc>
        <w:tc>
          <w:tcPr>
            <w:tcW w:w="824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In the event we fail to complete the Acquisition (excluding the milestone payment related to the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commercial availability of Triesence), within 180 calendar days after the original issue date of the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Notes, or, in certain circumstances, there is a Material Change (as defined below), we are required</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to redeem the Notes for cash, in whole but not in part, at the redemption price equal to $25.50 per</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note, plus accrued and unpaid interest to, but excluding, the date of redemption, as described under</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“Description of the Notes — Mandatory Redemption.”</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Sinking Fund:</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Notes will not be subject to any sinking fund (i.e., no amounts will be set aside by us to ensure</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repayment of the Notes at maturity).</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intend to use the net proceeds from the sale of the Notes to fund a portion of the purchase price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payable for the Acquisition, with remaining net proceeds available for general corporate purposes,</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including funding future strategic product acquisitions and related investments, making capital</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expenditures, and funding working capital. See “Use of Proceeds” and “Capitalization.”</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Events of default generally will include (i) failure to pay principal or interest, (ii) failure to observe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or perform any other covenant or warranty in the Notes or in the indenture, and (iii) certain events</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of bankruptcy, insolvency or reorganization. See “Description of the Notes — Events of Default.”</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indenture that governs the Notes contains certain covenants, including, but not limited to,</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restrictions on our ability to merge or consolidate with or into any other entity and a covenant</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regarding no material changes to the Acquisition. See “Description of the Notes — Covenants.”</w:t>
            </w:r>
          </w:p>
        </w:tc>
      </w:tr>
      <w:tr>
        <w:trPr>
          <w:trHeight w:val="432"/>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 Financial Covenants:</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indenture governing the Notes does not contain financial covenants.</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Additional Notes:</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may create and issue additional Notes ranking equally and ratably with the Notes in all respects,</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so that such additional Notes will constitute and form a single series with the Notes and will have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same terms as to status, redemption or otherwise (except the price to public, the issue date and,</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if applicable, the initial interest accrual date and the initial interest payment date) as the Notes;</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provided that if any such additional Notes are not fungible with the Notes initially offered hereby</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for U.S. federal income tax purposes, such additional Notes will have one or more separate CUSIP</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numbers.</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Notes are subject to legal and covenant defeasance by us. See “Description of the Notes —</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Defeasance” for more information.</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Company intends to apply to list the Notes on Nasdaq under the symbol “HROWM.” If the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application is approved, the Company expects trading in the Notes to begin within 30 days after the</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original issue date.</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Form and Denomination:</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Notes will be issued in book-entry form in denominations of $25 and integral multiples in</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excess thereof. The Notes will be represented by a permanent global certificate deposited with the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trustee as custodian for The Depository Trust Company, or DTC, and registered in the name of a</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nominee of DTC. Beneficial interests in any of the Notes will be shown on, and transfers will be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effected only through, records maintained by DTC and its direct and indirect participants and any</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such interest may not be exchanged for certificated securities, except in limited circumstances.</w:t>
            </w:r>
          </w:p>
        </w:tc>
      </w:tr>
      <w:tr>
        <w:trPr>
          <w:trHeight w:val="432"/>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Notes and the indenture governing the Notes will be governed by and construed in accordance</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with the laws of the State of New York.</w:t>
            </w:r>
          </w:p>
        </w:tc>
      </w:tr>
      <w:tr>
        <w:trPr>
          <w:trHeight w:val="414"/>
        </w:trPr>
        <w:tc>
          <w:tcPr>
            <w:tcW w:w="40" w:type="dxa"/>
            <w:vAlign w:val="bottom"/>
            <w:tcBorders>
              <w:right w:val="single" w:sz="8" w:color="auto"/>
            </w:tcBorders>
          </w:tcPr>
          <w:p>
            <w:pPr>
              <w:spacing w:after="0"/>
              <w:rPr>
                <w:sz w:val="24"/>
                <w:szCs w:val="24"/>
                <w:color w:val="auto"/>
              </w:rPr>
            </w:pPr>
          </w:p>
        </w:tc>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Investing in the Notes involves risks. You should carefully consider the information set forth in the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section of this prospectus supplement entitled “Risk Factors” beginning on page S-9, as well as the</w:t>
            </w:r>
          </w:p>
        </w:tc>
      </w:tr>
      <w:tr>
        <w:trPr>
          <w:trHeight w:val="216"/>
        </w:trPr>
        <w:tc>
          <w:tcPr>
            <w:tcW w:w="40" w:type="dxa"/>
            <w:vAlign w:val="bottom"/>
            <w:tcBorders>
              <w:right w:val="single" w:sz="8" w:color="auto"/>
            </w:tcBorders>
          </w:tcPr>
          <w:p>
            <w:pPr>
              <w:spacing w:after="0"/>
              <w:rPr>
                <w:sz w:val="18"/>
                <w:szCs w:val="18"/>
                <w:color w:val="auto"/>
              </w:rPr>
            </w:pPr>
          </w:p>
        </w:tc>
        <w:tc>
          <w:tcPr>
            <w:tcW w:w="2960" w:type="dxa"/>
            <w:vAlign w:val="bottom"/>
          </w:tcPr>
          <w:p>
            <w:pPr>
              <w:spacing w:after="0"/>
              <w:rPr>
                <w:sz w:val="18"/>
                <w:szCs w:val="18"/>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other information included in or incorporated by reference into this prospectus supplement and the</w:t>
            </w:r>
          </w:p>
        </w:tc>
      </w:tr>
      <w:tr>
        <w:trPr>
          <w:trHeight w:val="234"/>
        </w:trPr>
        <w:tc>
          <w:tcPr>
            <w:tcW w:w="40" w:type="dxa"/>
            <w:vAlign w:val="bottom"/>
            <w:tcBorders>
              <w:right w:val="single" w:sz="8" w:color="auto"/>
            </w:tcBorders>
          </w:tcPr>
          <w:p>
            <w:pPr>
              <w:spacing w:after="0"/>
              <w:rPr>
                <w:sz w:val="20"/>
                <w:szCs w:val="20"/>
                <w:color w:val="auto"/>
              </w:rPr>
            </w:pPr>
          </w:p>
        </w:tc>
        <w:tc>
          <w:tcPr>
            <w:tcW w:w="2960" w:type="dxa"/>
            <w:vAlign w:val="bottom"/>
          </w:tcPr>
          <w:p>
            <w:pPr>
              <w:spacing w:after="0"/>
              <w:rPr>
                <w:sz w:val="20"/>
                <w:szCs w:val="20"/>
                <w:color w:val="auto"/>
              </w:rPr>
            </w:pPr>
          </w:p>
        </w:tc>
        <w:tc>
          <w:tcPr>
            <w:tcW w:w="82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accompanying prospectus before deciding whether to invest in the Notes.</w:t>
            </w:r>
          </w:p>
        </w:tc>
      </w:tr>
      <w:tr>
        <w:trPr>
          <w:trHeight w:val="220"/>
        </w:trPr>
        <w:tc>
          <w:tcPr>
            <w:tcW w:w="40" w:type="dxa"/>
            <w:vAlign w:val="bottom"/>
            <w:tcBorders>
              <w:right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8240" w:type="dxa"/>
            <w:vAlign w:val="bottom"/>
            <w:tcBorders>
              <w:bottom w:val="single" w:sz="8" w:color="auto"/>
              <w:right w:val="single" w:sz="8" w:color="auto"/>
            </w:tcBorders>
          </w:tcPr>
          <w:p>
            <w:pPr>
              <w:spacing w:after="0"/>
              <w:rPr>
                <w:sz w:val="19"/>
                <w:szCs w:val="19"/>
                <w:color w:val="auto"/>
              </w:rPr>
            </w:pPr>
          </w:p>
        </w:tc>
      </w:tr>
      <w:tr>
        <w:trPr>
          <w:trHeight w:val="442"/>
        </w:trPr>
        <w:tc>
          <w:tcPr>
            <w:tcW w:w="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240"/>
          </w:cols>
          <w:pgMar w:left="320" w:top="66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the Notes involves significant risks, including the risks described below. Before making an investment in the Notes, you should carefully consider, among other factors, the risks identified under “Risk Factors” in our Annual Report on Form 10-K for the fiscal year ended December 31, 2021 and our Quarterly Reports on Form 10-Q for the quarters ended March 31, 2022, June 30, 2022 and September 30, 2022. Please also refer to the section above entitled “Special Note Regarding Forward-Looking Statements.” Please also see “Forward-Looking Statements” in the accompanying prospectus and the risks described in the documents incorporated by reference in this prospectus supplement and in our other filings. The risks described in the documents incorporated by reference in this prospectus supplement are not the only ones we face. Additional risks not presently known or that we currently deem immaterial could also materially and adversely affect our financial condition, results of operations, business and prospects. You should consult your own financial and legal advisors as to the risks entailed by an investment in the Notes and the suitability of investing in the Notes in light of your particular circumstances. Our business, financial condition and results of operations could be materially adversely affected by the materialization of any of these risks. The materialization of any of these risks could also result in a complete loss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able to incur substantially more debt, which could have important consequences to you, and we may be unable to service our debt.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be able to incur substantial additional indebtedness in the future. The terms of the indenture governing the Notes will not prohibit us from doing so. If we incur any additional indebtedness that ranks equally with the Notes, the holders of that debt will be entitled to share ratably with you in any proceeds distributed in connection with any insolvency, liquidation, reorganization or dissolution. This may have the effect of reducing the amount of proceeds paid to you. Incurrence of additional debt would also further reduce the cash available to invest in operations, as a result of increased debt service obligations. If new debt is added to our current debt levels, the related risks that we now face could intensify.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level of indebtedness could have important consequences to you, because:</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affect our ability to satisfy our financial obligations, including those relating to the Notes;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cash flows from operations would have to be dedicated to interest and principal payments and may not be available for operations, capital expenditures, expansion, acquisitions or general corporate or other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impair our ability to obtain additional debt or equity financing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ability to refinance all or a portion of our indebtedness on or before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flexibility in planning for, or reacting to, changes in our business and industry;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make us more vulnerable to downturns in our business, our industry or the economy in general.</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may not generate sufficient cash to enable us to service our debt. If we fail to make a payment on the Notes, we could be in default on the Notes, and this default could cause us to be in default on other indebtedness, to the extent outstanding. Conversely, a default under any other indebtedness, if not waived, could result in acceleration of the debt outstanding under the related agreement and entitle the holders thereof to bring suit for the enforcement thereof or exercise other remedies provided thereunder. In addition, such default or acceleration may result in an event of default and acceleration of other indebtedness of the Company, entitling the holders thereof to bring suit for the enforcement thereof or exercise other remedies provided thereunder. If a judgment is obtained by any such holders, such holders could seek to collect on such judgment from the assets of the Company. If that should occur, we may not be able to pay all such debt or to borrow sufficient funds to refinance it. Even if new financing were then available, it may not be on terms that are acceptable to us.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no event of default under the Notes would result from a default or acceleration of, or suit, other exercise of remedies or collection proceeding by holders of, our other outstanding debt, if any. As a result, all or substantially all of our assets may be used to satisfy claims of holders of our other outstanding debt, if any, without the holders of the Notes having any rights to such assets. The indenture governing the Notes will not restrict our ability to incur additional indebtedness.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will be unsecured and therefore will be effectively subordinated to any secured indebtedness that we currently have or that we may incur in the future.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Notes will not be secured by any of our assets or any of the assets of our subsidiaries. As a result, the Notes will be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including without limitation the Proposed Secured Loan. The indenture governing the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indebtedness and other liabilities of our subsidiaries.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Notes are obligations exclusively of the Company and not of any of our subsidiaries. None of our subsidiaries is a guarantor of the Notes, and the Notes are not required to be guaranteed by any subsidiaries we may acquire or create in the future. Therefore, in any bankruptcy, liquidation or similar proceeding, all claims of creditors (including trade creditors)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any of our subsidiaries and any subsidiaries that we may in the future acquire or establish as financing vehicles or otherwise. The indenture governing the Notes does not prohibit us or our subsidiaries from incurring additional indebtedness in the future. In addition, future debt and security agreements entered into by our subsidiaries may contain various restrictions, including restrictions on payments by our subsidiaries to us and the transfer by our subsidiaries of assets pledged as collateral.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limited protection for holders of the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180" w:lineRule="exact"/>
        <w:rPr>
          <w:sz w:val="20"/>
          <w:szCs w:val="20"/>
          <w:color w:val="auto"/>
        </w:rPr>
      </w:pPr>
    </w:p>
    <w:p>
      <w:pPr>
        <w:jc w:val="both"/>
        <w:ind w:left="1300" w:hanging="320"/>
        <w:spacing w:after="0" w:line="25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debt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w:t>
      </w:r>
    </w:p>
    <w:p>
      <w:pPr>
        <w:spacing w:after="0" w:line="18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subordinated in right of payment to the Notes;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indenture does not include any protection against certain events, such as a change of control, a leveraged recapitalization or “going private” transaction (which may result in a significant increase of our indebtedness levels), restructuring or similar transactions.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Notes.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debt, and may be forced to take other actions to satisfy our obligations under such indebtedness, which may not be successful.</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obligations under, our debt will depend on our financial and operating performance and that of our subsidiaries, which, in turn, will be subject to prevailing economic and competitive conditions and to financial and business factors, many of which may be beyond our control.</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not maintain a level of cash flow from operating activities sufficient to permit us to pay the principal, premium, if any, and interest on our indebtedness. If our cash flow and capital resources are insufficient to fund our debt service obligations, we may be forced to reduce or delay capital expenditures, sell assets, seek to obtain additional equity capital or restructure our debt. In the future, our cash flow and capital resources may not be sufficient for payments of interest on, and principal of, our debt, and such alternative measures may not be successful and may not permit us to meet our scheduled debt service obligations. We may not be able to refinance any of our indebtedness or obtain additional financing, particularly because of our anticipated high levels of debt and the debt incurrence restrictions imposed by the agreements governing our debt, as well as prevailing market conditions. In the absence of such operating results and resources, we could face substantial liquidity problems and might be required to dispose of material assets or operations to meet our debt service and other obligations. The instruments governing our indebtedness restrict our ability to dispose of assets and use the proceeds from any such dispositions. We may not be able to consummate those sales, or if we do, at an opportune time, the proceeds that we realize may not be adequate to meet debt service obligations when due.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value of the Notes.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general, as market interest rates rise, notes bearing interest at a fixed rate decline in value. Consequently, if you purchase the Notes, and the market interest rates subsequently increase, the market value of your Notes may decline. We cannot predict the future level of market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Notes may not develop, which could limit the market price of the Notes or your ability to sell them.</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Notes are a new issue of debt securities for which there currently is no trading market. We intend to apply to list the Notes on Nasdaq within 30 business days of the original issue date under the symbol “HROWM”. We cannot provide any assurances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have advised us that they may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there may be a limited number of buyers when you decide to sell your Notes. This may affect the price, if any, offered for your Notes or your ability to sell your Notes when desired or at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Notes.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governing the Notes, we may from time to time without notice to, or the consent of, the holders of the Notes, create and issue additional Notes which will be equal in rank to the Notes. If any such additional Notes are not fungible with the Notes initially offered hereby for U.S. federal income tax purposes, such additional Notes will have one or more separate CUSIP numbers.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rating for the Notes could at any time be revised downward or withdrawn entirely at the discretion of the issuing rating agency.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obtained a rating for the Notes. Ratings only reflect the views of the issuing rating agency or agencies and such ratings could at any time be revised downward or withdrawn entirely at the discretion of the issuing rating agency. A rating is not a recommendation to purchase, sell or hold the Notes. Ratings do not reflect market prices or suitability of a security for a particular investor and the rating of the Notes may not reflect all risks related to us and our business, or the structure or market value of the Notes. We may elect to issue other securities for which we may seek to obtain a rating in the future. If we issue other securities with a rating, such ratings, if they are lower than market expectations or are subsequently lowered or withdrawn, could adversely affect the market for or the market value of the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Notes at our option, and may be required to redeem your Notes, each of which may adversely affect your return.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redeem the Notes, in whole or in part, at our option at any time or from time to time at the applicable redemption prices described in this prospectus supplement. In addition, we are required to redeem the Notes, in whole but not in part, if we fail to complete the Acquisition within 180 calendar days after the original issue date of the Notes. Prevailing interest rates at the time we redeem the Notes may be lower than the interest rate on the Notes. As a result, you may not be able to reinvest the redemption proceeds in a comparable security at an interest rate equal to or higher than the interest rate on the Notes. See “Description of the Notes — Optional Redemption” and “Description of the Notes — Mandatory Redemption” for a more detailed description of the conditions under which we may redeem the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our pending Acquisition.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the Acquisition will depend on, among other things, our ability to successfully integrate the Products into our commercial platform, transfer the Products NDAs, maintain payer reimbursement coverage, maintain an adequate supply of the Products, market the Products to our existing customers and re-introduce Triesence to the ophthalmic market. It is possible that we may not achieve the anticipated benefits of the Acquisition. If we experience difficulties with the implementation of plans with respect to the Acquisition, the anticipated benefits of the Acquisition may not be realized fully or at all, or may take longer to realize than expected. Integration efforts will also divert management attention and resources. These matters could have an adverse effect during this transition period and for an undetermined period after completion of the Acquisition.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Acquisition has not closed within 180 calendar days after the original issuance of the Notes, or if there is a material change to the terms of the Acquisition or Purchase Agreement that would be materially adverse to you, we will be required to redeem all of the Notes and you may not obtain your expected return on the Notes.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close the Acquisition is subject to various closing conditions, many of which are beyond our control. Therefore we may not be able to close the Acquisition. If the Acquisition (i) is not consummated on or prior to 180 calendar days after the original issuance of the Notes, or (ii) in certain circumstances, there is a Material Change ((i) and (ii), the “Acquisition Requirements”), in each instance, we will be required to redeem all of the Notes at a redemption price equal to $25.50 per note, plus accrued and unpaid interest to, but excluding, the redemption date. If we redeem the Notes pursuant to these redemption provisions, you may not obtain your expected return on the Notes and may not be able to reinvest the proceeds from such redemption in an investment that results in a comparable return. In addition, as a result of the mandatory redemption provisions of the Notes, the trading prices of the Notes may not reflect the financial results of our business or macroeconomic factors. Your decision to invest in the Notes is made at the time of the offering of the Notes. You will have no rights under the mandatory redemption provisions as long as the Acquisition is consummated in accordance with the Acquisition Requirements, nor will you have any right to require us to repurchase your Notes if, between the closing of this offering and the consummation of the Acquisition, we experience any changes (including any material changes) in our business or financial condition. See “Description of Notes – No Material Change to Acquisition.”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deposit the net proceeds of this offering into an escrow account, and we may not be able to raise the funds necessary to finance the mandatory redemption required under certain circumstances by the Indenture.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Acquisition (i) is not consummated on or prior to 180 calendar days after the original issuance of the Notes, or (ii) in certain circumstances, there is a Material Change, we will be required to redeem all of the Notes offered hereby. We will not deposit the net proceeds of this offering into an escrow account pending the closing of the Acquisition for the purpose of redeeming the Notes if the acquisition is not consummated. Our ability to pay the redemption price to holders of the Notes following a mandatory redemption may be limited by our then-existing financial resources, and sufficient funds may not be available when necessary to make any required purchases of the Notes. Any failure to redeem any of the Notes pursuant to the mandatory redemption provisions would constitute a default under the Indenture.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proceeds to be received by us from the sale of Notes in this offering, after deducting underwriting discounts and commissions, the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structuring fee, the commitment fee and other offering expenses payable by us, are estimated to be approximately $ (or $ if the underwriters’ option to purchase up to $15,000,000 additional Notes is exercised in full).</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13, 2022, we also sold, by means of a separate prospectus supplement, 2,376,426 shares of our common stock, par value $0.001 per share to certain institutional investors for aggregate gross proceeds of approximately $25,000,000. This prospectus supplement does not constitute an offer to buy any securities offered in the common stock offering.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the offering of common stock, available cash on hand and, if necessary, proceeds from the Proposed Secured Loan to fund the purchase price for the Acquisition. Pending such use, we may invest the net proceeds in short-term interest-bearing accounts, securities, or similar investments. See “Capitalization.”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our cash and cash equivalents and our consolidated capitalization as of September 30, 2022:</w:t>
      </w:r>
    </w:p>
    <w:p>
      <w:pPr>
        <w:spacing w:after="0" w:line="225"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after giving effect to (i) the sale of the Notes in this offering (assuming no exercise of the underwriters’ option to purchase additional Notes), after deducting underwriting discounts and commissions, the structuring fee and estimated offering expenses payable by us; and (ii) the issuance and sale by us of 2,376,426 shares of common stock in the common stock offering, and the receipt of the net proceeds from the sale of these shares, after deducting underwriting discounts and commissions and estimated offering expenses payable by us; and</w:t>
      </w:r>
    </w:p>
    <w:p>
      <w:pPr>
        <w:spacing w:after="0" w:line="18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after giving further effect to the application of the net proceeds from this offering, the common stock offering and cash on hand, and, if applicable, the Proposed Secured Loan, to fund the Acquisition.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should read this table in conjunction with our consolidated financial statements and related notes incorporated by reference in this prospectus supplement.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As of September 30, 2022</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Actual</w:t>
            </w: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 Forma</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 Forma as Adjusted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(unaudited)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44,959,000</w:t>
            </w:r>
          </w:p>
        </w:tc>
        <w:tc>
          <w:tcPr>
            <w:tcW w:w="1900" w:type="dxa"/>
            <w:vAlign w:val="bottom"/>
            <w:gridSpan w:val="2"/>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Long term debt, less current instalments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8.625% Senior Notes due April 2026, net of unamortized debt</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72,239,000</w:t>
            </w:r>
          </w:p>
        </w:tc>
        <w:tc>
          <w:tcPr>
            <w:tcW w:w="1900" w:type="dxa"/>
            <w:vAlign w:val="bottom"/>
            <w:gridSpan w:val="2"/>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 loan payable</w:t>
            </w:r>
          </w:p>
        </w:tc>
        <w:tc>
          <w:tcPr>
            <w:tcW w:w="5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senior notes due</w:t>
            </w:r>
          </w:p>
        </w:tc>
        <w:tc>
          <w:tcPr>
            <w:tcW w:w="5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long-term debt</w:t>
            </w:r>
          </w:p>
        </w:tc>
        <w:tc>
          <w:tcPr>
            <w:tcW w:w="5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72,239,000</w:t>
            </w: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 authorized,</w:t>
            </w: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27,074,307 shares issued and outstanding at September 30, 2022,</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actual; shares issued and outstanding pro forma; shares issued and</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5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27,000</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111,738,000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(110,548,000)</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HARROW HEALTH STOCKHOLDERS’ EQUITY</w:t>
            </w:r>
          </w:p>
        </w:tc>
        <w:tc>
          <w:tcPr>
            <w:tcW w:w="5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1,217,000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0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(355,000)</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73,101,000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S-14</w:t>
            </w: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The</w:t>
      </w:r>
      <w:r>
        <w:rPr>
          <w:sz w:val="20"/>
          <w:szCs w:val="20"/>
          <w:color w:val="auto"/>
        </w:rPr>
        <w:tab/>
      </w:r>
      <w:r>
        <w:rPr>
          <w:rFonts w:ascii="Times New Roman" w:cs="Times New Roman" w:eastAsia="Times New Roman" w:hAnsi="Times New Roman"/>
          <w:sz w:val="18"/>
          <w:szCs w:val="18"/>
          <w:i w:val="1"/>
          <w:iCs w:val="1"/>
          <w:color w:val="auto"/>
        </w:rPr>
        <w:t>% Senior Notes due 2027 (the “Notes”) are being issued under an indenture dated as of April 20, 2021, as supplemented by the First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Supplemental Indenture, dated April 20, 2021, and the Second Supplemental Indenture, dated as of December , 2022, which we refer to as the “indenture,” between the Company and U.S. Bank Trust Company, National Association, as trustee. Set forth below is a description of the specific terms of the Notes and the indenture. This description supplements the description of the general terms and provisions of our debt securities set forth in the accompanying prospectus under the caption “Description of Debt Securities.” The following description does not purport to be complete and is subject to, and is qualified in its entirety by reference to, the indenture filed as an exhibit to a Current Report on Form 8-K to be filed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w:t>
      </w:r>
    </w:p>
    <w:p>
      <w:pPr>
        <w:spacing w:after="0" w:line="225"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unsecured, senior obligations;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initially limited to an aggregate principal amount of $100,000,000 (assuming no exercise of the underwriters’ option to purchase additional Notes described herein);</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mature on December 31, 2027 unless earlier redeemed or repurchased, and 100% of the aggregate principal amount will be paid at maturity;</w:t>
      </w:r>
    </w:p>
    <w:p>
      <w:pPr>
        <w:spacing w:after="0" w:line="162" w:lineRule="exact"/>
        <w:rPr>
          <w:sz w:val="20"/>
          <w:szCs w:val="20"/>
          <w:color w:val="auto"/>
        </w:rPr>
      </w:pPr>
    </w:p>
    <w:p>
      <w:pPr>
        <w:ind w:left="1300" w:hanging="319"/>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w:t>
        <w:tab/>
        <w:t>will bear cash interest from December , 2022 at an annual rate of %, payable quarterly in arrears on January 31, April 30, July 31 and October 31 of each year, beginning on January 31, 2023, and at maturity;</w:t>
      </w:r>
    </w:p>
    <w:p>
      <w:pPr>
        <w:spacing w:after="0" w:line="162"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redeemable at our option, in whole or in part, at the prices and on the terms described under “— Optional Redemption” below;</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mandatory redemption, in whole, if we do not complete the Acquisition within 180 calendar days after the original issue date of the Notes, at a price of $25.50, or in certain circumstances, if there is a Material Change, in each case as described under “— Mandatory Redemption” below;</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denominations of $25 and integral multiples of $25 in excess thereof;</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have a sinking fund;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expected to be listed on Nasdaq under the symbol “HROWM”;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represented by one or more registered Notes in global form, but in certain limited circumstances may be represented by Notes in definitive form.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indebtedness that we or our subsidiaries may issue. The indenture does not contain any financial covenants and does not restrict us from paying dividends or issuing or repurchasing our other securities. Other than restrictions described under “— Covenants —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from time to time, without the consent of the existing holders, issue additional Notes having the same terms as to status, redemption or otherwise (except the price to public, the issue date and, if applicable, the initial interest accrual date and the initial interest payment date) that may constitute a single fungible series with the Notes offered by this prospectus supplement; provided that if any such additional Notes are not fungible with the Notes initially offered hereby for U.S. federal income tax purposes, such additional Notes will have one or more separate CUSIP numbers.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Notes are senior unsecured obligations of the Company, and, upon our liquidation, dissolution or winding up, will rank (i) senior to the outstanding shares of our common stock, (ii) senior to any of our future subordinated debt, (iii)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equally) with our future unsecured and unsubordinated indebtedness, including our outstanding 8.625% Senior Notes due 2026, (iv) effectively subordinated to any 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on the Notes will accrue at an annual rate equal to % from and including December , 2022 to, but excluding, the maturity date or earlier acceleration or redemption and will be payable quarterly in arrears on January 31, April 30, July 31 and October 31 of each year, beginning on January 31, 2023 and at maturity, to the record holders at the close of business on the immediately preceding January 15, April 15, July 15 and October 15, as applicable (whether or not a business day).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initial interest period for the Notes will be the period from and including December , 2022, to, but excluding, January 31, 2023, and subsequent interest periods will be the periods from and including an interest payment date to, but excluding, the next interest payment date or the stated maturity date, as the case may be. The amount of interest payable for any interest period, including interest payable for any partial interest period, will be computed on the basis of a 360-day year comprised of twelve 30-day months. If an interest payment date falls on a non-business day, the applicable interest payment will be made on the next business day and no additional interest will accrue as a result of such delayed payment.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“Business day” means, for any place where the principal and interest on the Notes is payable, each Monday, Tuesday, Wednesday, Thursday and Friday which is not a day in which banking institutions in such place of payment are authorized or obligated by law or executive order to close.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December 31, 2024 (the “Notes Make-Whole Call Date”), we may, at our option, redeem the Notes, in whole at any time or in part from time to time, at a redemption price equal to the sum of (i) 100% of the principal amount of the Notes being redeemed plus accrued and unpaid interest to, but excluding, the date of redemption and (ii) the Make-Whole Amount, if 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redeem the Notes for cash in whole or in part at any time at our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In each case, redemption shall be upon notice not fewer than 30 days and not more than 60 days prior to the date fixed for redemption.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less than all of the Notes are to be redeemed, the particular Notes to be redeemed will be selected not more than 45 days prior to the redemption date by the trustee from the outstanding Notes not previously called for redemption, by lot, or in the trustee’s discretion, on a pro-rata basis, provided that the unredeemed portion of the principal amount of any Notes will be in an authorized denomination (which will not be less than the minimum authorized denomination) for such Notes. The trustee will promptly notify us in writing of the Notes selected for redemption and, in the case of any Notes selected for partial redemption, the principal amount thereof to be redeemed. Beneficial interests in any of the Notes or portions thereof called for redemption that are registered in the name of DTC or its nominee will be selected by DTC in accordance with DTC’s applicable procedures.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shall have no obligation to calculate any redemption price, including any Make-Whole Amount, or any component thereof, and the trustee shall be entitled to receive and conclusively rely upon an officer’s certificate delivered by the Company that specifies any redemption price.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we default on the payment of the redemption price, on and after the date of redemption, interest will cease to accrue on the Notes called for redemption.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at any time, and from time to time, purchase notes at any price or prices in the open market or otherwise.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“Make-Whole Amount” means, in connection with any optional redemption of any Note, the excess, if any, of (i) the sum of the present values, as of the date of such redemption, of the remaining scheduled payments of principal (including the applicable redemption price of such Note at December 31, 2024) of, and interest (exclusive of interest accrued to, but excluding, the date of redemption) on, such Note, assuming such Note matured on, and that accrued and unpaid interest on such Note was payable through, the Notes Make-Whole Call Date, determined by discounting, on a semi-annual basis (assuming a 360-day year consisting of twelve 30-day months), such principal and interest at the Reinvestment Rate (as defined below) (determined on the third business day preceding the date of redemption) over (ii) the aggregate principal amount of such Notes being redeemed.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“Reinvestment Rate” means, 0.500%, or 50 basis points, plus the arithmetic mean (rounded to the nearest one-hundredth of one percent) of the yields displayed for each day in the preceding calendar week published in the most recent Statistical Release under the caption “Treasury constant maturities” for the maturity (rounded to the nearest month) corresponding to the remaining life to maturity of the Notes (assuming that the Notes matured on December 31, 2024) as of the date of redemption. If no maturity exactly corresponds to such remaining life to maturity, yields for the two published maturities most closely corresponding to such remaining life to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Reinvestment Rate shall be used.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“Statistical Release” means that statistical release designated “H.15” or any successor publication that is published daily by the Federal Reserve System and that establishes yields on actively traded United States Treasury securities adjusted to constant maturities, or, if such statistical release (or a successor publication) is not published at the time of any determination under the Indenture, then such other reasonably comparable index that shall be designated by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Redemption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Mandatory Redemption Event (as defined below) occurs, we will have an obligation to redeem the Notes, in whole but not in part, within 45 days after the occurrence of the Mandatory Redemption Event at a redemption price in cash equal to $25.50 per note plus accrued and unpaid interest, if any, to, but excluding, the date of redemption.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“Mandatory Redemption Event” means (i) a failure by the Company to complete the Acquisition (excluding the milestone payment related to the commercial availability of Triesence) within 180 calendar days after the original issue date of the Notes or (ii) the occurrence of a Material Change, as defined below, and the receipt of written notice of such Material Change from the Company to the trustee under the Indenture governing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our Notes will have rights if an Event of Default occurs in respect of the Notes and is not cured, as described later in this subsection.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“Event of Default” in respect of the Notes means any of the following:</w:t>
      </w:r>
    </w:p>
    <w:p>
      <w:pPr>
        <w:spacing w:after="0" w:line="207"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any Note when due, and such default is not cured within 30 days;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the Notes when due and payable;</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breach any covenant or warranty in the indenture with respect to the Notes and such breach continues for 60 days after we receive a written notice of such breach from the trustee or the holders of at least 25% of the principal amount of the Notes;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events of bankruptcy, insolvency or reorganization occur and remain undischarged or unstayed for a period of 90 days.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may withhold notice to the holders of the Notes of any default, except in the payment of principal or interest, if the trustee in good faith determines the withholding of notice to be in the interest of the holders of the Notes.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year, we will furnish to the trustee a written statement of certain of our officers certifying that to their knowledge we are in compliance with the indenture and the Notes, or else specifying any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 Event of Default has occurred and is continuing, the trustee or the holders of not less than 25% of the outstanding principal amount of the Notes may declare the entire principal amount of the Notes, together with accrued and unpaid interest, if any, to be due and payable immediately by a notice in writing to us and, if notice is given by the holders of the Notes, the trustee. This is called an “acceleration of maturity.” If the Event of Default occurs in relation to our filing for bankruptcy or certain other events of bankruptcy, insolvency or reorganization occur, the principal amount of the Notes, together with accrued and unpaid interest, if any, will automatically, and without any declaration or other action on the part of the trustee or the holders, become immediately due and payable.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after a declaration of acceleration of the Notes has been made by the trustee or the holders of the Notes and before any judgment or decree for payment of money due has been obtained by the trustee, the holders of a majority of the outstanding principal of the Notes, by written notice to us and the trustee, may rescind and annul such declaration and its consequences if (i) we have paid or deposited with the trustee all amounts due and owed with respect to the Notes (other than principal that has become due solely by reason of such acceleration) and certain other amounts, and (ii) any other Events of Default have been cured or waived.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At our election, the sole remedy with respect to an Event of Default due to our failure to comply with certain reporting requirements under the Trust Indenture Act or under “— Covenants — Reporting” below, for the first 180 calendar days after the occurrence of such Event of Default, consists exclusively of the right to receive additional interest on the Notes at an annual rate equal to (1) 0.25% for the first 90 calendar days after such default and</w:t>
      </w:r>
    </w:p>
    <w:p>
      <w:pPr>
        <w:spacing w:after="0" w:line="1" w:lineRule="exact"/>
        <w:rPr>
          <w:sz w:val="20"/>
          <w:szCs w:val="20"/>
          <w:color w:val="auto"/>
        </w:rPr>
      </w:pPr>
    </w:p>
    <w:p>
      <w:pPr>
        <w:jc w:val="both"/>
        <w:ind w:firstLine="8"/>
        <w:spacing w:after="0" w:line="227"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0.50% for calendar days 91 through 180 after such default. On the 181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we choose to pay such additional interest, we must notify the trustee and the holders of the Notes by certificate of our election at any time on or before the close of business on the first business day following the Event of Default.</w:t>
      </w:r>
    </w:p>
    <w:p>
      <w:pPr>
        <w:spacing w:after="0" w:line="19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Before a holder of the Notes is allowed to bypass the trustee and bring a lawsuit or other formal legal action or take other steps to enforce such holder’s rights relating to the Notes, the following must occur:</w:t>
      </w:r>
    </w:p>
    <w:p>
      <w:pPr>
        <w:spacing w:after="0" w:line="162"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must give the trustee written notice that the Event of Default has occurred and remains uncured;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of the outstanding principal of the Notes must have made a written request to the trustee to institute proceedings in respect of such Event of Default in its own name as trustee;</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must have offered to the trustee indemnity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holders of a majority of the outstanding principal of the Notes.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delay or omission in exercising any right or remedy will be treated as a waiver of that right, remedy or Event of Default.</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of the Notes should consult their banks or brokers for information on how to give notice or direction to or make a request of the trustee and how to declare or cancel an acceleration of maturity.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of Defaults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of the outstanding principal amount of the Notes may on behalf of the holders of all Notes waive any past default with respect to the Notes other than (i) a default in the payment of principal or interest on the Notes when such payments are due and payable (other than by acceleration as described above), or (ii) in respect of a covenant that cannot be modified or amended without the consent of each holder of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any other covenants described in the accompanying prospectus, as well as standard covenants relating to payment of principal and interest, maintaining an office where payments may be made or securities can be surrendered for payment, payment of taxes by us and related matters, the following covenants will apply to the Notes. To the extent of any conflict or inconsistency between the base indenture and the following covenants, the following covenants will govern.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w:t>
      </w:r>
    </w:p>
    <w:p>
      <w:pPr>
        <w:spacing w:after="0" w:line="162" w:lineRule="exact"/>
        <w:rPr>
          <w:sz w:val="20"/>
          <w:szCs w:val="20"/>
          <w:color w:val="auto"/>
        </w:rPr>
      </w:pPr>
    </w:p>
    <w:p>
      <w:pPr>
        <w:jc w:val="both"/>
        <w:ind w:left="1300" w:hanging="320"/>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Notes outstanding, and the due and punctual performance and observance of all the covenants and conditions of the indenture to be performed by us;</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has occurred and is continuing;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 all conditions precedent in the indenture relating to such transaction have been complied with.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Material Change to the Acquisition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agreed to use our commercially reasonable efforts to maintain the current terms of the Acquisition contained in the Purchase Agreement. If we permit any change to the terms of the Acquisition or Purchase Agreement that would be materially adverse to the holders of the Notes (a “Material Change”), we have agreed to provide written notice of such material adverse change to the trustee under the Indenture governing the Notes. The receipt by the trustee under the Indenture governing the Notes of written notice of a Material Change shall constitute a Mandatory Redemption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60 days of our fiscal quarter end (other than our fourth fiscal quarter). All such financial statements will be prepared, in all material respects, in accordance with GAAP, as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 make to the Notes without the specific approval of the holders of the Notes. This type is limited to clarifications and certain other changes that would not adversely affect holders of the Notes in any material respect and include changes:</w:t>
      </w:r>
    </w:p>
    <w:p>
      <w:pPr>
        <w:spacing w:after="0" w:line="162" w:lineRule="exact"/>
        <w:rPr>
          <w:sz w:val="20"/>
          <w:szCs w:val="20"/>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and the assumption by the successor corporation of our covenants, agreements and obligations under the indenture and the Notes;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the Notes, or to surrender any right or power herein conferred upon the Company and to make the occurrence;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for the benefit of the holders of the Notes;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such extent as necessary to permit or facilitate the issuance of the Notes in bearer form, registrable or not registrable as to principal, and with or without interest coupons, or to permit or facilitate the issuance of the Notes in uncertificated form;</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provide for a guaranty of the Notes or additional obligors on the Notes;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the Notes;</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in the indenture or in any supplemental indenture which may be defective or inconsistent with other provisions, or to make any other provisions with respect to matters or questions arising under the indenture, provided that such action pursuant to this clause shall not adversely affect the interests of the holders of the Notes in any material respect;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933" w:gutter="0" w:footer="0" w:header="0"/>
        </w:sectPr>
      </w:pPr>
    </w:p>
    <w:bookmarkStart w:id="23" w:name="page24"/>
    <w:bookmarkEnd w:id="23"/>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including provisions regarding the circumstances under which collateral may be released or substituted;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of a successor trustee and to add or change any provisions of the indenture as necessary to provide for or facilitate the administration of the trust by more than one trustee;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to such extent as shall be necessary to permit or facilitate the defeasance and discharge the Notes, provided that any such action shall not adversely affect the interests of the holders of the Notes in any material respect.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Approval of Each Holder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cannot make certain changes to the Notes without the specific approval of each holder of the Notes. The following is a list of those types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w:t>
      </w:r>
    </w:p>
    <w:p>
      <w:pPr>
        <w:spacing w:after="0" w:line="207"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stated maturity of the principal of, or any installment of interest on, any Note;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or rate of interest of any Note;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place of payment where any Note or any interest is payable;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right to institute suit for the enforcement of any payment on or after the date on which it is due and payable;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in principal amount of holders of the Notes whose consent is needed to modify or amend the indenture;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in principal amount of holders of the Notes whose consent is needed to waive compliance with certain provisions of the indenture or to waive certain defaults.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other change to the indenture and the Notes would require the following approval:</w:t>
      </w:r>
    </w:p>
    <w:p>
      <w:pPr>
        <w:spacing w:after="0" w:line="225" w:lineRule="exact"/>
        <w:rPr>
          <w:sz w:val="20"/>
          <w:szCs w:val="20"/>
          <w:color w:val="auto"/>
        </w:rPr>
      </w:pPr>
    </w:p>
    <w:p>
      <w:pPr>
        <w:ind w:left="1300" w:hanging="320"/>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only affects the Notes, it must be approved by holders of not less than a majority in aggregate principal amount of the outstanding Notes;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indenture, it must be approved by the holders of not less than a majority in aggregate principal amount of each of the series of debt securities affected by the 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Consent from holders to any change to the indenture or the Notes must be given in writing.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Details Concerning Voting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Notes deemed to be outstanding for the purpose of voting will include all Notes authenticated and delivered under the indenture as of the date of determination except:</w:t>
      </w:r>
    </w:p>
    <w:p>
      <w:pPr>
        <w:spacing w:after="0" w:line="162"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cancelled by the trustee or delivered to the trustee for cancellation;</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for which we have deposited with the trustee or paying agent or set aside in trust money for their payment or redemption and, if money has been set aside for the redemption of the Notes, notice of such redemption has been duly given pursuant to the indenture to the satisfaction of the trustee;</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held by the Company, its subsidiaries or any other entity which is an obligor under the Notes, unless such Notes have been pledged in good faith and the pledgee is not the Company, an affiliate of the Company or an obligor under the Notes;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for which have undergone full defeasance, as described below; and</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which have been paid or exchanged for other Notes due to such Notes loss, destruction or mutilation, with the exception of any such Notes held by bona fide purchasers who have presented proof to the trustee that such Notes are valid obligations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the Notes that are entitled to vote or take other action under the indenture, and the trustee will generally be entitled to set any day as a record date for the purpose of determining the holders of the Notes that are entitled to join in the giving or making of any Notice of Default, any declaration of acceleration of maturity of the Notes, any request to institute proceedings or the reversal of such declaration. If we or the trustee set a record date for a vote or other action to be taken by the holders of the Notes, that vote or action can only be taken by persons who are holders of the Notes on the record date and, unless otherwise specified, such vote or action</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must take place on or prior to the 180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record date. We may change the record date at our option, and we will provide written notice to the trustee and to each holder of the Notes of any such change of record 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defeasance provisions will be applicable to the Notes. “Defeasance” means that, by irrevocably depositing with the trustee an amount of cash denominated in U.S. dollars and/or U.S. government obligations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 The consequences to the holders of the Notes would be that, while they would no longer benefit from certain covenants under the indenture, and while the Notes could not be accelerated for any reason, the holders of the Notes nonetheless would be guaranteed to receive the principal and interest owed to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indenture, we have the option to take the actions described below and be released from some of the restrictive covenants under the indenture under which the Notes were issued. This is called “covenant defeasance.” In that event, holders of the Notes would lose the protection of those restrictive covenants but would gain the protection of having money and government securities set aside in trust to repay the Notes. In order to achieve covenant defeasance, the following must occur:</w:t>
      </w:r>
    </w:p>
    <w:p>
      <w:pPr>
        <w:spacing w:after="0" w:line="180" w:lineRule="exact"/>
        <w:rPr>
          <w:sz w:val="20"/>
          <w:szCs w:val="20"/>
          <w:color w:val="auto"/>
        </w:rPr>
      </w:pPr>
    </w:p>
    <w:p>
      <w:pPr>
        <w:jc w:val="both"/>
        <w:ind w:left="1300" w:hanging="320"/>
        <w:spacing w:after="0" w:line="261"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under U.S. federal income tax law, we may make the above deposit and covenant defeasance without causing holders to be taxed on the Notes differently than if we did not make the deposit and we just repaid the debt securities ourselves at maturity;</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stating that the Notes, if then listed on any securities exchange, will not be delisted as a result of the deposit;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defeasance must not cause the trustee to have a conflicting interest within the meaning of the Trust Indenture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ind w:left="13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defeasance must not result in a breach or violation of, or constitute a default under, the indenture or any other material agreements or instruments to which we are a party;</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and a legal opinion from our counsel stating that all conditions precedent with respect to the covenant defeasance have been complied with.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income tax law, we can legally release ourselves from all payment and other obligations on the Notes if we take the following actions below:</w:t>
      </w:r>
    </w:p>
    <w:p>
      <w:pPr>
        <w:spacing w:after="0" w:line="162" w:lineRule="exact"/>
        <w:rPr>
          <w:sz w:val="20"/>
          <w:szCs w:val="20"/>
          <w:color w:val="auto"/>
        </w:rPr>
      </w:pPr>
    </w:p>
    <w:p>
      <w:pPr>
        <w:jc w:val="both"/>
        <w:ind w:left="1300" w:hanging="320"/>
        <w:spacing w:after="0" w:line="261"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to the current U.S. federal income tax law or an Internal Revenue Service ruling that allows us to make the above deposit without causing holders to be taxed on the Notes any differently than if we did not make the deposit and we just repaid the debt securities ourselves at maturity;</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stating that the Notes, if then listed on any securities exchange, will not be delisted as a result of the deposit;</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Notes has occurred and is continuing and no defaults or Events of Defaults related to bankruptcy, insolvency or organization occurs during the 90 days following the deposit;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defeasance must not cause the trustee to have a conflicting interest within the meaning of the Trust Indenture Act;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defeasance must not result in a breach or violation of, or constitute a default under, the indenture or any other material agreements or instruments to which we are a party;</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defeasance must not result in the trust arising from the deposit constituting an investment company within the meaning of the Investment Company Act unless such trust will be registered under the Investment Company Act or exempt from registration thereunder;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officers’ certificate and a legal opinion from our counsel stating that all conditions precedent with respect to the full defeasance have been complied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the trustee is unable to apply the funds held in trust to the payment of obligations under the Notes by reason of a court order or governmental injunction or prohibition, then those of our obligations discharged under the full defeasance or covenant defeasance will be revived and reinstated as though no deposit of funds had occurred, until such time as the trustee is permitted to apply all funds held in trust under the procedure described above may be applied to the payment of obligations under the Notes. However, if we make any payment of principal or interest on the Notes to the holders, we will be subrogated to the rights of the holders to receive such payment from the money so held in trust.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applied to list the Notes on Nasdaq under the symbol “HROWM.” If the application is approved, we expect trading in the Notes on Nasdaq to begin within 30 business days of the date of the original issue date. The Notes are expected to trade “flat,” meaning that purchasers will not pay and sellers will not receive any accrued and unpaid interest on the Notes that is not included in the trading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is, and the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Notes; Book-Entry Issuance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will be issued in the form of one or more global certificates, or Global Notes, registered in the name of The Depository Trust Company, or DTC. DTC has informed us that its nominee will be Cede &amp; Co. Accordingly, we expect Cede &amp; Co. to be the initial registered holder of the Notes. No person that acquires a beneficial interest in the Notes will be entitled to receive a certificate representing that person’s interest in the Notes except as described herein. Unless and until definitive securities are issued under the limited circumstances described below, all references to actions by holders of the Notes will refer to actions taken by DTC upon instructions from its participants, and all references to payments and notices to holders will refer to payments and notices to DTC or Cede &amp; Co., as the registered holder of these securities.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DTC has an S&amp;P rating of AA+. The DTC Rules applicable to its participants are on file with the SEC. More information about DTC can be found at </w:t>
      </w:r>
      <w:r>
        <w:rPr>
          <w:rFonts w:ascii="Times New Roman" w:cs="Times New Roman" w:eastAsia="Times New Roman" w:hAnsi="Times New Roman"/>
          <w:sz w:val="18"/>
          <w:szCs w:val="18"/>
          <w:i w:val="1"/>
          <w:iCs w:val="1"/>
          <w:color w:val="auto"/>
        </w:rPr>
        <w:t>www.dtcc.com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Purchases of the Notes under the DTC system must be made by or through Direct Participants, which will receive a credit for the Notes on DTC’s records. The ownership interest of each actual purchaser of each Note,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Notes are being redeemed, DTC’s practice is to determine by lot the amount of the interest of each Direct Participant in the Notes to be redeemed.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Notes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will be governed by standing instructions and customary practices, as is the case with the Notes held for the accounts of customers in bearer form or registered in “street name,” and will be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will be the responsibility of DTC, and disbursement of such payments to the Beneficial Owners will be the responsibility of Direct and Indirect Participants.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the Company, the trustee, any depositary, or any agent of any of them will have any responsibility or liability for any aspect of DTC’s or any participant’s records relating to, or for payments made on account of, beneficial interests in a Global Note, or for maintaining, supervising or reviewing any records relating to such beneficial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a Global Note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Global Note is terminated for any reason, interest in it will be exchanged for certificates in non-book-entry form as certificated securities. After such exchange, the choice of whether to hold the certificated Notes directly or in street name will be up to the investor. Investors must consult their own banks or brokers to find out how to have their interests in a Global Note transferred on termination to their own names, so that they will be holders of the Notes. See “— Form, Exchange and Transfer of Certificated Registered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pay interest to the person listed in the trustee’s records as the owner of the Notes at the close of business on the record date for the applicable interest payment date, even if that person no longer owns the Note on the interest payment date. Because we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Global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make payments on the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Certificated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the Notes become represented by certificates, we will make payments on the Notes as follows. We will pay interest that is due on an interest payment date by check mailed on the interest payment date to the holder of the Note at his or her address shown on the trustee’s records as of the close of business on the record date. We will make all payments of principal by check at the office of the trustee in the contiguous United States and/or at other offices that may be specified in the indenture or a notice to holders against surrender of the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When Offices Are Closed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they will receive payments on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identifies as a beneficial owner of the related Notes only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w:t>
      </w:r>
    </w:p>
    <w:p>
      <w:pPr>
        <w:spacing w:after="0" w:line="207" w:lineRule="exact"/>
        <w:rPr>
          <w:sz w:val="20"/>
          <w:szCs w:val="20"/>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notified us at any time that it is unwilling or unable to continue as depositary for the Global Notes;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such Global Note has occurred and is continuing.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at the office of the trustee. We have appointed the trustee to act as our agent for registering the Notes in the name of holders transferring Notes. We may at any time designate additional transfer agents or rescind the designation of any transfer agent or approve a change in the office through which any transfer agent acts.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redeem any of the Notes, we may block the transfer or exchange of those Notes selected for redemption during the period beginning 15 days before the day we mail the notice of redemption and ending on the day of that mailing, in order to determine or fix the list of holders to prepare the mailing. We may also refuse to register transfer or exchanges of any certificated Notes selected for redemption, except that we will continue to permit transfers and exchanges of the unredeemed portion of any Note that will be partially redeemed.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Trustee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will be the trustee under the indenture and will be the principal paying agent and registrar for the Notes. The trustee may resign or be removed with respect to the Notes provided that a successor trustee is appointed to act with respect to the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acquisition, ownership, and disposition of the Notes that we are offering. The following discussion is not exhaustive of all possible tax considerations. This summary is based upon of the Internal Revenue Code of 1986, as amended, or the Code, regulations promulgated under the Code by the U.S. Treasury Department (including proposed and temporary regulations), rulings, current administrative interpretations and official pronouncements of the Internal Revenue Service, or the IRS, and judicial decisions, all as currently in effect and all of which are subject to differing interpretations or to change, possibly with retroactive effect. Such change could materially and adversely affect the tax consequences described below. No assurance can be given that the IRS would not assert, or that a court would not sustain, a position contrary to any of the tax consequences described below.</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summary is for general information only, and does not address all aspects of U.S. federal income taxation that may be important to a particular holder in light of its investment or tax circumstances or to holders subject to special tax rules, such as pass-through entities (including partnerships and other entities and arrangements classified as partnerships for U.S. federal income tax purposes and S corporations) and beneficial owners of such pass-through entities, banks, financial institutions, tax-exempt entities, insurance companies, regulated investment companies, real estate investment trusts, trusts and estates, dealers in stocks, securities or currencies, traders in securities that have elected to use the mark-to-market method of accounting for their securities, persons holding the Notes as part of an integrated transaction, including a “straddle,” “hedge,” “constructive sale,” or “conversion transaction,” U.S. Holders (as defined below) whose functional currency for tax purposes (as defined in Section 985 of the Code) is not the U.S. dollar, holders subject to Section 451(b) of the Code, and individuals subject to the alternative minimum tax provisions of the Code. This summary does not address the effects of other U.S. federal tax laws (such as estate and gift tax laws) or the tax laws of any state or local governments, or of any foreign government, that may be applicable to a particular holder.</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is directed solely to holders that, except as otherwise specifically noted, will purchase the Notes offered in this prospectus supplement upon original issuance for the “issue price”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Notes is sold for money to persons, other than to bond houses, brokers or similar persons or organizations acting in the capacity of the underwriters, placement agents or wholesalers) for cash and will hold such securities as capital assets within the meaning of Section 1221 of the Code, which generally means as property held for investment.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This summary is not a comprehensive description of all of the U.S. federal tax consequences that may be relevant with respect to the acquisition, ownership and disposition of the Notes. We urge you to consult your own tax advisor regarding your particular circumstances and the U.S. federal tax consequences to you of acquiring, owning and disposing of these securities, as well as any tax consequences arising under the laws of any state, local, foreign, or other tax jurisdiction and the possible effects of changes in U.S. federal or other tax laws.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prospectus supplement, the term “U.S. Holder” means a beneficial owner of Notes that is for U.S. federal income tax purposes:</w:t>
      </w:r>
    </w:p>
    <w:p>
      <w:pPr>
        <w:spacing w:after="0" w:line="225"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of any state of the United States or the District of Columbia;</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the administration of the trust and one or more United States persons have the authority to control all substantial decisions of the trust; or</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if a court within the United States is able to exercise primary supervision over the administration of the trust and one or more United States persons have the authority to control all substantial decisions of the trust, or (b) that was in existence on August 20, 1996 and that has a valid election in effect under applicable Treasury regulations to be treated as a United States person.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the term “Non-U.S. Holder” is a beneficial owner of the Notes (other than a partnership or other entity or arrangement taxable as a partnership) that is not a U.S.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the Notes offered in this prospectus supplement, the U.S. federal income tax treatment of a partner generally will depend upon the status of the partner, the activities of the partnership and certain determinations made at the partner level; accordingly, as provided above, this summary does not apply to partnerships. A partner of a partnership holding the Notes should consult its own tax advisor regarding the U.S. federal income tax consequences to the partner of the acquisition, ownership and disposition of the Notes by the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Contingent Payments</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In certain circumstances, we may redeem the Notes in exchange for payments by us in excess of stated interest or principal or at times earlier than the final maturity. The possibility of such redemptions may implicate special rules under Treasury regulations governing “contingent payment debt instruments.” According to those Treasury regulations, the possibility that we will be required to make such a contingent payment on the Notes will not affect the amount of income a holder recognizes in advance of the payment if there is only a remote chance as of the date the Notes are issued that such payment will be made. We believe and intend to take the position that the contingencies on the Notes will not cause the “contingent payment debt instrument” rules of the Treasury regulations to apply to the Notes. Our position that the “contingent payment debt instrument” rules of the Treasury regulations will not apply to the Notes is binding on a holder unless such holder discloses its contrary position to the IRS in the manner required by applicable Treasury regulations. Our position is not, however, binding on the IRS, and if the IRS were to challenge this position successfully, a holder might be required to, among other things, accrue interest income based on a projected payment schedule and comparable yield, which may be in excess of stated interest, and treat as ordinary income rather than capital gain any income realized on the taxable disposition of a Note. In the event a contingency on the Notes occurs, it could affect the amount, timing and character of the income or loss recognized by a holder. Prospective holders should consult their own tax advisers regarding the tax consequences if the Notes were treated as contingent payment debt instruments. The remainder of this discussion assumes that the Notes will not be considered contingent payment debt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to U.S.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that will apply to U.S. Holders of the Notes.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Payment of Interest</w:t>
      </w:r>
      <w:r>
        <w:rPr>
          <w:rFonts w:ascii="Times New Roman" w:cs="Times New Roman" w:eastAsia="Times New Roman" w:hAnsi="Times New Roman"/>
          <w:sz w:val="18"/>
          <w:szCs w:val="18"/>
          <w:color w:val="auto"/>
        </w:rPr>
        <w:t>. It is expected, and this discussion assumes, that either the issue price of the Notes will equal the stated principal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or the Notes will be issued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for U.S. federal income tax purposes. Accordingly, payments of stated interest on a Note generally will be included in the income of a U.S. Holder as ordinary interest income at the time it is accrued or is received in accordance with the U.S. Holder’s regular method of accounting for U.S. federal income tax purposes.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 Exchange, or Retirement of Notes. </w:t>
      </w:r>
      <w:r>
        <w:rPr>
          <w:rFonts w:ascii="Times New Roman" w:cs="Times New Roman" w:eastAsia="Times New Roman" w:hAnsi="Times New Roman"/>
          <w:sz w:val="18"/>
          <w:szCs w:val="18"/>
          <w:color w:val="auto"/>
        </w:rPr>
        <w:t>Upon the sale, exchange, retirement, or other disposition of a Note, a U.S. Holder will recognize gain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equal to the difference between the amount realized upon the sale, exchange, retirement or other disposition and the U.S. Holder’s adjusted tax basis in the Note. The amount realized by the U.S. Holder will include the amount of any cash and the fair market value of any other property received for the Note, but will exclude amounts attributable to accrued but unpaid interest which will be treated as described above under “Payments of Interest.” A U.S. Holder’s adjusted tax basis in a Note will generally be the cost of the Note to such U.S. Holder.</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Gain or loss realized on the sale, exchange, retirement, or other disposition of a Note generally will be capital gain or loss, and will be long-term capital gain or loss if the Note has been held by the U.S. Holder for more than one year. Net long-term capital gain recognized by an individual U.S. Holder is generally taxed at preferential rates. The ability of U.S. Holders to deduct capital losses is subject to limitations under the Code.</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Additional Medicare Tax on Unearned Income. </w:t>
      </w:r>
      <w:r>
        <w:rPr>
          <w:rFonts w:ascii="Times New Roman" w:cs="Times New Roman" w:eastAsia="Times New Roman" w:hAnsi="Times New Roman"/>
          <w:sz w:val="18"/>
          <w:szCs w:val="18"/>
          <w:color w:val="auto"/>
        </w:rPr>
        <w:t>Certain U.S. Holders, including individuals, estates and trusts, are subject to an additional 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Medicare tax on unearned income. For individual U.S. Holders,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the deductions that are allocable to such income. Investment income generally includes passive income such as interest and capital gains. U.S. Holders are urged to consult their own tax advisors regarding the implications of the additional Medicare tax resulting from an investment in the Notes.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Consequences to Non-U.S.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that will apply to Non-U.S. Holders of a Note.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Payments of Interest</w:t>
      </w:r>
      <w:r>
        <w:rPr>
          <w:rFonts w:ascii="Times New Roman" w:cs="Times New Roman" w:eastAsia="Times New Roman" w:hAnsi="Times New Roman"/>
          <w:sz w:val="18"/>
          <w:szCs w:val="18"/>
          <w:color w:val="auto"/>
        </w:rPr>
        <w:t>. Except as discussed below, principal and interest payments that are received from us and that are not effectively connected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conduct by the Non-U.S. Holder of a trade or business within the United States, or a permanent establishment maintained in the United States if certain tax treaties apply, generally will not be subject to U.S. federal income or withholding tax, except as provided below. Interest may be subject to a 30% withholding tax (or less under an applicable treaty, if any) if:</w:t>
      </w:r>
    </w:p>
    <w:p>
      <w:pPr>
        <w:spacing w:after="0" w:line="182" w:lineRule="exact"/>
        <w:rPr>
          <w:sz w:val="20"/>
          <w:szCs w:val="20"/>
          <w:color w:val="auto"/>
        </w:rPr>
      </w:pPr>
    </w:p>
    <w:p>
      <w:pPr>
        <w:ind w:left="1300" w:hanging="320"/>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actually or constructively owns 10% or more of the total combined voting power of all classes of our stock entitled to vote;</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is a “controlled foreign corporation” for U.S. federal income tax purposes that is related to us (directly or indirectly) through stock ownership;</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is a bank extending credit pursuant to a loan agreement entered into in the ordinary course of its trade or business (as described in Section 881(c)(3)(A) of the Code); or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satisfy the certification requirements described below.</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case of the Notes, a Non-U.S. Holder generally will satisfy the certification requirements if either: (A) the Non-U.S. Holder certifies to us, under penalties of perjury, that it is not a “United States person” (within the meaning of the Code) and provides its name and address (which certification may generally be made on an IRS Form W-8BEN, IRS Form W-8BEN-E or other applicable U.S. nonresident withholding tax certification form), or (B) a securities clearing organization, bank, or other financial institution that holds customer securities in the ordinary course of its trade or business (a “financial institution”) and holds the Note certifies to us under penalties of perjury that either it or another financial institution has received the required statement from the Non-U.S. Holder certifying that it is not a United States person and furnishes us with a copy of the statement.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as discussed below, payments not meeting the requirements set forth above and thus subject to withholding of U.S. federal income tax may nevertheless be exempt from withholding (or subject to withholding at a reduced rate) if the Non-U.S. Holder provides us with a properly executed IRS Form W-8BEN, Form W-8BEN-E, or other applicable U.S. nonresident withholding tax certification form, claiming an exemption from, or reduction in, withholding under the benefit of a tax treaty, or IRS Form W-8ECI (or other applicable form) stating that interest paid on the Notes is not subject to withholding tax because it is effectively connected with the conduct of a trade or business within the United States as discussed below. These forms may be required to be updated periodically. To claim benefits under an income tax treaty, a Non-U.S. Holder must obtain a taxpayer identification number and certify as to its eligibility under the appropriate treaty’s limitations on benefits article. In addition, special rules may apply to claims for treaty benefits made by Non-U.S. Holders that are entities rather than individuals. A Non-U.S. Holder that is eligible for a reduced rate of U.S. federal withholding tax pursuant to an income tax treaty may obtain a refund of any excess amounts withheld by timely filing an appropriate claim for refund with the IRS.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Sale, Exchange, or Retirement of Note</w:t>
      </w:r>
      <w:r>
        <w:rPr>
          <w:rFonts w:ascii="Times New Roman" w:cs="Times New Roman" w:eastAsia="Times New Roman" w:hAnsi="Times New Roman"/>
          <w:sz w:val="18"/>
          <w:szCs w:val="18"/>
          <w:color w:val="auto"/>
        </w:rPr>
        <w:t>. Except as discussed below, a Non-U.S. Holder generally will not be subject to U.S. federal income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on any capital gain realized on the sale, exchange, retirement or other disposition of Notes, provided that: (a) the gain is not effectively connected with the conduct of a trade or business within the United States, or a permanent establishment maintained in the United States if certain tax treaties apply, and (b) in the case of a Non-U.S. Holder that is an individual, the Non-U.S. Holder is not present in the United States for 183 days or more in the taxable year of the sale, exchange or other disposition of the Note. An individual Non-U.S. Holder who is present in the United States for 183 days or more in the taxable year of sale, exchange or other disposition of a Note, and if certain other conditions are met, will be subject to U.S. federal income tax at a rate of 30% on the gain realized on the sale, exchange or other disposition of such Note.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Income Effectively Connected with a Trade or Business within the United States</w:t>
      </w:r>
      <w:r>
        <w:rPr>
          <w:rFonts w:ascii="Times New Roman" w:cs="Times New Roman" w:eastAsia="Times New Roman" w:hAnsi="Times New Roman"/>
          <w:sz w:val="18"/>
          <w:szCs w:val="18"/>
          <w:color w:val="auto"/>
        </w:rPr>
        <w:t>. If a Non-U.S. Holder of a Note is engaged in the conduct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 business within the United States and if interest on the Note, or gain realized on the sale, exchange or other disposition of the Note, is effectively connected with the conduct of such trade or business (and, if certain tax treaties apply, is attributable to a permanent establishment maintained by the Non-U.S. Holder in the United States), the Non-U.S. Holder, although exempt from U.S. federal withholding tax (provided that the certification requirements discussed above are satisfied), will generally be subject to U.S. federal income tax on such interest or gain on a net income basis in the same manner as if it were a U.S. Holder. Non-U.S. Holders should read the material under the heading “— Consequences to U.S. Holders,” for a description of the U.S. federal income tax consequences of acquiring, owning, and disposing of a Note. In addition, if such Non-U.S. Holder is a foreign corporation, it may also be subject to a branch profits tax equal to 30% (or such lower rate provided by an applicable U.S. income tax treaty) of all or a portion of its earnings and profits for the taxable year that are effectively connected with its conduct of a trade or business in the United States, subject to certain adjustments.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general, information returns will be filed annually with the IRS and provided to each U.S. Holder that is not an “exempt recipient” in connection with any interest payments on the Notes and the proceeds from a sale or other disposition of the Notes. In addition, a U.S. Holder may be subject to backup withholding (currently at the rate of 24%) on payments of these amounts unless the U.S. Holder provides a correct taxpayer identification number, or TIN, and certifies, under penalties of perjury, that it is a U.S. person, the TIN is correct (or that the U.S. Holder is awaiting a TIN) and the U.S. Holder either (a) is exempt from backup withholding, (b) has not been informed by the IRS that backup withholding is required due to a prior underreporting of interest or dividends or (c) has been informed by the IRS that backup withholding is no longer required. Non-U.S. Holders generally are exempt from information reporting and backup withholding, provided, if necessary, that they demonstrate their qualification for exemption by providing a properly executed IRS Form W-8BEN, Form W-8BEN-E, or other applicable tax certification form. U.S. Holders should consult their own tax advisors as to their qualification for exemption from backup withholding and the procedure for obtaining such exemption. Backup withholding is not an additional tax. Any amounts withheld under the backup withholding rules from a payment to a holder generally would be allowed as a refund or a credit against such holder’s U.S. federal income tax provided the required information is timely furnished to the IRS.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provisions of the Code, known as the Foreign Account Tax Compliance Act, or FATCA, impose a 30% U.S. withholding tax on certain U.S. source payments, including interest and dividends, if paid to a foreign financial institution (including amounts paid to a foreign financial institution on behalf of a holder), unless (i) such institution enters into an agreement with the U.S. Treasury Department to collect and provide to the U.S. Treasury Department certain information (that is in addition to and significantly more onerous than, the requirement to deliver an applicable U.S. nonresident withholding tax certification form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IRS Form W-8BEN), as discussed above) regarding U.S. financial account holders, including certain account holders that are foreign entities with U.S. owners, with such institution or (ii) such institution resides in a jurisdiction that has entered into an intergovernmental agreement, or IGA, with the United States to collect and share such information and are in compliance with the terms of such IGA and any enabling legislation or regulations. While existing U.S. Treasury regulations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FATCA also generally imposes a withholding tax of 30% on withholdable payments made to a non-financial foreign entity unless such entity provides the withholding agent with a certification that it does not have any substantial U.S. owners or a certification identifying the direct and indirect substantial U.S. owners of the entity. Depending on the status of a holder and the status of the intermediaries through which they hold their Notes, the holder could be subject to this 30% withholding tax with respect to interest paid on the Notes and potentially proceeds from the sale of the Notes to the extent treated as interest for U.S. federal income tax purposes. Under certain circumstances, a holder may be eligible for refunds or credits of such taxes.</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determine withholding is appropriate with respect to the Notes, we will withhold tax at the applicable statutory rate, and we will not pay any additional amounts in respect of such withholding. Holders are urged to consult with their own tax advisors regarding the possible implications of FATCA on their investment in the Notes.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Riley Securities, Inc., or BRS, is acting as joint book-running manager and representative of each of the underwriters named below. Subject to the terms and conditions set forth in an underwriting agreement among us and the underwriters dated December , 2022, or the Underwriting Agreement, we have agreed to sell to the underwriters, and each of the underwriters has agreed, severally and not jointly, to purchase from us, the principal amount of Notes set forth opposite its name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45"/>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 Notes</w:t>
            </w:r>
          </w:p>
        </w:tc>
      </w:tr>
      <w:tr>
        <w:trPr>
          <w:trHeight w:val="236"/>
        </w:trPr>
        <w:tc>
          <w:tcPr>
            <w:tcW w:w="9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ind w:right="151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94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Janney Montgomery Scott LLC</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 Hutton, division of Benchmark Investments, LLC</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Aegis Capital Corp.</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Huntington Securities, Inc.</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InspereX LLC</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 Group LLC</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Newbridge Securities Corporation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9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Revere Securities LLC</w:t>
            </w:r>
          </w:p>
        </w:tc>
        <w:tc>
          <w:tcPr>
            <w:tcW w:w="16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94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tcPr>
          <w:p>
            <w:pPr>
              <w:jc w:val="right"/>
              <w:ind w:right="151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These conditions include, among others, the continued accuracy of representations and warranties made by us in the Underwriting Agreement, delivery of legal opinions and the absence of any material changes in our assets, business or prospects after the date of this prospectus supplement.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several obligations of the underwriters under the Underwriting Agreement are conditional and may be terminated on the occurrence of certain stated events, including, in the event that at or prior to the closing of the offering: (i) trading in securities generally on the New York Stock Exchange or the Nasdaq Stock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SEC, by such exchange or market or by any other regulatory body or governmental authority having jurisdiction; (ii) a banking moratorium shall have been declared by United States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or (iv) there shall have occurred such a material adverse change in general economic, political or financial conditions (or the effect of international conditions on the financial markets in the United States shall be such) as to make it, in the reasonable judgment of the underwriters, impracticable or inadvisable to proceed with the sale or delivery of the Notes on the terms and in the manner contemplated in this prospectus supplement.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granted to the underwriters the option to purchase up to an additional $15,000,000 of Notes at the public offering price, less the underwriting discounts, or the Option. If any Notes are purchased pursuant to the Option, the underwriters will, severally but not jointly, purchase the Notes in approximately the same proportions as set forth in the above table. This prospectus supplement also qualifies the grant of the Option and the Notes issuable upon the exercise thereof. A purchaser who acquires any Notes forming part of the underwriters’ Option acquires such Notes under this prospectus supplement, regardless of whether the position is ultimately filled through the exercise of the Option or secondary market purchases.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among other things, liabilities under the Securities Act or to contribute to payments the underwriters may be required to make in respect of those liabilities.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deliver the Note against payment for such notes on or about December , 2022, which will be the second business day following the date of the pricing of the Notes (“T + 2”).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Discounts and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representative has advised us that the underwriters propose initially to offer the Notes to the public at the public offering price and to dealers at that price less a concession not in excess of $ per Note. After the underwriters have made a reasonable effort to sell all of the Notes at the offering price, such offering price may be decreased and may be further changed from time to time to an amount not greater than the offering price set forth herein, and the compensation realized by the underwriters will effectively be decreased by the amount that the price paid by purchasers for the Notes is less than the original offering price. Any such reduction will not affect the net proceeds received by us. The underwriters reserve the right to withdraw, cancel or modify offers to the public and to reject orders in whole or in part.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per Note and total underwriting discount that we are to pay to the underwriters in connection with this offering.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amounts are shown assuming both no exercise and full exercise of the Option.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Price to</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Underwriting</w:t>
            </w:r>
          </w:p>
        </w:tc>
        <w:tc>
          <w:tcPr>
            <w:tcW w:w="20" w:type="dxa"/>
            <w:vAlign w:val="bottom"/>
          </w:tcPr>
          <w:p>
            <w:pPr>
              <w:spacing w:after="0"/>
              <w:rPr>
                <w:sz w:val="19"/>
                <w:szCs w:val="19"/>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77"/>
        </w:trPr>
        <w:tc>
          <w:tcPr>
            <w:tcW w:w="3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the Public</w:t>
            </w:r>
          </w:p>
        </w:tc>
        <w:tc>
          <w:tcPr>
            <w:tcW w:w="1800" w:type="dxa"/>
            <w:vAlign w:val="bottom"/>
            <w:gridSpan w:val="2"/>
          </w:tcPr>
          <w:p>
            <w:pPr>
              <w:jc w:val="center"/>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94"/>
              </w:rPr>
              <w:t>Discount</w:t>
            </w:r>
            <w:r>
              <w:rPr>
                <w:rFonts w:ascii="Times New Roman" w:cs="Times New Roman" w:eastAsia="Times New Roman" w:hAnsi="Times New Roman"/>
                <w:sz w:val="29"/>
                <w:szCs w:val="29"/>
                <w:b w:val="1"/>
                <w:bCs w:val="1"/>
                <w:color w:val="auto"/>
                <w:w w:val="94"/>
                <w:vertAlign w:val="superscript"/>
              </w:rPr>
              <w:t>(1)</w:t>
            </w:r>
          </w:p>
        </w:tc>
        <w:tc>
          <w:tcPr>
            <w:tcW w:w="20" w:type="dxa"/>
            <w:vAlign w:val="bottom"/>
          </w:tcPr>
          <w:p>
            <w:pPr>
              <w:spacing w:after="0"/>
              <w:rPr>
                <w:sz w:val="24"/>
                <w:szCs w:val="24"/>
                <w:color w:val="auto"/>
              </w:rPr>
            </w:pPr>
          </w:p>
        </w:tc>
        <w:tc>
          <w:tcPr>
            <w:tcW w:w="1580" w:type="dxa"/>
            <w:vAlign w:val="bottom"/>
            <w:gridSpan w:val="2"/>
          </w:tcPr>
          <w:p>
            <w:pPr>
              <w:jc w:val="center"/>
              <w:ind w:right="160"/>
              <w:spacing w:after="0" w:line="270" w:lineRule="exact"/>
              <w:rPr>
                <w:sz w:val="20"/>
                <w:szCs w:val="20"/>
                <w:color w:val="auto"/>
              </w:rPr>
            </w:pPr>
            <w:r>
              <w:rPr>
                <w:rFonts w:ascii="Times New Roman" w:cs="Times New Roman" w:eastAsia="Times New Roman" w:hAnsi="Times New Roman"/>
                <w:sz w:val="18"/>
                <w:szCs w:val="18"/>
                <w:b w:val="1"/>
                <w:bCs w:val="1"/>
                <w:color w:val="auto"/>
                <w:w w:val="93"/>
              </w:rPr>
              <w:t>Proceeds</w:t>
            </w:r>
            <w:r>
              <w:rPr>
                <w:rFonts w:ascii="Times New Roman" w:cs="Times New Roman" w:eastAsia="Times New Roman" w:hAnsi="Times New Roman"/>
                <w:sz w:val="29"/>
                <w:szCs w:val="29"/>
                <w:b w:val="1"/>
                <w:bCs w:val="1"/>
                <w:color w:val="auto"/>
                <w:w w:val="93"/>
                <w:vertAlign w:val="superscript"/>
              </w:rPr>
              <w:t>(2)</w:t>
            </w:r>
          </w:p>
        </w:tc>
      </w:tr>
      <w:tr>
        <w:trPr>
          <w:trHeight w:val="236"/>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27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ind w:right="1321"/>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7"/>
        </w:trPr>
        <w:tc>
          <w:tcPr>
            <w:tcW w:w="33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9"/>
                <w:szCs w:val="29"/>
                <w:color w:val="auto"/>
                <w:vertAlign w:val="superscript"/>
              </w:rPr>
              <w:t>(3)</w:t>
            </w:r>
          </w:p>
        </w:tc>
        <w:tc>
          <w:tcPr>
            <w:tcW w:w="418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460" w:type="dxa"/>
            <w:vAlign w:val="bottom"/>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22"/>
                <w:szCs w:val="22"/>
                <w:color w:val="auto"/>
              </w:rPr>
            </w:pPr>
          </w:p>
        </w:tc>
        <w:tc>
          <w:tcPr>
            <w:tcW w:w="1480" w:type="dxa"/>
            <w:vAlign w:val="bottom"/>
            <w:gridSpan w:val="2"/>
          </w:tcPr>
          <w:p>
            <w:pPr>
              <w:jc w:val="right"/>
              <w:ind w:right="1321"/>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2"/>
                <w:szCs w:val="22"/>
                <w:color w:val="auto"/>
              </w:rPr>
            </w:pPr>
          </w:p>
        </w:tc>
      </w:tr>
      <w:tr>
        <w:trPr>
          <w:trHeight w:val="20"/>
        </w:trPr>
        <w:tc>
          <w:tcPr>
            <w:tcW w:w="3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Underwriting Agreement, the underwriters will receive a discount equal to $ per Note.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deducting the underwriting discount but before deducting expenses of the offering.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Option is exercised in full, the total price to the public, underwriting discount and net proceeds to us (after deducting the underwriting discount</w:t>
      </w:r>
    </w:p>
    <w:p>
      <w:pPr>
        <w:spacing w:after="0" w:line="9" w:lineRule="exact"/>
        <w:rPr>
          <w:sz w:val="20"/>
          <w:szCs w:val="20"/>
          <w:color w:val="auto"/>
        </w:rPr>
      </w:pPr>
    </w:p>
    <w:p>
      <w:pPr>
        <w:ind w:left="340"/>
        <w:spacing w:after="0"/>
        <w:tabs>
          <w:tab w:leader="none" w:pos="4760" w:val="left"/>
          <w:tab w:leader="none" w:pos="5120" w:val="left"/>
        </w:tabs>
        <w:rPr>
          <w:sz w:val="20"/>
          <w:szCs w:val="20"/>
          <w:color w:val="auto"/>
        </w:rPr>
      </w:pPr>
      <w:r>
        <w:rPr>
          <w:rFonts w:ascii="Times New Roman" w:cs="Times New Roman" w:eastAsia="Times New Roman" w:hAnsi="Times New Roman"/>
          <w:sz w:val="18"/>
          <w:szCs w:val="18"/>
          <w:color w:val="auto"/>
        </w:rPr>
        <w:t>but before deducting estimated offering expenses) will be $</w:t>
        <w:tab/>
        <w:t>, $</w:t>
        <w:tab/>
        <w:t>and $  , respectively.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also agreed to pay BRS a structuring and advisory fee equal to 1.0% of the gross proceeds from the sale of the Notes for evaluation, analysis and structuring of the Notes. In addition, BRS has committed, prior to the commencement of this offering, to underwrite up to $100.0 million in either this offering or the Proposed Secured Loan, subject to customary terms and conditions. In consideration of this underwriting commitment, we have agreed to pay BRS a fee of 3.0% of the commitment amount payable.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underwriting discounts and reimbursements, will be approximately $ . We have also agreed to reimburse the underwriters for their reasonable out-of-pocket expenses in connection with this offering and related transactions, including attorneys’ fees, up to $125,000.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agreed for a period of 30 days following the date of this offering that, without the prior written consent of the representative, which may not be unreasonably withheld, on behalf of the underwriters, we will not, sell, offer to sell, contract or agree to sell, hypothecate, pledge, grant any option to purchase or otherwise dispose of or agree to dispose of, directly or indirectly, any debt securities issued or guaranteed by the Company or any securities convertible into or exchangeable or exercisable for debt securities issued or guaranteed by the Company or file or cause to be declared effective a registration statement under the Securities Act with respect to any of the foregoing.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applied to list the Notes on Nasdaq. If the application is approved, trading of the Notes on Nasdaq is expected to begin within 30 days after the date of initial delivery of the Notes. The underwriters will have no obligation to make a market in the Notes, however, and may cease market-making activities, if commenced, at any time. Accordingly, an active trading market on Nasdaq for the Notes may not develop or, even if one develops, may not last, in which case the liquidity and market price of the Notes could be adversely affected, the difference between bid and asked prices could be substantial and your ability to transfer the Notes at the time and price desired will be limited.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distribution of the Notes is completed, SEC rules may limit underwriters and selling group members from bidding for and purchasing our Notes. However, the representative may engage in transactions that have the effect of stabilizing the price of the Notes, such as purchases and other activities that peg, fix or maintain that price.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bid for or purchase and sell our Notes in the open market. These transactions may include short sales and purchases on the open market to cover positions created by short sales. Short sales involve the sale by the underwriters of a greater number of our Notes than they are required to purchase in this offering. “Covered” short sales are sales made in an amount not greater than the Underwriters’ option to purchase additional Notes in this offering. The underwriters may close out any covered short position by either exercising their option to purchase additional Notes or purchasing notes in the open market. In determining the source of notes to close out the covered short position, the underwriters will consider, among other things, the price of notes available for purchase in the open market as compared to the price at which they may purchase additional Notes pursuant to the option granted to them. “Naked” short sales are sales in excess of the option to purchase additional Notes. The underwriters must close out any naked short position by purchasing Notes in the open market. A naked short position is more likely to be created if the underwriters are concerned that there may be downward pressure on the price of our Notes in the open market after pricing that could adversely affect investors who purchase in this offering.</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and other activities may have the effect of raising or maintaining the market price of the Notes or preventing or retarding a decline in the market price of the Notes. As a result, the price of the Notes may be higher than the price that might otherwise exist in the open market. If these activities are commenced, they may be discontinued at any time. The underwriters may conduct these transactions on Nasdaq, in the over-the-counter market or otherwise.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Notes. In addition, neither we nor any of the underwriters make any representation that the representative will engage in these transactions or that these transactions, once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Notes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 electronic format may be made available on websites maintained by one or more of the underwriters, and the underwriters may distribute the prospectus supplement and accompanying prospectus electronically.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this prospectus supplement and the accompanying prospectus in electronic format, the information on any underwriter’s or any selling group member’s website and any information contained in any other website maintained by an underwriter or any selling group member is not part of this prospectus supplement and the accompanying prospectus or the registration statement of which this prospectus supplement and the accompanying prospectus forms a part, has not been approved and/or endorsed by us or any underwriter or any selling group member in its capacity as underwriter or selling group member and should not be relied upon by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Relationships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affiliates may provide from time to time in the future in the ordinary course of their business certain commercial banking, financial advisory, investment banking and other services to us for which they will be entitled to receive customary fees and expenses.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BRS acted as underwriter in connection with our common stock offering that is expected to close on December 16,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legal matters will be passed upon for us by Waller Lansden Dortch &amp; Davis, LLP, Nashville, Tennessee, and for the underwriters by Duane Morris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Harrow Health, Inc. and subsidiaries appearing in the Company’s Annual Report on Form 10-K for the year ended December 31, 2021, incorporated by reference in this prospectus supplement, have been audited by KMJ Corbin &amp; Company LLP, an independent registered public accounting firm, as stated in its report appearing therein. Such consolidated financial statements are incorporated herein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in this prospectus supplement and the accompanying prospectus by referring you to those documents. These incorporated documents contain important business and financial information about us that is not included in or delivered with this prospectus supplement and the accompanying prospectus. The information incorporated by reference is considered to be part of this prospectus supplement and the accompanying prospectus, and later information filed with the SEC will update and supersede this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incorporate by reference the documents listed below as well as any future filings made with the SEC under Sections 13(a), 13(c), 14 or 15(d) of the Exchange Act after the date of this prospectus supplement and prior to the termination of this offering , except that we do not incorporate any document or portion of a document that is “furnished” to the SEC, but not deemed “filed.” The following documents filed with the SEC are incorporated by reference in this prospectus supplement and the accompanying prospectus:</w:t>
      </w:r>
    </w:p>
    <w:p>
      <w:pPr>
        <w:spacing w:after="0" w:line="180"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2021, filed with the SEC on </w:t>
      </w:r>
      <w:hyperlink r:id="rId54">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2022, June 30, 2022 and September 30, 2022, each filed with the SEC on </w:t>
      </w:r>
      <w:hyperlink r:id="rId55">
        <w:r>
          <w:rPr>
            <w:rFonts w:ascii="Times New Roman" w:cs="Times New Roman" w:eastAsia="Times New Roman" w:hAnsi="Times New Roman"/>
            <w:sz w:val="18"/>
            <w:szCs w:val="18"/>
            <w:u w:val="single" w:color="auto"/>
            <w:color w:val="0000EE"/>
          </w:rPr>
          <w:t>May 5, 2022</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August 9, 2022</w:t>
        </w:r>
      </w:hyperlink>
      <w:r>
        <w:rPr>
          <w:rFonts w:ascii="Times New Roman" w:cs="Times New Roman" w:eastAsia="Times New Roman" w:hAnsi="Times New Roman"/>
          <w:sz w:val="18"/>
          <w:szCs w:val="18"/>
          <w:color w:val="auto"/>
        </w:rPr>
        <w:t xml:space="preserve">, and </w:t>
      </w:r>
      <w:hyperlink r:id="rId57">
        <w:r>
          <w:rPr>
            <w:rFonts w:ascii="Times New Roman" w:cs="Times New Roman" w:eastAsia="Times New Roman" w:hAnsi="Times New Roman"/>
            <w:sz w:val="18"/>
            <w:szCs w:val="18"/>
            <w:u w:val="single" w:color="auto"/>
            <w:color w:val="0000EE"/>
          </w:rPr>
          <w:t>November 14, 2022</w:t>
        </w:r>
      </w:hyperlink>
      <w:r>
        <w:rPr>
          <w:rFonts w:ascii="Times New Roman" w:cs="Times New Roman" w:eastAsia="Times New Roman" w:hAnsi="Times New Roman"/>
          <w:sz w:val="18"/>
          <w:szCs w:val="18"/>
          <w:color w:val="auto"/>
        </w:rPr>
        <w:t>, respectively;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7"/>
        </w:numPr>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13,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13,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September 22,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 5,</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October 11, 2022</w:t>
        </w:r>
      </w:hyperlink>
      <w:hyperlink r:id="rId58">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prospectus is delivered, on written or oral request of that person, a copy of any or all of the documents we are incorporating by reference into this prospectus supplement and the accompanying prospectus, other than exhibits to those documents unless such exhibits are specifically incorporated by reference into those documents. Such written requests should be addressed to:</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102 Woodmont Blvd., Suite 610</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Nashville, TN 37205</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You may also make such requests by contacting us at (615) 733-4730.</w:t>
      </w:r>
    </w:p>
    <w:p>
      <w:pPr>
        <w:spacing w:after="0" w:line="221"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rFonts w:ascii="Times New Roman" w:cs="Times New Roman" w:eastAsia="Times New Roman" w:hAnsi="Times New Roman"/>
          <w:sz w:val="18"/>
          <w:szCs w:val="18"/>
          <w:color w:val="0000EE"/>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 site at </w:t>
      </w:r>
      <w:r>
        <w:rPr>
          <w:rFonts w:ascii="Times New Roman" w:cs="Times New Roman" w:eastAsia="Times New Roman" w:hAnsi="Times New Roman"/>
          <w:sz w:val="18"/>
          <w:szCs w:val="18"/>
          <w:i w:val="1"/>
          <w:iCs w:val="1"/>
          <w:color w:val="auto"/>
        </w:rPr>
        <w:t>www.harrowinc.com</w:t>
      </w:r>
      <w:r>
        <w:rPr>
          <w:rFonts w:ascii="Times New Roman" w:cs="Times New Roman" w:eastAsia="Times New Roman" w:hAnsi="Times New Roman"/>
          <w:sz w:val="18"/>
          <w:szCs w:val="18"/>
          <w:color w:val="auto"/>
        </w:rPr>
        <w:t>. We have not incorporated by reference into this prospectus supplement or the accompanying prospectus the information on our website, and you should not consider it to be a part of this document.</w:t>
      </w:r>
    </w:p>
    <w:p>
      <w:pPr>
        <w:spacing w:after="0" w:line="183"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this prospectus, we may offer, from time to time:</w:t>
      </w:r>
    </w:p>
    <w:p>
      <w:pPr>
        <w:spacing w:after="0" w:line="229" w:lineRule="exact"/>
        <w:rPr>
          <w:sz w:val="20"/>
          <w:szCs w:val="20"/>
          <w:color w:val="auto"/>
        </w:rPr>
      </w:pPr>
    </w:p>
    <w:p>
      <w:pPr>
        <w:ind w:left="3880" w:hanging="160"/>
        <w:spacing w:after="0"/>
        <w:tabs>
          <w:tab w:leader="none" w:pos="3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7"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9"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9"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pacing w:after="0" w:line="9"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“HROW.” On May 25, 2022, the closing price of our common stock on the Nasdaq Global Market was $6.50 per share.</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Please carefully read the information under “Risk Factors” beginning on page 4 of this prospectus, as well as the “Risk Factors” incorporated by reference herein from our most recent Annual Report on Form 10-K, our Quarterly Report on Form 10-Q and other reports and information that we file with the Securities and Exchange Commission, for information you should consider before investing in our securities.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prospectus is dated June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5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1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76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106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106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DEPOSITARY SHARES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WARRANTS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28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UNITS</w:t>
            </w:r>
          </w:p>
        </w:tc>
        <w:tc>
          <w:tcPr>
            <w:tcW w:w="772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6"/>
        </w:trPr>
        <w:tc>
          <w:tcPr>
            <w:tcW w:w="34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18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5"/>
        </w:trPr>
        <w:tc>
          <w:tcPr>
            <w:tcW w:w="506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5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$300,000,000.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about us or itself that is different from, or in addition to, that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4763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this prospectus or incorporated by reference. While we have included what we believe to be the most important information about the company,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the terms of any offering. References in this prospectus to “our company,” “we,” “our,” “Harrow” and “us” refer to Harrow Health, Inc.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ophthalmic-focused healthcare company. Our business specializes in the development, production, sale, and distribution of innovative prescription medications that offer unique competitive advantages and serve unmet needs in the marketplace through our subsidiaries and deconsolidated companies. We own and operate ImprimisRx, one of the nation’s leading ophthalmology-focused pharmaceutical businesses, and Visionology, Inc., or Visionology, a direct-to-consumer digital eyecare subsidiary. In addition to wholly owning ImprimisRx and Visionology, we also have non-controlling equity positions in Surface Ophthalmics, Inc., or Surface, and Melt Pharmaceuticals, Inc., or Melt.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ImprimisRx is our </w:t>
      </w:r>
      <w:r>
        <w:rPr>
          <w:rFonts w:ascii="Times New Roman" w:cs="Times New Roman" w:eastAsia="Times New Roman" w:hAnsi="Times New Roman"/>
          <w:sz w:val="18"/>
          <w:szCs w:val="18"/>
          <w:color w:val="auto"/>
          <w:highlight w:val="white"/>
        </w:rPr>
        <w:t>ophthalmology-focused prescription pharmaceutical business.</w:t>
      </w:r>
      <w:r>
        <w:rPr>
          <w:rFonts w:ascii="Times New Roman" w:cs="Times New Roman" w:eastAsia="Times New Roman" w:hAnsi="Times New Roman"/>
          <w:sz w:val="18"/>
          <w:szCs w:val="18"/>
          <w:color w:val="auto"/>
        </w:rPr>
        <w:t xml:space="preserve"> We offer to over 10,000 physician customers and their patients medically necessary prescription drugs to meet their needs that are otherwise unmet by commercially available drugs. We make our formulations available at prices that are, in most cases, lower than non-customized commercial drugs. Our current ophthalmic formulary includes over twenty compounded formulations, many of which are patented or patent-pending, and are customizable for the specific needs of a patient. Some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federal current good manufacturing practices, or cGMPs, or other U.S. Food and Drug Administration, or FDA, guidance documents, in our FDA-registered outsourcing facility located in New Jersey.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highlight w:val="white"/>
        </w:rPr>
        <w:t>Over the past two years, in order to more fully serve the needs of our growing customer base, we have invested in broadening ImprimisRx’s product portfolio to include FDA-approved products. Our investments in this regard have led to commercial partnerships to sell DEXYCU® and Avenova, the acquisition of two later stage drug candidates, and the recent acquisition of U.S. rights to four FDA-approved ophthalmic products. These transactions, and those we are continuing to pursue, are focused in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minority ownership interests in Surface, Melt and Eton Pharmaceuticals, Inc., all companies that began as our subsidiaries,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or NDA, where at least some of the information required for approval comes from studies not conducted by or for the applicant and for which the applicant has not obtained a right of reference. We expect any new subsidiaries to be focused on eye care.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1116" w:right="499" w:bottom="1440" w:gutter="0" w:footer="0" w:header="0"/>
        </w:sectPr>
      </w:pPr>
    </w:p>
    <w:bookmarkStart w:id="41" w:name="page42"/>
    <w:bookmarkEnd w:id="4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202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We have incurred significant operating losses and negative cash flows from operations over the course of our business. As of March 31, 2022, we had an accumulated deficit of approximately $97.8 million. Our current projections indicate that we will have operating income and/or net income during 2022; however, these projections may not be correct and our plans could change. Also, we could incur increasing operating losses in the foreseeable future for our commercialization activities, research and development, and our pharmaceutical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operations, our ability to generate the revenues necessary to achieve profitability will depend on many factors.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Times New Roman" w:cs="Times New Roman" w:eastAsia="Times New Roman" w:hAnsi="Times New Roman"/>
          <w:sz w:val="18"/>
          <w:szCs w:val="18"/>
          <w:i w:val="1"/>
          <w:iCs w:val="1"/>
          <w:color w:val="auto"/>
        </w:rPr>
        <w:t>harrowinc.com</w:t>
      </w:r>
      <w:r>
        <w:rPr>
          <w:rFonts w:ascii="Times New Roman" w:cs="Times New Roman" w:eastAsia="Times New Roman" w:hAnsi="Times New Roman"/>
          <w:sz w:val="18"/>
          <w:szCs w:val="18"/>
          <w:color w:val="auto"/>
        </w:rPr>
        <w:t>. Information contained on our website is not deemed part of this prospectus and is not incorporated in this prospectus or any other document that we file with the SEC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offer up to $300.0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46932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27875" cy="4693285"/>
                    </a:xfrm>
                    <a:prstGeom prst="rect">
                      <a:avLst/>
                    </a:prstGeom>
                    <a:noFill/>
                  </pic:spPr>
                </pic:pic>
              </a:graphicData>
            </a:graphic>
          </wp:anchor>
        </w:drawing>
        <w:t>Preferred Stock and Depositary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Harrow Health,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or debt securities. We may issue warrants independently or together with other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Before purchasing any of our securities, you should carefully consider the risk factors incorporated by reference into this prospectus from our most recent Annual Report on Form 10-K, our subsequent Quarterly Report on Form 10-Q and the other reports and information that we file with the SEC, including any risk factors and other information contained in any applicable prospectus supplement. In particular, please see the risk factors described in our Annual Report on Form 10-K for the year ended December 31, 2021, which is incorporated by reference into this prospectus. The risks and uncertainties that we have described are not the only ones facing our company. Additional risks and uncertainties not presently known to us or that we currently deem immaterial may also affect us. The occurrence of any of these risks could materially and adversely impact our business, cash flows, condition (financial or otherwise), liquidity, prospects and/or results of operations. Please also refer to the section below entitled “Forward-Looking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as amended, or the Securities Act, and Section 21E of the Securities Exchange Act of 1934, as amended, or the Exchange Act. Forward-looking statements deal with our current plans, intentions, beliefs and expectations and statements of future economic performance. Statements containing terms such as “will”, “may”, “should”, “expects”, “plans”, “anticipates”, “believes”, “estimates”, “predicts”, “forecasts”, “potential” or “continue” or the negative of these terms or other comparable terminology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in the “Risk Factors” and “Management’s Discussion and Analysis of Financial Condition and Results of Operations” sections of our most recent Annual Report on Form 10-K and Quarterly Report on Form 10-Q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before and after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purchasers in the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products, businesses or partnerships. We have not determined the amounts we plan to spend on the areas listed above or the timing of these expenditures.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equity securities. Moreover, we do not anticipate paying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rights of our common and preferred stock and of certain provisions of our Amended and Restated Certificate of Incorporation, as amended, or the Certificate of Incorporation, and Amended and Restated Bylaws, or the Bylaws. For more detailed information, please see our Certificate of Incorporation and Bylaws, which are filed as exhibits to the registration statement of which this prospectus forms a part.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55,000,000 shares, 50,000,000 of which are designated as common stock, par value $0.001 per share, and 5,000,000 of which are designated as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May 4, 2022, there were approximately 82 stockholders of record (excluding an indeterminable number of stockholders whose shares are held in street or “nominee” name) of our common stock. In addition, as of March 31, 2022, there were outstanding (i) options to acquire 3,083,796 shares of our common stock with a weighted average exercise price of $5.76 per share, (ii) warrants to purchase 373,847 shares of common stock with a weighted average exercise price of $2.08 per share, (iii) 2,088,558 unvested restricted stock units, and (iv) 277,405 vested restricted stock units for which delivery of the shares had been deferred.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authorized to issue 50,000,000 shares of common stock, par value $0.001 per share. The holders of our common stock are entitled to one vote per share on all matters submitted to a vote of the stockholders, including the election of directors. Our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no shares of preferred stock are outstanding and we currently have no plan to issue any shares of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Liability and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Transfer Agent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“HROW”. The transfer agent and registrar for our common stock is Action Stock Transfer Corporation, 2469 E. Fort Union Blvd., Suite 214, Salt Lake City, UT 84121.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complete, and is subject to modification in any prospectus supplement for any issuance of depositary shares. You should refer to the forms of the deposit agreement, our Certificate of Incorporation and the certificate of designation that are, or will be, filed with the SEC for the applicable series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distributed to holders of depositary shares will be reduced by any amounts required to be withheld by us or the depositary on account of taxes or other governmental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0"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 We will also pay charges of the depositary in connection with:</w:t>
      </w:r>
    </w:p>
    <w:p>
      <w:pPr>
        <w:spacing w:after="0" w:line="162"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deposit of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issuance of the depositary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of the preferred stock; and</w:t>
      </w:r>
    </w:p>
    <w:p>
      <w:pPr>
        <w:spacing w:after="0" w:line="225" w:lineRule="exact"/>
        <w:rPr>
          <w:rFonts w:ascii="Times New Roman" w:cs="Times New Roman" w:eastAsia="Times New Roman" w:hAnsi="Times New Roman"/>
          <w:sz w:val="18"/>
          <w:szCs w:val="18"/>
          <w:color w:val="auto"/>
        </w:rPr>
      </w:pPr>
    </w:p>
    <w:p>
      <w:pPr>
        <w:jc w:val="right"/>
        <w:ind w:left="5580" w:right="5520" w:hanging="4924"/>
        <w:spacing w:after="0" w:line="409" w:lineRule="auto"/>
        <w:tabs>
          <w:tab w:leader="none" w:pos="98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withdrawals of preferred stock by owners of depositary shares.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ind w:firstLine="648"/>
        <w:spacing w:after="0" w:line="282" w:lineRule="auto"/>
        <w:rPr>
          <w:sz w:val="20"/>
          <w:szCs w:val="20"/>
          <w:color w:val="auto"/>
        </w:rPr>
      </w:pPr>
      <w:r>
        <w:rPr>
          <w:rFonts w:ascii="Times New Roman" w:cs="Times New Roman" w:eastAsia="Times New Roman" w:hAnsi="Times New Roman"/>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62"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transfer depositary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dividends and distributions;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3"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advice of counsel or accountants;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provided by holders of depositary receipts or other persons believed in good faith to be competent to give such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purchase debt securities will describe the terms of the debt warrants, including the following:</w:t>
      </w:r>
    </w:p>
    <w:p>
      <w:pPr>
        <w:spacing w:after="0" w:line="162"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debt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including any conversion rights, purchasable upon exercise of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debt warrants and any debt securities issued with them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will commence and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debt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the currency or currency units in which the offering price, if any, and the exercise price are payable;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debt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procedures, and limitations relating to the exchange, exercise and settlement of the debt warrants.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our common stock or preferred stock will describe the terms of the warrants, including the following:</w:t>
      </w:r>
    </w:p>
    <w:p>
      <w:pPr>
        <w:spacing w:after="0" w:line="378"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common stock or preferred stock that may be purchased upon exercise of the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that may be purchased upon exercise of a warrant and the exercise price for the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225" w:lineRule="exact"/>
        <w:rPr>
          <w:rFonts w:ascii="Times New Roman" w:cs="Times New Roman" w:eastAsia="Times New Roman" w:hAnsi="Times New Roman"/>
          <w:sz w:val="18"/>
          <w:szCs w:val="18"/>
          <w:color w:val="auto"/>
        </w:rPr>
      </w:pPr>
    </w:p>
    <w:p>
      <w:pPr>
        <w:ind w:left="660" w:right="200" w:hanging="4"/>
        <w:spacing w:after="0" w:line="500" w:lineRule="auto"/>
        <w:tabs>
          <w:tab w:leader="none" w:pos="9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us.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the units in respect of which this prospectus is being delivered:</w:t>
      </w:r>
    </w:p>
    <w:p>
      <w:pPr>
        <w:spacing w:after="0" w:line="225" w:lineRule="exact"/>
        <w:rPr>
          <w:sz w:val="20"/>
          <w:szCs w:val="20"/>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relating to the issuance, payment, settlement, transfer or exchange of the units or the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fully registered or in global form;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of the governing unit agreement that differ from those described above.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May and June, 2021, we completed the sale of an aggregate principal amount of $75,000,000 unsecured senior notes in public offerings, which are all treated as a single series (collectively, the “Senior Notes”). The Senior Notes were issued pursuant to that certain Indenture (the “Base Indenture”) and that certain First Supplemental Indenture (the “First Supplemental Indenture” and, together with the Base Indenture, the “Indenture”) each dated April 20, 2021, between the Company and U.S. Bank National Association, as trustee (the “Trustee”). The Senior Notes bear interest at the rate of 8.625% per annum and mature on April 30, 2026. Interest on the Senior Notes is payable quarterly in arrears on January 31, April 30, July 31 and October 31 of each year. The Senior Notes are listed on the Nasdaq Global Market under the symbol “HROWL.”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Senior Notes are senior unsecured obligations of the Company and rank equally in right of payment with all of the Company’s other existing and future senior unsecured and unsubordinated indebtedness. The Senior Notes are effectively subordinated in right of payment to all of the Company’s existing and future secured indebtedness and structurally subordinated to all existing and future indebtedness of the Company’s subsidiaries, including trade payables.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February 1, 2026, the Company may, at its option, redeem the Senior Notes, in whole at any time or in part from time to time, at a redemption price equal to 100% of the principal amount of the Senior Notes to be redeemed, plus a make-whole amount that is further described in the First Supplemental Indenture, if any, plus accrued and unpaid interest to, but excluding, the date of redemption. The Company may redeem the Senior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Senior Notes.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is incorporated by reference into the registration statement of which this prospectus is a part.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“Harrow,” “we,” “us,” or “our” refer only to Harrow Health, Inc. and not to any of our subsidiaries, unless we expressly state or the context otherwise requires.</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Debt securities may be issued in separate series without limitation as to aggregate principal amount. We may specify a maximum aggregate principal amount for the debt securities of any series.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or subordinated;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shall be entitled to receive interest, if other than the record holder on the record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the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may be made;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provisions or sinking fund provisions and any applicable redemption or purchase prices associated with these provisions;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issued other than in denominations of U.S. $1,000 or any multiple of U.S. $1,000, the denominations in which the debt securities shall be issuable;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method for determining how the principal, premium, if any, or interest will be calculated by reference to an index or formula;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upon acceleration of maturity, if other than the entire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issuable in the form of a global certificate;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 applicable to the subordinated debt securities if different from those described below under “Subordinated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paying agents, authenticating agents, security registrars or other agents for the debt securities, if other than the trustee;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 including any provisions regarding the circumstances under which collateral may be released or substituted;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of, or changes or additions to, the events of default, acceleration provisions or covenants;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guaranties for the securities and any circumstances under which there may be additional obligors;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securities may be transferred or exchanged at the office of the security registrar or at the office of any transfer agent designated by 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not impose a service charge for any transfer or exchange, but we may require holders to pay any tax or other governmental charges associated with any transfer or exchange.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of that series selected for redemption, in whole or in part, except the unredeemed portion being redeemed in part.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appoint the trustee as the initial security registrar. Any trustee, in addition to the security registrar initially designated by us, will be named in the prospectus supplement. We may designate additional trustees or change trustees or change the office of the trustee. However, we will be required to maintain a trustee in each place of payment for the debt securities of each series.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debt securities of any series may be represented, in whole or in part, by one or more global certificates. Each global certificate will:</w:t>
      </w:r>
    </w:p>
    <w:p>
      <w:pPr>
        <w:spacing w:after="0" w:line="225"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its nominee, that we will identify in a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custodian;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any required legends.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global certificate may be exchanged in whole or in part for debt securities registered in the name of any person other than the depositary or any nominee unless:</w:t>
      </w:r>
    </w:p>
    <w:p>
      <w:pPr>
        <w:spacing w:after="0" w:line="162"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or has ceased to be qualified to act as depositary;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is continuing with respect to the debt securities of the applicable series;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described in a prospectus supplement has occurred permitting or requiring the issuance of any such security.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76"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have the debt securities registered in their names;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physical delivery of certificated debt securities;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business days prior to the date the money would be turned over to the applicable state;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in a prospectus supplement with respect to a particular series of debt securities, the debt securities will not contain any financial or restrictive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indicate otherwise in a prospectus supplement with respect to a particular series of debt securities, we may not consolidate with or merge into any other person (other than a wholly owned subsidiary of us) or sell, transfer, lease, convey or otherwise dispose of all or substantially all of our property to, any person (other than a subsidiary of us), unless:</w:t>
      </w:r>
    </w:p>
    <w:p>
      <w:pPr>
        <w:spacing w:after="0" w:line="392" w:lineRule="exact"/>
        <w:rPr>
          <w:sz w:val="20"/>
          <w:szCs w:val="20"/>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the surviving person, or the successor entity, if any, is a U.S. corporation, limited liability company, partnership, trust or other business entity;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other than the Company) expressly assumes our obligations on the debt securities and under the indentures;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the transaction, no default or event of default shall have occurred and be continuing;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specified in the indenture are met.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we indicate otherwise in a prospectus supplement, the following will be events of default for any series of debt securities under the indentures:</w:t>
      </w:r>
    </w:p>
    <w:p>
      <w:pPr>
        <w:spacing w:after="0" w:line="162"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principal of or any premium on any debt security of that series when due;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interest on any debt security of that series for 60 days after it becomes due;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deposit any sinking fund payment when due;</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perform any other covenant in the indenture and such failure continues for 90 days after we are given the notice required in the indentures;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our bankruptcy, insolvency or reorganization.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62" w:lineRule="exact"/>
        <w:rPr>
          <w:sz w:val="20"/>
          <w:szCs w:val="20"/>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 continuing event of default with respect to the debt securities of that series;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make modifications and amendments to the indentures for the benefit of holders without their consent, for certain purposes including, but not limited to:</w:t>
      </w:r>
    </w:p>
    <w:p>
      <w:pPr>
        <w:spacing w:after="0" w:line="162"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our successor to assume the covenants under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covenants or events of default;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certain changes to facilitate the issuance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the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successor trustee or additional trustees;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curing any ambiguities or inconsistencies;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guaranties of, or additional obligors on,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or facilitating the defeasance and discharge of the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specified in the indenture.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62"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 original issue discount security or any other debt security payable on acceleration of maturity;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currency in which any debt security is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enforce any payment after the stated maturity or redemption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subordinated debt securities, modify the subordination provisions in a materially adverse manner to the 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any debt security if the debt security is a convertible debt security;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61"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be subject to U.S. federal income tax differently than if we did not make the election and instead paid the amounts due on the debt securities as and when due.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debt securities of any series that are denominated in a currency other than United States dollars, “foreign government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w:t>
      </w:r>
    </w:p>
    <w:p>
      <w:pPr>
        <w:spacing w:after="0" w:line="207" w:lineRule="exact"/>
        <w:rPr>
          <w:sz w:val="20"/>
          <w:szCs w:val="20"/>
          <w:color w:val="auto"/>
        </w:rPr>
      </w:pPr>
    </w:p>
    <w:p>
      <w:pPr>
        <w:jc w:val="both"/>
        <w:ind w:left="980" w:hanging="324"/>
        <w:spacing w:after="0" w:line="261"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payment default, when the default is cured or waived or ceases to exist,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nonpayment default, the earlier of when the default is cured or waived or ceases to exist or 179 days after the receipt of the payment blockage notice.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2" w:name="page63"/>
    <w:bookmarkEnd w:id="6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or different subordination provisions may be described in a prospectus supplement relating to a particular series of debt securities.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62"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evidenced by a credit or loan agreement, note, bond, debenture or other written obligation;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for money borrowed;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evidenced by a note or similar instrument given in connection with the acquisition of any businesses, properties or assets of any kind,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lessee under leases required to be capitalized on the balance sheet of the lessee under generally accepted accounting principles, or</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lessee under leases for facilities, capital equipment or related assets, whether or not capitalized, entered into or leased for financing purposes;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under interest rate and currency swaps, caps, floors, collars, hedge agreements, forward contracts or similar agreements or arrangements;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with respect to letters of credit, bankers’ acceptances and similar facilities, including reimbursement obligations with respect to the foregoing;</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76" w:lineRule="exact"/>
        <w:rPr>
          <w:sz w:val="20"/>
          <w:szCs w:val="20"/>
          <w:color w:val="auto"/>
        </w:rPr>
      </w:pPr>
    </w:p>
    <w:p>
      <w:pPr>
        <w:jc w:val="both"/>
        <w:ind w:left="980" w:hanging="324"/>
        <w:spacing w:after="0" w:line="26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69"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0"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auctions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5" w:name="page66"/>
    <w:bookmarkEnd w:id="6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to indemnification by us against certain liabilities, including liabilities under the Securities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validity of the securities being offered hereby has been passed upon by Waller Lansden Dortch &amp; Davis,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KMJ Corbin &amp; Company LLP, an independent registered public accounting firm, has audited our consolidated financial statements included in our Annual Report on Form 10-K for the year ended December 31, 2021, as set forth in its report, which is incorporated by reference in this prospectus and elsewhere in the registration statement. Our consolidated financial statements are incorporated by reference in reliance upon the report of such firm given upon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80"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2021 filed with the SEC on </w:t>
      </w:r>
      <w:hyperlink r:id="rId54">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as amended, filed with the SEC on </w:t>
      </w:r>
      <w:hyperlink r:id="rId92">
        <w:r>
          <w:rPr>
            <w:rFonts w:ascii="Times New Roman" w:cs="Times New Roman" w:eastAsia="Times New Roman" w:hAnsi="Times New Roman"/>
            <w:sz w:val="18"/>
            <w:szCs w:val="18"/>
            <w:u w:val="single" w:color="auto"/>
            <w:color w:val="0000EE"/>
          </w:rPr>
          <w:t>April 26,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2022, filed with the SEC on </w:t>
      </w:r>
      <w:hyperlink r:id="rId55">
        <w:r>
          <w:rPr>
            <w:rFonts w:ascii="Times New Roman" w:cs="Times New Roman" w:eastAsia="Times New Roman" w:hAnsi="Times New Roman"/>
            <w:sz w:val="18"/>
            <w:szCs w:val="18"/>
            <w:u w:val="single" w:color="auto"/>
            <w:color w:val="0000EE"/>
          </w:rPr>
          <w:t>May 5,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93">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4">
        <w:r>
          <w:rPr>
            <w:rFonts w:ascii="Times New Roman" w:cs="Times New Roman" w:eastAsia="Times New Roman" w:hAnsi="Times New Roman"/>
            <w:sz w:val="18"/>
            <w:szCs w:val="18"/>
            <w:u w:val="single" w:color="auto"/>
            <w:color w:val="0000EE"/>
          </w:rPr>
          <w:t>April 13,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95">
        <w:r>
          <w:rPr>
            <w:rFonts w:ascii="Times New Roman" w:cs="Times New Roman" w:eastAsia="Times New Roman" w:hAnsi="Times New Roman"/>
            <w:sz w:val="18"/>
            <w:szCs w:val="18"/>
            <w:u w:val="single" w:color="auto"/>
            <w:color w:val="0000EE"/>
          </w:rPr>
          <w:t>February 7, 2013</w:t>
        </w:r>
      </w:hyperlink>
      <w:r>
        <w:rPr>
          <w:rFonts w:ascii="Times New Roman" w:cs="Times New Roman" w:eastAsia="Times New Roman" w:hAnsi="Times New Roman"/>
          <w:sz w:val="18"/>
          <w:szCs w:val="18"/>
          <w:color w:val="auto"/>
        </w:rPr>
        <w:t>, and any amendments or reports filed for the purpose of updating such description;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8"/>
        </w:numPr>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auto"/>
          </w:rPr>
          <w:t xml:space="preserve">the description of our 8.625% Senior Notes due 2026 contained in our Registration Statement on Form 8-A filed with the SEC on </w:t>
        </w:r>
        <w:r>
          <w:rPr>
            <w:rFonts w:ascii="Times New Roman" w:cs="Times New Roman" w:eastAsia="Times New Roman" w:hAnsi="Times New Roman"/>
            <w:sz w:val="18"/>
            <w:szCs w:val="18"/>
            <w:u w:val="single" w:color="auto"/>
            <w:color w:val="0000EE"/>
          </w:rPr>
          <w:t>April 20,</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001-35814), pursuant to Section 12(b) of the Exchange Act, including any amendment or report filed for the purpose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updating such description.</w:t>
      </w:r>
    </w:p>
    <w:p>
      <w:pPr>
        <w:spacing w:after="0" w:line="17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102 Woodmont Blvd., Suite 610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Nashville, TN 37205</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also make such requests by contacting us at (615) 733-4730.</w:t>
      </w:r>
    </w:p>
    <w:p>
      <w:pPr>
        <w:spacing w:after="0" w:line="22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http://www.harrowinc.com. We have not incorporated by reference into this prospectus the information on our website, and you should not consider it to be a part of this document.</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163830</wp:posOffset>
            </wp:positionV>
            <wp:extent cx="1808480" cy="9512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80848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Harrow Health, Inc.</w:t>
      </w:r>
    </w:p>
    <w:p>
      <w:pPr>
        <w:spacing w:after="0" w:line="250" w:lineRule="exact"/>
        <w:rPr>
          <w:sz w:val="20"/>
          <w:szCs w:val="20"/>
          <w:color w:val="auto"/>
        </w:rPr>
      </w:pPr>
    </w:p>
    <w:p>
      <w:pPr>
        <w:ind w:left="4880" w:hanging="221"/>
        <w:spacing w:after="0"/>
        <w:tabs>
          <w:tab w:leader="none" w:pos="48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Notes due 2027</w:t>
      </w:r>
    </w:p>
    <w:p>
      <w:pPr>
        <w:spacing w:after="0" w:line="200" w:lineRule="exact"/>
        <w:rPr>
          <w:rFonts w:ascii="Times New Roman" w:cs="Times New Roman" w:eastAsia="Times New Roman" w:hAnsi="Times New Roman"/>
          <w:sz w:val="18"/>
          <w:szCs w:val="18"/>
          <w:b w:val="1"/>
          <w:bCs w:val="1"/>
          <w:color w:val="auto"/>
        </w:rPr>
      </w:pPr>
    </w:p>
    <w:p>
      <w:pPr>
        <w:spacing w:after="0" w:line="281" w:lineRule="exact"/>
        <w:rPr>
          <w:rFonts w:ascii="Times New Roman" w:cs="Times New Roman" w:eastAsia="Times New Roman" w:hAnsi="Times New Roman"/>
          <w:sz w:val="18"/>
          <w:szCs w:val="18"/>
          <w:b w:val="1"/>
          <w:bCs w:val="1"/>
          <w:color w:val="auto"/>
        </w:rPr>
      </w:pPr>
    </w:p>
    <w:p>
      <w:pPr>
        <w:ind w:left="4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-279400</wp:posOffset>
            </wp:positionV>
            <wp:extent cx="17830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60" w:type="dxa"/>
            <w:vAlign w:val="bottom"/>
          </w:tcPr>
          <w:p>
            <w:pPr>
              <w:jc w:val="center"/>
              <w:ind w:right="1650"/>
              <w:spacing w:after="0"/>
              <w:rPr>
                <w:sz w:val="20"/>
                <w:szCs w:val="20"/>
                <w:color w:val="auto"/>
              </w:rPr>
            </w:pPr>
            <w:r>
              <w:rPr>
                <w:rFonts w:ascii="Times New Roman" w:cs="Times New Roman" w:eastAsia="Times New Roman" w:hAnsi="Times New Roman"/>
                <w:sz w:val="18"/>
                <w:szCs w:val="18"/>
                <w:i w:val="1"/>
                <w:iCs w:val="1"/>
                <w:color w:val="auto"/>
              </w:rPr>
              <w:t>Book-Running Managers</w:t>
            </w:r>
          </w:p>
        </w:tc>
        <w:tc>
          <w:tcPr>
            <w:tcW w:w="2860" w:type="dxa"/>
            <w:vAlign w:val="bottom"/>
          </w:tcPr>
          <w:p>
            <w:pPr>
              <w:spacing w:after="0"/>
              <w:rPr>
                <w:sz w:val="20"/>
                <w:szCs w:val="20"/>
                <w:color w:val="auto"/>
              </w:rPr>
            </w:pP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 Riley Securities</w:t>
            </w: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Janney Montgomery Scott</w:t>
            </w:r>
          </w:p>
        </w:tc>
        <w:tc>
          <w:tcPr>
            <w:tcW w:w="376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Ladenburg Thalmann</w:t>
            </w:r>
          </w:p>
        </w:tc>
        <w:tc>
          <w:tcPr>
            <w:tcW w:w="28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William Blair</w:t>
            </w:r>
          </w:p>
        </w:tc>
      </w:tr>
      <w:tr>
        <w:trPr>
          <w:trHeight w:val="432"/>
        </w:trPr>
        <w:tc>
          <w:tcPr>
            <w:tcW w:w="2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jc w:val="center"/>
              <w:ind w:right="1650"/>
              <w:spacing w:after="0"/>
              <w:rPr>
                <w:sz w:val="20"/>
                <w:szCs w:val="20"/>
                <w:color w:val="auto"/>
              </w:rPr>
            </w:pPr>
            <w:r>
              <w:rPr>
                <w:rFonts w:ascii="Times New Roman" w:cs="Times New Roman" w:eastAsia="Times New Roman" w:hAnsi="Times New Roman"/>
                <w:sz w:val="18"/>
                <w:szCs w:val="18"/>
                <w:i w:val="1"/>
                <w:iCs w:val="1"/>
                <w:color w:val="auto"/>
                <w:w w:val="99"/>
              </w:rPr>
              <w:t>Lead Manager</w:t>
            </w:r>
          </w:p>
        </w:tc>
        <w:tc>
          <w:tcPr>
            <w:tcW w:w="2860" w:type="dxa"/>
            <w:vAlign w:val="bottom"/>
          </w:tcPr>
          <w:p>
            <w:pPr>
              <w:spacing w:after="0"/>
              <w:rPr>
                <w:sz w:val="24"/>
                <w:szCs w:val="24"/>
                <w:color w:val="auto"/>
              </w:rPr>
            </w:pPr>
          </w:p>
        </w:tc>
      </w:tr>
      <w:tr>
        <w:trPr>
          <w:trHeight w:val="410"/>
        </w:trPr>
        <w:tc>
          <w:tcPr>
            <w:tcW w:w="2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6"/>
              </w:rPr>
              <w:t>EF Hutton</w:t>
            </w:r>
          </w:p>
        </w:tc>
        <w:tc>
          <w:tcPr>
            <w:tcW w:w="2860" w:type="dxa"/>
            <w:vAlign w:val="bottom"/>
          </w:tcPr>
          <w:p>
            <w:pPr>
              <w:spacing w:after="0"/>
              <w:rPr>
                <w:sz w:val="24"/>
                <w:szCs w:val="24"/>
                <w:color w:val="auto"/>
              </w:rPr>
            </w:pPr>
          </w:p>
        </w:tc>
      </w:tr>
      <w:tr>
        <w:trPr>
          <w:trHeight w:val="238"/>
        </w:trPr>
        <w:tc>
          <w:tcPr>
            <w:tcW w:w="2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2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division of Benchmark Investments, LLC</w:t>
            </w:r>
          </w:p>
        </w:tc>
        <w:tc>
          <w:tcPr>
            <w:tcW w:w="2860" w:type="dxa"/>
            <w:vAlign w:val="bottom"/>
          </w:tcPr>
          <w:p>
            <w:pPr>
              <w:spacing w:after="0"/>
              <w:rPr>
                <w:sz w:val="20"/>
                <w:szCs w:val="20"/>
                <w:color w:val="auto"/>
              </w:rPr>
            </w:pPr>
          </w:p>
        </w:tc>
      </w:tr>
      <w:tr>
        <w:trPr>
          <w:trHeight w:val="432"/>
        </w:trPr>
        <w:tc>
          <w:tcPr>
            <w:tcW w:w="2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jc w:val="center"/>
              <w:ind w:right="1670"/>
              <w:spacing w:after="0"/>
              <w:rPr>
                <w:sz w:val="20"/>
                <w:szCs w:val="20"/>
                <w:color w:val="auto"/>
              </w:rPr>
            </w:pPr>
            <w:r>
              <w:rPr>
                <w:rFonts w:ascii="Times New Roman" w:cs="Times New Roman" w:eastAsia="Times New Roman" w:hAnsi="Times New Roman"/>
                <w:sz w:val="18"/>
                <w:szCs w:val="18"/>
                <w:i w:val="1"/>
                <w:iCs w:val="1"/>
                <w:color w:val="auto"/>
                <w:w w:val="99"/>
              </w:rPr>
              <w:t>Co-Managers</w:t>
            </w:r>
          </w:p>
        </w:tc>
        <w:tc>
          <w:tcPr>
            <w:tcW w:w="2860" w:type="dxa"/>
            <w:vAlign w:val="bottom"/>
          </w:tcPr>
          <w:p>
            <w:pPr>
              <w:spacing w:after="0"/>
              <w:rPr>
                <w:sz w:val="24"/>
                <w:szCs w:val="24"/>
                <w:color w:val="auto"/>
              </w:rPr>
            </w:pPr>
          </w:p>
        </w:tc>
      </w:tr>
      <w:tr>
        <w:trPr>
          <w:trHeight w:val="432"/>
        </w:trPr>
        <w:tc>
          <w:tcPr>
            <w:tcW w:w="336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Aegis Capital Corp.</w:t>
            </w:r>
          </w:p>
        </w:tc>
        <w:tc>
          <w:tcPr>
            <w:tcW w:w="1260" w:type="dxa"/>
            <w:vAlign w:val="bottom"/>
          </w:tcPr>
          <w:p>
            <w:pPr>
              <w:spacing w:after="0"/>
              <w:rPr>
                <w:sz w:val="24"/>
                <w:szCs w:val="24"/>
                <w:color w:val="auto"/>
              </w:rPr>
            </w:pPr>
          </w:p>
        </w:tc>
        <w:tc>
          <w:tcPr>
            <w:tcW w:w="37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Huntington Capital Markets</w:t>
            </w:r>
          </w:p>
        </w:tc>
        <w:tc>
          <w:tcPr>
            <w:tcW w:w="286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InspereX</w:t>
            </w:r>
          </w:p>
        </w:tc>
      </w:tr>
      <w:tr>
        <w:trPr>
          <w:trHeight w:val="432"/>
        </w:trPr>
        <w:tc>
          <w:tcPr>
            <w:tcW w:w="23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Maxim Group LLC</w:t>
            </w:r>
          </w:p>
        </w:tc>
        <w:tc>
          <w:tcPr>
            <w:tcW w:w="1000" w:type="dxa"/>
            <w:vAlign w:val="bottom"/>
          </w:tcPr>
          <w:p>
            <w:pPr>
              <w:spacing w:after="0"/>
              <w:rPr>
                <w:sz w:val="24"/>
                <w:szCs w:val="24"/>
                <w:color w:val="auto"/>
              </w:rPr>
            </w:pPr>
          </w:p>
        </w:tc>
        <w:tc>
          <w:tcPr>
            <w:tcW w:w="50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Newbridge Securities Corporation</w:t>
            </w:r>
          </w:p>
        </w:tc>
        <w:tc>
          <w:tcPr>
            <w:tcW w:w="2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Revere Securities LLC</w:t>
            </w:r>
          </w:p>
        </w:tc>
      </w:tr>
      <w:tr>
        <w:trPr>
          <w:trHeight w:val="432"/>
        </w:trPr>
        <w:tc>
          <w:tcPr>
            <w:tcW w:w="2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 2022</w:t>
            </w:r>
          </w:p>
        </w:tc>
        <w:tc>
          <w:tcPr>
            <w:tcW w:w="2860" w:type="dxa"/>
            <w:vAlign w:val="bottom"/>
          </w:tcPr>
          <w:p>
            <w:pPr>
              <w:spacing w:after="0"/>
              <w:rPr>
                <w:sz w:val="24"/>
                <w:szCs w:val="24"/>
                <w:color w:val="auto"/>
              </w:rPr>
            </w:pPr>
          </w:p>
        </w:tc>
      </w:tr>
      <w:tr>
        <w:trPr>
          <w:trHeight w:val="223"/>
        </w:trPr>
        <w:tc>
          <w:tcPr>
            <w:tcW w:w="2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r>
      <w:tr>
        <w:trPr>
          <w:trHeight w:val="27"/>
        </w:trPr>
        <w:tc>
          <w:tcPr>
            <w:tcW w:w="2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68"/>
        </w:trPr>
        <w:tc>
          <w:tcPr>
            <w:tcW w:w="236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c>
          <w:tcPr>
            <w:tcW w:w="2860" w:type="dxa"/>
            <w:vAlign w:val="bottom"/>
            <w:shd w:val="clear" w:color="auto" w:fill="000000"/>
          </w:tcPr>
          <w:p>
            <w:pPr>
              <w:spacing w:after="0"/>
              <w:rPr>
                <w:sz w:val="5"/>
                <w:szCs w:val="5"/>
                <w:color w:val="auto"/>
              </w:rPr>
            </w:pPr>
          </w:p>
        </w:tc>
      </w:tr>
      <w:tr>
        <w:trPr>
          <w:trHeight w:val="439"/>
        </w:trPr>
        <w:tc>
          <w:tcPr>
            <w:tcW w:w="2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2570"/>
              <w:spacing w:after="0"/>
              <w:rPr>
                <w:sz w:val="20"/>
                <w:szCs w:val="20"/>
                <w:color w:val="auto"/>
              </w:rPr>
            </w:pPr>
            <w:r>
              <w:rPr>
                <w:rFonts w:ascii="Times New Roman" w:cs="Times New Roman" w:eastAsia="Times New Roman" w:hAnsi="Times New Roman"/>
                <w:sz w:val="18"/>
                <w:szCs w:val="18"/>
                <w:color w:val="auto"/>
              </w:rPr>
              <w:t>27</w:t>
            </w:r>
          </w:p>
        </w:tc>
        <w:tc>
          <w:tcPr>
            <w:tcW w:w="2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lowerRoman"/>
      <w:start w:val="1"/>
    </w:lvl>
  </w:abstractNum>
  <w:abstractNum w:abstractNumId="1">
    <w:nsid w:val="1E7FF521"/>
    <w:multiLevelType w:val="hybridMultilevel"/>
    <w:lvl w:ilvl="0">
      <w:lvlJc w:val="left"/>
      <w:lvlText w:val="(%1)"/>
      <w:numFmt w:val="decimal"/>
      <w:start w:val="3"/>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1)"/>
      <w:numFmt w:val="decimal"/>
      <w:start w:val="2"/>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lvl w:ilvl="1">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jpeg"/><Relationship Id="rId101" Type="http://schemas.openxmlformats.org/officeDocument/2006/relationships/image" Target="media/image83.png"/><Relationship Id="rId102" Type="http://schemas.openxmlformats.org/officeDocument/2006/relationships/image" Target="media/image84.png"/><Relationship Id="rId54" Type="http://schemas.openxmlformats.org/officeDocument/2006/relationships/hyperlink" Target="https://www.sec.gov/Archives/edgar/data/1360214/000149315222006525/form-10k.htm" TargetMode="External"/><Relationship Id="rId55" Type="http://schemas.openxmlformats.org/officeDocument/2006/relationships/hyperlink" Target="https://www.sec.gov/Archives/edgar/data/1360214/000149315222012261/form10q.htm" TargetMode="External"/><Relationship Id="rId56" Type="http://schemas.openxmlformats.org/officeDocument/2006/relationships/hyperlink" Target="https://www.sec.gov/Archives/edgar/data/1360214/000149315222021769/form10-q.htm" TargetMode="External"/><Relationship Id="rId57" Type="http://schemas.openxmlformats.org/officeDocument/2006/relationships/hyperlink" Target="https://www.sec.gov/Archives/edgar/data/1360214/000149315222032076/form10-q.htm" TargetMode="External"/><Relationship Id="rId58" Type="http://schemas.openxmlformats.org/officeDocument/2006/relationships/hyperlink" Target="https://www.sec.gov/Archives/edgar/data/1360214/000149315222027737/form8-k.htm" TargetMode="External"/><Relationship Id="rId59" Type="http://schemas.openxmlformats.org/officeDocument/2006/relationships/hyperlink" Target="https://www.sec.gov/Archives/edgar/data/1360214/000149315222028146/form8-k.htm" TargetMode="External"/><Relationship Id="rId92" Type="http://schemas.openxmlformats.org/officeDocument/2006/relationships/hyperlink" Target="https://www.sec.gov/Archives/edgar/data/1360214/000149315222011172/formdefa14a.htm" TargetMode="External"/><Relationship Id="rId93" Type="http://schemas.openxmlformats.org/officeDocument/2006/relationships/hyperlink" Target="https://www.sec.gov/Archives/edgar/data/1360214/000149315222008268/form8-k.htm" TargetMode="External"/><Relationship Id="rId94" Type="http://schemas.openxmlformats.org/officeDocument/2006/relationships/hyperlink" Target="https://www.sec.gov/Archives/edgar/data/1360214/000149315222009817/form8-k.htm" TargetMode="External"/><Relationship Id="rId95" Type="http://schemas.openxmlformats.org/officeDocument/2006/relationships/hyperlink" Target="https://www.sec.gov/Archives/edgar/data/1360214/000135448813000459/immy_8a12b.htm" TargetMode="External"/><Relationship Id="rId96" Type="http://schemas.openxmlformats.org/officeDocument/2006/relationships/hyperlink" Target="https://www.sec.gov/Archives/edgar/data/1360214/000149315221009251/form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2022-12-14T05:49:02Z</dcterms:created>
  <dcterms:modified xsi:type="dcterms:W3CDTF">2022-12-14T05:49:02Z</dcterms:modified>
</cp:coreProperties>
</file>