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helvetica" w:hAnsi="helvetica"/>
          <w:b/>
          <w:sz w:val="20"/>
        </w:rPr>
      </w:pPr>
      <w:bookmarkStart w:id="0" w:name="immy_s1a.htm"/>
      <w:bookmarkStart w:id="1" w:name="ksimmy_s1a"/>
      <w:bookmarkEnd w:id="0"/>
      <w:bookmarkEnd w:id="1"/>
      <w:r>
        <w:rPr>
          <w:rFonts w:ascii="helvetica" w:hAnsi="helvetica"/>
          <w:b/>
          <w:sz w:val="20"/>
        </w:rPr>
        <w:t xml:space="preserve">As filed with the Securities and Exchange Commission on February 4, 2013 </w:t>
      </w:r>
    </w:p>
    <w:p>
      <w:pPr>
        <w:pStyle w:val="TextBody"/>
        <w:spacing w:before="0" w:after="0"/>
        <w:ind w:left="0" w:right="0" w:hanging="0"/>
        <w:jc w:val="right"/>
        <w:rPr>
          <w:rFonts w:ascii="helvetica" w:hAnsi="helvetica"/>
          <w:b/>
          <w:sz w:val="20"/>
        </w:rPr>
      </w:pPr>
      <w:r>
        <w:rPr>
          <w:rFonts w:ascii="helvetica" w:hAnsi="helvetica"/>
          <w:b/>
          <w:sz w:val="20"/>
        </w:rPr>
        <w:t>No. 333-182846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center"/>
        <w:rPr>
          <w:rFonts w:ascii="helvetica" w:hAnsi="helvetica"/>
          <w:b/>
          <w:sz w:val="24"/>
        </w:rPr>
      </w:pPr>
      <w:r>
        <w:rPr>
          <w:rFonts w:ascii="helvetica" w:hAnsi="helvetica"/>
          <w:b/>
          <w:sz w:val="24"/>
        </w:rPr>
        <w:t>UNITED STATES</w:t>
      </w:r>
    </w:p>
    <w:p>
      <w:pPr>
        <w:pStyle w:val="TextBody"/>
        <w:spacing w:before="0" w:after="0"/>
        <w:ind w:left="0" w:right="0" w:hanging="0"/>
        <w:jc w:val="center"/>
        <w:rPr>
          <w:rFonts w:ascii="helvetica" w:hAnsi="helvetica"/>
          <w:b/>
          <w:sz w:val="24"/>
        </w:rPr>
      </w:pPr>
      <w:r>
        <w:rPr>
          <w:rFonts w:ascii="helvetica" w:hAnsi="helvetica"/>
          <w:b/>
          <w:sz w:val="24"/>
        </w:rPr>
        <w:t>SECURITIES AND EXCHANGE COMMISSION</w:t>
      </w:r>
    </w:p>
    <w:p>
      <w:pPr>
        <w:pStyle w:val="TextBody"/>
        <w:spacing w:before="0" w:after="0"/>
        <w:ind w:left="0" w:right="0" w:hanging="0"/>
        <w:jc w:val="center"/>
        <w:rPr>
          <w:rFonts w:ascii="helvetica" w:hAnsi="helvetica"/>
          <w:b/>
          <w:sz w:val="20"/>
        </w:rPr>
      </w:pPr>
      <w:r>
        <w:rPr>
          <w:rFonts w:ascii="helvetica" w:hAnsi="helvetica"/>
          <w:b/>
          <w:sz w:val="20"/>
        </w:rPr>
        <w:t>Washington, D.C. 20549</w:t>
      </w:r>
    </w:p>
    <w:p>
      <w:pPr>
        <w:pStyle w:val="TextBody"/>
        <w:spacing w:before="0" w:after="0"/>
        <w:jc w:val="center"/>
        <w:rPr/>
      </w:pPr>
      <w:r>
        <w:rPr>
          <w:sz w:val="28"/>
        </w:rPr>
        <w:t>___________________</w:t>
        <w:br/>
      </w:r>
      <w:r>
        <w:rPr>
          <w:rFonts w:ascii="helvetica" w:hAnsi="helvetica"/>
          <w:b/>
          <w:sz w:val="20"/>
        </w:rPr>
        <w:t xml:space="preserve">Amendment No.  5 </w:t>
      </w:r>
    </w:p>
    <w:p>
      <w:pPr>
        <w:pStyle w:val="TextBody"/>
        <w:spacing w:before="0" w:after="0"/>
        <w:jc w:val="center"/>
        <w:rPr>
          <w:b/>
        </w:rPr>
      </w:pPr>
      <w:r>
        <w:rPr>
          <w:b/>
        </w:rPr>
        <w:t>to</w:t>
      </w:r>
    </w:p>
    <w:p>
      <w:pPr>
        <w:pStyle w:val="TextBody"/>
        <w:spacing w:before="0" w:after="0"/>
        <w:jc w:val="center"/>
        <w:rPr/>
      </w:pPr>
      <w:r>
        <w:rPr/>
        <w:t> </w:t>
      </w:r>
    </w:p>
    <w:p>
      <w:pPr>
        <w:pStyle w:val="TextBody"/>
        <w:spacing w:before="0" w:after="0"/>
        <w:jc w:val="center"/>
        <w:rPr>
          <w:rFonts w:ascii="helvetica" w:hAnsi="helvetica"/>
          <w:b/>
          <w:sz w:val="28"/>
        </w:rPr>
      </w:pPr>
      <w:r>
        <w:rPr>
          <w:rFonts w:ascii="helvetica" w:hAnsi="helvetica"/>
          <w:b/>
          <w:sz w:val="28"/>
        </w:rPr>
        <w:t>FORM S-1</w:t>
      </w:r>
    </w:p>
    <w:p>
      <w:pPr>
        <w:pStyle w:val="TextBody"/>
        <w:spacing w:before="0" w:after="0"/>
        <w:ind w:left="0" w:right="0" w:hanging="0"/>
        <w:jc w:val="center"/>
        <w:rPr>
          <w:rFonts w:ascii="helvetica" w:hAnsi="helvetica"/>
          <w:b/>
          <w:sz w:val="20"/>
        </w:rPr>
      </w:pPr>
      <w:r>
        <w:rPr>
          <w:rFonts w:ascii="helvetica" w:hAnsi="helvetica"/>
          <w:b/>
          <w:sz w:val="20"/>
        </w:rPr>
        <w:t>REGISTRATION STATEMENT UNDER THE SECURITIES ACT OF 1933</w:t>
      </w:r>
    </w:p>
    <w:p>
      <w:pPr>
        <w:pStyle w:val="TextBody"/>
        <w:spacing w:before="0" w:after="0"/>
        <w:ind w:left="0" w:right="0" w:hanging="0"/>
        <w:jc w:val="center"/>
        <w:rPr/>
      </w:pPr>
      <w:r>
        <w:rPr/>
        <w:t>___________________________</w:t>
      </w:r>
    </w:p>
    <w:p>
      <w:pPr>
        <w:pStyle w:val="TextBody"/>
        <w:spacing w:before="0" w:after="0"/>
        <w:ind w:left="0" w:right="0" w:hanging="0"/>
        <w:jc w:val="center"/>
        <w:rPr>
          <w:rFonts w:ascii="helvetica" w:hAnsi="helvetica"/>
          <w:b/>
          <w:sz w:val="28"/>
        </w:rPr>
      </w:pPr>
      <w:r>
        <w:rPr>
          <w:rFonts w:ascii="helvetica" w:hAnsi="helvetica"/>
          <w:b/>
          <w:sz w:val="28"/>
        </w:rPr>
        <w:t>IMPRIMIS PHARMACEUTICALS, INC.</w:t>
      </w:r>
    </w:p>
    <w:p>
      <w:pPr>
        <w:pStyle w:val="TextBody"/>
        <w:spacing w:before="0" w:after="0"/>
        <w:ind w:left="0" w:right="0" w:hanging="0"/>
        <w:jc w:val="center"/>
        <w:rPr>
          <w:rFonts w:ascii="helvetica" w:hAnsi="helvetica"/>
          <w:sz w:val="20"/>
        </w:rPr>
      </w:pPr>
      <w:r>
        <w:rPr>
          <w:rFonts w:ascii="helvetica" w:hAnsi="helvetica"/>
          <w:sz w:val="20"/>
        </w:rPr>
        <w:t>(Exact name of registrant as specified in its charter)</w:t>
      </w:r>
    </w:p>
    <w:p>
      <w:pPr>
        <w:pStyle w:val="TextBody"/>
        <w:spacing w:before="0" w:after="0"/>
        <w:ind w:left="0" w:right="0" w:hanging="0"/>
        <w:jc w:val="center"/>
        <w:rPr/>
      </w:pPr>
      <w:r>
        <w:rPr/>
        <w:t>___________________________</w:t>
      </w:r>
    </w:p>
    <w:p>
      <w:pPr>
        <w:pStyle w:val="TextBody"/>
        <w:spacing w:before="0" w:after="0"/>
        <w:jc w:val="center"/>
        <w:rPr/>
      </w:pPr>
      <w:r>
        <w:rPr/>
      </w:r>
    </w:p>
    <w:tbl>
      <w:tblPr>
        <w:tblW w:w="4250" w:type="pct"/>
        <w:jc w:val="center"/>
        <w:tblInd w:w="0" w:type="dxa"/>
        <w:tblCellMar>
          <w:top w:w="0" w:type="dxa"/>
          <w:left w:w="0" w:type="dxa"/>
          <w:bottom w:w="28" w:type="dxa"/>
          <w:right w:w="0" w:type="dxa"/>
        </w:tblCellMar>
      </w:tblPr>
      <w:tblGrid>
        <w:gridCol w:w="2602"/>
        <w:gridCol w:w="433"/>
        <w:gridCol w:w="2603"/>
        <w:gridCol w:w="433"/>
        <w:gridCol w:w="2603"/>
      </w:tblGrid>
      <w:tr>
        <w:trPr/>
        <w:tc>
          <w:tcPr>
            <w:tcW w:w="2602"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Delaware</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2834</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45-0567010</w:t>
            </w:r>
          </w:p>
        </w:tc>
      </w:tr>
      <w:tr>
        <w:trPr/>
        <w:tc>
          <w:tcPr>
            <w:tcW w:w="2602"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(State or other jurisdiction of</w:t>
            </w:r>
          </w:p>
          <w:p>
            <w:pPr>
              <w:pStyle w:val="TableContents"/>
              <w:spacing w:before="0" w:after="0"/>
              <w:ind w:left="0" w:right="0" w:hanging="0"/>
              <w:jc w:val="center"/>
              <w:rPr>
                <w:rFonts w:ascii="helvetica" w:hAnsi="helvetica"/>
                <w:sz w:val="20"/>
              </w:rPr>
            </w:pPr>
            <w:r>
              <w:rPr>
                <w:rFonts w:ascii="helvetica" w:hAnsi="helvetica"/>
                <w:sz w:val="20"/>
              </w:rPr>
              <w:t>incorporation or organization)</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(Primary Standard Industrial</w:t>
            </w:r>
          </w:p>
          <w:p>
            <w:pPr>
              <w:pStyle w:val="TableContents"/>
              <w:spacing w:before="0" w:after="0"/>
              <w:ind w:left="0" w:right="0" w:hanging="0"/>
              <w:jc w:val="center"/>
              <w:rPr>
                <w:rFonts w:ascii="helvetica" w:hAnsi="helvetica"/>
                <w:sz w:val="20"/>
              </w:rPr>
            </w:pPr>
            <w:r>
              <w:rPr>
                <w:rFonts w:ascii="helvetica" w:hAnsi="helvetica"/>
                <w:sz w:val="20"/>
              </w:rPr>
              <w:t>Classification Code Number)</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(I.R.S. Employer</w:t>
            </w:r>
          </w:p>
          <w:p>
            <w:pPr>
              <w:pStyle w:val="TableContents"/>
              <w:spacing w:before="0" w:after="0"/>
              <w:ind w:left="0" w:right="0" w:hanging="0"/>
              <w:jc w:val="center"/>
              <w:rPr>
                <w:rFonts w:ascii="helvetica" w:hAnsi="helvetica"/>
                <w:sz w:val="20"/>
              </w:rPr>
            </w:pPr>
            <w:r>
              <w:rPr>
                <w:rFonts w:ascii="helvetica" w:hAnsi="helvetica"/>
                <w:sz w:val="20"/>
              </w:rPr>
              <w:t>Identification Number)</w:t>
            </w:r>
          </w:p>
        </w:tc>
      </w:tr>
    </w:tbl>
    <w:p>
      <w:pPr>
        <w:pStyle w:val="TextBody"/>
        <w:spacing w:before="0" w:after="0"/>
        <w:jc w:val="center"/>
        <w:rPr/>
      </w:pPr>
      <w:r>
        <w:rPr/>
      </w:r>
    </w:p>
    <w:p>
      <w:pPr>
        <w:pStyle w:val="TextBody"/>
        <w:spacing w:before="0" w:after="0"/>
        <w:ind w:left="0" w:right="0" w:hanging="0"/>
        <w:jc w:val="center"/>
        <w:rPr>
          <w:rFonts w:ascii="helvetica" w:hAnsi="helvetica"/>
          <w:b/>
          <w:sz w:val="20"/>
        </w:rPr>
      </w:pPr>
      <w:r>
        <w:rPr>
          <w:rFonts w:ascii="helvetica" w:hAnsi="helvetica"/>
          <w:b/>
          <w:sz w:val="20"/>
        </w:rPr>
        <w:t>437 S. Hwy 101, Suite 209</w:t>
      </w:r>
    </w:p>
    <w:p>
      <w:pPr>
        <w:pStyle w:val="TextBody"/>
        <w:spacing w:before="0" w:after="0"/>
        <w:ind w:left="0" w:right="0" w:hanging="0"/>
        <w:jc w:val="center"/>
        <w:rPr>
          <w:rFonts w:ascii="helvetica" w:hAnsi="helvetica"/>
          <w:b/>
          <w:sz w:val="20"/>
        </w:rPr>
      </w:pPr>
      <w:r>
        <w:rPr>
          <w:rFonts w:ascii="helvetica" w:hAnsi="helvetica"/>
          <w:b/>
          <w:sz w:val="20"/>
        </w:rPr>
        <w:t>Solana Beach, CA 92075</w:t>
      </w:r>
    </w:p>
    <w:p>
      <w:pPr>
        <w:pStyle w:val="TextBody"/>
        <w:spacing w:before="0" w:after="0"/>
        <w:ind w:left="0" w:right="0" w:hanging="0"/>
        <w:jc w:val="center"/>
        <w:rPr>
          <w:rFonts w:ascii="helvetica" w:hAnsi="helvetica"/>
          <w:b/>
          <w:sz w:val="20"/>
        </w:rPr>
      </w:pPr>
      <w:r>
        <w:rPr>
          <w:rFonts w:ascii="helvetica" w:hAnsi="helvetica"/>
          <w:b/>
          <w:sz w:val="20"/>
        </w:rPr>
        <w:t>(858) 433-2800</w:t>
      </w:r>
    </w:p>
    <w:p>
      <w:pPr>
        <w:pStyle w:val="TextBody"/>
        <w:spacing w:before="0" w:after="0"/>
        <w:ind w:left="0" w:right="0" w:hanging="0"/>
        <w:jc w:val="center"/>
        <w:rPr>
          <w:rFonts w:ascii="helvetica" w:hAnsi="helvetica"/>
          <w:sz w:val="20"/>
        </w:rPr>
      </w:pPr>
      <w:r>
        <w:rPr>
          <w:rFonts w:ascii="helvetica" w:hAnsi="helvetica"/>
          <w:sz w:val="20"/>
        </w:rPr>
        <w:t>(Address, including zip code, and telephone number, including</w:t>
      </w:r>
    </w:p>
    <w:p>
      <w:pPr>
        <w:pStyle w:val="TextBody"/>
        <w:spacing w:before="0" w:after="0"/>
        <w:ind w:left="0" w:right="0" w:hanging="0"/>
        <w:jc w:val="center"/>
        <w:rPr>
          <w:rFonts w:ascii="helvetica" w:hAnsi="helvetica"/>
          <w:sz w:val="20"/>
        </w:rPr>
      </w:pPr>
      <w:r>
        <w:rPr>
          <w:rFonts w:ascii="helvetica" w:hAnsi="helvetica"/>
          <w:sz w:val="20"/>
        </w:rPr>
        <w:t>area code, of registrant’s principal executive offices)</w:t>
      </w:r>
    </w:p>
    <w:p>
      <w:pPr>
        <w:pStyle w:val="TextBody"/>
        <w:spacing w:before="0" w:after="0"/>
        <w:ind w:left="0" w:right="0" w:hanging="0"/>
        <w:jc w:val="center"/>
        <w:rPr/>
      </w:pPr>
      <w:r>
        <w:rPr/>
        <w:t>___________________________</w:t>
      </w:r>
    </w:p>
    <w:p>
      <w:pPr>
        <w:pStyle w:val="TextBody"/>
        <w:spacing w:before="0" w:after="0"/>
        <w:ind w:left="0" w:right="0" w:hanging="0"/>
        <w:jc w:val="center"/>
        <w:rPr>
          <w:rFonts w:ascii="helvetica" w:hAnsi="helvetica"/>
          <w:b/>
          <w:sz w:val="20"/>
        </w:rPr>
      </w:pPr>
      <w:r>
        <w:rPr>
          <w:rFonts w:ascii="helvetica" w:hAnsi="helvetica"/>
          <w:b/>
          <w:sz w:val="20"/>
        </w:rPr>
        <w:t>Mark L. Baum</w:t>
      </w:r>
    </w:p>
    <w:p>
      <w:pPr>
        <w:pStyle w:val="TextBody"/>
        <w:spacing w:before="0" w:after="0"/>
        <w:ind w:left="0" w:right="0" w:hanging="0"/>
        <w:jc w:val="center"/>
        <w:rPr>
          <w:rFonts w:ascii="helvetica" w:hAnsi="helvetica"/>
          <w:b/>
          <w:sz w:val="20"/>
        </w:rPr>
      </w:pPr>
      <w:r>
        <w:rPr>
          <w:rFonts w:ascii="helvetica" w:hAnsi="helvetica"/>
          <w:b/>
          <w:sz w:val="20"/>
        </w:rPr>
        <w:t>Chief Executive Officer</w:t>
      </w:r>
    </w:p>
    <w:p>
      <w:pPr>
        <w:pStyle w:val="TextBody"/>
        <w:spacing w:before="0" w:after="0"/>
        <w:ind w:left="0" w:right="0" w:hanging="0"/>
        <w:jc w:val="center"/>
        <w:rPr>
          <w:rFonts w:ascii="helvetica" w:hAnsi="helvetica"/>
          <w:b/>
          <w:sz w:val="20"/>
        </w:rPr>
      </w:pPr>
      <w:r>
        <w:rPr>
          <w:rFonts w:ascii="helvetica" w:hAnsi="helvetica"/>
          <w:b/>
          <w:sz w:val="20"/>
        </w:rPr>
        <w:t>437 S. Hwy 101, Suite 209</w:t>
      </w:r>
    </w:p>
    <w:p>
      <w:pPr>
        <w:pStyle w:val="TextBody"/>
        <w:spacing w:before="0" w:after="0"/>
        <w:ind w:left="0" w:right="0" w:hanging="0"/>
        <w:jc w:val="center"/>
        <w:rPr>
          <w:rFonts w:ascii="helvetica" w:hAnsi="helvetica"/>
          <w:b/>
          <w:sz w:val="20"/>
        </w:rPr>
      </w:pPr>
      <w:r>
        <w:rPr>
          <w:rFonts w:ascii="helvetica" w:hAnsi="helvetica"/>
          <w:b/>
          <w:sz w:val="20"/>
        </w:rPr>
        <w:t>Solana Beach, CA 92075</w:t>
      </w:r>
    </w:p>
    <w:p>
      <w:pPr>
        <w:pStyle w:val="TextBody"/>
        <w:spacing w:before="0" w:after="0"/>
        <w:ind w:left="0" w:right="0" w:hanging="0"/>
        <w:jc w:val="center"/>
        <w:rPr>
          <w:rFonts w:ascii="helvetica" w:hAnsi="helvetica"/>
          <w:b/>
          <w:sz w:val="20"/>
        </w:rPr>
      </w:pPr>
      <w:r>
        <w:rPr>
          <w:rFonts w:ascii="helvetica" w:hAnsi="helvetica"/>
          <w:b/>
          <w:sz w:val="20"/>
        </w:rPr>
        <w:t>(858) 433-2800</w:t>
      </w:r>
    </w:p>
    <w:p>
      <w:pPr>
        <w:pStyle w:val="TextBody"/>
        <w:spacing w:before="0" w:after="0"/>
        <w:ind w:left="0" w:right="0" w:hanging="0"/>
        <w:jc w:val="center"/>
        <w:rPr/>
      </w:pPr>
      <w:r>
        <w:rPr/>
        <w:t> </w:t>
      </w:r>
      <w:r>
        <w:rPr>
          <w:rFonts w:ascii="helvetica" w:hAnsi="helvetica"/>
          <w:sz w:val="20"/>
        </w:rPr>
        <w:t>(Name, address, including zip code, and telephone number, including</w:t>
      </w:r>
    </w:p>
    <w:p>
      <w:pPr>
        <w:pStyle w:val="TextBody"/>
        <w:spacing w:before="0" w:after="0"/>
        <w:ind w:left="0" w:right="0" w:hanging="0"/>
        <w:jc w:val="center"/>
        <w:rPr>
          <w:rFonts w:ascii="helvetica" w:hAnsi="helvetica"/>
          <w:sz w:val="20"/>
        </w:rPr>
      </w:pPr>
      <w:r>
        <w:rPr>
          <w:rFonts w:ascii="helvetica" w:hAnsi="helvetica"/>
          <w:sz w:val="20"/>
        </w:rPr>
        <w:t>area code, of agent for service)</w:t>
      </w:r>
    </w:p>
    <w:p>
      <w:pPr>
        <w:pStyle w:val="TextBody"/>
        <w:spacing w:before="0" w:after="0"/>
        <w:jc w:val="center"/>
        <w:rPr/>
      </w:pPr>
      <w:r>
        <w:rPr/>
        <w:t>___________________________</w:t>
      </w:r>
    </w:p>
    <w:p>
      <w:pPr>
        <w:pStyle w:val="TextBody"/>
        <w:spacing w:before="0" w:after="0"/>
        <w:ind w:left="0" w:right="0" w:hanging="0"/>
        <w:jc w:val="center"/>
        <w:rPr>
          <w:rFonts w:ascii="helvetica" w:hAnsi="helvetica"/>
          <w:b/>
          <w:sz w:val="20"/>
        </w:rPr>
      </w:pPr>
      <w:r>
        <w:rPr>
          <w:rFonts w:ascii="helvetica" w:hAnsi="helvetica"/>
          <w:b/>
          <w:sz w:val="20"/>
        </w:rPr>
        <w:t>Copies to:</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jc w:val="left"/>
              <w:rPr/>
            </w:pPr>
            <w:r>
              <w:rPr/>
              <w:t xml:space="preserve">  </w:t>
            </w:r>
          </w:p>
        </w:tc>
        <w:tc>
          <w:tcPr>
            <w:tcW w:w="5103" w:type="dxa"/>
            <w:tcBorders/>
            <w:shd w:fill="auto" w:val="clear"/>
            <w:vAlign w:val="center"/>
          </w:tcPr>
          <w:p>
            <w:pPr>
              <w:pStyle w:val="TableContents"/>
              <w:spacing w:before="0" w:after="283"/>
              <w:rPr/>
            </w:pPr>
            <w:r>
              <w:rPr/>
              <w:t xml:space="preserve">  </w:t>
            </w:r>
          </w:p>
        </w:tc>
      </w:tr>
      <w:tr>
        <w:trPr/>
        <w:tc>
          <w:tcPr>
            <w:tcW w:w="5102" w:type="dxa"/>
            <w:vMerge w:val="restart"/>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Steven G. Rowles, Esq.</w:t>
            </w:r>
          </w:p>
          <w:p>
            <w:pPr>
              <w:pStyle w:val="TableContents"/>
              <w:spacing w:before="0" w:after="0"/>
              <w:ind w:left="0" w:right="0" w:hanging="0"/>
              <w:jc w:val="center"/>
              <w:rPr>
                <w:rFonts w:ascii="helvetica" w:hAnsi="helvetica"/>
                <w:b/>
                <w:sz w:val="20"/>
              </w:rPr>
            </w:pPr>
            <w:r>
              <w:rPr>
                <w:rFonts w:ascii="helvetica" w:hAnsi="helvetica"/>
                <w:b/>
                <w:sz w:val="20"/>
              </w:rPr>
              <w:t>Jeannette V. Filippone, Esq.</w:t>
            </w:r>
          </w:p>
          <w:p>
            <w:pPr>
              <w:pStyle w:val="TableContents"/>
              <w:spacing w:before="0" w:after="0"/>
              <w:ind w:left="0" w:right="0" w:hanging="0"/>
              <w:jc w:val="center"/>
              <w:rPr>
                <w:rFonts w:ascii="helvetica" w:hAnsi="helvetica"/>
                <w:b/>
                <w:sz w:val="20"/>
              </w:rPr>
            </w:pPr>
            <w:r>
              <w:rPr>
                <w:rFonts w:ascii="helvetica" w:hAnsi="helvetica"/>
                <w:b/>
                <w:sz w:val="20"/>
              </w:rPr>
              <w:t>Morrison &amp; Foerster LLP</w:t>
            </w:r>
          </w:p>
          <w:p>
            <w:pPr>
              <w:pStyle w:val="TableContents"/>
              <w:spacing w:before="0" w:after="0"/>
              <w:ind w:left="0" w:right="0" w:hanging="0"/>
              <w:jc w:val="center"/>
              <w:rPr>
                <w:rFonts w:ascii="helvetica" w:hAnsi="helvetica"/>
                <w:b/>
                <w:sz w:val="20"/>
              </w:rPr>
            </w:pPr>
            <w:r>
              <w:rPr>
                <w:rFonts w:ascii="helvetica" w:hAnsi="helvetica"/>
                <w:b/>
                <w:sz w:val="20"/>
              </w:rPr>
              <w:t>12531 High Bluff Drive, Suite 100</w:t>
            </w:r>
          </w:p>
          <w:p>
            <w:pPr>
              <w:pStyle w:val="TableContents"/>
              <w:spacing w:before="0" w:after="0"/>
              <w:ind w:left="0" w:right="0" w:hanging="0"/>
              <w:jc w:val="center"/>
              <w:rPr>
                <w:rFonts w:ascii="helvetica" w:hAnsi="helvetica"/>
                <w:b/>
                <w:sz w:val="20"/>
              </w:rPr>
            </w:pPr>
            <w:r>
              <w:rPr>
                <w:rFonts w:ascii="helvetica" w:hAnsi="helvetica"/>
                <w:b/>
                <w:sz w:val="20"/>
              </w:rPr>
              <w:t>San Diego, California 92130</w:t>
            </w:r>
          </w:p>
          <w:p>
            <w:pPr>
              <w:pStyle w:val="TableContents"/>
              <w:spacing w:before="0" w:after="0"/>
              <w:ind w:left="0" w:right="0" w:hanging="0"/>
              <w:jc w:val="center"/>
              <w:rPr>
                <w:rFonts w:ascii="helvetica" w:hAnsi="helvetica"/>
                <w:b/>
                <w:sz w:val="20"/>
              </w:rPr>
            </w:pPr>
            <w:r>
              <w:rPr>
                <w:rFonts w:ascii="helvetica" w:hAnsi="helvetica"/>
                <w:b/>
                <w:sz w:val="20"/>
              </w:rPr>
              <w:t>Tel: (858) 720-5100</w:t>
            </w:r>
          </w:p>
          <w:p>
            <w:pPr>
              <w:pStyle w:val="TableContents"/>
              <w:spacing w:before="0" w:after="0"/>
              <w:ind w:left="0" w:right="0" w:hanging="0"/>
              <w:jc w:val="center"/>
              <w:rPr>
                <w:rFonts w:ascii="helvetica" w:hAnsi="helvetica"/>
                <w:b/>
                <w:sz w:val="20"/>
              </w:rPr>
            </w:pPr>
            <w:r>
              <w:rPr>
                <w:rFonts w:ascii="helvetica" w:hAnsi="helvetica"/>
                <w:b/>
                <w:sz w:val="20"/>
              </w:rPr>
              <w:t>Fax: (858) 720-5125</w:t>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Kevin Friedmann, Esq.</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Marc A. Jones, Esq.</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Richardson &amp; Patel LLP</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750 Third Avenue, 9th Floor</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New York, New York 10017</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Tel: (212) 561-5559</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Fax: (917) 591-6898</w:t>
            </w:r>
          </w:p>
        </w:tc>
      </w:tr>
    </w:tbl>
    <w:p>
      <w:pPr>
        <w:pStyle w:val="TextBody"/>
        <w:spacing w:before="0" w:after="0"/>
        <w:jc w:val="center"/>
        <w:rPr/>
      </w:pPr>
      <w:r>
        <w:rPr/>
      </w:r>
    </w:p>
    <w:p>
      <w:pPr>
        <w:pStyle w:val="TextBody"/>
        <w:spacing w:before="0" w:after="0"/>
        <w:ind w:left="0" w:right="0" w:hanging="0"/>
        <w:jc w:val="left"/>
        <w:rPr>
          <w:rFonts w:ascii="helvetica" w:hAnsi="helvetica"/>
          <w:b/>
          <w:sz w:val="20"/>
        </w:rPr>
      </w:pPr>
      <w:r>
        <w:rPr>
          <w:rFonts w:ascii="helvetica" w:hAnsi="helvetica"/>
          <w:b/>
          <w:sz w:val="20"/>
        </w:rPr>
        <w:t>Approximate date of commencement of proposed sale to the public: As soon as possible after the effective date of this registration statement.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any of the securities being registered on this Form are to be offered on a delayed or continuous basis pursuant to Rule 415 under the Securities Act of 1933 check the following box.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6995"/>
        <w:gridCol w:w="3210"/>
      </w:tblGrid>
      <w:tr>
        <w:trPr/>
        <w:tc>
          <w:tcPr>
            <w:tcW w:w="699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Large accelerated filer </w:t>
            </w:r>
            <w:r>
              <w:rPr>
                <w:rFonts w:ascii="wingdings" w:hAnsi="wingdings"/>
                <w:sz w:val="20"/>
              </w:rPr>
              <w:t>o</w:t>
            </w:r>
          </w:p>
        </w:tc>
        <w:tc>
          <w:tcPr>
            <w:tcW w:w="321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Accelerated filer                   </w:t>
            </w:r>
            <w:r>
              <w:rPr>
                <w:rFonts w:ascii="wingdings" w:hAnsi="wingdings"/>
                <w:sz w:val="20"/>
              </w:rPr>
              <w:t>o</w:t>
            </w:r>
          </w:p>
        </w:tc>
      </w:tr>
      <w:tr>
        <w:trPr/>
        <w:tc>
          <w:tcPr>
            <w:tcW w:w="699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Non-accelerated filer   </w:t>
            </w:r>
            <w:r>
              <w:rPr>
                <w:rFonts w:ascii="wingdings" w:hAnsi="wingdings"/>
                <w:sz w:val="20"/>
              </w:rPr>
              <w:t>o</w:t>
            </w:r>
            <w:r>
              <w:rPr>
                <w:rFonts w:ascii="helvetica" w:hAnsi="helvetica"/>
                <w:sz w:val="20"/>
              </w:rPr>
              <w:t xml:space="preserve"> (Do not check if a smaller reporting company)</w:t>
            </w:r>
          </w:p>
        </w:tc>
        <w:tc>
          <w:tcPr>
            <w:tcW w:w="321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Smaller reporting company    ☑</w:t>
            </w:r>
          </w:p>
        </w:tc>
      </w:tr>
    </w:tbl>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color w:val="CD5C5C"/>
          <w:sz w:val="20"/>
        </w:rPr>
      </w:pPr>
      <w:r>
        <w:rPr>
          <w:rFonts w:ascii="helvetica" w:hAnsi="helvetica"/>
          <w:b/>
          <w:color w:val="CD5C5C"/>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color w:val="CD5C5C"/>
          <w:sz w:val="20"/>
        </w:rPr>
      </w:pPr>
      <w:r>
        <w:rPr>
          <w:rFonts w:ascii="helvetica" w:hAnsi="helvetica"/>
          <w:b/>
          <w:color w:val="CD5C5C"/>
          <w:sz w:val="20"/>
        </w:rPr>
        <w:t xml:space="preserve">SUBJECT TO COMPLETION, DATED  FEBRUARY 4, 2013 </w:t>
      </w: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4"/>
        </w:rPr>
      </w:pPr>
      <w:r>
        <w:rPr>
          <w:rFonts w:ascii="helvetica" w:hAnsi="helvetica"/>
          <w:b/>
          <w:sz w:val="24"/>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PRELIMINARY PROSPECTUS</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1,619,047 Shares of Common Stock</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offering 1,619,047 shares of our common stock in a firm commitment offering, which share number reflects our proposed one-for-five reverse stock split described further in this prospectus.   After the effectiveness of the registration statement of which this prospectus is a part and concurrently with the pricing of this offering, we will effect a one-for-five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is quoted on the OTC Markets Group’s OTCQB tier under the symbol “IMMY”.  On February 1, 2013, the closing price of our common stock on the OTCQB was $8.25 per share (assuming a one-for-five reverse stock split). We have applied for listing of our common stock on The NASDAQ Capital Market, which listing we expect to occur at the consummation of this offering. No assurance can be given that our application will be approved.  If the application is not approved, we will not commence this offering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Investing in our common stock involves a high degree of risk. Before making any investment in our common stock, you should read and carefully consider the risks described in this prospectus under “Risk Factors” beginning on page 8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You should rely only on the information contained in this prospectus or any prospectus supplement or amendment thereto. We have not authorized anyone to provide you with different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before="0" w:after="0"/>
        <w:ind w:left="0" w:right="0" w:hanging="0"/>
        <w:jc w:val="both"/>
        <w:rPr/>
      </w:pPr>
      <w:r>
        <w:rPr/>
        <w:t> </w:t>
      </w:r>
    </w:p>
    <w:tbl>
      <w:tblPr>
        <w:tblW w:w="4250" w:type="pct"/>
        <w:jc w:val="center"/>
        <w:tblInd w:w="0" w:type="dxa"/>
        <w:tblCellMar>
          <w:top w:w="0" w:type="dxa"/>
          <w:left w:w="0" w:type="dxa"/>
          <w:bottom w:w="0" w:type="dxa"/>
          <w:right w:w="0" w:type="dxa"/>
        </w:tblCellMar>
      </w:tblPr>
      <w:tblGrid>
        <w:gridCol w:w="6013"/>
        <w:gridCol w:w="97"/>
        <w:gridCol w:w="126"/>
        <w:gridCol w:w="937"/>
        <w:gridCol w:w="97"/>
        <w:gridCol w:w="97"/>
        <w:gridCol w:w="126"/>
        <w:gridCol w:w="1073"/>
        <w:gridCol w:w="108"/>
      </w:tblGrid>
      <w:tr>
        <w:trPr/>
        <w:tc>
          <w:tcPr>
            <w:tcW w:w="6013"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Per Share</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jc w:val="left"/>
              <w:rPr/>
            </w:pPr>
            <w:r>
              <w:rPr/>
              <w:t> </w:t>
            </w:r>
          </w:p>
        </w:tc>
        <w:tc>
          <w:tcPr>
            <w:tcW w:w="11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08" w:type="dxa"/>
            <w:tcBorders/>
            <w:shd w:fill="auto"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Initial price to public</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37" w:type="dxa"/>
            <w:tcBorders/>
            <w:shd w:fill="CCEEFF" w:val="clear"/>
            <w:vAlign w:val="bottom"/>
          </w:tcPr>
          <w:p>
            <w:pPr>
              <w:pStyle w:val="TableContents"/>
              <w:spacing w:before="0" w:after="283"/>
              <w:jc w:val="right"/>
              <w:rPr/>
            </w:pPr>
            <w:r>
              <w:rPr/>
              <w:t>5.25</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3" w:type="dxa"/>
            <w:tcBorders/>
            <w:shd w:fill="CCEEFF" w:val="clear"/>
            <w:vAlign w:val="bottom"/>
          </w:tcPr>
          <w:p>
            <w:pPr>
              <w:pStyle w:val="TableContents"/>
              <w:spacing w:before="0" w:after="283"/>
              <w:jc w:val="right"/>
              <w:rPr/>
            </w:pPr>
            <w:r>
              <w:rPr/>
              <w:t>8,499,997</w:t>
            </w:r>
          </w:p>
        </w:tc>
        <w:tc>
          <w:tcPr>
            <w:tcW w:w="108"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Underwriting discount</w:t>
            </w:r>
          </w:p>
        </w:tc>
        <w:tc>
          <w:tcPr>
            <w:tcW w:w="9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37" w:type="dxa"/>
            <w:tcBorders/>
            <w:shd w:fill="FFFFFF" w:val="clear"/>
            <w:vAlign w:val="bottom"/>
          </w:tcPr>
          <w:p>
            <w:pPr>
              <w:pStyle w:val="TableContents"/>
              <w:spacing w:before="0" w:after="283"/>
              <w:jc w:val="right"/>
              <w:rPr/>
            </w:pPr>
            <w:r>
              <w:rPr/>
              <w:t>0.4463</w:t>
            </w:r>
          </w:p>
        </w:tc>
        <w:tc>
          <w:tcPr>
            <w:tcW w:w="97"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3" w:type="dxa"/>
            <w:tcBorders/>
            <w:shd w:fill="FFFFFF" w:val="clear"/>
            <w:vAlign w:val="bottom"/>
          </w:tcPr>
          <w:p>
            <w:pPr>
              <w:pStyle w:val="TableContents"/>
              <w:spacing w:before="0" w:after="283"/>
              <w:jc w:val="right"/>
              <w:rPr/>
            </w:pPr>
            <w:r>
              <w:rPr/>
              <w:t>722,500</w:t>
            </w:r>
          </w:p>
        </w:tc>
        <w:tc>
          <w:tcPr>
            <w:tcW w:w="108"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Imprimis Pharmaceuticals(1)</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37" w:type="dxa"/>
            <w:tcBorders/>
            <w:shd w:fill="CCEEFF" w:val="clear"/>
            <w:vAlign w:val="bottom"/>
          </w:tcPr>
          <w:p>
            <w:pPr>
              <w:pStyle w:val="TableContents"/>
              <w:spacing w:before="0" w:after="283"/>
              <w:jc w:val="right"/>
              <w:rPr/>
            </w:pPr>
            <w:r>
              <w:rPr/>
              <w:t>4.8037</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3" w:type="dxa"/>
            <w:tcBorders/>
            <w:shd w:fill="CCEEFF" w:val="clear"/>
            <w:vAlign w:val="bottom"/>
          </w:tcPr>
          <w:p>
            <w:pPr>
              <w:pStyle w:val="TableContents"/>
              <w:spacing w:before="0" w:after="283"/>
              <w:jc w:val="right"/>
              <w:rPr/>
            </w:pPr>
            <w:r>
              <w:rPr/>
              <w:t>7,777,497</w:t>
            </w:r>
          </w:p>
        </w:tc>
        <w:tc>
          <w:tcPr>
            <w:tcW w:w="10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713"/>
        <w:gridCol w:w="306"/>
        <w:gridCol w:w="9186"/>
      </w:tblGrid>
      <w:tr>
        <w:trPr/>
        <w:tc>
          <w:tcPr>
            <w:tcW w:w="713" w:type="dxa"/>
            <w:tcBorders/>
            <w:shd w:fill="FFFFFF" w:val="clear"/>
            <w:vAlign w:val="center"/>
          </w:tcPr>
          <w:p>
            <w:pPr>
              <w:pStyle w:val="TableContents"/>
              <w:spacing w:before="0" w:after="283"/>
              <w:rPr/>
            </w:pPr>
            <w:r>
              <w:rPr/>
              <w:t> </w:t>
            </w:r>
          </w:p>
        </w:tc>
        <w:tc>
          <w:tcPr>
            <w:tcW w:w="306" w:type="dxa"/>
            <w:tcBorders/>
            <w:shd w:fill="FFFFFF" w:val="clear"/>
          </w:tcPr>
          <w:p>
            <w:pPr>
              <w:pStyle w:val="TableContents"/>
              <w:spacing w:before="0" w:after="283"/>
              <w:rPr/>
            </w:pPr>
            <w:r>
              <w:rPr/>
              <w:t> </w:t>
            </w:r>
            <w:r>
              <w:rPr>
                <w:rFonts w:ascii="helvetica" w:hAnsi="helvetica"/>
                <w:sz w:val="20"/>
              </w:rPr>
              <w:t>(1)</w:t>
            </w:r>
          </w:p>
        </w:tc>
        <w:tc>
          <w:tcPr>
            <w:tcW w:w="9186" w:type="dxa"/>
            <w:tcBorders/>
            <w:shd w:fill="FFFFFF" w:val="clear"/>
            <w:vAlign w:val="center"/>
          </w:tcPr>
          <w:p>
            <w:pPr>
              <w:pStyle w:val="TableContents"/>
              <w:spacing w:before="0" w:after="283"/>
              <w:rPr>
                <w:rFonts w:ascii="helvetica" w:hAnsi="helvetica"/>
                <w:sz w:val="20"/>
              </w:rPr>
            </w:pPr>
            <w:r>
              <w:rPr>
                <w:rFonts w:ascii="helvetica" w:hAnsi="helvetica"/>
                <w:sz w:val="20"/>
              </w:rPr>
              <w:t>Does not include a non-accountable expense amount of $150,000 payable to the underwriters and up to $10,000 in accountable expenses of the underwriters. See "Underwriting" for a description of compensation payable to the underwriters.</w:t>
            </w:r>
          </w:p>
        </w:tc>
      </w:tr>
    </w:tbl>
    <w:p>
      <w:pPr>
        <w:pStyle w:val="TextBody"/>
        <w:spacing w:before="0" w:after="0"/>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underwriters sell more than 1,619,047 shares of common stock, the underwriters have the option to purchase up to an additional 242,857 shares from us at the initial price to the public less the underwriting discount (assuming a one-for-five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underwriters expect to deliver the shares on or about                     ,  2013. </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jc w:val="center"/>
              <w:rPr>
                <w:rFonts w:ascii="helvetica" w:hAnsi="helvetica"/>
                <w:b/>
                <w:sz w:val="20"/>
              </w:rPr>
            </w:pPr>
            <w:r>
              <w:rPr>
                <w:rFonts w:ascii="helvetica" w:hAnsi="helvetica"/>
                <w:b/>
                <w:sz w:val="20"/>
              </w:rPr>
              <w:t>MDB Capital Group LLC</w:t>
            </w:r>
          </w:p>
        </w:tc>
        <w:tc>
          <w:tcPr>
            <w:tcW w:w="5103" w:type="dxa"/>
            <w:tcBorders/>
            <w:shd w:fill="FFFFFF" w:val="clear"/>
            <w:vAlign w:val="center"/>
          </w:tcPr>
          <w:p>
            <w:pPr>
              <w:pStyle w:val="TableContents"/>
              <w:spacing w:before="0" w:after="283"/>
              <w:jc w:val="center"/>
              <w:rPr/>
            </w:pPr>
            <w:r>
              <w:rPr/>
              <w:t> </w:t>
            </w:r>
            <w:r>
              <w:rPr>
                <w:rFonts w:ascii="helvetica" w:hAnsi="helvetica"/>
                <w:b/>
                <w:sz w:val="20"/>
              </w:rPr>
              <w:t>Aegis Capital Corp</w:t>
            </w:r>
          </w:p>
        </w:tc>
      </w:tr>
    </w:tbl>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 xml:space="preserve">This prospectus is dated                      , 2013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1"/>
      <w:bookmarkStart w:id="7" w:name="PGBRK1"/>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1"/>
      <w:bookmarkStart w:id="9" w:name="FTR1"/>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 w:name="PN"/>
      <w:bookmarkEnd w:id="1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15" w:hanging="0"/>
        <w:jc w:val="center"/>
        <w:rPr/>
      </w:pPr>
      <w:r>
        <w:rPr/>
        <w:t> </w:t>
      </w:r>
    </w:p>
    <w:p>
      <w:pPr>
        <w:pStyle w:val="TextBody"/>
        <w:spacing w:before="0" w:after="0"/>
        <w:ind w:left="0" w:right="115" w:hanging="0"/>
        <w:jc w:val="center"/>
        <w:rPr>
          <w:rFonts w:ascii="helvetica" w:hAnsi="helvetica"/>
          <w:b/>
          <w:sz w:val="20"/>
        </w:rPr>
      </w:pPr>
      <w:r>
        <w:rPr>
          <w:rFonts w:ascii="helvetica" w:hAnsi="helvetica"/>
          <w:b/>
          <w:sz w:val="20"/>
        </w:rPr>
        <w:t>TABLE OF CONTENTS</w:t>
      </w:r>
    </w:p>
    <w:p>
      <w:pPr>
        <w:pStyle w:val="TextBody"/>
        <w:spacing w:before="0" w:after="0"/>
        <w:ind w:left="0" w:right="115" w:hanging="0"/>
        <w:jc w:val="center"/>
        <w:rPr/>
      </w:pPr>
      <w:r>
        <w:rPr/>
        <w:t> </w:t>
      </w:r>
    </w:p>
    <w:tbl>
      <w:tblPr>
        <w:tblW w:w="5000" w:type="pct"/>
        <w:jc w:val="left"/>
        <w:tblInd w:w="0" w:type="dxa"/>
        <w:tblCellMar>
          <w:top w:w="0" w:type="dxa"/>
          <w:left w:w="0" w:type="dxa"/>
          <w:bottom w:w="0" w:type="dxa"/>
          <w:right w:w="0" w:type="dxa"/>
        </w:tblCellMar>
      </w:tblPr>
      <w:tblGrid>
        <w:gridCol w:w="8983"/>
        <w:gridCol w:w="101"/>
        <w:gridCol w:w="101"/>
        <w:gridCol w:w="918"/>
        <w:gridCol w:w="102"/>
      </w:tblGrid>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PROSPECTUS SUMMARY</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 FACTORS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SPECIAL NOTE REGARDING FORWARD-LOOKING STATEMENTS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USE OF PROCEEDS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CAPITAL STOCK</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CAPITALIZATION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DILUTION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UNDERWRITING</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MARKET PRICE OF AND DIVIDENDS ON COMMON STOCK AND RELATED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SHARES AVAILABLE FOR FUTURE SALE</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MANAGEMENT'S DISCUSSION AND ANALYSIS OF FINANCIAL CONDITION AND RESULTS OF OPERATIONS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THE BUSINESS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EXECUTIVE OFFICERS AND CORPORATE GOVERNANCE</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EXECUTIVE COMPENSATION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CERTAIN RELATIONSHIPS AND RELATED TRANSACTIONS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SECURITY OWNERSHIP OF CERTAIN BENEFICIAL OWNERS AND MANAGEMENT AND RELATED STOCKHOLDER MATTERS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LEGAL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EXPERTS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WHERE YOU CAN FIND MORE INFORMATION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FINANCIAL STATEMENTS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F-1</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About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should rely only on the information that we have provided or incorporated by reference in this prospectus or any prospectus supplement.  We have not authorized anyone to provide you with different information. No dealer, salesperson or other person is authorized to give any information or to represent anything not contained in this prospectus or any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any sale of a security.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pending trademark applications for Imprimis Pharmaceuticals, Accudel, Impracor and Generecycle.  All other trademarks, tradenames and service marks included in this prospectus or any related prospectus supplement, are the property of their respective owners.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2"/>
      <w:bookmarkStart w:id="16" w:name="PGBRK2"/>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2"/>
      <w:bookmarkStart w:id="18" w:name="FTR2"/>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0" w:name="PN1"/>
      <w:bookmarkEnd w:id="20"/>
      <w:r>
        <w:rPr>
          <w:rFonts w:ascii="helvetica" w:hAnsi="helvetica"/>
          <w:sz w:val="20"/>
        </w:rPr>
        <w:t>- i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 SUMMARY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This summary highlights selected information contained elsewhere in this prospectus and does not contain all of the information that should be considered before investing in our common stock. Investors should read the entire prospectus carefully, including the more detailed information regarding our business, the risks of purchasing our common stock discussed in this prospectus under “Risk Factors” beginning on page 8 of this prospectus, “Management’s Discussion and Analysis of Financial Condition and Results of Operations” beginning on page 37 of this prospectus, and our consolidated financial statements and the accompanying notes beginning on page F-1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used in this prospectus, unless the context requires otherwise, the “Company”, “we”, “us”, and “our” refer to Imprimis Pharmaceuticals, Inc., a Delaware corporation.</w:t>
      </w:r>
    </w:p>
    <w:p>
      <w:pPr>
        <w:pStyle w:val="TextBody"/>
        <w:spacing w:before="0" w:after="0"/>
        <w:ind w:left="0" w:right="0" w:hanging="0"/>
        <w:jc w:val="both"/>
        <w:rPr/>
      </w:pPr>
      <w:r>
        <w:rPr/>
        <w:t> </w:t>
      </w:r>
    </w:p>
    <w:p>
      <w:pPr>
        <w:pStyle w:val="TextBody"/>
        <w:spacing w:before="0" w:after="0"/>
        <w:ind w:left="0" w:right="0" w:hanging="0"/>
        <w:rPr/>
      </w:pPr>
      <w:bookmarkStart w:id="24" w:name="TAB2"/>
      <w:bookmarkEnd w:id="24"/>
      <w:r>
        <w:rPr>
          <w:color w:val="000000"/>
          <w:spacing w:val="180"/>
        </w:rPr>
        <w:t> </w:t>
      </w:r>
      <w:r>
        <w:rPr>
          <w:rFonts w:ascii="helvetica" w:hAnsi="helvetica"/>
          <w:b/>
          <w:sz w:val="20"/>
        </w:rPr>
        <w:t>Our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b w:val="false"/>
          <w:i w:val="false"/>
          <w:caps w:val="false"/>
          <w:smallCaps w:val="false"/>
          <w:sz w:val="20"/>
        </w:rPr>
        <w:t>To better enable us to analyze the myriad of PCCA and PCCA-related development opportunities, we have designed a comprehensive drug development selection methodology.  In determining the viability of a potential opportunity, we group all development candidates according to delivery modality and health category.  We review intellectual property related to a respective opportunity, as well as manufacturing considerations, various market-related criterion and other clinical development issues.  We believe that our review process will aid us in identifying viable development candidates and assist us in determining whether to internally develop a program or seek an appropriate commercialization partner.</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has been quoted in the over-the-counter market since March 2007 and is currently quoted on OTC Markets Group’s OTCQB tier under the symbol “IMMY”.  Our executive offices are located at 437 S. Hwy 101, Suite 209, Solana Beach, CA 92075 and our telephone number is (858) 433-2800.  Our website address is www.imprimispharma.com.  Information contained on our website is not deemed part of this prospectus.</w:t>
      </w:r>
    </w:p>
    <w:p>
      <w:pPr>
        <w:pStyle w:val="TextBody"/>
        <w:spacing w:before="0" w:after="0"/>
        <w:ind w:left="0" w:right="0" w:hanging="0"/>
        <w:jc w:val="both"/>
        <w:rPr/>
      </w:pPr>
      <w:r>
        <w:rPr/>
        <w:t> </w:t>
      </w:r>
    </w:p>
    <w:p>
      <w:pPr>
        <w:pStyle w:val="TextBody"/>
        <w:spacing w:before="0" w:after="0"/>
        <w:ind w:left="0" w:right="0" w:hanging="0"/>
        <w:rPr/>
      </w:pPr>
      <w:bookmarkStart w:id="25" w:name="TAB21"/>
      <w:bookmarkEnd w:id="25"/>
      <w:r>
        <w:rPr>
          <w:color w:val="000000"/>
          <w:spacing w:val="180"/>
        </w:rPr>
        <w:t> </w:t>
      </w:r>
      <w:r>
        <w:rPr>
          <w:rFonts w:ascii="helvetica" w:hAnsi="helvetica"/>
          <w:b/>
          <w:sz w:val="20"/>
        </w:rPr>
        <w:t>Reverse Stock Split and NASDAQ Listing Application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(the “Board of Directors” or the “Board”)</w:t>
      </w:r>
      <w:r>
        <w:rPr>
          <w:rFonts w:ascii="times new roman" w:hAnsi="times new roman"/>
          <w:sz w:val="20"/>
        </w:rPr>
        <w:t xml:space="preserve"> </w:t>
      </w:r>
      <w:r>
        <w:rPr>
          <w:rFonts w:ascii="helvetica" w:hAnsi="helvetica"/>
          <w:sz w:val="20"/>
        </w:rPr>
        <w:t>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Securities Exchange Act of 1934 (the “Exchange Act”).  We anticipate that immediately following the effectiveness of the registration statement of which this prospectus forms a part, and prior to the closing of this offering, our Board of Directors will effect a reverse stock split at a ratio of one-for-five (the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reverse stock split is intended to allow us to meet the minimum share price requirement of The NASDAQ Capital Market.  We have applied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Other than as otherwise indicated and except in our consolidated financial statements, all information regarding share amounts of common stock and prices per share of common stock contained in this prospectus assume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pPr>
      <w:bookmarkStart w:id="26" w:name="TAB22"/>
      <w:bookmarkEnd w:id="26"/>
      <w:r>
        <w:rPr>
          <w:color w:val="000000"/>
          <w:spacing w:val="180"/>
        </w:rPr>
        <w:t> </w:t>
      </w: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non-steroidal anti-inflammatory drug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 w:name="PGBRK3"/>
      <w:bookmarkStart w:id="28" w:name="PGBRK3"/>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FTR3"/>
      <w:bookmarkStart w:id="30" w:name="FTR3"/>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 w:name="GLFTR2"/>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2" w:name="PN2"/>
      <w:bookmarkEnd w:id="32"/>
      <w:r>
        <w:rPr>
          <w:rFonts w:ascii="helvetica" w:hAnsi="helvetica"/>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HDR2"/>
      <w:bookmarkStart w:id="34" w:name="HD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 w:name="GLHDR2"/>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Completed Clinical Studies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endpoint assessment and 4 patients who were misdiagnosed.  This mPP analysis on 250 patients demonstrated statistical significance of the primary endpoint (p=0.034).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Proposed Clinical Program for Impracor</w:t>
      </w:r>
    </w:p>
    <w:p>
      <w:pPr>
        <w:pStyle w:val="TextBody"/>
        <w:spacing w:before="0" w:after="0"/>
        <w:jc w:val="left"/>
        <w:rPr/>
      </w:pPr>
      <w:r>
        <w:rPr/>
        <w:t xml:space="preserve">   </w:t>
      </w:r>
    </w:p>
    <w:p>
      <w:pPr>
        <w:pStyle w:val="TextBody"/>
        <w:spacing w:before="0" w:after="0"/>
        <w:ind w:left="0" w:right="0" w:firstLine="720"/>
        <w:jc w:val="left"/>
        <w:rPr/>
      </w:pPr>
      <w:r>
        <w:rPr>
          <w:rFonts w:ascii="helvetica" w:hAnsi="helvetica"/>
          <w:sz w:val="20"/>
        </w:rPr>
        <w:t>For Impracor to be approved by the U.S. Food and Drug Administration ("FDA"), two confirmatory Phase 3 trials with exposure of at least 300 to 500 patients and supportive dermal safety studies are required.  We plan to commence two adequate and well-controlled Phase 3 trials of Impracor in patients experiencing pain from osteoarthritis flare in their knees.  We plan to discuss the clinical development program for those trials, which has been endorsed by our scientific and regulatory advisory board, with the FDA at a Type C meeting scheduled to occur in April 2013.</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Also as required by the FDA, we recently completed a clinical study that measured the amount of ketoprofen found in the bloodstream following topical application of two different doses of the anti-inflammatory cream under different conditions, including normal activities, heat exposure to the application site and standardized exercise, as well as the amount of the drug in the bloodstream after taking an oral dose of ketoprofen (the relative oral bioavailability).  The study included a total of 40 healthy volunteers (36 of which completed the study) assigned to one of two cohorts (2g or 4g applications).  Subjects were dosed according to a four-sequence, four-treatment randomization schedule in which they received topical Impracor applications under each of the three conditions and an oral ketoprofen dose in weekly intervals.  Overall the pharmacokinetic parameters were observed to be consistent between the two different dose cohorts.  The application of an occlusive knee bandage with either heat or exercise following topical administration showed faster initial, but lower overall plasma exposure of ketoprofen relative to non-occluded topical administration with no heat or exercise.  The extent of bioavailability over 48 hours as measured by the area under the concentration curve from time zero to the time of last measurable concentration (AUC0-t) was 2% or less in cohort 1 (2 g single dose applied to one knee) and 4% or less in cohort 2 (2 g single dose applied to each knee) for the topical treatments relative to the oral treatment.  All treatments were observed to be well tolerated.  We also expect to initiate a routine supportive trial in healthy subjects related to the potential of contact sensitization.  We expect that all of our planned clinical studies for Impracor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 </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Following completion of our clinical trials, we expect to file a New Drug Application for marketing authorization for Impracor under Section 505(b)(2) of the Hatch-Waxman Act of 1984, a regulatory route towards U.S. approval that leverages previously established safety and/or effectiveness of already approved ketoprofen products in other dosage forms.  This regulatory path also improves the chances of success over a completely new drug chemical entity.</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The timing of Phase 3 trials and the other supportive studies will be dependent on obtaining adequate financing to support the execution of these activities and for other working capital expenditures.  Upon receipt of such financing, we anticipate initiating the supportive studies and Phase 3 trials in mid and late 2013, respectively.  Assuming successful timely completion and outcome of the additional Phase 3 trials, we would expect to file the New Drug Application for Impracor in the second half of 2014.</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4"/>
      <w:bookmarkStart w:id="37" w:name="PGBRK4"/>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FTR4"/>
      <w:bookmarkStart w:id="39" w:name="FTR4"/>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 w:name="GLFTR3"/>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1" w:name="PN3"/>
      <w:bookmarkEnd w:id="41"/>
      <w:r>
        <w:rPr>
          <w:rFonts w:ascii="helvetica" w:hAnsi="helvetica"/>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HDR3"/>
      <w:bookmarkStart w:id="43" w:name="HDR3"/>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 w:name="GLHDR3"/>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pPr>
      <w:r>
        <w:rPr/>
        <w:t xml:space="preserve">  </w:t>
      </w:r>
    </w:p>
    <w:p>
      <w:pPr>
        <w:pStyle w:val="TextBody"/>
        <w:spacing w:before="0" w:after="0"/>
        <w:ind w:left="0" w:right="0" w:hanging="0"/>
        <w:jc w:val="both"/>
        <w:rPr>
          <w:caps w:val="false"/>
          <w:smallCaps w:val="false"/>
        </w:rPr>
      </w:pPr>
      <w:r>
        <w:rPr>
          <w:caps w:val="false"/>
          <w:smallCaps w:val="false"/>
        </w:rPr>
        <w:drawing>
          <wp:inline distT="0" distB="0" distL="0" distR="0">
            <wp:extent cx="3829050"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29050" cy="27908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 w:name="list"/>
      <w:bookmarkStart w:id="46" w:name="list"/>
      <w:bookmarkEnd w:id="4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 w:name="list1"/>
      <w:bookmarkStart w:id="48" w:name="list1"/>
      <w:bookmarkEnd w:id="48"/>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 w:name="list2"/>
      <w:bookmarkStart w:id="50" w:name="list2"/>
      <w:bookmarkEnd w:id="50"/>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1" w:name="list3"/>
      <w:bookmarkStart w:id="52" w:name="list3"/>
      <w:bookmarkEnd w:id="52"/>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 w:name="list4"/>
      <w:bookmarkStart w:id="54" w:name="list4"/>
      <w:bookmarkEnd w:id="54"/>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w:t>
            </w:r>
          </w:p>
        </w:tc>
        <w:tc>
          <w:tcPr>
            <w:tcW w:w="980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5" w:name="list5"/>
      <w:bookmarkStart w:id="56" w:name="list5"/>
      <w:bookmarkEnd w:id="56"/>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 w:name="list6"/>
      <w:bookmarkStart w:id="58" w:name="list6"/>
      <w:bookmarkEnd w:id="58"/>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9" w:name="list7"/>
      <w:bookmarkStart w:id="60" w:name="list7"/>
      <w:bookmarkEnd w:id="60"/>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 w:name="list8"/>
      <w:bookmarkStart w:id="62" w:name="list8"/>
      <w:bookmarkEnd w:id="62"/>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 w:name="list9"/>
      <w:bookmarkStart w:id="64" w:name="list9"/>
      <w:bookmarkEnd w:id="64"/>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5"/>
      <w:bookmarkStart w:id="66" w:name="PGBRK5"/>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5"/>
      <w:bookmarkStart w:id="68" w:name="FTR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 w:name="GLFTR4"/>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0" w:name="PN4"/>
      <w:bookmarkEnd w:id="70"/>
      <w:r>
        <w:rPr>
          <w:rFonts w:ascii="helvetica" w:hAnsi="helvetica"/>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4"/>
      <w:bookmarkStart w:id="72" w:name="HDR4"/>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 w:name="GLHDR4"/>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Product Development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was over $500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 almost as many deaths as asthma, cervical cancer and malignant melanona combined, and another 1999 study published in the Journal of Rheumatology found that death resulting from gastro-intestinal complications was the 15th most common cause of death in the U.S.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systemic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more information regarding our business, see “Management’s Discussion and Analysis of Financial Condition and Results of Operations” and “Business,” included elsewhere in this prospectus.</w:t>
      </w:r>
    </w:p>
    <w:p>
      <w:pPr>
        <w:pStyle w:val="TextBody"/>
        <w:spacing w:before="0" w:after="0"/>
        <w:ind w:left="0" w:right="0" w:hanging="0"/>
        <w:jc w:val="both"/>
        <w:rPr/>
      </w:pPr>
      <w:r>
        <w:rPr/>
        <w:t> </w:t>
      </w:r>
    </w:p>
    <w:p>
      <w:pPr>
        <w:pStyle w:val="TextBody"/>
        <w:spacing w:before="0" w:after="0"/>
        <w:ind w:left="0" w:right="0" w:hanging="0"/>
        <w:rPr/>
      </w:pPr>
      <w:bookmarkStart w:id="74" w:name="TAB23"/>
      <w:bookmarkEnd w:id="74"/>
      <w:r>
        <w:rPr>
          <w:color w:val="000000"/>
          <w:spacing w:val="180"/>
        </w:rPr>
        <w:t> </w:t>
      </w: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PCCA Transaction</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August 30, 2012, we entered into a License Agreement (the “PCCA License Agreement") and a Stock Purchase Agreement (the “PCCA Purchase Agreement”) in a strategic transaction with PCCA (the “PCCA Transaction”).</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of 1933 (the “Securities Act”) afforded by Section 4(2) thereof.</w:t>
      </w:r>
    </w:p>
    <w:p>
      <w:pPr>
        <w:pStyle w:val="TextBody"/>
        <w:spacing w:before="0" w:after="0"/>
        <w:ind w:left="0" w:right="0" w:hanging="0"/>
        <w:rPr/>
      </w:pPr>
      <w:r>
        <w:rPr/>
        <w:t> </w:t>
      </w:r>
    </w:p>
    <w:p>
      <w:pPr>
        <w:pStyle w:val="TextBody"/>
        <w:spacing w:before="0" w:after="0"/>
        <w:ind w:left="0" w:right="0" w:hanging="0"/>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afforded by Section 4(2) thereof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 w:name="PGBRK6"/>
      <w:bookmarkStart w:id="76" w:name="PGBRK6"/>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FTR6"/>
      <w:bookmarkStart w:id="78" w:name="FTR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 w:name="GLFTR5"/>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0" w:name="PN5"/>
      <w:bookmarkEnd w:id="80"/>
      <w:r>
        <w:rPr>
          <w:rFonts w:ascii="helvetica" w:hAnsi="helvetica"/>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HDR5"/>
      <w:bookmarkStart w:id="82" w:name="HDR5"/>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 w:name="GLHDR5"/>
      <w:bookmarkEnd w:id="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bookmarkStart w:id="84" w:name="TAB24"/>
      <w:bookmarkEnd w:id="84"/>
      <w:r>
        <w:rPr>
          <w:color w:val="000000"/>
          <w:spacing w:val="180"/>
        </w:rPr>
        <w:t> </w:t>
      </w:r>
      <w:r>
        <w:rPr>
          <w:rFonts w:ascii="helvetica" w:hAnsi="helvetica"/>
          <w:b/>
          <w:i/>
          <w:sz w:val="20"/>
        </w:rPr>
        <w:t>Conversion of Convertible Note and Balance Under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immediately following the effective time of the Certificate of Amendment to our Certificate of Incorporation increasing the number of authorized shares of our common stock on February 28, 2012, the entire outstanding balance and all accrued but unpaid interest owing under our $1,000,000 7.5% Convertible Promissory Note issued on April 5, 2010, as well as certain outstanding accounts payable held by DermaStar International, LLC (“DermaStar”), were converted into 1,835,830 shares of common stock, and the convertible promissory note was terminated.  DermaStar was the holder of 80% of the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our line of credit with DermaStar, an aggregate of $762,534, was converted into 193,047 shares of common stock and warrants to purchase 48,262 shares of our common stock pursuant to a conversion agreement we entered into with DermaStar on April 20, 2012.  The warrants have substantially the same terms as the warrants issued in the April Private Placement.  The line of credit was terminated upon the completion of the conversion.  Director and Chief Executive Officer Mark L. Baum and the Chairman of our Board of Directors, Robert J. Kammer, were the Managing Members of DermaStar prior to its dissolution in July 2012.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rPr/>
      </w:pPr>
      <w:bookmarkStart w:id="85" w:name="TAB25"/>
      <w:bookmarkEnd w:id="85"/>
      <w:r>
        <w:rPr>
          <w:color w:val="000000"/>
          <w:spacing w:val="180"/>
        </w:rPr>
        <w:t> </w:t>
      </w:r>
      <w:r>
        <w:rPr>
          <w:rFonts w:ascii="helvetica" w:hAnsi="helvetica"/>
          <w:b/>
          <w:i/>
          <w:sz w:val="20"/>
        </w:rPr>
        <w:t>Written Consent of the Stockholders Approving Increase in Option Plan Reserve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stockholders holding a majority of our outstanding voting power approved an amendment to our 2007 Incentive Stock and Awards Plan (the “2007 Plan”) to increase the number of shares available for issuance under the 2007 Plan from 750,000 to 2,400,000.  The stockholder approval of the increase became effective upon our compliance with certain notice requirements under the Exchange Act.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Going Concern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independent registered public accounting firm issued an unqualified opinion with an explanatory paragraph to the effect that there is substantial doubt about our ability to continue as a going concern in its report included in our consolidated financial statments for the fiscal year ended December 31, 2011. This unqualified opinion with an explanatory paragraph could have a material adverse effect on our business, financial condition, results of operations and cash flows. See “Management’s Discussion and Analysis of Financial Condition and Results of Operations - Liquidity and Capital Resources” and Note 2 to our consolidated financial statements for the fiscal year ended December 31, 2011 included elsewhere in this prospectus.  We experienced net losses of $(953,936) and $(2,531,228) for the years ended December 31, 2011 and 2010, respectively. As of September 30, 2012, our accumulated deficit was $(22,651,240).</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Unless and until we execute an underwriting agreement with the underwriters in connection with this offering, we have no committed sources of capital and do not know whether additional financing will be available when needed on terms that are acceptable, if at all. The going concern statement from our independent registered public accounting firm may discourage some investors from purchasing our stock or from providing alternative capital financing to us. The failure to satisfy our capital requirements would adversely affect our business, financial condition, results of operations and prospects.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Unless we raise additional funds, either through the sale of equity securities such as through this offering or one or more collaborative arrangements, we will not have sufficient funds to continue operations. Even if we take these actions, the funds we raise may be insufficient, particularly if our costs are higher than projected or unforeseen expenses arise.</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Risks Related to Our Business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business is subject to a number of risks. You should understand these risks before making an investment decision. If any of these risks actually occurs, our business, financial condition or results of operations would likely be materially adversely affected. In such case, the trading price of our common stock would likely decline, and you may lose all or part of your investment. Below is a summary of some of the principal risks we face. The risks are discussed more fully in the section of this prospectus below entitled “Risk Factors.” </w:t>
      </w:r>
    </w:p>
    <w:p>
      <w:pPr>
        <w:pStyle w:val="TextBody"/>
        <w:spacing w:before="0" w:after="0"/>
        <w:ind w:left="0" w:right="0" w:hanging="0"/>
        <w:rPr/>
      </w:pPr>
      <w:r>
        <w:rPr/>
        <w:t> </w:t>
      </w:r>
    </w:p>
    <w:p>
      <w:pPr>
        <w:pStyle w:val="Normal"/>
        <w:spacing w:before="0" w:after="0"/>
        <w:rPr>
          <w:sz w:val="4"/>
          <w:szCs w:val="4"/>
        </w:rPr>
      </w:pPr>
      <w:r>
        <w:rPr>
          <w:sz w:val="4"/>
          <w:szCs w:val="4"/>
        </w:rPr>
      </w:r>
      <w:bookmarkStart w:id="86" w:name="list10"/>
      <w:bookmarkStart w:id="87" w:name="list10"/>
      <w:bookmarkEnd w:id="8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 w:name="PGBRK7"/>
      <w:bookmarkStart w:id="89" w:name="PGBRK7"/>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FTR7"/>
      <w:bookmarkStart w:id="91" w:name="FTR7"/>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 w:name="GLFTR6"/>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3" w:name="PN6"/>
      <w:bookmarkEnd w:id="93"/>
      <w:r>
        <w:rPr>
          <w:rFonts w:ascii="helvetica" w:hAnsi="helvetica"/>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HDR6"/>
      <w:bookmarkStart w:id="95" w:name="HDR6"/>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 w:name="GLHDR6"/>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97" w:name="list11"/>
      <w:bookmarkStart w:id="98" w:name="list11"/>
      <w:bookmarkEnd w:id="9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report of our independent registered public accounting firm on our 2011 consolidated financial statements contains a going concern modification.</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99" w:name="list12"/>
      <w:bookmarkStart w:id="100" w:name="list12"/>
      <w:bookmarkEnd w:id="10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incurred losses in the research and development of Impracor and our Accudel technology since inception. We may never generate revenue or become profitable.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1" w:name="list13"/>
      <w:bookmarkStart w:id="102" w:name="list13"/>
      <w:bookmarkEnd w:id="10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Timing and results of clinical trials to demonstrate the safety and efficacy of products as well as FDA approval of products are uncertain.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3" w:name="list14"/>
      <w:bookmarkStart w:id="104" w:name="list14"/>
      <w:bookmarkEnd w:id="10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5" w:name="list15"/>
      <w:bookmarkStart w:id="106" w:name="list15"/>
      <w:bookmarkEnd w:id="10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we are not successful in introducing our products or if the market does not accept our products, or if our proposed product identification and development strategy is not successful, our business, financial position and results of operations may be materially adversely affected and the market price for our common stock would decline.</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07" w:name="list16"/>
      <w:bookmarkStart w:id="108" w:name="list16"/>
      <w:bookmarkEnd w:id="10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our patents are determined to be unenforceable or expire, or if we are unable to obtain new patents based on current patent applications or for future inventions, we may not be able to prevent others from using our intellectual property.</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09" w:name="list17"/>
      <w:bookmarkStart w:id="110" w:name="list17"/>
      <w:bookmarkEnd w:id="11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principal stockholders have the ability to exert significant control in matters requiring a stockholder vote and could delay, deter or prevent a change in control of our company.</w:t>
            </w:r>
          </w:p>
        </w:tc>
      </w:tr>
    </w:tbl>
    <w:p>
      <w:pPr>
        <w:pStyle w:val="TextBody"/>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111" w:name="PGBRK8"/>
      <w:bookmarkStart w:id="112" w:name="PGBRK8"/>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13" w:name="FTR8"/>
      <w:bookmarkStart w:id="114" w:name="FT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15" w:name="GLFTR7"/>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6" w:name="PN7"/>
      <w:bookmarkEnd w:id="116"/>
      <w:r>
        <w:rPr>
          <w:rFonts w:ascii="helvetica" w:hAnsi="helvetica"/>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17" w:name="HDR7"/>
      <w:bookmarkStart w:id="118" w:name="HDR7"/>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19" w:name="GLHDR7"/>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br/>
      </w:r>
      <w:r>
        <w:rPr>
          <w:rFonts w:ascii="helvetica" w:hAnsi="helvetica"/>
          <w:b/>
          <w:sz w:val="20"/>
        </w:rPr>
        <w:t>THE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The following summary contains basic information about the offering and our common stock and is not intended to be complete. It does not contain all the information that is important to you. For a more complete understanding of our common stock, please refer to the section of this prospectus entitled “Description of Capital Stock.”</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rPr/>
      </w:pPr>
      <w:r>
        <w:rPr/>
        <w:t> </w:t>
      </w:r>
    </w:p>
    <w:tbl>
      <w:tblPr>
        <w:tblW w:w="5000" w:type="pct"/>
        <w:jc w:val="left"/>
        <w:tblInd w:w="0" w:type="dxa"/>
        <w:tblCellMar>
          <w:top w:w="45" w:type="dxa"/>
          <w:left w:w="45" w:type="dxa"/>
          <w:bottom w:w="45" w:type="dxa"/>
          <w:right w:w="45"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Issuer</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Imprimis Pharmaceuticals, Inc.</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Securities offered</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Up to 1,619,047 shares of common stock</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prior to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6,772,125 (1)</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after the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8,391,172 (1)(2)</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Use of Proceeds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We expect to use the net proceeds received from the offering, to fund our clinical trials and for working capital and general corporate purposes. See “Use of Proceeds” for more information.</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OTC Markets Group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Proposed NASDAQ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Risk Factors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See “Risk Factors” beginning on page 8 and other information in this prospectus for a discussion of the factors you should consider before you decide to invest in our common stock.</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Underwriters common stock purchase warrant</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 connection with this offering, we have also agreed to sell to the underwriters and their respective designees a warrant to purchase up to 8.5% of the shares of common stock sold in this offering. If the warrants are exercised, each share may be purchased by the holder thereof at $5.25 per share (100% of the price of the shares sold in this offering.)</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Lock-Up Agreements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Each of our officers, directors and shareholders beneficially owning 5% or more of our common stock have agreed that for a period of 180 days from the effective date of this offering, they will be subject to a lockup prohibiting any sales, transfers or hedging transactions in our securities held by them. See section titled “Lock-Up Agreements” in this prospectus.</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(1) Excludes (i) 556,872 shares of common stock issuable upon the exercise of outstanding warrants with exercise prices ranging from $5.925 to $176.00 per share, (ii)  917,235 shares of our common stock issuable upon exercise of outstanding options with a weighted average exercise price of $5.30 per share outstanding under the 2007 Plan, and (iii) 200,000 shares of common stock underlying restricted stock units granted outside the 2007 Plan.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(2) Excludes any shares of common stock issuable pursuant to the exercise of the underwriters' over-allotment option and any shares of common stock issuable upon the exercise of warrants issuable to the underwriters upon the closing of this offering.</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 w:name="PGBRK9"/>
      <w:bookmarkStart w:id="121" w:name="PGBRK9"/>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FTR9"/>
      <w:bookmarkStart w:id="123" w:name="FTR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 w:name="GLFTR8"/>
      <w:bookmarkEnd w:id="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5" w:name="PN8"/>
      <w:bookmarkEnd w:id="125"/>
      <w:r>
        <w:rPr>
          <w:rFonts w:ascii="helvetica" w:hAnsi="helvetica"/>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HDR8"/>
      <w:bookmarkStart w:id="127" w:name="HDR8"/>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 w:name="GLHDR8"/>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RISK FACTORS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Investing in our common stock involves a high degree of risk.  You should carefully consider the following risk factors in addition to the other information contained in this prospectus. This prospectus contains forward-looking statements.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w:t>
      </w:r>
    </w:p>
    <w:p>
      <w:pPr>
        <w:pStyle w:val="TextBody"/>
        <w:spacing w:before="0" w:after="0"/>
        <w:ind w:left="0" w:right="0" w:hanging="0"/>
        <w:jc w:val="both"/>
        <w:rPr/>
      </w:pPr>
      <w:r>
        <w:rPr/>
        <w:t> </w:t>
      </w:r>
    </w:p>
    <w:p>
      <w:pPr>
        <w:pStyle w:val="TextBody"/>
        <w:spacing w:before="0" w:after="0"/>
        <w:ind w:left="0" w:right="0" w:hanging="0"/>
        <w:rPr/>
      </w:pPr>
      <w:bookmarkStart w:id="129" w:name="TAB26"/>
      <w:bookmarkEnd w:id="129"/>
      <w:r>
        <w:rPr>
          <w:color w:val="000000"/>
          <w:spacing w:val="180"/>
        </w:rPr>
        <w:t> </w:t>
      </w:r>
      <w:r>
        <w:rPr>
          <w:rFonts w:ascii="helvetica" w:hAnsi="helvetica"/>
          <w:b/>
          <w:sz w:val="20"/>
        </w:rPr>
        <w:t>Risks Related to Our Business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maintain an effective management team, or hire and retain the additional qualified individuals we will need.  As a result, we may be unable to successfully pursue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must raise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generate any cash from operations and, although we believe we have sufficient cash reserves to execute our business plan for the next twelve months, we must raise additional funds in order to continue operating our business and fully execute our business plan. Even following our recent issuance of securities to PCCA in the PCCA Transaction and the completion of this offering, based on our use of proceeds from the PCCA Transaction and our proposed use of proceeds from this offering, we will likely need significant additional capital, which we may seek to raise through, among other things, public and private equity offerings and debt financings.  If we are not able to generate significant revenues and attain profitable operations, we will need to continue to seek further additional financing. In addition, estimates of our operating expenses and working capital requirements could be incorrect, and we could be required to seek additional financing earlier than we anticipate. We expect to continue to fund our operations primarily through equity and debt financings in the future, and could also pursue funding from corporate partnerships or licensing arrangements (as we did with the PCCA Transaction) or similar financings. If additional capital is not available when necessary, we may not be able to continue to operate our business pursuant to our business plan or we may have to discontinue our operations entirely.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our total expenditures over the next 12 months to be approximately $9.3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do not have sufficient funds to continue to develop our business, we will be forced to delay, scale back or eliminate some or all of our proposed operations. If any of these events were to occur, there is a substantial risk that our business would fail.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or at all. If we cannot raise the funds that we need, we will be unable to continue our operations, and our stockholders could lose their entire investment in our company.</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 w:name="PGBRK10"/>
      <w:bookmarkStart w:id="131" w:name="PGBRK10"/>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FTR10"/>
      <w:bookmarkStart w:id="133" w:name="FTR10"/>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 w:name="GLFTR9"/>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5" w:name="PN9"/>
      <w:bookmarkEnd w:id="135"/>
      <w:r>
        <w:rPr>
          <w:rFonts w:ascii="helvetica" w:hAnsi="helvetica"/>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HDR9"/>
      <w:bookmarkStart w:id="137" w:name="HDR9"/>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8" w:name="GLHDR9"/>
      <w:bookmarkEnd w:id="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We have limited remaining funds to support our operations. We have prepared our consolidated financial statements for the fiscal year ended December 31, 2011 and the nine months ended September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In the nine months ended September 30, 2012, we received proceeds, net of related costs, of approximately $7.93 million in the April Private Placement and $3.98 million in connection with the PCCA Transaction.  We expect to use those funds and any funds we may receive from this offering to pursue obtaining regulatory approval to market Impracor and pursue our business plan, but we will need to secure additional funds in order to complete our clinical trials and pursue other product development opportunities.  As a result of our recent capital raising transactions and in light of our current cash and cash equivalents position as of the date of this prospectus, we expect to have adequate resources in order to operate our business through the next twelve months.  However, our auditors may have doubt about our ability to continue as a going concern in future periods, and our financial statements relating to those periods may not be prepared on a going-concern basis based on any such doubts.  Further, even with our current cash position as a result of our recent financings,</w:t>
      </w:r>
      <w:r>
        <w:rPr/>
        <w:t> </w:t>
      </w:r>
      <w:r>
        <w:rPr>
          <w:rFonts w:ascii="helvetica" w:hAnsi="helvetica"/>
          <w:sz w:val="20"/>
        </w:rPr>
        <w:t>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or in any future report, may materially and adversely affect our stock price or our ability to raise new capital.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incurred losses in every year of our operations, including net losses of $(953,936) and $(2,531,228) for the years ended December 31, 2011 and 2010, respectively. As of September 30, 2012, our accumulated deficit was $(22,651,240).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11"/>
      <w:bookmarkStart w:id="140" w:name="PGBRK11"/>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11"/>
      <w:bookmarkStart w:id="142" w:name="FTR11"/>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 w:name="GLFTR10"/>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4" w:name="PN10"/>
      <w:bookmarkEnd w:id="144"/>
      <w:r>
        <w:rPr>
          <w:rFonts w:ascii="helvetica" w:hAnsi="helvetica"/>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HDR10"/>
      <w:bookmarkStart w:id="146" w:name="HDR10"/>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 w:name="GLHDR10"/>
      <w:bookmarkEnd w:id="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operating expenses may fluctuate significantly in the future as a result of a variety of factors, many of which are outside of our control. These factors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8" w:name="list18"/>
      <w:bookmarkStart w:id="149" w:name="list18"/>
      <w:bookmarkEnd w:id="14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time and resources required to develop, conduct clinical trials and obtain regulatory approvals for our drug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0" w:name="list19"/>
      <w:bookmarkStart w:id="151" w:name="list19"/>
      <w:bookmarkEnd w:id="15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2" w:name="list20"/>
      <w:bookmarkStart w:id="153" w:name="list20"/>
      <w:bookmarkEnd w:id="15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our estimates of our operating expenses prove to be wrong, we could spend our available financial resources much faster than we currently expect.  If we do not have sufficient funds to continue to develop our business, we will be forced to delay, scale back or eliminate some or all of our proposed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clinical trials may not demonstrate the safety and efficacy of our product candidates.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New Drug Application under Section 505(b)(2) of the Hatch-Waxman Act of 1984. We have not yet initiated these Phase 3 clinical trials, although in September 2012 we commenced certain supportive studies relating to Impracor that are also required by the FDA.  The results of any future clinical trials or studies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Delays in the conduct or completion of our clinical and non-clinical trials for Impracor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4" w:name="list21"/>
      <w:bookmarkStart w:id="155" w:name="list21"/>
      <w:bookmarkEnd w:id="155"/>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pPr>
            <w:r>
              <w:rPr/>
              <w:t>●  </w:t>
            </w:r>
          </w:p>
        </w:tc>
        <w:tc>
          <w:tcPr>
            <w:tcW w:w="988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6" w:name="list22"/>
      <w:bookmarkStart w:id="157" w:name="list22"/>
      <w:bookmarkEnd w:id="157"/>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enrolling volunteers in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8" w:name="list23"/>
      <w:bookmarkStart w:id="159" w:name="list23"/>
      <w:bookmarkEnd w:id="159"/>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0" w:name="list24"/>
      <w:bookmarkStart w:id="161" w:name="list24"/>
      <w:bookmarkEnd w:id="161"/>
    </w:p>
    <w:tbl>
      <w:tblPr>
        <w:tblW w:w="5000" w:type="pct"/>
        <w:jc w:val="left"/>
        <w:tblInd w:w="0" w:type="dxa"/>
        <w:tblCellMar>
          <w:top w:w="0" w:type="dxa"/>
          <w:left w:w="0" w:type="dxa"/>
          <w:bottom w:w="0" w:type="dxa"/>
          <w:right w:w="0" w:type="dxa"/>
        </w:tblCellMar>
      </w:tblPr>
      <w:tblGrid>
        <w:gridCol w:w="623"/>
        <w:gridCol w:w="9582"/>
      </w:tblGrid>
      <w:tr>
        <w:trPr/>
        <w:tc>
          <w:tcPr>
            <w:tcW w:w="623" w:type="dxa"/>
            <w:tcBorders/>
            <w:shd w:fill="auto" w:val="clear"/>
          </w:tcPr>
          <w:p>
            <w:pPr>
              <w:pStyle w:val="TableContents"/>
              <w:spacing w:before="0" w:after="0"/>
              <w:jc w:val="right"/>
              <w:rPr/>
            </w:pPr>
            <w:r>
              <w:rPr/>
              <w:t>●  </w:t>
            </w:r>
          </w:p>
        </w:tc>
        <w:tc>
          <w:tcPr>
            <w:tcW w:w="95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negative results of clinical or non-clinical studies;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2" w:name="list25"/>
      <w:bookmarkStart w:id="163" w:name="list25"/>
      <w:bookmarkEnd w:id="163"/>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pPr>
            <w:r>
              <w:rPr/>
              <w:t>●  </w:t>
            </w:r>
          </w:p>
        </w:tc>
        <w:tc>
          <w:tcPr>
            <w:tcW w:w="98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adverse side effects experienced by study participants in clinical trials relating to a specific product.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4" w:name="PGBRK12"/>
      <w:bookmarkStart w:id="165" w:name="PGBRK12"/>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 w:name="FTR12"/>
      <w:bookmarkStart w:id="167" w:name="FTR12"/>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 w:name="GLFTR11"/>
      <w:bookmarkEnd w:id="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69" w:name="PN11"/>
      <w:bookmarkEnd w:id="169"/>
      <w:r>
        <w:rPr>
          <w:rFonts w:ascii="helvetica" w:hAnsi="helvetica"/>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HDR11"/>
      <w:bookmarkStart w:id="171" w:name="HDR11"/>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2" w:name="GLHDR11"/>
      <w:bookmarkEnd w:id="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may be other circumstances other than the ones described above, over which we may have no control that could materially delay the successful completion of our clinical and non-clinical studies.Furthermore, we expect to rely on CROs to ensure the proper and timely conduct of our clinical trials, and while we expect to enter into agreements governing their committed activities, we have limited influence over their actual performance.  </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our patents are determined to be unenforceable or expire, or if we are unable to obtain new patents based on current patent applications or for future inventions, we may not be able to prevent others from using our 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success will depend in part on our ability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73" w:name="list26"/>
      <w:bookmarkStart w:id="174" w:name="list26"/>
      <w:bookmarkEnd w:id="174"/>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pPr>
            <w:r>
              <w:rPr/>
              <w:t>●  </w:t>
            </w:r>
          </w:p>
        </w:tc>
        <w:tc>
          <w:tcPr>
            <w:tcW w:w="96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and maintain patent protection with respect to our products;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5" w:name="list27"/>
      <w:bookmarkStart w:id="176" w:name="list27"/>
      <w:bookmarkEnd w:id="176"/>
    </w:p>
    <w:tbl>
      <w:tblPr>
        <w:tblW w:w="5000" w:type="pct"/>
        <w:jc w:val="left"/>
        <w:tblInd w:w="0" w:type="dxa"/>
        <w:tblCellMar>
          <w:top w:w="0" w:type="dxa"/>
          <w:left w:w="0" w:type="dxa"/>
          <w:bottom w:w="0" w:type="dxa"/>
          <w:right w:w="0" w:type="dxa"/>
        </w:tblCellMar>
      </w:tblPr>
      <w:tblGrid>
        <w:gridCol w:w="542"/>
        <w:gridCol w:w="9663"/>
      </w:tblGrid>
      <w:tr>
        <w:trPr/>
        <w:tc>
          <w:tcPr>
            <w:tcW w:w="542" w:type="dxa"/>
            <w:tcBorders/>
            <w:shd w:fill="auto" w:val="clear"/>
          </w:tcPr>
          <w:p>
            <w:pPr>
              <w:pStyle w:val="TableContents"/>
              <w:spacing w:before="0" w:after="0"/>
              <w:jc w:val="right"/>
              <w:rPr/>
            </w:pPr>
            <w:r>
              <w:rPr/>
              <w:t>●  </w:t>
            </w:r>
          </w:p>
        </w:tc>
        <w:tc>
          <w:tcPr>
            <w:tcW w:w="966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prevent third parties from infringing upon our proprietary rights;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7" w:name="list28"/>
      <w:bookmarkStart w:id="178" w:name="list28"/>
      <w:bookmarkEnd w:id="178"/>
    </w:p>
    <w:tbl>
      <w:tblPr>
        <w:tblW w:w="5000" w:type="pct"/>
        <w:jc w:val="left"/>
        <w:tblInd w:w="0" w:type="dxa"/>
        <w:tblCellMar>
          <w:top w:w="0" w:type="dxa"/>
          <w:left w:w="0" w:type="dxa"/>
          <w:bottom w:w="0" w:type="dxa"/>
          <w:right w:w="0" w:type="dxa"/>
        </w:tblCellMar>
      </w:tblPr>
      <w:tblGrid>
        <w:gridCol w:w="1332"/>
        <w:gridCol w:w="8873"/>
      </w:tblGrid>
      <w:tr>
        <w:trPr/>
        <w:tc>
          <w:tcPr>
            <w:tcW w:w="1332" w:type="dxa"/>
            <w:tcBorders/>
            <w:shd w:fill="auto" w:val="clear"/>
          </w:tcPr>
          <w:p>
            <w:pPr>
              <w:pStyle w:val="TableContents"/>
              <w:spacing w:before="0" w:after="0"/>
              <w:jc w:val="right"/>
              <w:rPr/>
            </w:pPr>
            <w:r>
              <w:rPr/>
              <w:t>●  </w:t>
            </w:r>
          </w:p>
        </w:tc>
        <w:tc>
          <w:tcPr>
            <w:tcW w:w="887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maintain trade secrets;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9" w:name="list29"/>
      <w:bookmarkStart w:id="180" w:name="list29"/>
      <w:bookmarkEnd w:id="180"/>
    </w:p>
    <w:tbl>
      <w:tblPr>
        <w:tblW w:w="5000" w:type="pct"/>
        <w:jc w:val="left"/>
        <w:tblInd w:w="0" w:type="dxa"/>
        <w:tblCellMar>
          <w:top w:w="0" w:type="dxa"/>
          <w:left w:w="0" w:type="dxa"/>
          <w:bottom w:w="0" w:type="dxa"/>
          <w:right w:w="0" w:type="dxa"/>
        </w:tblCellMar>
      </w:tblPr>
      <w:tblGrid>
        <w:gridCol w:w="434"/>
        <w:gridCol w:w="9771"/>
      </w:tblGrid>
      <w:tr>
        <w:trPr/>
        <w:tc>
          <w:tcPr>
            <w:tcW w:w="434" w:type="dxa"/>
            <w:tcBorders/>
            <w:shd w:fill="auto" w:val="clear"/>
          </w:tcPr>
          <w:p>
            <w:pPr>
              <w:pStyle w:val="TableContents"/>
              <w:spacing w:before="0" w:after="0"/>
              <w:jc w:val="right"/>
              <w:rPr/>
            </w:pPr>
            <w:r>
              <w:rPr/>
              <w:t>●  </w:t>
            </w:r>
          </w:p>
        </w:tc>
        <w:tc>
          <w:tcPr>
            <w:tcW w:w="97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operate without infringing upon the patents and proprietary rights of others;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1" w:name="list30"/>
      <w:bookmarkStart w:id="182" w:name="list30"/>
      <w:bookmarkEnd w:id="18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Our product development program may not be successful.</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addition to the development of Impracor, we expect to pursue development of potential products in pain management and other therapeutic areas. In particular, we are currently considering potential new product candidates in the muscle relaxant and neuropathic pain fields. We also expect to utilize our relationship with PCCA to identify development opportunities where we perceive an unmet need for a new drug product, and thereby facilitate our future selection, formulation and development of potential product candidates. In addition, our product development program has included cosmetic products, which utilizes the basis of our patented transdermal delivery system technology, Accudel. Since our primary focus will remain seeking FDA approval for Impracor, we currently expect to use limited resources on our other development programs.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None of our potential pharmaceutical product candidates have commenced any clinical trials and there are a number of FDA requirements that we must satisfy in order to commence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if we fail to commence efforts to research and develop future products within certain time periods, as set forth in the PCCA License Agreement. We may not be able to meet such requirements within the required time periods or at all, and our relationship with PCCA could be terminated. If we do commence clinical trials of our other potential product candidates, such product candidates may never be approved by the FDA. Even if we are not required to obtain FDA pre-market approval for our potential cosmeceutical product candidates, we will still be subject to a number of federal and state regulations, including regulation by the FDA and the Federal Trade Commission on any marketing claims we make, and we may be unable to satisfy these requirements. Any cosmeceutical products we develop may cause undesirable side effects that could limit their use, require their removal from the market and subject us to adverse regulatory action and product liability claims.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 known and well-financed cosmetic, health care and pharmaceutical companies.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 w:name="PGBRK13"/>
      <w:bookmarkStart w:id="184" w:name="PGBRK13"/>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FTR13"/>
      <w:bookmarkStart w:id="186" w:name="FTR13"/>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 w:name="GLFTR12"/>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88" w:name="PN12"/>
      <w:bookmarkEnd w:id="188"/>
      <w:r>
        <w:rPr>
          <w:rFonts w:ascii="helvetica" w:hAnsi="helvetica"/>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HDR12"/>
      <w:bookmarkStart w:id="190" w:name="HDR12"/>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 w:name="GLHDR12"/>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If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92" w:name="list31"/>
      <w:bookmarkStart w:id="193" w:name="list31"/>
      <w:bookmarkEnd w:id="193"/>
    </w:p>
    <w:tbl>
      <w:tblPr>
        <w:tblW w:w="5000" w:type="pct"/>
        <w:jc w:val="left"/>
        <w:tblInd w:w="0" w:type="dxa"/>
        <w:tblCellMar>
          <w:top w:w="0" w:type="dxa"/>
          <w:left w:w="0" w:type="dxa"/>
          <w:bottom w:w="0" w:type="dxa"/>
          <w:right w:w="0" w:type="dxa"/>
        </w:tblCellMar>
      </w:tblPr>
      <w:tblGrid>
        <w:gridCol w:w="1424"/>
        <w:gridCol w:w="8781"/>
      </w:tblGrid>
      <w:tr>
        <w:trPr/>
        <w:tc>
          <w:tcPr>
            <w:tcW w:w="1424" w:type="dxa"/>
            <w:tcBorders/>
            <w:shd w:fill="auto" w:val="clear"/>
          </w:tcPr>
          <w:p>
            <w:pPr>
              <w:pStyle w:val="TableContents"/>
              <w:spacing w:before="0" w:after="0"/>
              <w:jc w:val="right"/>
              <w:rPr/>
            </w:pPr>
            <w:r>
              <w:rPr/>
              <w:t>●  </w:t>
            </w:r>
          </w:p>
        </w:tc>
        <w:tc>
          <w:tcPr>
            <w:tcW w:w="87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issue warning letters;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4" w:name="list32"/>
      <w:bookmarkStart w:id="195" w:name="list32"/>
      <w:bookmarkEnd w:id="195"/>
    </w:p>
    <w:tbl>
      <w:tblPr>
        <w:tblW w:w="5000" w:type="pct"/>
        <w:jc w:val="left"/>
        <w:tblInd w:w="0" w:type="dxa"/>
        <w:tblCellMar>
          <w:top w:w="0" w:type="dxa"/>
          <w:left w:w="0" w:type="dxa"/>
          <w:bottom w:w="0" w:type="dxa"/>
          <w:right w:w="0" w:type="dxa"/>
        </w:tblCellMar>
      </w:tblPr>
      <w:tblGrid>
        <w:gridCol w:w="962"/>
        <w:gridCol w:w="9243"/>
      </w:tblGrid>
      <w:tr>
        <w:trPr/>
        <w:tc>
          <w:tcPr>
            <w:tcW w:w="962" w:type="dxa"/>
            <w:tcBorders/>
            <w:shd w:fill="auto" w:val="clear"/>
          </w:tcPr>
          <w:p>
            <w:pPr>
              <w:pStyle w:val="TableContents"/>
              <w:spacing w:before="0" w:after="0"/>
              <w:jc w:val="right"/>
              <w:rPr/>
            </w:pPr>
            <w:r>
              <w:rPr/>
              <w:t>●  </w:t>
            </w:r>
          </w:p>
        </w:tc>
        <w:tc>
          <w:tcPr>
            <w:tcW w:w="92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civil or criminal penalties;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6" w:name="list33"/>
      <w:bookmarkStart w:id="197" w:name="list33"/>
      <w:bookmarkEnd w:id="197"/>
    </w:p>
    <w:tbl>
      <w:tblPr>
        <w:tblW w:w="5000" w:type="pct"/>
        <w:jc w:val="left"/>
        <w:tblInd w:w="0" w:type="dxa"/>
        <w:tblCellMar>
          <w:top w:w="0" w:type="dxa"/>
          <w:left w:w="0" w:type="dxa"/>
          <w:bottom w:w="0" w:type="dxa"/>
          <w:right w:w="0" w:type="dxa"/>
        </w:tblCellMar>
      </w:tblPr>
      <w:tblGrid>
        <w:gridCol w:w="739"/>
        <w:gridCol w:w="9466"/>
      </w:tblGrid>
      <w:tr>
        <w:trPr/>
        <w:tc>
          <w:tcPr>
            <w:tcW w:w="739" w:type="dxa"/>
            <w:tcBorders/>
            <w:shd w:fill="auto" w:val="clear"/>
          </w:tcPr>
          <w:p>
            <w:pPr>
              <w:pStyle w:val="TableContents"/>
              <w:spacing w:before="0" w:after="0"/>
              <w:jc w:val="right"/>
              <w:rPr/>
            </w:pPr>
            <w:r>
              <w:rPr/>
              <w:t>●  </w:t>
            </w:r>
          </w:p>
        </w:tc>
        <w:tc>
          <w:tcPr>
            <w:tcW w:w="946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withdraw our regulatory approval;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8" w:name="list34"/>
      <w:bookmarkStart w:id="199" w:name="list34"/>
      <w:bookmarkEnd w:id="199"/>
    </w:p>
    <w:tbl>
      <w:tblPr>
        <w:tblW w:w="5000" w:type="pct"/>
        <w:jc w:val="left"/>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jc w:val="right"/>
              <w:rPr/>
            </w:pPr>
            <w:r>
              <w:rPr/>
              <w:t>●  </w:t>
            </w:r>
          </w:p>
        </w:tc>
        <w:tc>
          <w:tcPr>
            <w:tcW w:w="95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terminate any of our ongoing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0" w:name="list35"/>
      <w:bookmarkStart w:id="201" w:name="list35"/>
      <w:bookmarkEnd w:id="201"/>
    </w:p>
    <w:tbl>
      <w:tblPr>
        <w:tblW w:w="5000" w:type="pct"/>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0"/>
              <w:jc w:val="right"/>
              <w:rPr/>
            </w:pPr>
            <w:r>
              <w:rPr/>
              <w:t>●  </w:t>
            </w:r>
          </w:p>
        </w:tc>
        <w:tc>
          <w:tcPr>
            <w:tcW w:w="982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refuse to approve pending applications or supplements to approved applications filed by 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2" w:name="list36"/>
      <w:bookmarkStart w:id="203" w:name="list36"/>
      <w:bookmarkEnd w:id="203"/>
    </w:p>
    <w:tbl>
      <w:tblPr>
        <w:tblW w:w="5000" w:type="pct"/>
        <w:jc w:val="left"/>
        <w:tblInd w:w="0" w:type="dxa"/>
        <w:tblCellMar>
          <w:top w:w="0" w:type="dxa"/>
          <w:left w:w="0" w:type="dxa"/>
          <w:bottom w:w="0" w:type="dxa"/>
          <w:right w:w="0" w:type="dxa"/>
        </w:tblCellMar>
      </w:tblPr>
      <w:tblGrid>
        <w:gridCol w:w="862"/>
        <w:gridCol w:w="9343"/>
      </w:tblGrid>
      <w:tr>
        <w:trPr/>
        <w:tc>
          <w:tcPr>
            <w:tcW w:w="862" w:type="dxa"/>
            <w:tcBorders/>
            <w:shd w:fill="auto" w:val="clear"/>
          </w:tcPr>
          <w:p>
            <w:pPr>
              <w:pStyle w:val="TableContents"/>
              <w:spacing w:before="0" w:after="0"/>
              <w:jc w:val="right"/>
              <w:rPr/>
            </w:pPr>
            <w:r>
              <w:rPr/>
              <w:t>●  </w:t>
            </w:r>
          </w:p>
        </w:tc>
        <w:tc>
          <w:tcPr>
            <w:tcW w:w="93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restrictions on our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 w:name="list37"/>
      <w:bookmarkStart w:id="205" w:name="list37"/>
      <w:bookmarkEnd w:id="205"/>
    </w:p>
    <w:tbl>
      <w:tblPr>
        <w:tblW w:w="5000" w:type="pct"/>
        <w:jc w:val="left"/>
        <w:tblInd w:w="0" w:type="dxa"/>
        <w:tblCellMar>
          <w:top w:w="0" w:type="dxa"/>
          <w:left w:w="0" w:type="dxa"/>
          <w:bottom w:w="0" w:type="dxa"/>
          <w:right w:w="0" w:type="dxa"/>
        </w:tblCellMar>
      </w:tblPr>
      <w:tblGrid>
        <w:gridCol w:w="644"/>
        <w:gridCol w:w="9561"/>
      </w:tblGrid>
      <w:tr>
        <w:trPr/>
        <w:tc>
          <w:tcPr>
            <w:tcW w:w="644" w:type="dxa"/>
            <w:tcBorders/>
            <w:shd w:fill="auto" w:val="clear"/>
          </w:tcPr>
          <w:p>
            <w:pPr>
              <w:pStyle w:val="TableContents"/>
              <w:spacing w:before="0" w:after="0"/>
              <w:jc w:val="right"/>
              <w:rPr/>
            </w:pPr>
            <w:r>
              <w:rPr/>
              <w:t>●  </w:t>
            </w:r>
          </w:p>
        </w:tc>
        <w:tc>
          <w:tcPr>
            <w:tcW w:w="95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close the facilities of our contract manufacturers;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6" w:name="list38"/>
      <w:bookmarkStart w:id="207" w:name="list38"/>
      <w:bookmarkEnd w:id="207"/>
    </w:p>
    <w:tbl>
      <w:tblPr>
        <w:tblW w:w="5000" w:type="pct"/>
        <w:jc w:val="left"/>
        <w:tblInd w:w="0" w:type="dxa"/>
        <w:tblCellMar>
          <w:top w:w="0" w:type="dxa"/>
          <w:left w:w="0" w:type="dxa"/>
          <w:bottom w:w="0" w:type="dxa"/>
          <w:right w:w="0" w:type="dxa"/>
        </w:tblCellMar>
      </w:tblPr>
      <w:tblGrid>
        <w:gridCol w:w="655"/>
        <w:gridCol w:w="9550"/>
      </w:tblGrid>
      <w:tr>
        <w:trPr/>
        <w:tc>
          <w:tcPr>
            <w:tcW w:w="655" w:type="dxa"/>
            <w:tcBorders/>
            <w:shd w:fill="auto" w:val="clear"/>
          </w:tcPr>
          <w:p>
            <w:pPr>
              <w:pStyle w:val="TableContents"/>
              <w:spacing w:before="0" w:after="0"/>
              <w:jc w:val="right"/>
              <w:rPr/>
            </w:pPr>
            <w:r>
              <w:rPr/>
              <w:t>●  </w:t>
            </w:r>
          </w:p>
        </w:tc>
        <w:tc>
          <w:tcPr>
            <w:tcW w:w="95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14"/>
      <w:bookmarkStart w:id="209" w:name="PGBRK14"/>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FTR14"/>
      <w:bookmarkStart w:id="211" w:name="FTR14"/>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2" w:name="GLFTR13"/>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13" w:name="PN13"/>
      <w:bookmarkEnd w:id="213"/>
      <w:r>
        <w:rPr>
          <w:rFonts w:ascii="helvetica" w:hAnsi="helvetica"/>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13"/>
      <w:bookmarkStart w:id="215" w:name="HDR13"/>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6" w:name="GLHDR13"/>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successful in receiving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15"/>
      <w:bookmarkStart w:id="218" w:name="PGBRK15"/>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FTR15"/>
      <w:bookmarkStart w:id="220" w:name="FTR15"/>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1" w:name="GLFTR14"/>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22" w:name="PN14"/>
      <w:bookmarkEnd w:id="222"/>
      <w:r>
        <w:rPr>
          <w:rFonts w:ascii="helvetica" w:hAnsi="helvetica"/>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HDR14"/>
      <w:bookmarkStart w:id="224" w:name="HDR14"/>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5" w:name="GLHDR14"/>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employ personnel or possess the facilities necessary to conduct many of the activities associated with our programs. We expect to engage consultants, advisors,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16"/>
      <w:bookmarkStart w:id="227" w:name="PGBRK16"/>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16"/>
      <w:bookmarkStart w:id="229" w:name="FTR16"/>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15"/>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31" w:name="PN15"/>
      <w:bookmarkEnd w:id="231"/>
      <w:r>
        <w:rPr>
          <w:rFonts w:ascii="helvetica" w:hAnsi="helvetica"/>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15"/>
      <w:bookmarkStart w:id="233" w:name="HDR15"/>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 w:name="GLHDR15"/>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retain our key personnel or attract additional professional staff,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elsewhere in this prospectus,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Risks Relating to Our Industry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compete with other companies that develop rival products to our products, then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17"/>
      <w:bookmarkStart w:id="236" w:name="PGBRK17"/>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17"/>
      <w:bookmarkStart w:id="238" w:name="FTR17"/>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9" w:name="GLFTR16"/>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40" w:name="PN16"/>
      <w:bookmarkEnd w:id="240"/>
      <w:r>
        <w:rPr>
          <w:rFonts w:ascii="helvetica" w:hAnsi="helvetica"/>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HDR16"/>
      <w:bookmarkStart w:id="242" w:name="HDR16"/>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3" w:name="GLHDR16"/>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Risks Relating to the Offering and Ownership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You will experience immediate and substantial dilution as a result of this offering and may experience additional dilution in the future.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will incur immediate and substantial dilution as a result of this offering. After giving effect to the sale by us of 1,619,047 shares of common stock (assumes that the underwriters do not exercise its over-allotment option), and after deducting underwriting fees and estimated offering expenses payable by us, investors in this offering can expect an immediate dilution of $3.12 per share, or 59.4%, at the public offering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inception we have funded our operations primarily through equity and debt financings and we expect to continue to do so in the future. Any additional equity or convertible debt offerings we may effect in the future will further dilute your ownership interest in the Company.  To the extent any of the warrants and options we have issued is ultimately exercised you will sustain future dilution. In addition to the issuance of equity to PCCA in connection with the recent PCCA Tranaction, we may acquire or license other technologies or finance strategic alliances by issuing additional equity, which may result in additional dilution to our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allocate the net proceeds from this offering in ways that differ from our estimates based on our current plans and assumptions discussed in the section titled “Use of Proceeds” and with which you may not agree.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allocation of net proceeds of the offering set forth in the “Use of Proceeds” section below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entitled “Use of Proceeds” below.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Sales of common stock by our stockholders, or the perception that such sales may occur, could depress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of our common stock in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4" w:name="PGBRK18"/>
      <w:bookmarkStart w:id="245" w:name="PGBRK18"/>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 w:name="FTR18"/>
      <w:bookmarkStart w:id="247" w:name="FTR18"/>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8" w:name="GLFTR17"/>
      <w:bookmarkEnd w:id="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49" w:name="PN17"/>
      <w:bookmarkEnd w:id="249"/>
      <w:r>
        <w:rPr>
          <w:rFonts w:ascii="helvetica" w:hAnsi="helvetica"/>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 w:name="HDR17"/>
      <w:bookmarkStart w:id="251" w:name="HDR17"/>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2" w:name="GLHDR17"/>
      <w:bookmarkEnd w:id="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53" w:name="TAB27"/>
      <w:bookmarkEnd w:id="253"/>
      <w:r>
        <w:rPr>
          <w:color w:val="000000"/>
          <w:spacing w:val="180"/>
        </w:rPr>
        <w:t> </w:t>
      </w:r>
      <w:r>
        <w:rPr>
          <w:rFonts w:ascii="helvetica" w:hAnsi="helvetica"/>
          <w:sz w:val="20"/>
        </w:rPr>
        <w:t>Trading in our common stock is sporadic and volatile. We cannot predict the extent to which an active public market for our common stock will develop or be sustained. It is a condition of this offering that we be listed on The NASDAQ Capital Market and we have filed an application for such listing. However, approval of our application is contingent upon a number of factors and events, including the final terms of this offering. Further, even if our common stock begins to trade on The NASDAQ Capital Market in the future,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54" w:name="TAB28"/>
      <w:bookmarkEnd w:id="254"/>
      <w:r>
        <w:rPr>
          <w:color w:val="000000"/>
          <w:spacing w:val="180"/>
        </w:rPr>
        <w:t> </w:t>
      </w:r>
      <w:r>
        <w:rPr>
          <w:rFonts w:ascii="helvetica" w:hAnsi="helvetica"/>
          <w:sz w:val="20"/>
        </w:rPr>
        <w:t>There may not be any broker interested in making a market for our stock. Therefore, it may be difficult to sell your shares of common stock if you desire or need to sell them. Our underwriters are not obligated to make a market in our securities, and even if they choose to do so they can discontinue at any time without notice.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executive officers and directors own or have the right to acquire within 60 days, in the aggregate, approximately 24% of the shares of common stock outstanding following such issuance to them. In addition, four individual stockholders hold an additional approximately 45%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5" w:name="list39"/>
      <w:bookmarkStart w:id="256" w:name="list39"/>
      <w:bookmarkEnd w:id="256"/>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0"/>
              <w:jc w:val="right"/>
              <w:rPr/>
            </w:pPr>
            <w:r>
              <w:rPr/>
              <w:t>●  </w:t>
            </w:r>
          </w:p>
        </w:tc>
        <w:tc>
          <w:tcPr>
            <w:tcW w:w="971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delaying, deferring, or preventing a change in control of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7" w:name="list40"/>
      <w:bookmarkStart w:id="258" w:name="list40"/>
      <w:bookmarkEnd w:id="258"/>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impeding a merger, consolidation, takeover, or other business combination involving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9" w:name="list41"/>
      <w:bookmarkStart w:id="260" w:name="list41"/>
      <w:bookmarkEnd w:id="260"/>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pPr>
            <w:r>
              <w:rPr/>
              <w:t>●  </w:t>
            </w:r>
          </w:p>
        </w:tc>
        <w:tc>
          <w:tcPr>
            <w:tcW w:w="98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causing us to enter into transactions or agreements that are not in the best interests of all stockholders;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1" w:name="list42"/>
      <w:bookmarkStart w:id="262" w:name="list42"/>
      <w:bookmarkEnd w:id="26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discouraging a potential acquirer from making a tender offer or otherwise attempting to obtain control of our company.</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have identified material weaknesses in our internal control over financial reporting. If we fail to maintain an effective system of internal controls, we may not be able to accurately report our financial results or prevent fraud.</w:t>
      </w:r>
    </w:p>
    <w:p>
      <w:pPr>
        <w:pStyle w:val="TextBody"/>
        <w:spacing w:before="0" w:after="0"/>
        <w:ind w:left="0" w:right="0" w:hanging="0"/>
        <w:jc w:val="both"/>
        <w:rPr/>
      </w:pPr>
      <w:r>
        <w:rPr/>
        <w:t> </w:t>
      </w:r>
    </w:p>
    <w:p>
      <w:pPr>
        <w:pStyle w:val="TextBody"/>
        <w:spacing w:before="0" w:after="0"/>
        <w:ind w:left="0" w:right="0" w:firstLine="720"/>
        <w:rPr/>
      </w:pPr>
      <w:bookmarkStart w:id="263" w:name="TAB29"/>
      <w:bookmarkEnd w:id="263"/>
      <w:r>
        <w:rPr>
          <w:color w:val="000000"/>
          <w:spacing w:val="180"/>
        </w:rPr>
        <w:t> </w:t>
      </w:r>
      <w:r>
        <w:rPr>
          <w:rFonts w:ascii="helvetica" w:hAnsi="helvetica"/>
          <w:sz w:val="20"/>
        </w:rPr>
        <w:t>As described in our periodic reports filed with the SEC, including Item 4 of Part I of our Quarterly Report on Form 10-Q for the period ended September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4" w:name="PGBRK19"/>
      <w:bookmarkStart w:id="265" w:name="PGBRK19"/>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FTR19"/>
      <w:bookmarkStart w:id="267" w:name="FTR19"/>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8" w:name="GLFTR18"/>
      <w:bookmarkEnd w:id="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69" w:name="PN18"/>
      <w:bookmarkEnd w:id="269"/>
      <w:r>
        <w:rPr>
          <w:rFonts w:ascii="helvetica" w:hAnsi="helvetica"/>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HDR18"/>
      <w:bookmarkStart w:id="271" w:name="HDR18"/>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2" w:name="GLHDR18"/>
      <w:bookmarkEnd w:id="2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3" w:name="list43"/>
      <w:bookmarkStart w:id="274" w:name="list43"/>
      <w:bookmarkEnd w:id="274"/>
    </w:p>
    <w:tbl>
      <w:tblPr>
        <w:tblW w:w="5000" w:type="pct"/>
        <w:jc w:val="left"/>
        <w:tblInd w:w="0" w:type="dxa"/>
        <w:tblCellMar>
          <w:top w:w="0" w:type="dxa"/>
          <w:left w:w="0" w:type="dxa"/>
          <w:bottom w:w="0" w:type="dxa"/>
          <w:right w:w="0" w:type="dxa"/>
        </w:tblCellMar>
      </w:tblPr>
      <w:tblGrid>
        <w:gridCol w:w="629"/>
        <w:gridCol w:w="9576"/>
      </w:tblGrid>
      <w:tr>
        <w:trPr/>
        <w:tc>
          <w:tcPr>
            <w:tcW w:w="629" w:type="dxa"/>
            <w:tcBorders/>
            <w:shd w:fill="auto" w:val="clear"/>
          </w:tcPr>
          <w:p>
            <w:pPr>
              <w:pStyle w:val="TableContents"/>
              <w:spacing w:before="0" w:after="0"/>
              <w:jc w:val="right"/>
              <w:rPr/>
            </w:pPr>
            <w:r>
              <w:rPr/>
              <w:t>●  </w:t>
            </w:r>
          </w:p>
        </w:tc>
        <w:tc>
          <w:tcPr>
            <w:tcW w:w="957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changes in the pharmaceutical industry and markets;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5" w:name="list44"/>
      <w:bookmarkStart w:id="276" w:name="list44"/>
      <w:bookmarkEnd w:id="276"/>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right"/>
              <w:rPr/>
            </w:pPr>
            <w:r>
              <w:rPr/>
              <w:t>●  </w:t>
            </w:r>
          </w:p>
        </w:tc>
        <w:tc>
          <w:tcPr>
            <w:tcW w:w="91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competitive pricing pressures;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7" w:name="list45"/>
      <w:bookmarkStart w:id="278" w:name="list45"/>
      <w:bookmarkEnd w:id="278"/>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pPr>
            <w:r>
              <w:rPr/>
              <w:t>●  </w:t>
            </w:r>
          </w:p>
        </w:tc>
        <w:tc>
          <w:tcPr>
            <w:tcW w:w="94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working capital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9" w:name="list46"/>
      <w:bookmarkStart w:id="280" w:name="list46"/>
      <w:bookmarkEnd w:id="280"/>
    </w:p>
    <w:tbl>
      <w:tblPr>
        <w:tblW w:w="5000" w:type="pct"/>
        <w:jc w:val="left"/>
        <w:tblInd w:w="0" w:type="dxa"/>
        <w:tblCellMar>
          <w:top w:w="0" w:type="dxa"/>
          <w:left w:w="0" w:type="dxa"/>
          <w:bottom w:w="0" w:type="dxa"/>
          <w:right w:w="0" w:type="dxa"/>
        </w:tblCellMar>
      </w:tblPr>
      <w:tblGrid>
        <w:gridCol w:w="1028"/>
        <w:gridCol w:w="9177"/>
      </w:tblGrid>
      <w:tr>
        <w:trPr/>
        <w:tc>
          <w:tcPr>
            <w:tcW w:w="1028" w:type="dxa"/>
            <w:tcBorders/>
            <w:shd w:fill="auto" w:val="clear"/>
          </w:tcPr>
          <w:p>
            <w:pPr>
              <w:pStyle w:val="TableContents"/>
              <w:spacing w:before="0" w:after="0"/>
              <w:jc w:val="right"/>
              <w:rPr/>
            </w:pPr>
            <w:r>
              <w:rPr/>
              <w:t>●  </w:t>
            </w:r>
          </w:p>
        </w:tc>
        <w:tc>
          <w:tcPr>
            <w:tcW w:w="91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new competitors in our market;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1" w:name="list47"/>
      <w:bookmarkStart w:id="282" w:name="list47"/>
      <w:bookmarkEnd w:id="282"/>
    </w:p>
    <w:tbl>
      <w:tblPr>
        <w:tblW w:w="5000" w:type="pct"/>
        <w:jc w:val="left"/>
        <w:tblInd w:w="0" w:type="dxa"/>
        <w:tblCellMar>
          <w:top w:w="0" w:type="dxa"/>
          <w:left w:w="0" w:type="dxa"/>
          <w:bottom w:w="0" w:type="dxa"/>
          <w:right w:w="0" w:type="dxa"/>
        </w:tblCellMar>
      </w:tblPr>
      <w:tblGrid>
        <w:gridCol w:w="802"/>
        <w:gridCol w:w="9403"/>
      </w:tblGrid>
      <w:tr>
        <w:trPr/>
        <w:tc>
          <w:tcPr>
            <w:tcW w:w="802" w:type="dxa"/>
            <w:tcBorders/>
            <w:shd w:fill="auto" w:val="clear"/>
          </w:tcPr>
          <w:p>
            <w:pPr>
              <w:pStyle w:val="TableContents"/>
              <w:spacing w:before="0" w:after="0"/>
              <w:jc w:val="right"/>
              <w:rPr/>
            </w:pPr>
            <w:r>
              <w:rPr/>
              <w:t>●  </w:t>
            </w:r>
          </w:p>
        </w:tc>
        <w:tc>
          <w:tcPr>
            <w:tcW w:w="940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additions or departures of key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3" w:name="list48"/>
      <w:bookmarkStart w:id="284" w:name="list48"/>
      <w:bookmarkEnd w:id="28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5" w:name="list49"/>
      <w:bookmarkStart w:id="286" w:name="list49"/>
      <w:bookmarkEnd w:id="286"/>
    </w:p>
    <w:tbl>
      <w:tblPr>
        <w:tblW w:w="5000" w:type="pct"/>
        <w:jc w:val="left"/>
        <w:tblInd w:w="0" w:type="dxa"/>
        <w:tblCellMar>
          <w:top w:w="0" w:type="dxa"/>
          <w:left w:w="0" w:type="dxa"/>
          <w:bottom w:w="0" w:type="dxa"/>
          <w:right w:w="0" w:type="dxa"/>
        </w:tblCellMar>
      </w:tblPr>
      <w:tblGrid>
        <w:gridCol w:w="1123"/>
        <w:gridCol w:w="9082"/>
      </w:tblGrid>
      <w:tr>
        <w:trPr/>
        <w:tc>
          <w:tcPr>
            <w:tcW w:w="1123" w:type="dxa"/>
            <w:tcBorders/>
            <w:shd w:fill="auto" w:val="clear"/>
          </w:tcPr>
          <w:p>
            <w:pPr>
              <w:pStyle w:val="TableContents"/>
              <w:spacing w:before="0" w:after="0"/>
              <w:jc w:val="right"/>
              <w:rPr/>
            </w:pPr>
            <w:r>
              <w:rPr/>
              <w:t>●  </w:t>
            </w:r>
          </w:p>
        </w:tc>
        <w:tc>
          <w:tcPr>
            <w:tcW w:w="90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sales of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 w:name="list50"/>
      <w:bookmarkStart w:id="288" w:name="list50"/>
      <w:bookmarkEnd w:id="288"/>
    </w:p>
    <w:tbl>
      <w:tblPr>
        <w:tblW w:w="5000" w:type="pct"/>
        <w:jc w:val="left"/>
        <w:tblInd w:w="0" w:type="dxa"/>
        <w:tblCellMar>
          <w:top w:w="0" w:type="dxa"/>
          <w:left w:w="0" w:type="dxa"/>
          <w:bottom w:w="0" w:type="dxa"/>
          <w:right w:w="0" w:type="dxa"/>
        </w:tblCellMar>
      </w:tblPr>
      <w:tblGrid>
        <w:gridCol w:w="818"/>
        <w:gridCol w:w="9387"/>
      </w:tblGrid>
      <w:tr>
        <w:trPr/>
        <w:tc>
          <w:tcPr>
            <w:tcW w:w="818" w:type="dxa"/>
            <w:tcBorders/>
            <w:shd w:fill="auto" w:val="clear"/>
          </w:tcPr>
          <w:p>
            <w:pPr>
              <w:pStyle w:val="TableContents"/>
              <w:spacing w:before="0" w:after="0"/>
              <w:jc w:val="right"/>
              <w:rPr/>
            </w:pPr>
            <w:r>
              <w:rPr/>
              <w:t>●  </w:t>
            </w:r>
          </w:p>
        </w:tc>
        <w:tc>
          <w:tcPr>
            <w:tcW w:w="93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execute our business plan;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9" w:name="list51"/>
      <w:bookmarkStart w:id="290" w:name="list51"/>
      <w:bookmarkEnd w:id="290"/>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operating results that fall below expectations;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1" w:name="list52"/>
      <w:bookmarkStart w:id="292" w:name="list52"/>
      <w:bookmarkEnd w:id="29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loss of any strategic relationship with our contract manufacturers or with other third parties (including PCCA) and clinical and non-clinical research organizations;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3" w:name="list53"/>
      <w:bookmarkStart w:id="294" w:name="list53"/>
      <w:bookmarkEnd w:id="294"/>
    </w:p>
    <w:tbl>
      <w:tblPr>
        <w:tblW w:w="5000" w:type="pct"/>
        <w:jc w:val="left"/>
        <w:tblInd w:w="0" w:type="dxa"/>
        <w:tblCellMar>
          <w:top w:w="0" w:type="dxa"/>
          <w:left w:w="0" w:type="dxa"/>
          <w:bottom w:w="0" w:type="dxa"/>
          <w:right w:w="0" w:type="dxa"/>
        </w:tblCellMar>
      </w:tblPr>
      <w:tblGrid>
        <w:gridCol w:w="834"/>
        <w:gridCol w:w="9371"/>
      </w:tblGrid>
      <w:tr>
        <w:trPr/>
        <w:tc>
          <w:tcPr>
            <w:tcW w:w="834" w:type="dxa"/>
            <w:tcBorders/>
            <w:shd w:fill="auto" w:val="clear"/>
          </w:tcPr>
          <w:p>
            <w:pPr>
              <w:pStyle w:val="TableContents"/>
              <w:spacing w:before="0" w:after="0"/>
              <w:jc w:val="right"/>
              <w:rPr/>
            </w:pPr>
            <w:r>
              <w:rPr/>
              <w:t>●  </w:t>
            </w:r>
          </w:p>
        </w:tc>
        <w:tc>
          <w:tcPr>
            <w:tcW w:w="93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industry or regulatory developments;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 w:name="list54"/>
      <w:bookmarkStart w:id="296" w:name="list54"/>
      <w:bookmarkEnd w:id="296"/>
    </w:p>
    <w:tbl>
      <w:tblPr>
        <w:tblW w:w="5000" w:type="pct"/>
        <w:jc w:val="left"/>
        <w:tblInd w:w="0" w:type="dxa"/>
        <w:tblCellMar>
          <w:top w:w="0" w:type="dxa"/>
          <w:left w:w="0" w:type="dxa"/>
          <w:bottom w:w="0" w:type="dxa"/>
          <w:right w:w="0" w:type="dxa"/>
        </w:tblCellMar>
      </w:tblPr>
      <w:tblGrid>
        <w:gridCol w:w="884"/>
        <w:gridCol w:w="9321"/>
      </w:tblGrid>
      <w:tr>
        <w:trPr/>
        <w:tc>
          <w:tcPr>
            <w:tcW w:w="884" w:type="dxa"/>
            <w:tcBorders/>
            <w:shd w:fill="auto" w:val="clear"/>
          </w:tcPr>
          <w:p>
            <w:pPr>
              <w:pStyle w:val="TableContents"/>
              <w:spacing w:before="0" w:after="0"/>
              <w:jc w:val="right"/>
              <w:rPr/>
            </w:pPr>
            <w:r>
              <w:rPr/>
              <w:t>●  </w:t>
            </w:r>
          </w:p>
        </w:tc>
        <w:tc>
          <w:tcPr>
            <w:tcW w:w="932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0" w:right="0" w:firstLine="720"/>
        <w:rPr/>
      </w:pPr>
      <w:bookmarkStart w:id="297" w:name="TAB210"/>
      <w:bookmarkEnd w:id="297"/>
      <w:r>
        <w:rPr>
          <w:color w:val="000000"/>
          <w:spacing w:val="180"/>
        </w:rPr>
        <w:t> </w:t>
      </w:r>
      <w:r>
        <w:rPr/>
        <w:t> </w:t>
      </w:r>
      <w:r>
        <w:rPr>
          <w:rFonts w:ascii="helvetica" w:hAnsi="helvetica"/>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20"/>
      <w:bookmarkStart w:id="299" w:name="PGBRK20"/>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FTR20"/>
      <w:bookmarkStart w:id="301" w:name="FTR20"/>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2" w:name="GLFTR19"/>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03" w:name="PN19"/>
      <w:bookmarkEnd w:id="303"/>
      <w:r>
        <w:rPr>
          <w:rFonts w:ascii="helvetica" w:hAnsi="helvetica"/>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HDR19"/>
      <w:bookmarkStart w:id="305" w:name="HDR19"/>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6" w:name="GLHDR19"/>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21"/>
      <w:bookmarkStart w:id="308" w:name="PGBRK21"/>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21"/>
      <w:bookmarkStart w:id="310" w:name="FTR21"/>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1" w:name="GLFTR20"/>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12" w:name="PN20"/>
      <w:bookmarkEnd w:id="312"/>
      <w:r>
        <w:rPr>
          <w:rFonts w:ascii="helvetica" w:hAnsi="helvetica"/>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HDR20"/>
      <w:bookmarkStart w:id="314" w:name="HDR20"/>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 w:name="GLHDR20"/>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SPECIAL NOTE REGARDING FORWARD-LOOKING STATEMENTS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Information contained in this prospectus contains forward-looking statements.  This information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In addition to the risks and uncertainties described in “Risk Factors” above and elsewhere in this prospectus, these risks and uncertainties may include risks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6" w:name="list55"/>
      <w:bookmarkStart w:id="317" w:name="list55"/>
      <w:bookmarkEnd w:id="317"/>
    </w:p>
    <w:tbl>
      <w:tblPr>
        <w:tblW w:w="5000" w:type="pct"/>
        <w:jc w:val="left"/>
        <w:tblInd w:w="0" w:type="dxa"/>
        <w:tblCellMar>
          <w:top w:w="0" w:type="dxa"/>
          <w:left w:w="0" w:type="dxa"/>
          <w:bottom w:w="0" w:type="dxa"/>
          <w:right w:w="0" w:type="dxa"/>
        </w:tblCellMar>
      </w:tblPr>
      <w:tblGrid>
        <w:gridCol w:w="348"/>
        <w:gridCol w:w="9857"/>
      </w:tblGrid>
      <w:tr>
        <w:trPr/>
        <w:tc>
          <w:tcPr>
            <w:tcW w:w="348" w:type="dxa"/>
            <w:tcBorders/>
            <w:shd w:fill="auto" w:val="clear"/>
          </w:tcPr>
          <w:p>
            <w:pPr>
              <w:pStyle w:val="TableContents"/>
              <w:spacing w:before="0" w:after="0"/>
              <w:jc w:val="right"/>
              <w:rPr/>
            </w:pPr>
            <w:r>
              <w:rPr/>
              <w:t>●  </w:t>
            </w:r>
          </w:p>
        </w:tc>
        <w:tc>
          <w:tcPr>
            <w:tcW w:w="985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implement our business plan following dismissal of the Chapter 11 Case;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8" w:name="list56"/>
      <w:bookmarkStart w:id="319" w:name="list56"/>
      <w:bookmarkEnd w:id="319"/>
    </w:p>
    <w:tbl>
      <w:tblPr>
        <w:tblW w:w="5000" w:type="pct"/>
        <w:jc w:val="left"/>
        <w:tblInd w:w="0" w:type="dxa"/>
        <w:tblCellMar>
          <w:top w:w="0" w:type="dxa"/>
          <w:left w:w="0" w:type="dxa"/>
          <w:bottom w:w="0" w:type="dxa"/>
          <w:right w:w="0" w:type="dxa"/>
        </w:tblCellMar>
      </w:tblPr>
      <w:tblGrid>
        <w:gridCol w:w="775"/>
        <w:gridCol w:w="9430"/>
      </w:tblGrid>
      <w:tr>
        <w:trPr/>
        <w:tc>
          <w:tcPr>
            <w:tcW w:w="775" w:type="dxa"/>
            <w:tcBorders/>
            <w:shd w:fill="auto" w:val="clear"/>
          </w:tcPr>
          <w:p>
            <w:pPr>
              <w:pStyle w:val="TableContents"/>
              <w:spacing w:before="0" w:after="0"/>
              <w:jc w:val="right"/>
              <w:rPr/>
            </w:pPr>
            <w:r>
              <w:rPr/>
              <w:t>●  </w:t>
            </w:r>
          </w:p>
        </w:tc>
        <w:tc>
          <w:tcPr>
            <w:tcW w:w="943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success of our proposed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0" w:name="list57"/>
      <w:bookmarkStart w:id="321" w:name="list57"/>
      <w:bookmarkEnd w:id="321"/>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pPr>
            <w:r>
              <w:rPr/>
              <w:t>●  </w:t>
            </w:r>
          </w:p>
        </w:tc>
        <w:tc>
          <w:tcPr>
            <w:tcW w:w="97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research and successfully develop our product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2" w:name="list58"/>
      <w:bookmarkStart w:id="323" w:name="list58"/>
      <w:bookmarkEnd w:id="323"/>
    </w:p>
    <w:tbl>
      <w:tblPr>
        <w:tblW w:w="5000" w:type="pct"/>
        <w:jc w:val="left"/>
        <w:tblInd w:w="0" w:type="dxa"/>
        <w:tblCellMar>
          <w:top w:w="0" w:type="dxa"/>
          <w:left w:w="0" w:type="dxa"/>
          <w:bottom w:w="0" w:type="dxa"/>
          <w:right w:w="0" w:type="dxa"/>
        </w:tblCellMar>
      </w:tblPr>
      <w:tblGrid>
        <w:gridCol w:w="761"/>
        <w:gridCol w:w="9444"/>
      </w:tblGrid>
      <w:tr>
        <w:trPr/>
        <w:tc>
          <w:tcPr>
            <w:tcW w:w="761" w:type="dxa"/>
            <w:tcBorders/>
            <w:shd w:fill="auto" w:val="clear"/>
          </w:tcPr>
          <w:p>
            <w:pPr>
              <w:pStyle w:val="TableContents"/>
              <w:spacing w:before="0" w:after="0"/>
              <w:jc w:val="right"/>
              <w:rPr/>
            </w:pPr>
            <w:r>
              <w:rPr/>
              <w:t>●  </w:t>
            </w:r>
          </w:p>
        </w:tc>
        <w:tc>
          <w:tcPr>
            <w:tcW w:w="94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general economic and business conditions;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 w:name="list59"/>
      <w:bookmarkStart w:id="325" w:name="list59"/>
      <w:bookmarkEnd w:id="325"/>
    </w:p>
    <w:tbl>
      <w:tblPr>
        <w:tblW w:w="5000" w:type="pct"/>
        <w:jc w:val="left"/>
        <w:tblInd w:w="0" w:type="dxa"/>
        <w:tblCellMar>
          <w:top w:w="0" w:type="dxa"/>
          <w:left w:w="0" w:type="dxa"/>
          <w:bottom w:w="0" w:type="dxa"/>
          <w:right w:w="0" w:type="dxa"/>
        </w:tblCellMar>
      </w:tblPr>
      <w:tblGrid>
        <w:gridCol w:w="783"/>
        <w:gridCol w:w="9422"/>
      </w:tblGrid>
      <w:tr>
        <w:trPr/>
        <w:tc>
          <w:tcPr>
            <w:tcW w:w="783" w:type="dxa"/>
            <w:tcBorders/>
            <w:shd w:fill="auto" w:val="clear"/>
          </w:tcPr>
          <w:p>
            <w:pPr>
              <w:pStyle w:val="TableContents"/>
              <w:spacing w:before="0" w:after="0"/>
              <w:jc w:val="right"/>
              <w:rPr/>
            </w:pPr>
            <w:r>
              <w:rPr/>
              <w:t>●  </w:t>
            </w:r>
          </w:p>
        </w:tc>
        <w:tc>
          <w:tcPr>
            <w:tcW w:w="942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continue as a going concern;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6" w:name="list60"/>
      <w:bookmarkStart w:id="327" w:name="list60"/>
      <w:bookmarkEnd w:id="327"/>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0"/>
              <w:jc w:val="right"/>
              <w:rPr/>
            </w:pPr>
            <w:r>
              <w:rPr/>
              <w:t>●  </w:t>
            </w:r>
          </w:p>
        </w:tc>
        <w:tc>
          <w:tcPr>
            <w:tcW w:w="96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financing necessary to operate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 w:name="list61"/>
      <w:bookmarkStart w:id="329" w:name="list61"/>
      <w:bookmarkEnd w:id="329"/>
    </w:p>
    <w:tbl>
      <w:tblPr>
        <w:tblW w:w="5000" w:type="pct"/>
        <w:jc w:val="left"/>
        <w:tblInd w:w="0" w:type="dxa"/>
        <w:tblCellMar>
          <w:top w:w="0" w:type="dxa"/>
          <w:left w:w="0" w:type="dxa"/>
          <w:bottom w:w="0" w:type="dxa"/>
          <w:right w:w="0" w:type="dxa"/>
        </w:tblCellMar>
      </w:tblPr>
      <w:tblGrid>
        <w:gridCol w:w="1111"/>
        <w:gridCol w:w="9094"/>
      </w:tblGrid>
      <w:tr>
        <w:trPr/>
        <w:tc>
          <w:tcPr>
            <w:tcW w:w="1111" w:type="dxa"/>
            <w:tcBorders/>
            <w:shd w:fill="auto" w:val="clear"/>
          </w:tcPr>
          <w:p>
            <w:pPr>
              <w:pStyle w:val="TableContents"/>
              <w:spacing w:before="0" w:after="0"/>
              <w:jc w:val="right"/>
              <w:rPr/>
            </w:pPr>
            <w:r>
              <w:rPr/>
              <w:t>●  </w:t>
            </w:r>
          </w:p>
        </w:tc>
        <w:tc>
          <w:tcPr>
            <w:tcW w:w="90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limited operating history;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0" w:name="list62"/>
      <w:bookmarkStart w:id="331" w:name="list62"/>
      <w:bookmarkEnd w:id="331"/>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right"/>
              <w:rPr/>
            </w:pPr>
            <w:r>
              <w:rPr/>
              <w:t>●  </w:t>
            </w:r>
          </w:p>
        </w:tc>
        <w:tc>
          <w:tcPr>
            <w:tcW w:w="953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recruit and retain qualified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 w:name="list63"/>
      <w:bookmarkStart w:id="333" w:name="list63"/>
      <w:bookmarkEnd w:id="333"/>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jc w:val="right"/>
              <w:rPr/>
            </w:pPr>
            <w:r>
              <w:rPr/>
              <w:t>●  </w:t>
            </w:r>
          </w:p>
        </w:tc>
        <w:tc>
          <w:tcPr>
            <w:tcW w:w="929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manage future growth;</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4" w:name="list64"/>
      <w:bookmarkStart w:id="335" w:name="list64"/>
      <w:bookmarkEnd w:id="33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complete and realize the benefits of potential acquisitions and collaborative arrangements (including our arrangement with PCCA);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 w:name="list65"/>
      <w:bookmarkStart w:id="337" w:name="list65"/>
      <w:bookmarkEnd w:id="337"/>
    </w:p>
    <w:tbl>
      <w:tblPr>
        <w:tblW w:w="5000" w:type="pct"/>
        <w:jc w:val="left"/>
        <w:tblInd w:w="0" w:type="dxa"/>
        <w:tblCellMar>
          <w:top w:w="0" w:type="dxa"/>
          <w:left w:w="0" w:type="dxa"/>
          <w:bottom w:w="0" w:type="dxa"/>
          <w:right w:w="0" w:type="dxa"/>
        </w:tblCellMar>
      </w:tblPr>
      <w:tblGrid>
        <w:gridCol w:w="520"/>
        <w:gridCol w:w="9685"/>
      </w:tblGrid>
      <w:tr>
        <w:trPr/>
        <w:tc>
          <w:tcPr>
            <w:tcW w:w="520" w:type="dxa"/>
            <w:tcBorders/>
            <w:shd w:fill="auto" w:val="clear"/>
          </w:tcPr>
          <w:p>
            <w:pPr>
              <w:pStyle w:val="TableContents"/>
              <w:spacing w:before="0" w:after="0"/>
              <w:jc w:val="right"/>
              <w:rPr/>
            </w:pPr>
            <w:r>
              <w:rPr/>
              <w:t>●  </w:t>
            </w:r>
          </w:p>
        </w:tc>
        <w:tc>
          <w:tcPr>
            <w:tcW w:w="968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other factors discussed under the section entitled “Risk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Forward-looking statements are based on assumptions that may be incorrect, and there can be no assurance that any projections or other expectations included in any forward-looking statements will come to pass.  Moreover, we operate in a competitive and rapidly changing environment in which new risks emerge from time to time.  Our actual results could differ materially from those expressed or implied by the forward-looking statements as a result of various factors. Except as required by applicable laws, we undertake no obligation to update publicly any forward-looking statements for any reason, even if new information becomes available or other events occur in the future.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8" w:name="PGBRK22"/>
      <w:bookmarkStart w:id="339" w:name="PGBRK22"/>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FTR22"/>
      <w:bookmarkStart w:id="341" w:name="FTR22"/>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2" w:name="GLFTR21"/>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43" w:name="PN21"/>
      <w:bookmarkEnd w:id="343"/>
      <w:r>
        <w:rPr>
          <w:rFonts w:ascii="helvetica" w:hAnsi="helvetica"/>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HDR21"/>
      <w:bookmarkStart w:id="345" w:name="HDR21"/>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6" w:name="GLHDR21"/>
      <w:bookmarkEnd w:id="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USE OF PROCEEDS</w:t>
      </w:r>
    </w:p>
    <w:p>
      <w:pPr>
        <w:pStyle w:val="TextBody"/>
        <w:spacing w:before="0" w:after="0"/>
        <w:ind w:left="0" w:right="0" w:hanging="0"/>
        <w:jc w:val="both"/>
        <w:rPr/>
      </w:pPr>
      <w:r>
        <w:rPr/>
        <w:t> </w:t>
      </w:r>
    </w:p>
    <w:p>
      <w:pPr>
        <w:pStyle w:val="TextBody"/>
        <w:spacing w:before="0" w:after="0"/>
        <w:ind w:left="0" w:right="0" w:firstLine="720"/>
        <w:rPr/>
      </w:pPr>
      <w:bookmarkStart w:id="347" w:name="TAB211"/>
      <w:bookmarkEnd w:id="347"/>
      <w:r>
        <w:rPr>
          <w:color w:val="000000"/>
          <w:spacing w:val="180"/>
        </w:rPr>
        <w:t> </w:t>
      </w:r>
      <w:r>
        <w:rPr>
          <w:rFonts w:ascii="helvetica" w:hAnsi="helvetica"/>
          <w:sz w:val="20"/>
        </w:rPr>
        <w:t>Based on an assumed offering price of $5.25 per share, we estimate the gross proceeds from the sale of 1,619,047 shares of common stock, prior to deducting underwriting discounts and commissions and the estimated offering expenses payable by us, will be approximately $8.5 million (approximately $9.775 million if the over-allotment option granted to the underwriters is exercised in full).</w:t>
      </w:r>
    </w:p>
    <w:p>
      <w:pPr>
        <w:pStyle w:val="TextBody"/>
        <w:spacing w:before="0" w:after="0"/>
        <w:ind w:left="0" w:right="0" w:firstLine="720"/>
        <w:rPr/>
      </w:pPr>
      <w:r>
        <w:rPr/>
        <w:t> </w:t>
      </w:r>
    </w:p>
    <w:p>
      <w:pPr>
        <w:pStyle w:val="TextBody"/>
        <w:spacing w:before="0" w:after="0"/>
        <w:ind w:left="0" w:right="0" w:firstLine="720"/>
        <w:rPr/>
      </w:pPr>
      <w:bookmarkStart w:id="348" w:name="TAB212"/>
      <w:bookmarkEnd w:id="348"/>
      <w:r>
        <w:rPr>
          <w:color w:val="000000"/>
          <w:spacing w:val="180"/>
        </w:rPr>
        <w:t> </w:t>
      </w:r>
      <w:r>
        <w:rPr>
          <w:rFonts w:ascii="helvetica" w:hAnsi="helvetica"/>
          <w:sz w:val="20"/>
        </w:rPr>
        <w:t>We estimate that we will receive net proceeds of approximately $7.1 million, after deducting underwriting discounts and commissions and our underwriters' expense allowance and estimated expenses of approximately $0.7 million, which includes legal, accounting, printing costs and various fees associated with the registration and listing of our shares. If the underwriters exercise their right to purchase an additional 242,857 shares of common stock to cover over-allotments, we will receive approximately an additional $1.275 million, after deducting approximately $0.83 million for underwriting discounts and commissions.</w:t>
      </w:r>
    </w:p>
    <w:p>
      <w:pPr>
        <w:pStyle w:val="TextBody"/>
        <w:spacing w:before="0" w:after="0"/>
        <w:ind w:left="0" w:right="0" w:firstLine="720"/>
        <w:rPr/>
      </w:pPr>
      <w:r>
        <w:rPr/>
        <w:t> </w:t>
      </w:r>
    </w:p>
    <w:p>
      <w:pPr>
        <w:pStyle w:val="TextBody"/>
        <w:spacing w:before="0" w:after="0"/>
        <w:ind w:left="0" w:right="0" w:firstLine="720"/>
        <w:jc w:val="left"/>
        <w:rPr>
          <w:rFonts w:ascii="helvetica" w:hAnsi="helvetica"/>
          <w:sz w:val="20"/>
        </w:rPr>
      </w:pPr>
      <w:r>
        <w:rPr>
          <w:rFonts w:ascii="helvetica" w:hAnsi="helvetica"/>
          <w:sz w:val="20"/>
        </w:rPr>
        <w:t>We currently expect to use approximately $7.1 million of the funds received in this offering to fund our Phase 3 clinical trials for Impracor and pre-Phase 3 clinical studies for potential drug candidates in the muscle relaxant and neuropathic pain fields.  We also expect to use any funds we receive from the underwriters in connection with its exercise of the over-allotment option, along with the $7.95 million raised in our April Private Placement and the $4 million raised in connection with the PCCA Transaction, to further fund these efforts, and fund additional IP protection and other Accudel related research and development expenses. We may also use a portion of these proceeds for the potential acquisition of, or investment in, product candidates, technologies, formulations or companies that complement our business, although other than as provided in the PCCA License Agreement, we have no current understandings, commitments, or agreements to do so. The following table summarizes our intent regarding use of such proceeds:</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031"/>
        <w:gridCol w:w="104"/>
        <w:gridCol w:w="104"/>
        <w:gridCol w:w="1059"/>
        <w:gridCol w:w="104"/>
        <w:gridCol w:w="104"/>
        <w:gridCol w:w="104"/>
        <w:gridCol w:w="899"/>
        <w:gridCol w:w="104"/>
        <w:gridCol w:w="104"/>
        <w:gridCol w:w="104"/>
        <w:gridCol w:w="1049"/>
        <w:gridCol w:w="104"/>
        <w:gridCol w:w="104"/>
        <w:gridCol w:w="104"/>
        <w:gridCol w:w="899"/>
        <w:gridCol w:w="124"/>
      </w:tblGrid>
      <w:tr>
        <w:trPr/>
        <w:tc>
          <w:tcPr>
            <w:tcW w:w="503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374" w:type="dxa"/>
            <w:gridSpan w:val="6"/>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364" w:type="dxa"/>
            <w:gridSpan w:val="6"/>
            <w:tcBorders/>
            <w:shd w:fill="auto" w:val="clear"/>
            <w:vAlign w:val="bottom"/>
          </w:tcPr>
          <w:p>
            <w:pPr>
              <w:pStyle w:val="TableContents"/>
              <w:spacing w:before="0" w:after="0"/>
              <w:ind w:left="0" w:right="0" w:hanging="0"/>
              <w:jc w:val="center"/>
              <w:rPr>
                <w:rFonts w:ascii="helvetica" w:hAnsi="helvetica"/>
                <w:sz w:val="20"/>
              </w:rPr>
            </w:pPr>
            <w:r>
              <w:rPr>
                <w:rFonts w:ascii="helvetica" w:hAnsi="helvetica"/>
                <w:sz w:val="20"/>
              </w:rPr>
              <w:t>Over-Allotment</w:t>
            </w:r>
          </w:p>
        </w:tc>
        <w:tc>
          <w:tcPr>
            <w:tcW w:w="124" w:type="dxa"/>
            <w:tcBorders/>
            <w:shd w:fill="auto" w:val="clear"/>
            <w:vAlign w:val="bottom"/>
          </w:tcPr>
          <w:p>
            <w:pPr>
              <w:pStyle w:val="TableContents"/>
              <w:spacing w:before="0" w:after="283"/>
              <w:jc w:val="left"/>
              <w:rPr/>
            </w:pPr>
            <w:r>
              <w:rPr/>
              <w:t> </w:t>
            </w:r>
          </w:p>
        </w:tc>
      </w:tr>
      <w:tr>
        <w:trPr/>
        <w:tc>
          <w:tcPr>
            <w:tcW w:w="503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Clinical:</w:t>
            </w:r>
          </w:p>
        </w:tc>
        <w:tc>
          <w:tcPr>
            <w:tcW w:w="104" w:type="dxa"/>
            <w:tcBorders/>
            <w:shd w:fill="auto" w:val="clear"/>
            <w:vAlign w:val="bottom"/>
          </w:tcPr>
          <w:p>
            <w:pPr>
              <w:pStyle w:val="TableContents"/>
              <w:spacing w:before="0" w:after="283"/>
              <w:rPr/>
            </w:pPr>
            <w:r>
              <w:rPr/>
              <w:t> </w:t>
            </w:r>
          </w:p>
        </w:tc>
        <w:tc>
          <w:tcPr>
            <w:tcW w:w="23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Use of Proceeds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36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Option</w:t>
            </w:r>
          </w:p>
        </w:tc>
        <w:tc>
          <w:tcPr>
            <w:tcW w:w="124" w:type="dxa"/>
            <w:tcBorders/>
            <w:shd w:fill="auto" w:val="clear"/>
            <w:vAlign w:val="bottom"/>
          </w:tcPr>
          <w:p>
            <w:pPr>
              <w:pStyle w:val="TableContents"/>
              <w:spacing w:before="0" w:after="283"/>
              <w:jc w:val="left"/>
              <w:rPr/>
            </w:pPr>
            <w:r>
              <w:rPr/>
              <w:t> </w:t>
            </w:r>
          </w:p>
        </w:tc>
      </w:tr>
      <w:tr>
        <w:trPr/>
        <w:tc>
          <w:tcPr>
            <w:tcW w:w="503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Phase 3 Impracor Trials</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center"/>
              <w:rPr/>
            </w:pPr>
            <w:r>
              <w:rPr/>
              <w:t> </w:t>
            </w:r>
            <w:r>
              <w:rPr>
                <w:rFonts w:ascii="helvetica" w:hAnsi="helvetica"/>
                <w:sz w:val="20"/>
              </w:rPr>
              <w:t>$4,000,000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center"/>
              <w:rPr>
                <w:rFonts w:ascii="helvetica" w:hAnsi="helvetica"/>
                <w:sz w:val="20"/>
              </w:rPr>
            </w:pPr>
            <w:r>
              <w:rPr>
                <w:rFonts w:ascii="helvetica" w:hAnsi="helvetica"/>
                <w:sz w:val="20"/>
              </w:rPr>
              <w:t>57%</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center"/>
              <w:rPr>
                <w:rFonts w:ascii="helvetica" w:hAnsi="helvetica"/>
                <w:sz w:val="20"/>
              </w:rPr>
            </w:pPr>
            <w:r>
              <w:rPr>
                <w:rFonts w:ascii="helvetica" w:hAnsi="helvetica"/>
                <w:sz w:val="20"/>
              </w:rPr>
              <w:t>$4,000,000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center"/>
              <w:rPr>
                <w:rFonts w:ascii="helvetica" w:hAnsi="helvetica"/>
                <w:sz w:val="20"/>
              </w:rPr>
            </w:pPr>
            <w:r>
              <w:rPr>
                <w:rFonts w:ascii="helvetica" w:hAnsi="helvetica"/>
                <w:sz w:val="20"/>
              </w:rPr>
              <w:t>49%</w:t>
            </w:r>
          </w:p>
        </w:tc>
        <w:tc>
          <w:tcPr>
            <w:tcW w:w="124" w:type="dxa"/>
            <w:tcBorders/>
            <w:shd w:fill="CCEEFF" w:val="clear"/>
            <w:vAlign w:val="bottom"/>
          </w:tcPr>
          <w:p>
            <w:pPr>
              <w:pStyle w:val="TableContents"/>
              <w:spacing w:before="0" w:after="283"/>
              <w:jc w:val="left"/>
              <w:rPr/>
            </w:pPr>
            <w:r>
              <w:rPr/>
              <w:t> </w:t>
            </w:r>
          </w:p>
        </w:tc>
      </w:tr>
      <w:tr>
        <w:trPr/>
        <w:tc>
          <w:tcPr>
            <w:tcW w:w="503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Pre-Phase 3 Trials - Other Drug Candidates</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center"/>
              <w:rPr/>
            </w:pPr>
            <w:r>
              <w:rPr/>
              <w:t xml:space="preserve">   </w:t>
            </w:r>
            <w:r>
              <w:rPr>
                <w:rFonts w:ascii="helvetica" w:hAnsi="helvetica"/>
                <w:sz w:val="20"/>
              </w:rPr>
              <w:t>3,068,414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9" w:type="dxa"/>
            <w:tcBorders/>
            <w:shd w:fill="FFFFFF" w:val="clear"/>
            <w:vAlign w:val="bottom"/>
          </w:tcPr>
          <w:p>
            <w:pPr>
              <w:pStyle w:val="TableContents"/>
              <w:spacing w:before="0" w:after="283"/>
              <w:jc w:val="center"/>
              <w:rPr>
                <w:rFonts w:ascii="helvetica" w:hAnsi="helvetica"/>
                <w:sz w:val="20"/>
              </w:rPr>
            </w:pPr>
            <w:r>
              <w:rPr>
                <w:rFonts w:ascii="helvetica" w:hAnsi="helvetica"/>
                <w:sz w:val="20"/>
              </w:rPr>
              <w:t>43%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center"/>
              <w:rPr/>
            </w:pPr>
            <w:r>
              <w:rPr/>
              <w:t>  </w:t>
            </w:r>
            <w:r>
              <w:rPr>
                <w:rFonts w:ascii="helvetica" w:hAnsi="helvetica"/>
                <w:sz w:val="20"/>
              </w:rPr>
              <w:t>4,035,038</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9" w:type="dxa"/>
            <w:tcBorders/>
            <w:shd w:fill="FFFFFF" w:val="clear"/>
            <w:vAlign w:val="bottom"/>
          </w:tcPr>
          <w:p>
            <w:pPr>
              <w:pStyle w:val="TableContents"/>
              <w:spacing w:before="0" w:after="283"/>
              <w:jc w:val="center"/>
              <w:rPr>
                <w:rFonts w:ascii="helvetica" w:hAnsi="helvetica"/>
                <w:sz w:val="20"/>
              </w:rPr>
            </w:pPr>
            <w:r>
              <w:rPr>
                <w:rFonts w:ascii="helvetica" w:hAnsi="helvetica"/>
                <w:sz w:val="20"/>
              </w:rPr>
              <w:t>49%</w:t>
            </w:r>
          </w:p>
        </w:tc>
        <w:tc>
          <w:tcPr>
            <w:tcW w:w="124" w:type="dxa"/>
            <w:tcBorders/>
            <w:shd w:fill="FFFFFF" w:val="clear"/>
            <w:vAlign w:val="bottom"/>
          </w:tcPr>
          <w:p>
            <w:pPr>
              <w:pStyle w:val="TableContents"/>
              <w:spacing w:before="0" w:after="283"/>
              <w:jc w:val="left"/>
              <w:rPr/>
            </w:pPr>
            <w:r>
              <w:rPr/>
              <w:t> </w:t>
            </w:r>
          </w:p>
        </w:tc>
      </w:tr>
      <w:tr>
        <w:trPr/>
        <w:tc>
          <w:tcPr>
            <w:tcW w:w="503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IP Protection, Research and Development</w:t>
            </w:r>
          </w:p>
        </w:tc>
        <w:tc>
          <w:tcPr>
            <w:tcW w:w="104" w:type="dxa"/>
            <w:tcBorders/>
            <w:shd w:fill="CCEEFF" w:val="clear"/>
            <w:vAlign w:val="bottom"/>
          </w:tcPr>
          <w:p>
            <w:pPr>
              <w:pStyle w:val="TableContents"/>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center"/>
              <w:rPr/>
            </w:pPr>
            <w:r>
              <w:rPr/>
              <w:t>    </w:t>
            </w:r>
            <w:r>
              <w:rPr>
                <w:rFonts w:ascii="helvetica" w:hAnsi="helvetica"/>
                <w:sz w:val="20"/>
              </w:rPr>
              <w:t>200,000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2%</w:t>
            </w:r>
          </w:p>
        </w:tc>
        <w:tc>
          <w:tcPr>
            <w:tcW w:w="124" w:type="dxa"/>
            <w:tcBorders/>
            <w:shd w:fill="CCEEFF" w:val="clear"/>
            <w:vAlign w:val="bottom"/>
          </w:tcPr>
          <w:p>
            <w:pPr>
              <w:pStyle w:val="TableContents"/>
              <w:spacing w:before="0" w:after="283"/>
              <w:jc w:val="left"/>
              <w:rPr/>
            </w:pPr>
            <w:r>
              <w:rPr/>
              <w:t> </w:t>
            </w:r>
          </w:p>
        </w:tc>
      </w:tr>
      <w:tr>
        <w:trPr/>
        <w:tc>
          <w:tcPr>
            <w:tcW w:w="503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w:t>
            </w:r>
          </w:p>
        </w:tc>
        <w:tc>
          <w:tcPr>
            <w:tcW w:w="104" w:type="dxa"/>
            <w:tcBorders/>
            <w:shd w:fill="FFFFFF" w:val="clear"/>
            <w:vAlign w:val="bottom"/>
          </w:tcPr>
          <w:p>
            <w:pPr>
              <w:pStyle w:val="TableContents"/>
              <w:spacing w:before="0" w:after="283"/>
              <w:jc w:val="lef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double" w:sz="8" w:space="0" w:color="000000"/>
            </w:tcBorders>
            <w:shd w:fill="FFFFFF" w:val="clear"/>
            <w:tcMar>
              <w:bottom w:w="28" w:type="dxa"/>
            </w:tcMar>
            <w:vAlign w:val="bottom"/>
          </w:tcPr>
          <w:p>
            <w:pPr>
              <w:pStyle w:val="TableContents"/>
              <w:spacing w:before="0" w:after="283"/>
              <w:jc w:val="center"/>
              <w:rPr/>
            </w:pPr>
            <w:r>
              <w:rPr/>
              <w:t> </w:t>
            </w:r>
            <w:r>
              <w:rPr>
                <w:rFonts w:ascii="helvetica" w:hAnsi="helvetica"/>
                <w:sz w:val="20"/>
              </w:rPr>
              <w:t>$7,068,414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99" w:type="dxa"/>
            <w:tcBorders>
              <w:bottom w:val="double" w:sz="8" w:space="0" w:color="000000"/>
            </w:tcBorders>
            <w:shd w:fill="FFFF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100%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FFFF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$8,235,038</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99" w:type="dxa"/>
            <w:tcBorders>
              <w:bottom w:val="double" w:sz="8" w:space="0" w:color="000000"/>
            </w:tcBorders>
            <w:shd w:fill="FFFF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100%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amounts that will actually be spent by us for any specific purpose may vary significantly, and will depend on a number of factors including the pace of progress of our Phase 3 Trials, development and actual needs with respect to product testing, development and research, market conditions, and changes in or revisions to our marketing and/or licensing strategies.  In addition, we may allocate capital from the above referenced net proceeds to uses other than those described above in the event one or more opportunities become available to invest in near term drug development projects that are as advanced as our Impracor program is or that we believe have a greater chance for positive clinical results with at least as large of a market opportunity as Impracor has; however, we do not have any commitments for any opportunities of this nature at this time.</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The amounts and timing of our actual expenditures will depend upon numerous factors, including market conditions, cash generated by our operations, business developments and related rate of growth, sales and marketing activities and competition.  Accordingly, our management will have broad discretion in the application of the net proceeds, and investors will be relying on the judgment of our management regarding the application of the proceeds from this offering.  We may find it necessary or advisable to use portions of the proceeds from this offering for other purposes.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9" w:name="PGBRK23"/>
      <w:bookmarkStart w:id="350" w:name="PGBRK23"/>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 w:name="FTR23"/>
      <w:bookmarkStart w:id="352" w:name="FTR23"/>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3" w:name="GLFTR22"/>
      <w:bookmarkEnd w:id="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54" w:name="PN22"/>
      <w:bookmarkEnd w:id="354"/>
      <w:r>
        <w:rPr>
          <w:rFonts w:ascii="helvetica" w:hAnsi="helvetica"/>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5" w:name="HDR22"/>
      <w:bookmarkStart w:id="356" w:name="HDR22"/>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7" w:name="GLHDR22"/>
      <w:bookmarkEnd w:id="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Circumstances that may give rise to a change in the use of proceeds and the alternate purposes for which the proceeds may be used include:</w:t>
      </w:r>
    </w:p>
    <w:p>
      <w:pPr>
        <w:pStyle w:val="TextBody"/>
        <w:spacing w:before="0" w:after="0"/>
        <w:ind w:left="0" w:right="0" w:firstLine="720"/>
        <w:jc w:val="left"/>
        <w:rPr/>
      </w:pPr>
      <w:r>
        <w:rPr/>
        <w:t> </w:t>
      </w:r>
    </w:p>
    <w:p>
      <w:pPr>
        <w:pStyle w:val="Normal"/>
        <w:spacing w:before="0" w:after="0"/>
        <w:rPr>
          <w:sz w:val="4"/>
          <w:szCs w:val="4"/>
        </w:rPr>
      </w:pPr>
      <w:r>
        <w:rPr>
          <w:sz w:val="4"/>
          <w:szCs w:val="4"/>
        </w:rPr>
      </w:r>
      <w:bookmarkStart w:id="358" w:name="list66"/>
      <w:bookmarkStart w:id="359" w:name="list66"/>
      <w:bookmarkEnd w:id="359"/>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existence of other opportunities or the need to take advantage of changes in timing of our existing activities;</w:t>
            </w:r>
          </w:p>
        </w:tc>
      </w:tr>
    </w:tbl>
    <w:p>
      <w:pPr>
        <w:pStyle w:val="Normal"/>
        <w:spacing w:before="0" w:after="0"/>
        <w:rPr>
          <w:sz w:val="4"/>
          <w:szCs w:val="4"/>
        </w:rPr>
      </w:pPr>
      <w:r>
        <w:rPr>
          <w:sz w:val="4"/>
          <w:szCs w:val="4"/>
        </w:rPr>
      </w:r>
      <w:bookmarkStart w:id="360" w:name="list67"/>
      <w:bookmarkStart w:id="361" w:name="list67"/>
      <w:bookmarkEnd w:id="36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need or desire on our part to accelerate, increase or eliminate existing initiatives due to, among other things, changing market conditions and competitive developments; and/or</w:t>
            </w:r>
          </w:p>
        </w:tc>
      </w:tr>
    </w:tbl>
    <w:p>
      <w:pPr>
        <w:pStyle w:val="Normal"/>
        <w:spacing w:before="0" w:after="0"/>
        <w:rPr>
          <w:sz w:val="4"/>
          <w:szCs w:val="4"/>
        </w:rPr>
      </w:pPr>
      <w:r>
        <w:rPr>
          <w:sz w:val="4"/>
          <w:szCs w:val="4"/>
        </w:rPr>
      </w:r>
      <w:bookmarkStart w:id="362" w:name="list68"/>
      <w:bookmarkStart w:id="363" w:name="list68"/>
      <w:bookmarkEnd w:id="36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strategic opportunities of which we are not currently aware present themselves (including acquisitions, joint ventures, licensing and other similar transactions).</w:t>
            </w:r>
          </w:p>
        </w:tc>
      </w:tr>
    </w:tbl>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From time to time, we evaluate these and other factors and we anticipate continuing to make such evaluations to determine if the existing allocation of resources, including the proceeds of this offering, is being optimized.</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Pending its use, we intend to invest the net proceeds of this offering in direct and guaranteed obligations of the United States, interest-bearing, investment-grade instruments or certificates of deposit.</w:t>
      </w: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364" w:name="TAB1"/>
      <w:bookmarkEnd w:id="364"/>
      <w:r>
        <w:rPr>
          <w:rFonts w:ascii="helvetica" w:hAnsi="helvetica"/>
          <w:b/>
          <w:sz w:val="20"/>
        </w:rPr>
        <w:t>DESCRIPTION OF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Preferred Stock.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  The anticipated reverse split of our common stock will not affect the number of shares of authorized common stock or the par value of our shares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Authorized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authorized, issued and outstanding common stock.  Our authorized capital stock now consists of 400,000,000 shares, 395,000,000 of which are designated as common stock, par value $0.001 per share, and 5,000,000 of which are designated as preferred stock, par value $0.001 per share.</w:t>
      </w: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Capital Stock Issued and Outstanding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February 1, 2013, we had outstanding  6,772,125 shares of common stock held by 175 stockholders of record.  In addition, as of February 1, 2013, we had outstanding (i) options to acquire  917,235 shares of our common stock with a weighted average exercise price of $5.30 per share, all of which are held by current or former employees, directors and consultants, (ii) warrants to purchase 556,872 shares of common stock with exercise prices ranging from $5.925 to $176.00 per share, and (iii) 200,000 shares of common stock underlying restricted stock units granted outside the 2007 Plan.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5" w:name="PGBRK24"/>
      <w:bookmarkStart w:id="366" w:name="PGBRK24"/>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 w:name="FTR24"/>
      <w:bookmarkStart w:id="368" w:name="FTR24"/>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9" w:name="GLFTR23"/>
      <w:bookmarkEnd w:id="3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70" w:name="PN23"/>
      <w:bookmarkEnd w:id="370"/>
      <w:r>
        <w:rPr>
          <w:rFonts w:ascii="helvetica" w:hAnsi="helvetica"/>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 w:name="HDR23"/>
      <w:bookmarkStart w:id="372" w:name="HDR23"/>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3" w:name="GLHDR23"/>
      <w:bookmarkEnd w:id="3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Description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Description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Undesignated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December 12, 2011, we issued 10 shares of Series A Preferred Stock to DermaStar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  On June 29, 2012, DermaStar converted the 10 shares of Series A Preferred Stock held by it into 1,499,700 shares of common stock.  Immediately following the conversion of the Series A Preferred Stock, all 10 shares were retired to our treasury and cancelled.</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Anti-Takeover Provisions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4" w:name="PGBRK25"/>
      <w:bookmarkStart w:id="375" w:name="PGBRK25"/>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FTR25"/>
      <w:bookmarkStart w:id="377" w:name="FTR25"/>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8" w:name="GLFTR24"/>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79" w:name="PN24"/>
      <w:bookmarkEnd w:id="379"/>
      <w:r>
        <w:rPr>
          <w:rFonts w:ascii="helvetica" w:hAnsi="helvetica"/>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HDR24"/>
      <w:bookmarkStart w:id="381" w:name="HDR24"/>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2" w:name="GLHDR24"/>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Liability and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Any repeal or modification of these provisions approved by our stockholders shall be prospective only, and shall not adversely affect any limitation on the liability of a director or officer existing as of the time of such repeal or modification.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Transfer Agent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transfer agent and registrar for our common stock is Action Stock Transfer Corporation, 2469 E. Fort Union Blvd., Suite 214, Salt Lake City, UT 84121.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3" w:name="PGBRK26"/>
      <w:bookmarkStart w:id="384" w:name="PGBRK26"/>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5" w:name="FTR26"/>
      <w:bookmarkStart w:id="386" w:name="FTR26"/>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7" w:name="GLFTR25"/>
      <w:bookmarkEnd w:id="3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88" w:name="PN25"/>
      <w:bookmarkEnd w:id="388"/>
      <w:r>
        <w:rPr>
          <w:rFonts w:ascii="helvetica" w:hAnsi="helvetica"/>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 w:name="HDR25"/>
      <w:bookmarkStart w:id="390" w:name="HDR25"/>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1" w:name="GLHDR25"/>
      <w:bookmarkEnd w:id="3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392" w:name="TAB11"/>
      <w:bookmarkEnd w:id="392"/>
      <w:r>
        <w:rPr>
          <w:rFonts w:ascii="helvetica" w:hAnsi="helvetica"/>
          <w:b/>
          <w:sz w:val="20"/>
        </w:rPr>
        <w:t>CAPITALIZATION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following table sets forth our cash and cash equivalents and our capitalization as of September 30, 2012, in each case after giving effect to the one-for-five reverse stock split of our common stock to be effected following the effectiveness of the registration statement of which this prospectus forms a part and prior to the closing of the offering:</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393" w:name="list69"/>
      <w:bookmarkStart w:id="394" w:name="list69"/>
      <w:bookmarkEnd w:id="394"/>
    </w:p>
    <w:tbl>
      <w:tblPr>
        <w:tblW w:w="5000" w:type="pct"/>
        <w:jc w:val="center"/>
        <w:tblInd w:w="0" w:type="dxa"/>
        <w:tblCellMar>
          <w:top w:w="0" w:type="dxa"/>
          <w:left w:w="0" w:type="dxa"/>
          <w:bottom w:w="0" w:type="dxa"/>
          <w:right w:w="0" w:type="dxa"/>
        </w:tblCellMar>
      </w:tblPr>
      <w:tblGrid>
        <w:gridCol w:w="1564"/>
        <w:gridCol w:w="8641"/>
      </w:tblGrid>
      <w:tr>
        <w:trPr/>
        <w:tc>
          <w:tcPr>
            <w:tcW w:w="1564" w:type="dxa"/>
            <w:tcBorders/>
            <w:shd w:fill="auto" w:val="clear"/>
          </w:tcPr>
          <w:p>
            <w:pPr>
              <w:pStyle w:val="TableContents"/>
              <w:spacing w:before="0" w:after="0"/>
              <w:jc w:val="right"/>
              <w:rPr/>
            </w:pPr>
            <w:r>
              <w:rPr/>
              <w:t>●  </w:t>
            </w:r>
          </w:p>
        </w:tc>
        <w:tc>
          <w:tcPr>
            <w:tcW w:w="864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an actual basis;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395" w:name="list70"/>
      <w:bookmarkStart w:id="396" w:name="list70"/>
      <w:bookmarkEnd w:id="396"/>
    </w:p>
    <w:tbl>
      <w:tblPr>
        <w:tblW w:w="5000" w:type="pct"/>
        <w:jc w:val="center"/>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an as adjusted basis, giving effect to the sale by us of 1,619,047 shares of common stock in this offering at an assumed public offering price of $5.25 per share, after deducting the estimated underwriting discounts and commissions and estimated offering expenses payable by us.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You should read this table together with “Management’s Discussion and Analysis of Financial Condition and Results of Operations” and our consolidated financial statements and the related notes appearing elsewhere in this prospectus.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268"/>
        <w:gridCol w:w="107"/>
        <w:gridCol w:w="126"/>
        <w:gridCol w:w="1117"/>
        <w:gridCol w:w="113"/>
        <w:gridCol w:w="107"/>
        <w:gridCol w:w="126"/>
        <w:gridCol w:w="1117"/>
        <w:gridCol w:w="124"/>
      </w:tblGrid>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70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24" w:type="dxa"/>
            <w:tcBorders/>
            <w:shd w:fill="auto" w:val="clear"/>
            <w:vAlign w:val="bottom"/>
          </w:tcPr>
          <w:p>
            <w:pPr>
              <w:pStyle w:val="TableContents"/>
              <w:spacing w:before="0" w:after="283"/>
              <w:jc w:val="left"/>
              <w:rPr/>
            </w:pPr>
            <w:r>
              <w:rPr/>
              <w:t> </w:t>
            </w:r>
          </w:p>
        </w:tc>
      </w:tr>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Actual</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As Adjusted</w:t>
            </w:r>
          </w:p>
        </w:tc>
        <w:tc>
          <w:tcPr>
            <w:tcW w:w="124" w:type="dxa"/>
            <w:tcBorders/>
            <w:shd w:fill="auto" w:val="clear"/>
            <w:vAlign w:val="bottom"/>
          </w:tcPr>
          <w:p>
            <w:pPr>
              <w:pStyle w:val="TableContents"/>
              <w:spacing w:before="0" w:after="283"/>
              <w:jc w:val="left"/>
              <w:rPr/>
            </w:pPr>
            <w:r>
              <w:rPr/>
              <w:t> </w:t>
            </w:r>
          </w:p>
        </w:tc>
      </w:tr>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24" w:type="dxa"/>
            <w:tcBorders/>
            <w:shd w:fill="auto"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7"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10,990,871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18,059,285</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debt</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equity:</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Preferred stock, $0.001 par value; 5,000,000 shares authorized,</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 shares issued and outstanding, actual and as adjusted</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395,000,000 shares authorized,</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6,771,926 shares issued and outstanding, actual;</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8,390,973 shares issued and outstanding, as adjusted</w:t>
            </w:r>
          </w:p>
        </w:tc>
        <w:tc>
          <w:tcPr>
            <w:tcW w:w="107"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6,772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8,391</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paid-in capital</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33,438,601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40,505,396</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1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equity</w:t>
            </w:r>
          </w:p>
        </w:tc>
        <w:tc>
          <w:tcPr>
            <w:tcW w:w="107"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17,862,547</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capitalization</w:t>
            </w:r>
          </w:p>
        </w:tc>
        <w:tc>
          <w:tcPr>
            <w:tcW w:w="107"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17,862,547</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7" w:name="PGBRK27"/>
      <w:bookmarkStart w:id="398" w:name="PGBRK27"/>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9" w:name="FTR27"/>
      <w:bookmarkStart w:id="400" w:name="FTR27"/>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1" w:name="GLFTR26"/>
      <w:bookmarkEnd w:id="4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02" w:name="PN26"/>
      <w:bookmarkEnd w:id="402"/>
      <w:r>
        <w:rPr>
          <w:rFonts w:ascii="helvetica" w:hAnsi="helvetica"/>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 w:name="HDR26"/>
      <w:bookmarkStart w:id="404" w:name="HDR26"/>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5" w:name="GLHDR26"/>
      <w:bookmarkEnd w:id="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number of shares of our common stock to be outstanding after this offering is based on 6,771,926 shares outstanding as of September 30, 2012, and excludes: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06" w:name="list71"/>
      <w:bookmarkStart w:id="407" w:name="list71"/>
      <w:bookmarkEnd w:id="40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898,404 shares of common stock issuable upon the exercise of options outstanding as of September 30, 2012 with exercise prices ranging from $2.40 to $80.00 and a weighted average exercise price of $5.20 per share;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08" w:name="list72"/>
      <w:bookmarkStart w:id="409" w:name="list72"/>
      <w:bookmarkEnd w:id="40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557,341 shares of common stock underlying warrants issuable upon the exercise of warrants outstanding as of September 30, 2012 with exercise prices ranging from $5.925 to $176.00 and a weighted average exercise price of $7.80 per share, of which warrants to acquire up to 469 shares of common stock with an exercise price of $160.00 per share expired subsequent to September 30, 2012;</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0" w:name="list73"/>
      <w:bookmarkStart w:id="411" w:name="list73"/>
      <w:bookmarkEnd w:id="411"/>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pPr>
            <w:r>
              <w:rPr/>
              <w:t>●  </w:t>
            </w:r>
          </w:p>
        </w:tc>
        <w:tc>
          <w:tcPr>
            <w:tcW w:w="98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200,000 shares of common stock issuable underlying restricted stock units granted outside of our 2007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2" w:name="list74"/>
      <w:bookmarkStart w:id="413" w:name="list74"/>
      <w:bookmarkEnd w:id="41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warrants to purchase up to 136,000 shares of our common stock issuable to the underwriters in connection with the completion of this offering;</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4" w:name="list75"/>
      <w:bookmarkStart w:id="415" w:name="list75"/>
      <w:bookmarkEnd w:id="415"/>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pPr>
            <w:r>
              <w:rPr/>
              <w:t>●  </w:t>
            </w:r>
          </w:p>
        </w:tc>
        <w:tc>
          <w:tcPr>
            <w:tcW w:w="988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1,485,491 shares of common stock available for future grant as of September 30, 2012 under our 2007 Plan.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6" w:name="PGBRK28"/>
      <w:bookmarkStart w:id="417" w:name="PGBRK28"/>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FTR28"/>
      <w:bookmarkStart w:id="419" w:name="FTR28"/>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0" w:name="GLFTR27"/>
      <w:bookmarkEnd w:id="4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21" w:name="PN27"/>
      <w:bookmarkEnd w:id="421"/>
      <w:r>
        <w:rPr>
          <w:rFonts w:ascii="helvetica" w:hAnsi="helvetica"/>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 w:name="HDR27"/>
      <w:bookmarkStart w:id="423" w:name="HDR27"/>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4" w:name="GLHDR27"/>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DILUTION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If you invest in the securities offered in this offering, your interest will be diluted immediately to the extent of the difference between the assumed public offering price per share of our common stock and the net tangible book value per share of our common stock after this offering. As of September 30, 2012, our net tangible book value was $10,794,133, or $1.59 share of common stock (after giving effect to the one-for-five reverse stock split).  Net tangible book value  per share represents the total tangible assets of the Company, less all liabilities, divided by the number of shares of common stock outstanding.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Net tangible book value dilution per share represents the difference between the amount per share of common stock paid by the new investors who purchase securities in this offering and the net tangible book value per share of common stock immediately after completion of this offering. After giving effect to our sale of  1,619,047  shares of common stock at a public offering price of $5.25 per share, and after underwriting fees and commissions and estimated offering expenses payable by us, our net tangible book value as of September 30, 2012 would have been $17,862,547, or $2.13  per share. This represents an immediate increase of net tangible book value of $0.54 per share to our existing stockholders and an immediate dilution in net tangible book value of $3.12 per share to purchasers of our common stock in this offering. The following table illustrates this per share dilution:</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298"/>
        <w:gridCol w:w="119"/>
        <w:gridCol w:w="151"/>
        <w:gridCol w:w="1003"/>
        <w:gridCol w:w="119"/>
        <w:gridCol w:w="119"/>
        <w:gridCol w:w="177"/>
        <w:gridCol w:w="1087"/>
        <w:gridCol w:w="132"/>
      </w:tblGrid>
      <w:tr>
        <w:trPr/>
        <w:tc>
          <w:tcPr>
            <w:tcW w:w="7298"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Adjusted</w:t>
            </w:r>
          </w:p>
        </w:tc>
        <w:tc>
          <w:tcPr>
            <w:tcW w:w="132" w:type="dxa"/>
            <w:tcBorders/>
            <w:shd w:fill="auto" w:val="clear"/>
            <w:vAlign w:val="bottom"/>
          </w:tcPr>
          <w:p>
            <w:pPr>
              <w:pStyle w:val="TableContents"/>
              <w:spacing w:before="0" w:after="283"/>
              <w:jc w:val="left"/>
              <w:rPr/>
            </w:pPr>
            <w:r>
              <w:rPr/>
              <w:t> </w:t>
            </w:r>
          </w:p>
        </w:tc>
      </w:tr>
      <w:tr>
        <w:trPr/>
        <w:tc>
          <w:tcPr>
            <w:tcW w:w="72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Assumed public offering price per unit</w:t>
            </w:r>
          </w:p>
        </w:tc>
        <w:tc>
          <w:tcPr>
            <w:tcW w:w="119" w:type="dxa"/>
            <w:tcBorders/>
            <w:shd w:fill="CCEEFF" w:val="clear"/>
            <w:vAlign w:val="bottom"/>
          </w:tcPr>
          <w:p>
            <w:pPr>
              <w:pStyle w:val="TableContents"/>
              <w:spacing w:before="0" w:after="283"/>
              <w:rPr/>
            </w:pPr>
            <w:r>
              <w:rPr/>
              <w:t> </w:t>
            </w:r>
          </w:p>
        </w:tc>
        <w:tc>
          <w:tcPr>
            <w:tcW w:w="1154" w:type="dxa"/>
            <w:gridSpan w:val="2"/>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77" w:type="dxa"/>
            <w:tcBorders>
              <w:bottom w:val="single" w:sz="12"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5.25</w:t>
            </w:r>
          </w:p>
        </w:tc>
        <w:tc>
          <w:tcPr>
            <w:tcW w:w="132" w:type="dxa"/>
            <w:tcBorders/>
            <w:shd w:fill="CCEEFF" w:val="clear"/>
            <w:vAlign w:val="bottom"/>
          </w:tcPr>
          <w:p>
            <w:pPr>
              <w:pStyle w:val="TableContents"/>
              <w:spacing w:before="0" w:after="283"/>
              <w:jc w:val="left"/>
              <w:rPr/>
            </w:pPr>
            <w:r>
              <w:rPr/>
              <w:t> </w:t>
            </w:r>
          </w:p>
        </w:tc>
      </w:tr>
      <w:tr>
        <w:trPr/>
        <w:tc>
          <w:tcPr>
            <w:tcW w:w="72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tangible book value per share as of September 30, 2012</w:t>
            </w:r>
          </w:p>
        </w:tc>
        <w:tc>
          <w:tcPr>
            <w:tcW w:w="119"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1.59</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72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Increase in net tangible book value per share attributable to new investors</w:t>
            </w:r>
          </w:p>
        </w:tc>
        <w:tc>
          <w:tcPr>
            <w:tcW w:w="119"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0.54</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72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Adjusted net tangible book value per share after this offering</w:t>
            </w:r>
          </w:p>
        </w:tc>
        <w:tc>
          <w:tcPr>
            <w:tcW w:w="119"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rPr/>
            </w:pPr>
            <w:r>
              <w:rPr/>
              <w:t> </w:t>
            </w:r>
          </w:p>
        </w:tc>
        <w:tc>
          <w:tcPr>
            <w:tcW w:w="17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w:t>
            </w:r>
          </w:p>
        </w:tc>
        <w:tc>
          <w:tcPr>
            <w:tcW w:w="132" w:type="dxa"/>
            <w:tcBorders/>
            <w:shd w:fill="FFFFFF" w:val="clear"/>
            <w:vAlign w:val="bottom"/>
          </w:tcPr>
          <w:p>
            <w:pPr>
              <w:pStyle w:val="TableContents"/>
              <w:spacing w:before="0" w:after="283"/>
              <w:jc w:val="left"/>
              <w:rPr/>
            </w:pPr>
            <w:r>
              <w:rPr/>
              <w:t> </w:t>
            </w:r>
          </w:p>
        </w:tc>
      </w:tr>
      <w:tr>
        <w:trPr/>
        <w:tc>
          <w:tcPr>
            <w:tcW w:w="72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Dilution per share to new investors purchasing common stock in this offering</w:t>
            </w:r>
          </w:p>
        </w:tc>
        <w:tc>
          <w:tcPr>
            <w:tcW w:w="11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7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3.12</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5" w:name="PGBRK29"/>
      <w:bookmarkStart w:id="426" w:name="PGBRK29"/>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7" w:name="FTR29"/>
      <w:bookmarkStart w:id="428" w:name="FTR29"/>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9" w:name="GLFTR28"/>
      <w:bookmarkEnd w:id="4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30" w:name="PN28"/>
      <w:bookmarkEnd w:id="430"/>
      <w:r>
        <w:rPr>
          <w:rFonts w:ascii="helvetica" w:hAnsi="helvetica"/>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HDR28"/>
      <w:bookmarkStart w:id="432" w:name="HDR28"/>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3" w:name="GLHDR28"/>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above discussion and table do not include the following:</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4" w:name="list76"/>
      <w:bookmarkStart w:id="435" w:name="list76"/>
      <w:bookmarkEnd w:id="43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898,404 shares of common stock issuable upon the exercise of options outstanding as of September 30, 2012 with exercise prices ranging from $2.40 to $80.00 and a weighted average exercise price of $5.20 per share;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6" w:name="list77"/>
      <w:bookmarkStart w:id="437" w:name="list77"/>
      <w:bookmarkEnd w:id="43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557,341 shares of common stock underlying warrants issuable upon the exercise of warrants outstanding as of September 30, 2012 with exercise prices ranging from $5.925 to $176.00 and a weighted average exercise price of $7.80 per share, of which warrants to acquire up to 469 shares of common stock with an exercise price of $160.00 per share expired subsequent to September 30, 2012;</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8" w:name="list78"/>
      <w:bookmarkStart w:id="439" w:name="list78"/>
      <w:bookmarkEnd w:id="439"/>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pPr>
            <w:r>
              <w:rPr/>
              <w:t>●  </w:t>
            </w:r>
          </w:p>
        </w:tc>
        <w:tc>
          <w:tcPr>
            <w:tcW w:w="98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200,000 shares of common stock issuable underlying restricted stock units granted outside of our 2007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40" w:name="list79"/>
      <w:bookmarkStart w:id="441" w:name="list79"/>
      <w:bookmarkEnd w:id="44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warrants to purchase up to 136,000 shares of our common stock issuable to the underwriters in connection with the completion of this offering;</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42" w:name="list80"/>
      <w:bookmarkStart w:id="443" w:name="list80"/>
      <w:bookmarkEnd w:id="443"/>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pPr>
            <w:r>
              <w:rPr/>
              <w:t>●  </w:t>
            </w:r>
          </w:p>
        </w:tc>
        <w:tc>
          <w:tcPr>
            <w:tcW w:w="988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1,485,491 shares of common stock available for future grant as of September 30, 2012 under our 2007 Plan.</w:t>
            </w:r>
          </w:p>
        </w:tc>
      </w:tr>
    </w:tbl>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4" w:name="PGBRK30"/>
      <w:bookmarkStart w:id="445" w:name="PGBRK30"/>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6" w:name="FTR30"/>
      <w:bookmarkStart w:id="447" w:name="FTR30"/>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8" w:name="GLFTR29"/>
      <w:bookmarkEnd w:id="4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49" w:name="PN29"/>
      <w:bookmarkEnd w:id="449"/>
      <w:r>
        <w:rPr>
          <w:rFonts w:ascii="helvetica" w:hAnsi="helvetica"/>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0" w:name="HDR29"/>
      <w:bookmarkStart w:id="451" w:name="HDR29"/>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2" w:name="GLHDR29"/>
      <w:bookmarkEnd w:id="4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rFonts w:ascii="helvetica" w:hAnsi="helvetica"/>
          <w:b/>
          <w:sz w:val="20"/>
        </w:rPr>
      </w:pPr>
      <w:r>
        <w:rPr>
          <w:rFonts w:ascii="helvetica" w:hAnsi="helvetica"/>
          <w:b/>
          <w:sz w:val="20"/>
        </w:rPr>
        <w:t>UNDERWRITING</w:t>
      </w:r>
    </w:p>
    <w:p>
      <w:pPr>
        <w:pStyle w:val="TextBody"/>
        <w:spacing w:before="0" w:after="0"/>
        <w:jc w:val="center"/>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This is an underwritten offering of our common stock.  MDB Capital Group, LLC is the sole book-running manager of the offering and is acting as the representative of the underwriters named below. We have entered into an underwriting agreement with the underwriters. Subject to the terms and conditions of the underwriting agreement, we have agreed to sell to each of the underwriters, and each of the underwriters has agreed to purchase, at the public offering price less the underwriting discounts and commissions set forth on the cover page of this prospectus, the number of shares of common stock set forth opposite such underwriter’s name below (not including shares that may be issued pursuant to the underwriters’ over-allotment option).  The underwriters are committed to purchase all the common shares offered by us, other than those covered by the option to purchase additional shares described below, if they purchase any shares.  A copy of the underwriting agreement has been filed as an exhibit to the registration statement of which this prospectus forms a part.</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7717"/>
        <w:gridCol w:w="123"/>
        <w:gridCol w:w="1558"/>
        <w:gridCol w:w="807"/>
      </w:tblGrid>
      <w:tr>
        <w:trPr/>
        <w:tc>
          <w:tcPr>
            <w:tcW w:w="7717" w:type="dxa"/>
            <w:tcBorders/>
            <w:shd w:fill="auto" w:val="clear"/>
            <w:vAlign w:val="bottom"/>
          </w:tcPr>
          <w:p>
            <w:pPr>
              <w:pStyle w:val="TableContents"/>
              <w:spacing w:before="0" w:after="0"/>
              <w:ind w:left="0" w:right="0" w:firstLine="720"/>
              <w:jc w:val="left"/>
              <w:rPr>
                <w:rFonts w:ascii="helvetica" w:hAnsi="helvetica"/>
                <w:b/>
                <w:sz w:val="20"/>
              </w:rPr>
            </w:pPr>
            <w:r>
              <w:rPr>
                <w:rFonts w:ascii="helvetica" w:hAnsi="helvetica"/>
                <w:b/>
                <w:sz w:val="20"/>
              </w:rPr>
              <w:t>Underwriters</w:t>
            </w:r>
          </w:p>
        </w:tc>
        <w:tc>
          <w:tcPr>
            <w:tcW w:w="123" w:type="dxa"/>
            <w:tcBorders/>
            <w:shd w:fill="auto" w:val="clear"/>
            <w:vAlign w:val="bottom"/>
          </w:tcPr>
          <w:p>
            <w:pPr>
              <w:pStyle w:val="TableContents"/>
              <w:spacing w:before="0" w:after="283"/>
              <w:rPr/>
            </w:pPr>
            <w:r>
              <w:rPr/>
              <w:t> </w:t>
            </w:r>
          </w:p>
        </w:tc>
        <w:tc>
          <w:tcPr>
            <w:tcW w:w="155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807" w:type="dxa"/>
            <w:tcBorders/>
            <w:shd w:fill="auto" w:val="clear"/>
            <w:vAlign w:val="bottom"/>
          </w:tcPr>
          <w:p>
            <w:pPr>
              <w:pStyle w:val="TableContents"/>
              <w:spacing w:before="0" w:after="283"/>
              <w:jc w:val="left"/>
              <w:rPr/>
            </w:pPr>
            <w:r>
              <w:rPr/>
              <w:t> </w:t>
            </w:r>
          </w:p>
        </w:tc>
      </w:tr>
      <w:tr>
        <w:trPr/>
        <w:tc>
          <w:tcPr>
            <w:tcW w:w="7717"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w:t>
            </w:r>
          </w:p>
        </w:tc>
        <w:tc>
          <w:tcPr>
            <w:tcW w:w="1558"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left"/>
              <w:rPr/>
            </w:pPr>
            <w:r>
              <w:rPr/>
              <w:t> </w:t>
            </w:r>
          </w:p>
        </w:tc>
      </w:tr>
      <w:tr>
        <w:trPr/>
        <w:tc>
          <w:tcPr>
            <w:tcW w:w="7717" w:type="dxa"/>
            <w:tcBorders/>
            <w:shd w:fill="auto" w:val="clear"/>
            <w:vAlign w:val="bottom"/>
          </w:tcPr>
          <w:p>
            <w:pPr>
              <w:pStyle w:val="TableContents"/>
              <w:spacing w:before="0" w:after="0"/>
              <w:ind w:left="0" w:right="0" w:firstLine="720"/>
              <w:jc w:val="left"/>
              <w:rPr>
                <w:rFonts w:ascii="helvetica" w:hAnsi="helvetica"/>
                <w:sz w:val="20"/>
              </w:rPr>
            </w:pPr>
            <w:r>
              <w:rPr>
                <w:rFonts w:ascii="helvetica" w:hAnsi="helvetica"/>
                <w:sz w:val="20"/>
              </w:rPr>
              <w:t>MDB Capital Group, LLC</w:t>
            </w:r>
          </w:p>
        </w:tc>
        <w:tc>
          <w:tcPr>
            <w:tcW w:w="123" w:type="dxa"/>
            <w:tcBorders/>
            <w:shd w:fill="auto" w:val="clear"/>
            <w:vAlign w:val="bottom"/>
          </w:tcPr>
          <w:p>
            <w:pPr>
              <w:pStyle w:val="TableContents"/>
              <w:spacing w:before="0" w:after="283"/>
              <w:rPr/>
            </w:pPr>
            <w:r>
              <w:rPr/>
              <w:t> </w:t>
            </w:r>
          </w:p>
        </w:tc>
        <w:tc>
          <w:tcPr>
            <w:tcW w:w="1558" w:type="dxa"/>
            <w:tcBorders>
              <w:bottom w:val="single" w:sz="12" w:space="0" w:color="000000"/>
            </w:tcBorders>
            <w:shd w:fill="auto" w:val="clear"/>
            <w:tcMar>
              <w:bottom w:w="28" w:type="dxa"/>
            </w:tcMar>
            <w:vAlign w:val="bottom"/>
          </w:tcPr>
          <w:p>
            <w:pPr>
              <w:pStyle w:val="TableContents"/>
              <w:spacing w:before="0" w:after="283"/>
              <w:rPr/>
            </w:pPr>
            <w:r>
              <w:rPr/>
              <w:t> </w:t>
            </w:r>
          </w:p>
        </w:tc>
        <w:tc>
          <w:tcPr>
            <w:tcW w:w="807" w:type="dxa"/>
            <w:tcBorders/>
            <w:shd w:fill="auto" w:val="clear"/>
            <w:vAlign w:val="bottom"/>
          </w:tcPr>
          <w:p>
            <w:pPr>
              <w:pStyle w:val="TableContents"/>
              <w:spacing w:before="0" w:after="283"/>
              <w:ind w:left="0" w:right="0" w:firstLine="720"/>
              <w:jc w:val="left"/>
              <w:rPr/>
            </w:pPr>
            <w:r>
              <w:rPr/>
              <w:t> </w:t>
            </w:r>
          </w:p>
        </w:tc>
      </w:tr>
      <w:tr>
        <w:trPr/>
        <w:tc>
          <w:tcPr>
            <w:tcW w:w="7717" w:type="dxa"/>
            <w:tcBorders/>
            <w:shd w:fill="auto" w:val="clear"/>
            <w:vAlign w:val="bottom"/>
          </w:tcPr>
          <w:p>
            <w:pPr>
              <w:pStyle w:val="TableContents"/>
              <w:spacing w:before="0" w:after="283"/>
              <w:jc w:val="left"/>
              <w:rPr>
                <w:rFonts w:ascii="helvetica" w:hAnsi="helvetica"/>
                <w:sz w:val="20"/>
              </w:rPr>
            </w:pPr>
            <w:r>
              <w:rPr>
                <w:rFonts w:ascii="helvetica" w:hAnsi="helvetica"/>
                <w:sz w:val="20"/>
              </w:rPr>
              <w:t>Aegis Capital Corp.</w:t>
            </w:r>
          </w:p>
        </w:tc>
        <w:tc>
          <w:tcPr>
            <w:tcW w:w="123" w:type="dxa"/>
            <w:tcBorders/>
            <w:shd w:fill="auto" w:val="clear"/>
            <w:vAlign w:val="bottom"/>
          </w:tcPr>
          <w:p>
            <w:pPr>
              <w:pStyle w:val="TableContents"/>
              <w:spacing w:before="0" w:after="283"/>
              <w:rPr/>
            </w:pPr>
            <w:r>
              <w:rPr/>
              <w:t> </w:t>
            </w:r>
          </w:p>
        </w:tc>
        <w:tc>
          <w:tcPr>
            <w:tcW w:w="1558" w:type="dxa"/>
            <w:tcBorders>
              <w:bottom w:val="single" w:sz="12" w:space="0" w:color="000000"/>
            </w:tcBorders>
            <w:shd w:fill="auto" w:val="clear"/>
            <w:tcMar>
              <w:bottom w:w="28" w:type="dxa"/>
            </w:tcM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left"/>
              <w:rPr/>
            </w:pPr>
            <w:r>
              <w:rPr/>
              <w:t> </w:t>
            </w:r>
          </w:p>
        </w:tc>
      </w:tr>
      <w:tr>
        <w:trPr/>
        <w:tc>
          <w:tcPr>
            <w:tcW w:w="7717" w:type="dxa"/>
            <w:tcBorders/>
            <w:shd w:fill="auto" w:val="clear"/>
            <w:vAlign w:val="bottom"/>
          </w:tcPr>
          <w:p>
            <w:pPr>
              <w:pStyle w:val="TableContents"/>
              <w:spacing w:before="0" w:after="0"/>
              <w:ind w:left="0" w:right="0" w:firstLine="720"/>
              <w:jc w:val="left"/>
              <w:rPr/>
            </w:pPr>
            <w:r>
              <w:rPr/>
              <w:t>        </w:t>
            </w:r>
            <w:r>
              <w:rPr>
                <w:rFonts w:ascii="helvetica" w:hAnsi="helvetica"/>
                <w:sz w:val="20"/>
              </w:rPr>
              <w:t>Total</w:t>
            </w:r>
          </w:p>
        </w:tc>
        <w:tc>
          <w:tcPr>
            <w:tcW w:w="123" w:type="dxa"/>
            <w:tcBorders/>
            <w:shd w:fill="auto" w:val="clear"/>
            <w:vAlign w:val="bottom"/>
          </w:tcPr>
          <w:p>
            <w:pPr>
              <w:pStyle w:val="TableContents"/>
              <w:spacing w:before="0" w:after="283"/>
              <w:rPr/>
            </w:pPr>
            <w:r>
              <w:rPr/>
              <w:t> </w:t>
            </w:r>
          </w:p>
        </w:tc>
        <w:tc>
          <w:tcPr>
            <w:tcW w:w="1558" w:type="dxa"/>
            <w:tcBorders>
              <w:bottom w:val="single" w:sz="12" w:space="0" w:color="000000"/>
            </w:tcBorders>
            <w:shd w:fill="auto"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1,619,047</w:t>
            </w:r>
          </w:p>
        </w:tc>
        <w:tc>
          <w:tcPr>
            <w:tcW w:w="807" w:type="dxa"/>
            <w:tcBorders/>
            <w:shd w:fill="auto" w:val="clear"/>
            <w:vAlign w:val="bottom"/>
          </w:tcPr>
          <w:p>
            <w:pPr>
              <w:pStyle w:val="TableContents"/>
              <w:spacing w:before="0" w:after="283"/>
              <w:jc w:val="left"/>
              <w:rPr/>
            </w:pPr>
            <w:r>
              <w:rPr/>
              <w:t> </w:t>
            </w:r>
          </w:p>
        </w:tc>
      </w:tr>
      <w:tr>
        <w:trPr/>
        <w:tc>
          <w:tcPr>
            <w:tcW w:w="7717" w:type="dxa"/>
            <w:tcBorders/>
            <w:shd w:fill="auto" w:val="clear"/>
            <w:vAlign w:val="bottom"/>
          </w:tcPr>
          <w:p>
            <w:pPr>
              <w:pStyle w:val="TableContents"/>
              <w:spacing w:before="0" w:after="0"/>
              <w:ind w:left="0" w:right="0" w:firstLine="720"/>
              <w:jc w:val="left"/>
              <w:rPr/>
            </w:pPr>
            <w:r>
              <w:rPr/>
              <w:t> </w:t>
            </w:r>
          </w:p>
        </w:tc>
        <w:tc>
          <w:tcPr>
            <w:tcW w:w="123" w:type="dxa"/>
            <w:tcBorders/>
            <w:shd w:fill="auto" w:val="clear"/>
            <w:vAlign w:val="bottom"/>
          </w:tcPr>
          <w:p>
            <w:pPr>
              <w:pStyle w:val="TableContents"/>
              <w:spacing w:before="0" w:after="283"/>
              <w:jc w:val="left"/>
              <w:rPr/>
            </w:pPr>
            <w:r>
              <w:rPr/>
              <w:t> </w:t>
            </w:r>
          </w:p>
        </w:tc>
        <w:tc>
          <w:tcPr>
            <w:tcW w:w="1558"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left"/>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underwriters have advised us that they propose to offer the shares of our common stock directly to the public at the public offering price set forth on the cover page of this prospectus and to certain dealers that are members of the Financial Industry Regulatory Authority (FINRA). Any securities sold by the underwriter to such securities dealers will be sold at the public offering price less a selling concession not in excess of $0.26775 per share. After the public offering of the shares this figure may be changed by the underwriters.</w:t>
      </w:r>
    </w:p>
    <w:p>
      <w:pPr>
        <w:pStyle w:val="TextBody"/>
        <w:spacing w:before="0" w:after="0"/>
        <w:ind w:left="0" w:right="0" w:hanging="0"/>
        <w:jc w:val="center"/>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underwriting agreement provides that the underwriters’ obligation to purchase shares of our common stock is subject to conditions contained in the underwriting agreement.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underwriters have advised us that they do not intend to confirm sales to any accounts over which they exercise discretionary authority.</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Underwriting Discount and Expenses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summarizes the underwriting discount and commission to be paid to the underwriters by us.</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942"/>
        <w:gridCol w:w="110"/>
        <w:gridCol w:w="155"/>
        <w:gridCol w:w="1251"/>
        <w:gridCol w:w="110"/>
        <w:gridCol w:w="110"/>
        <w:gridCol w:w="155"/>
        <w:gridCol w:w="1251"/>
        <w:gridCol w:w="121"/>
      </w:tblGrid>
      <w:tr>
        <w:trPr/>
        <w:tc>
          <w:tcPr>
            <w:tcW w:w="6942"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Without</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10"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21" w:type="dxa"/>
            <w:tcBorders/>
            <w:shd w:fill="auto" w:val="clear"/>
            <w:vAlign w:val="bottom"/>
          </w:tcPr>
          <w:p>
            <w:pPr>
              <w:pStyle w:val="TableContents"/>
              <w:spacing w:before="0" w:after="283"/>
              <w:jc w:val="left"/>
              <w:rPr/>
            </w:pPr>
            <w:r>
              <w:rPr/>
              <w:t xml:space="preserve">  </w:t>
            </w:r>
          </w:p>
        </w:tc>
      </w:tr>
      <w:tr>
        <w:trPr/>
        <w:tc>
          <w:tcPr>
            <w:tcW w:w="6942"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6" w:type="dxa"/>
            <w:gridSpan w:val="2"/>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6" w:type="dxa"/>
            <w:gridSpan w:val="2"/>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jc w:val="left"/>
              <w:rPr/>
            </w:pPr>
            <w:r>
              <w:rPr/>
              <w:t xml:space="preserve">  </w:t>
            </w:r>
          </w:p>
        </w:tc>
      </w:tr>
      <w:tr>
        <w:trPr/>
        <w:tc>
          <w:tcPr>
            <w:tcW w:w="694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Public offering price per share</w:t>
            </w:r>
          </w:p>
        </w:tc>
        <w:tc>
          <w:tcPr>
            <w:tcW w:w="110"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5.25</w:t>
            </w:r>
          </w:p>
        </w:tc>
        <w:tc>
          <w:tcPr>
            <w:tcW w:w="110"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5.25</w:t>
            </w:r>
          </w:p>
        </w:tc>
        <w:tc>
          <w:tcPr>
            <w:tcW w:w="121" w:type="dxa"/>
            <w:tcBorders/>
            <w:shd w:fill="CCEEFF" w:val="clear"/>
            <w:vAlign w:val="bottom"/>
          </w:tcPr>
          <w:p>
            <w:pPr>
              <w:pStyle w:val="TableContents"/>
              <w:spacing w:before="0" w:after="283"/>
              <w:jc w:val="left"/>
              <w:rPr/>
            </w:pPr>
            <w:r>
              <w:rPr/>
              <w:t xml:space="preserve">  </w:t>
            </w:r>
          </w:p>
        </w:tc>
      </w:tr>
      <w:tr>
        <w:trPr/>
        <w:tc>
          <w:tcPr>
            <w:tcW w:w="6942"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Underwriting discount per share to be paid to the underwriter by us for the common stock</w:t>
            </w:r>
          </w:p>
        </w:tc>
        <w:tc>
          <w:tcPr>
            <w:tcW w:w="110"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FFFFFF" w:val="clear"/>
            <w:vAlign w:val="bottom"/>
          </w:tcPr>
          <w:p>
            <w:pPr>
              <w:pStyle w:val="TableContents"/>
              <w:spacing w:before="0" w:after="0"/>
              <w:ind w:left="0" w:right="0" w:hanging="0"/>
              <w:jc w:val="right"/>
              <w:rPr/>
            </w:pPr>
            <w:r>
              <w:rPr/>
              <w:t xml:space="preserve">  </w:t>
            </w:r>
            <w:r>
              <w:rPr>
                <w:rFonts w:ascii="helvetica" w:hAnsi="helvetica"/>
                <w:sz w:val="20"/>
              </w:rPr>
              <w:t>0.4463</w:t>
            </w:r>
          </w:p>
        </w:tc>
        <w:tc>
          <w:tcPr>
            <w:tcW w:w="110"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FFFFFF" w:val="clear"/>
            <w:vAlign w:val="bottom"/>
          </w:tcPr>
          <w:p>
            <w:pPr>
              <w:pStyle w:val="TableContents"/>
              <w:spacing w:before="0" w:after="0"/>
              <w:ind w:left="0" w:right="0" w:hanging="0"/>
              <w:jc w:val="right"/>
              <w:rPr/>
            </w:pPr>
            <w:r>
              <w:rPr/>
              <w:t> </w:t>
            </w:r>
            <w:r>
              <w:rPr>
                <w:rFonts w:ascii="helvetica" w:hAnsi="helvetica"/>
                <w:sz w:val="20"/>
              </w:rPr>
              <w:t>0.4463</w:t>
            </w:r>
          </w:p>
        </w:tc>
        <w:tc>
          <w:tcPr>
            <w:tcW w:w="121" w:type="dxa"/>
            <w:tcBorders/>
            <w:shd w:fill="FFFFFF" w:val="clear"/>
            <w:vAlign w:val="bottom"/>
          </w:tcPr>
          <w:p>
            <w:pPr>
              <w:pStyle w:val="TableContents"/>
              <w:spacing w:before="0" w:after="283"/>
              <w:jc w:val="left"/>
              <w:rPr/>
            </w:pPr>
            <w:r>
              <w:rPr/>
              <w:t xml:space="preserve">  </w:t>
            </w:r>
          </w:p>
        </w:tc>
      </w:tr>
      <w:tr>
        <w:trPr/>
        <w:tc>
          <w:tcPr>
            <w:tcW w:w="694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Non-accountable expense allowance</w:t>
            </w:r>
          </w:p>
        </w:tc>
        <w:tc>
          <w:tcPr>
            <w:tcW w:w="110"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150,000</w:t>
            </w:r>
          </w:p>
        </w:tc>
        <w:tc>
          <w:tcPr>
            <w:tcW w:w="110"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150,000</w:t>
            </w:r>
          </w:p>
        </w:tc>
        <w:tc>
          <w:tcPr>
            <w:tcW w:w="121" w:type="dxa"/>
            <w:tcBorders/>
            <w:shd w:fill="CCEEFF" w:val="clear"/>
            <w:vAlign w:val="bottom"/>
          </w:tcPr>
          <w:p>
            <w:pPr>
              <w:pStyle w:val="TableContents"/>
              <w:spacing w:before="0" w:after="283"/>
              <w:jc w:val="left"/>
              <w:rPr/>
            </w:pPr>
            <w:r>
              <w:rPr/>
              <w:t xml:space="preserve">  </w:t>
            </w:r>
          </w:p>
        </w:tc>
      </w:tr>
      <w:tr>
        <w:trPr/>
        <w:tc>
          <w:tcPr>
            <w:tcW w:w="6942"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us</w:t>
            </w:r>
          </w:p>
        </w:tc>
        <w:tc>
          <w:tcPr>
            <w:tcW w:w="110"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7,777,497</w:t>
            </w:r>
          </w:p>
        </w:tc>
        <w:tc>
          <w:tcPr>
            <w:tcW w:w="110"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8,944,121</w:t>
            </w:r>
          </w:p>
        </w:tc>
        <w:tc>
          <w:tcPr>
            <w:tcW w:w="121"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estimate the expenses payable by us for this offering to be $1.4 million, including the underwriting discount, or $1.5 million if the over-allotment option is exercised in full, and reimbursement of up to $160,000 in expenses of the underwriters as follows:  (i) non-accountable expense amount of $150,000, of which $30,000 we advanced prior to the commencement of this offering, and (ii) up to $10,000 of accountable expenses, which we advanced prior to the commencement of this offering.  We will not reimburse the underwriters more than a total of $160,000 in expenses, including all of the underwriters' legal, road show and out of pocket expenses in connection with this offering.</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3" w:name="PGBRK31"/>
      <w:bookmarkStart w:id="454" w:name="PGBRK31"/>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5" w:name="FTR31"/>
      <w:bookmarkStart w:id="456" w:name="FTR31"/>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7" w:name="GLFTR30"/>
      <w:bookmarkEnd w:id="4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58" w:name="PN30"/>
      <w:bookmarkEnd w:id="458"/>
      <w:r>
        <w:rPr>
          <w:rFonts w:ascii="helvetica" w:hAnsi="helvetica"/>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9" w:name="HDR30"/>
      <w:bookmarkStart w:id="460" w:name="HDR30"/>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1" w:name="GLHDR30"/>
      <w:bookmarkEnd w:id="4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Over-allotment Option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We have granted to the underwriters an option, exercisable not later than 45 days after the date of this prospectus, to purchase up to an additional 242,857 shares of our common stock (up to 15% of the shares firmly committed in this offering) at the public offering price, less the underwriting discount, set forth on the cover page of this prospectus.  The underwriters may exercise the option solely to cover over-allotments, if any, made in connection with this offering.  If any additional shares of our common stock are purchased pursuant to the over-allotment option, the underwriters will offer these additional shares of our common stock on the same terms as those on which the other shares of common stock are being offered hereby.</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Determination of Offering Price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public offering price of the common stock was negotiated between us and the underwriters, based on the trading price of the common stock prior to the offering, among other things.  Other factors considered in determining the price of the common stock include the history and prospects of our company, the stage of development of our business, our business plans for the future and the extent to which they have been implemented, an assessment of our management, general conditions of the financial markets at the time of the offering and such other factors as were deemed relevant.</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Underwriter Warrants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We have agreed to issue to the underwriters warrants to purchase up to 8.5% of the shares of common stock sold in this offering.  These warrants are exercisable at $5.25 per share (100% of the price of the common stock sold in this offering), commencing on the effective date of this offering and expiring five years from the effective date of this offering.  The warrants and the shares of common stock underlying the warrants have been deemed compensation by FINRA and are therefore subject to a 180-day lock-up pursuant to Rule 5110(g)(1) of the FINRA.  The underwriters (or permitted assignees under the Rule) will not sell, transfer, assign, pledge or hypothecate the warrants or the securities underlying the warrants, nor will they engage in any hedging, short sale, derivative, put or call transaction that would result in the effective economic disposition of the warrants or the underlying securities for a period of 180 days from the effective date of the registration statement of which this prospectus is a part.</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All of our officers and directors and stockholders beneficially owning 5% or more of our common stock have agreed that, for a period of 180 days from the date of this prospectus, they will not sell, contract to sell, grant any option for the sale or otherwise dispose of any of our equity securities, or any securities convertible into or exercisable or exchangeable for our equity securities, without the consent of MDB Capital Group, LLC, except for exercise or conversion of currently outstanding warrants and options, as applicable, and exercise of options under an acceptable stock incentive plan.  MDB Capital Group, LLC may consent to an early release from the lock-up period if, in its opinion, the market for the common stock would not be adversely impacted by sales and in cases of a financial emergency of an officer, director or other stockholder.  We are unaware of any officer, director or stockholder who intends to ask for consent to dispose of any of our equity securities during the relevant lock-up period.</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Indemnification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We will agree to indemnify the underwriters against certain liabilities, including certain liabilities arising under the Securities Act, and to contribute to payments that the underwriters may be required to make for these liabilities.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2" w:name="PGBRK32"/>
      <w:bookmarkStart w:id="463" w:name="PGBRK32"/>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FTR32"/>
      <w:bookmarkStart w:id="465" w:name="FTR32"/>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6" w:name="GLFTR31"/>
      <w:bookmarkEnd w:id="4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67" w:name="PN31"/>
      <w:bookmarkEnd w:id="467"/>
      <w:r>
        <w:rPr>
          <w:rFonts w:ascii="helvetica" w:hAnsi="helvetica"/>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8" w:name="HDR31"/>
      <w:bookmarkStart w:id="469" w:name="HDR31"/>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0" w:name="GLHDR31"/>
      <w:bookmarkEnd w:id="4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Stabilization, Short Positions and Penalty Bids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underwriters may engage in over-allotment, stabilizing transactions, syndicate covering transactions, and penalty bids or purchases for the purpose of pegging, fixing or maintaining the price of the common stock, in accordance with Regulation M under the Exchange Act.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 over-allotment option and/or purchasing shares in the open market.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Stabilizing transactions permit bids to purchase the underlying security so long as the stabilizing bids do not exceed a specified maximum.</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Penalty bids permit the underwriters to reclaim a selling concession from a syndicate member when the shares originally sold by the syndicate member are purchased in a stabilizing or syndicate covering transaction to cover syndicate short positions.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if commenced, may be discontinued at any time.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Neither we nor the underwriters make any representation or prediction as to the direction or magnitude of any effect that the transactions described above may have on the price of the common stock.  In addition, neither we nor the underwriters make any representation that the underwriters will engage in these stabilizing transactions or that any transaction, once commenced, will not be discontinued without notice.</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Passive Market Making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In connection with the offering, the underwriters may engage in passive market making transactions in the common stock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Electronic Distribution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A prospectus in electronic format may be made available on the Internet sites or through other online services maintained by the underwriters, or by their affiliates.  In those cases, prospective investors may view offering terms online and, depending upon the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1" w:name="PGBRK33"/>
      <w:bookmarkStart w:id="472" w:name="PGBRK33"/>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 w:name="FTR33"/>
      <w:bookmarkStart w:id="474" w:name="FTR33"/>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5" w:name="GLFTR32"/>
      <w:bookmarkEnd w:id="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76" w:name="PN32"/>
      <w:bookmarkEnd w:id="476"/>
      <w:r>
        <w:rPr>
          <w:rFonts w:ascii="helvetica" w:hAnsi="helvetica"/>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7" w:name="HDR32"/>
      <w:bookmarkStart w:id="478" w:name="HDR32"/>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9" w:name="GLHDR32"/>
      <w:bookmarkEnd w:id="4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Other than the prospectus in electronic format, the information on the underwriters' websites and any information contained in any other websites maintained by the underwriters is not part of the prospectus or the registration statement of which this prospectus forms a part, has not been approved and/or endorsed by us or the underwriters in their capacity as underwriters and should not be relied upon by investors.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compensation in connection with this offering is limited to the fees and expenses described in this section under “Underwriting Discount and Expenses.”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United Kingdom</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have represented and agreed that: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(a) they have only communicated or caused to be communicated and will only communicate or cause to be communicated an invitation or inducement to engage in investment activity (within the meaning of Section 21 of the Financial Services and Markets Act 2000 or FSMA) received by them in connection with the issue or sale of the shares in circumstances in which Section 21(1) of the FSMA does not apply to us, and</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(b) they have complied with, and will comply with all applicable provisions of FSMA with respect to anything done by them in relation to the shares in, from or otherwise involving the United Kingdom.</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European Economic Area</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relation to each Member State of the European Economic Area which has implemented the Prospectus Directive (each, a “Relevant Member State”), the underwriters have represented and agreed that with effect from and including the date on which the Prospectus Directive is implemented in that Relevant Member State (the “Relevant Implementation Date”) they have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0" w:name="PGBRK34"/>
      <w:bookmarkStart w:id="481" w:name="PGBRK34"/>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2" w:name="FTR34"/>
      <w:bookmarkStart w:id="483" w:name="FTR34"/>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4" w:name="GLFTR33"/>
      <w:bookmarkEnd w:id="4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85" w:name="PN33"/>
      <w:bookmarkEnd w:id="485"/>
      <w:r>
        <w:rPr>
          <w:rFonts w:ascii="helvetica" w:hAnsi="helvetica"/>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 w:name="HDR33"/>
      <w:bookmarkStart w:id="487" w:name="HDR33"/>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8" w:name="GLHDR33"/>
      <w:bookmarkEnd w:id="4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to legal entities which are authorized or regulated to operate in the financial markets or, if not so authorized or regulated, whose corporate purpose is solely to invest in securities,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(b) to any legal entity which has two or more of (1) an average of at least 250 employees during the last financial year; (2) a total balance sheet of more than €43,000,000, and (3) an annual net turnover of more than €50,000,000, as shown in its last annual or consolidated accounts, or in any other circumstances which do not require the publication by us of a prospectus pursuant to Article 3 of the Prospectus Directive.  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EEA selling restriction is in addition to any other selling restrictions set out below.  In relation to each Relevant Member State, each purchaser of shares of common stock (other than the underwriters) will be deemed to have represented, acknowledged and agreed that it will not make an offer of shares of common stock to the public in any Relevant Member State, except that it may, with effect from and including the date on which the Prospectus Directive is implemented in the Relevant Member State, make an offer of shares of common stock to the public in that Relevant Member State at any time in any circumstances which do not require the publication by us of a prospectus pursuant to Article 3 of the Prospectus Directive, provided that such purchaser agrees that it has not and will not make an offer of any shares of common stock in reliance or purported reliance on Article 3(2)(b) of the Prospectus Directive.  For the purposes of this provision, the expression an “offer of shares to the public” in relation to any shares of common stock in any Relevant Member State has the same meaning as in the preceding paragraph.</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489" w:name="TAB12"/>
      <w:bookmarkEnd w:id="489"/>
      <w:r>
        <w:rPr>
          <w:rFonts w:ascii="helvetica" w:hAnsi="helvetica"/>
          <w:b/>
          <w:sz w:val="20"/>
        </w:rPr>
        <w:t>MARKET PRICE OF AND DIVIDENDS ON COMMON STOCK AND RELATED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has been quoted on the over-the-counter market beginning on March 14, 2007 and is currently quoted on the OTC Markets Group QB tier, or OTCQB, under the symbol IMMY. Effective September 21, 2007, our common shares began quotation on the Over-the-Counter Bulletin Board, or OTCBB, under the symbol TDLP.  Due to our failure to comply with SEC filing requirements and following our entry into bankruptcy proceedings (as described in more detail elsewhere in this prospectus), effective May 20, 2011, our common stock ceased being quoted on the OTCBB and, effective on June 28, 2011, began quotation under the symbol TDLPQ.PK on the OTC Markets Group Pink tier, or OTC Pink. On February 24, 2012, our common stock began quotation on the OTCQB under the symbol TDLPD, in connection with the one-for-eight reverse split of our authorized, issued and outstanding common stock effected on February 28, 2012. On March 23, 2012, our common stock began trading under the symbol IMMY in connection with our name change to Imprimis Pharmaceuticals, Inc. The liquidity of our shares on the OTCBB, OTC Pink and OTCQB markets has been extremely limited and any prices quoted may not be a reliable indication of the value of our common stock.  There is no established trading market for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high and low last-bid prices for our common stock for the periods indicated, as reported by the OTCBB, OTC Pink or the OTCQB, as applicable, after giving effect to the expected one-for-five reverse stock split. The quotations reflect inter-dealer prices, without retail mark-up, mark-down or commission, and may not represent actual transactions.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519"/>
        <w:gridCol w:w="111"/>
        <w:gridCol w:w="127"/>
        <w:gridCol w:w="990"/>
        <w:gridCol w:w="111"/>
        <w:gridCol w:w="111"/>
        <w:gridCol w:w="127"/>
        <w:gridCol w:w="990"/>
        <w:gridCol w:w="119"/>
      </w:tblGrid>
      <w:tr>
        <w:trPr/>
        <w:tc>
          <w:tcPr>
            <w:tcW w:w="7519" w:type="dxa"/>
            <w:tcBorders/>
            <w:shd w:fill="auto"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2013</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auto" w:val="clear"/>
            <w:vAlign w:val="bottom"/>
          </w:tcPr>
          <w:p>
            <w:pPr>
              <w:pStyle w:val="TableContents"/>
              <w:spacing w:before="0" w:after="283"/>
              <w:jc w:val="left"/>
              <w:rPr/>
            </w:pPr>
            <w:r>
              <w:rPr/>
              <w:t> </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auto"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First Quarter (through February 1, 2013)</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helvetica" w:hAnsi="helvetica"/>
                <w:b w:val="false"/>
                <w:sz w:val="20"/>
              </w:rPr>
            </w:pPr>
            <w:r>
              <w:rPr>
                <w:rFonts w:ascii="helvetica" w:hAnsi="helvetica"/>
                <w:b w:val="false"/>
                <w:sz w:val="20"/>
              </w:rPr>
              <w:t>$</w:t>
            </w:r>
          </w:p>
        </w:tc>
        <w:tc>
          <w:tcPr>
            <w:tcW w:w="9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8.75</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helvetica" w:hAnsi="helvetica"/>
                <w:b w:val="false"/>
                <w:sz w:val="20"/>
              </w:rPr>
            </w:pPr>
            <w:r>
              <w:rPr>
                <w:rFonts w:ascii="helvetica" w:hAnsi="helvetica"/>
                <w:b w:val="false"/>
                <w:sz w:val="20"/>
              </w:rPr>
              <w:t>$</w:t>
            </w:r>
          </w:p>
        </w:tc>
        <w:tc>
          <w:tcPr>
            <w:tcW w:w="9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7.20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auto" w:val="clear"/>
            <w:vAlign w:val="bottom"/>
          </w:tcPr>
          <w:p>
            <w:pPr>
              <w:pStyle w:val="TableContents"/>
              <w:spacing w:before="0" w:after="283"/>
              <w:jc w:val="left"/>
              <w:rPr/>
            </w:pPr>
            <w:r>
              <w:rPr/>
              <w:t> </w:t>
            </w:r>
          </w:p>
        </w:tc>
        <w:tc>
          <w:tcPr>
            <w:tcW w:w="1228" w:type="dxa"/>
            <w:gridSpan w:val="3"/>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228" w:type="dxa"/>
            <w:gridSpan w:val="3"/>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519" w:type="dxa"/>
            <w:tcBorders/>
            <w:shd w:fill="auto"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2012</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auto" w:val="clear"/>
            <w:vAlign w:val="bottom"/>
          </w:tcPr>
          <w:p>
            <w:pPr>
              <w:pStyle w:val="TableContents"/>
              <w:spacing w:before="0" w:after="283"/>
              <w:jc w:val="left"/>
              <w:rPr/>
            </w:pPr>
            <w:r>
              <w:rPr/>
              <w:t> </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auto"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3.75</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0.50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 xml:space="preserve">Third Quarter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 xml:space="preserve">Fourth Quarter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15.25</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4.75</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2011</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FFFFFF" w:val="clear"/>
            <w:vAlign w:val="bottom"/>
          </w:tcPr>
          <w:p>
            <w:pPr>
              <w:pStyle w:val="TableContents"/>
              <w:spacing w:before="0" w:after="283"/>
              <w:jc w:val="left"/>
              <w:rPr/>
            </w:pPr>
            <w:r>
              <w:rPr/>
              <w:t> </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26.00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10.40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1.08</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5.64</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9.64</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2010</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FFFFFF" w:val="clear"/>
            <w:vAlign w:val="bottom"/>
          </w:tcPr>
          <w:p>
            <w:pPr>
              <w:pStyle w:val="TableContents"/>
              <w:spacing w:before="0" w:after="283"/>
              <w:jc w:val="left"/>
              <w:rPr/>
            </w:pPr>
            <w:r>
              <w:rPr/>
              <w:t> </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22.40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44.00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22.40</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48.40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21.20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0" w:name="PGBRK35"/>
      <w:bookmarkStart w:id="491" w:name="PGBRK35"/>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FTR35"/>
      <w:bookmarkStart w:id="493" w:name="FTR35"/>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4" w:name="GLFTR34"/>
      <w:bookmarkEnd w:id="4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95" w:name="PN34"/>
      <w:bookmarkEnd w:id="495"/>
      <w:r>
        <w:rPr>
          <w:rFonts w:ascii="helvetica" w:hAnsi="helvetica"/>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 w:name="HDR34"/>
      <w:bookmarkStart w:id="497" w:name="HDR34"/>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8" w:name="GLHDR34"/>
      <w:bookmarkEnd w:id="4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Holders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As of  February 1, 2013  we had approximately  6,772,125 shares of common stock issued and outstanding (after giving effect to the one-for-five reverse stock split) held by 175 holders of record (excluding an indeterminable number of stockholders whose shares are held in street or “nominee” name). </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Dividends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We have never paid any dividends on our common stock and do not expect to pay dividends on our common stock in the foreseeable future. </w:t>
      </w:r>
    </w:p>
    <w:p>
      <w:pPr>
        <w:pStyle w:val="TextBody"/>
        <w:spacing w:before="0" w:after="0"/>
        <w:ind w:left="0" w:right="0" w:hanging="0"/>
        <w:rPr/>
      </w:pPr>
      <w:r>
        <w:rPr/>
        <w:t> </w:t>
      </w:r>
    </w:p>
    <w:p>
      <w:pPr>
        <w:pStyle w:val="TextBody"/>
        <w:spacing w:before="0" w:after="0"/>
        <w:ind w:left="0" w:right="0" w:firstLine="720"/>
        <w:jc w:val="center"/>
        <w:rPr>
          <w:rFonts w:ascii="helvetica" w:hAnsi="helvetica"/>
          <w:b/>
          <w:sz w:val="20"/>
        </w:rPr>
      </w:pPr>
      <w:r>
        <w:rPr>
          <w:rFonts w:ascii="helvetica" w:hAnsi="helvetica"/>
          <w:b/>
          <w:sz w:val="20"/>
        </w:rPr>
        <w:t>SHARES ELIGIBLE FOR FUTURE SALE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filing of our Chapter 11 Case with the Bankruptcy Court in June 2011, there has been a limited public market for our common stock. Future sales of substantial amounts of our common stock in the public market, or the perception that such sales may occur, could adversely affect the prevailing market price of our common stock. No prediction can be made as to the effect, if any, future sales of shares, or the availability of shares for future sales, will have on the market price of our common stock prevailing from time to time.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Sale of Restricted Shares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Upon completion of this offering, we will have 8,391,172 shares of common stock and no shares of preferred stock outstanding, assuming the underwriters do not exercise their over-allotment option. Of these shares of common stock, the shares being sold in this offering will be freely tradable without restriction under the Securities Act, except for any such shares which may be held or acquired by an “affiliate” of ours, as that term is defined in Rule 144 promulgated under the Securities Act, which shares will be subject to the volume limitations and other restrictions of Rule 144 as described below. Of the remaining shares of common stock held by our existing stockholders upon completion of this offering, approximately 6,480,484 shares will be “restricted securities,” as that phrase is defined in Rule 144, and may be resold only after registration under the Securities Act or pursuant to an exemption from such registration, including, among others, the exemptions provided by Rule 144 and 701 under the Securities Act, which rules are summarized below.  Included in these restricted shares are approximately 4,752,499 shares of common stock held by our existing stockholders, which upon completion of this offering will be available for sale in the public market after the expiration of the lock-up agreements described in “Underwriting” and under the heading “Lock Up Agreements” below, taking into account the provisions of Rules 144 and 701 under the Securities Act.  We do not have any outstanding obligations to register any shares of capital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9" w:name="PGBRK36"/>
      <w:bookmarkStart w:id="500" w:name="PGBRK36"/>
      <w:bookmarkEnd w:id="5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 w:name="FTR36"/>
      <w:bookmarkStart w:id="502" w:name="FTR36"/>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3" w:name="GLFTR35"/>
      <w:bookmarkEnd w:id="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04" w:name="PN35"/>
      <w:bookmarkEnd w:id="504"/>
      <w:r>
        <w:rPr>
          <w:rFonts w:ascii="helvetica" w:hAnsi="helvetica"/>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 w:name="HDR35"/>
      <w:bookmarkStart w:id="506" w:name="HDR35"/>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7" w:name="GLHDR35"/>
      <w:bookmarkEnd w:id="5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Rule 144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Under Rule 144, persons who became the beneficial owner of shares of our common stock prior to the completion of this offering may not sell their shares until the earlier of (1) the expiration of a six-month holding period, if we have been subject to the reporting requirements of the Exchange Act and have filed all required reports for at least 90 days prior to the date of the sale, or (2) a one-year holding period.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only a number of shares of common stock that does not exceed the greater of either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8" w:name="list81"/>
      <w:bookmarkStart w:id="509" w:name="list81"/>
      <w:bookmarkEnd w:id="50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 of the number of shares of our common stock then outstanding, which will equal approximately shares immediately after this offering, based on the number of shares of our common stock outstanding after completion of this offering;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10" w:name="list82"/>
      <w:bookmarkStart w:id="511" w:name="list82"/>
      <w:bookmarkEnd w:id="51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average weekly trading volume of our common stock during the four calendar weeks preceding the filing of a notice on Form 144 with respect to the sale.</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one-year holding period, a person who was not one of our affiliates at any time during the three months preceding a sale would be entitled to sell an unlimited number of shares of our common stock without restriction as long as we maintain current public information. A person who was one of our affiliates at any time during the three months preceding a sale would remain subject to the volume restrictions described above.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under Rule 144 by our affiliates are also subject to manner of sale provisions and notice requirements and to the availability of current public information about us.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Stock Incentive Plans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registration statements on Form S-8 under the Securities Act to register all of the shares of our common stock issued or reserved for issuance under the 2007 Plan, as well as the shares underlying the restricted stock units granted outside of the 2007 Plan as described below.  Accordingly, shares registered under such registration statement are available for sale in the open market, unless such shares are subject to vesting restrictions with us, Rule 144 restrictions applicable to our affiliates or the lock-up restrictions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Mr. Baum, in connection with his services as Chief Executive Officer, 160,000 restricted stock units (RSUs) outside of the 2007 Plan.  The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Dr. Kammer 40,000 RSUs outside of the 2007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hanging="0"/>
        <w:jc w:val="both"/>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2" w:name="PGBRK37"/>
      <w:bookmarkStart w:id="513" w:name="PGBRK37"/>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 w:name="FTR37"/>
      <w:bookmarkStart w:id="515" w:name="FTR37"/>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6" w:name="GLFTR36"/>
      <w:bookmarkEnd w:id="5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17" w:name="PN36"/>
      <w:bookmarkEnd w:id="517"/>
      <w:r>
        <w:rPr>
          <w:rFonts w:ascii="helvetica" w:hAnsi="helvetica"/>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 w:name="HDR36"/>
      <w:bookmarkStart w:id="519" w:name="HDR36"/>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0" w:name="GLHDR36"/>
      <w:bookmarkEnd w:id="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our executive officers and directors, and other existing security holders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MDB Capital Group LLC. See “Underwriting.”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27, 2012, DermaStar and certain other individuals entered into an agreement whereby all of the equity securities held by such parties (including the 1,499,700 shares of common stock underlying the then-outstanding 10 shares of Series A Preferred Stock) would be restricted from resale until the earlier of (i) 15 months from June 27, 2012 or (ii) the date we publicly announce we have filed a new drug application with the FDA for Impracor.  The restrictions continue to apply to all members of DermaStar following DermaStar’s dissolution in July 2012 and the related distribution in kind of the shares of our common stock and warrants held by it.  Holders of approximately 51% of our outstanding stock as of  February 1, 2013  are bound by these lock-up restrictions, including Mr. Baum and Dr. Kammer.  The restrictions terminate upon our entry into a definitive agreement for certain change in control transactions.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1" w:name="PGBRK38"/>
      <w:bookmarkStart w:id="522" w:name="PGBRK38"/>
      <w:bookmarkEnd w:id="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 w:name="FTR38"/>
      <w:bookmarkStart w:id="524" w:name="FTR38"/>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5" w:name="GLFTR37"/>
      <w:bookmarkEnd w:id="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26" w:name="PN37"/>
      <w:bookmarkEnd w:id="526"/>
      <w:r>
        <w:rPr>
          <w:rFonts w:ascii="helvetica" w:hAnsi="helvetica"/>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7" w:name="HDR37"/>
      <w:bookmarkStart w:id="528" w:name="HDR37"/>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9" w:name="GLHDR37"/>
      <w:bookmarkEnd w:id="5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MANAGEMENT’S DISCUSSION AND ANALYSIS OF FINANCIAL CONDITION AND RESULTS OF OPERATIONS</w:t>
      </w:r>
    </w:p>
    <w:p>
      <w:pPr>
        <w:pStyle w:val="TextBody"/>
        <w:spacing w:before="0" w:after="0"/>
        <w:ind w:left="0" w:right="0" w:hanging="0"/>
        <w:rPr/>
      </w:pPr>
      <w:r>
        <w:rPr/>
        <w:t> </w:t>
      </w:r>
    </w:p>
    <w:p>
      <w:pPr>
        <w:pStyle w:val="TextBody"/>
        <w:spacing w:before="0" w:after="0"/>
        <w:ind w:left="0" w:right="0" w:firstLine="720"/>
        <w:jc w:val="left"/>
        <w:rPr>
          <w:rFonts w:ascii="helvetica" w:hAnsi="helvetica"/>
          <w:i/>
          <w:sz w:val="20"/>
        </w:rPr>
      </w:pPr>
      <w:r>
        <w:rPr>
          <w:rFonts w:ascii="helvetica" w:hAnsi="helvetica"/>
          <w:i/>
          <w:sz w:val="20"/>
        </w:rPr>
        <w:t>The following discussion should be read in conjunction with the consolidated financial statements and the related notes contained elsewhere in this prospectus.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sz w:val="20"/>
        </w:rPr>
      </w:pPr>
      <w:r>
        <w:rPr>
          <w:rFonts w:ascii="helvetica" w:hAnsi="helvetica"/>
          <w:i/>
          <w:sz w:val="20"/>
        </w:rPr>
        <w:t>Unless otherwise stated below, all information regarding share amounts of common stock and prices per share of common stock described under the heading “Management’s Discussion and Analysis of Financial Condition and Results of Operations” assume the consummation of the one-for-five reverse stock split to be effected following the effectiveness of the registration statement of which this prospectus forms a part and prior to the closing of the offering.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Overview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 candidates. Our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drug development opportunities. We plan to use our proprietary Accudel drug delivery technology, coupled with these licensed technologies, formulations and market data, to identify pharmaceutical development opportunities where we perceive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the one-for-eight reverse stock split</w:t>
      </w:r>
      <w:r>
        <w:rPr>
          <w:rFonts w:ascii="helvetica" w:hAnsi="helvetica"/>
          <w:b/>
          <w:sz w:val="20"/>
        </w:rPr>
        <w: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incurred recurring operating losses, have had negative operating cash flows and have not recognized any significant revenues since July 24, 1998 (inception).  In addition, we have a deficit accumulated during the development stage of approximately $22.7 million at September 30, 2012.  We have not yet generated commercial sales revenue from any of our product candidates and we will incur further losses through the 2012 fiscal year and beyond as we continue the clinical development of our drug candidates, including Impracor, and conduct preclinical studies on other programs.  Our research and development activities are budgeted to expand over time, and we will require further capital resources to fund the continued operation of our business model for a long enough period to achieve profitable operations.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Plan of Operations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For the next twelve months, our current operating plan is focused on the development of our lead product candidate, Impracor, for the indication of acute musculoskeletal pain, inflammation and swelling associated with soft tissue injuries, and limited development of other potential product candidates and pursuit of co-development opportunities in other therapeutic areas, in each case utilizing our Accudel platform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maintain an effective management team, or hire and retain further qualified individuals.  As a result, we may be unable to successfully pursue our business plan.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0" w:name="PGBRK39"/>
      <w:bookmarkStart w:id="531" w:name="PGBRK39"/>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2" w:name="FTR39"/>
      <w:bookmarkStart w:id="533" w:name="FTR39"/>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4" w:name="GLFTR38"/>
      <w:bookmarkEnd w:id="5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35" w:name="PN38"/>
      <w:bookmarkEnd w:id="535"/>
      <w:r>
        <w:rPr>
          <w:rFonts w:ascii="helvetica" w:hAnsi="helvetica"/>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6" w:name="HDR38"/>
      <w:bookmarkStart w:id="537" w:name="HDR38"/>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8" w:name="GLHDR38"/>
      <w:bookmarkEnd w:id="5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Bankruptcy Petition and Dismissal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 in Control – Issuance of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9" w:name="PGBRK40"/>
      <w:bookmarkStart w:id="540" w:name="PGBRK40"/>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FTR40"/>
      <w:bookmarkStart w:id="542" w:name="FTR40"/>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3" w:name="GLFTR39"/>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44" w:name="PN39"/>
      <w:bookmarkEnd w:id="544"/>
      <w:r>
        <w:rPr>
          <w:rFonts w:ascii="helvetica" w:hAnsi="helvetica"/>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HDR39"/>
      <w:bookmarkStart w:id="546" w:name="HDR39"/>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7" w:name="GLHDR39"/>
      <w:bookmarkEnd w:id="5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Settlement with the Holders of the Company’s 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Changes in Management and Board of Directors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and Dr. Brar, our President, were appointed as directors of the Company. On April 1, 2012, Dr. Kammer began serving as the Chairman of the Board of Directors. On July 26, 2012, Stephen G. Austin, CPA, was appointed as a director on our Board of Directors and Dr. Brar resigned as a director (Dr. Brar continues to serve as our President).   Additionally, on December 14, 2012, Mr. August S. Bassani, Pharm.D., was appointed as a director on our Board of Directors. We currently have the following  six directors:  Jeffrey Abrams, M.D., Mr. Bassani, Mr. Baum, Dr. Kammer, Dr. Finnegan and Mr. Austin.</w:t>
      </w:r>
    </w:p>
    <w:p>
      <w:pPr>
        <w:pStyle w:val="TextBody"/>
        <w:spacing w:before="0" w:after="0"/>
        <w:ind w:left="0" w:right="0" w:firstLine="5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8" w:name="PGBRK41"/>
      <w:bookmarkStart w:id="549" w:name="PGBRK41"/>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0" w:name="FTR41"/>
      <w:bookmarkStart w:id="551" w:name="FTR41"/>
      <w:bookmarkEnd w:id="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2" w:name="GLFTR40"/>
      <w:bookmarkEnd w:id="5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53" w:name="PN40"/>
      <w:bookmarkEnd w:id="553"/>
      <w:r>
        <w:rPr>
          <w:rFonts w:ascii="helvetica" w:hAnsi="helvetica"/>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4" w:name="HDR40"/>
      <w:bookmarkStart w:id="555" w:name="HDR40"/>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6" w:name="GLHDR40"/>
      <w:bookmarkEnd w:id="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U.S. Food and Drug Administration ("FDA") regarding the status of Impracor; and (iii) sufficient shares of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i/>
          <w:sz w:val="20"/>
        </w:rPr>
      </w:pPr>
      <w:r>
        <w:rPr>
          <w:rFonts w:ascii="helvetica" w:hAnsi="helvetica"/>
          <w:b w:val="false"/>
          <w:i/>
          <w:sz w:val="20"/>
        </w:rPr>
        <w:t>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On August 30, 2012, we entered into a License Agreement (the “PCCA License Agreement") and a Stock Purchase Agreement (the “PCCA Purchase Agreement”) in a strategic transaction with PCCA (the “PCCA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 xml:space="preserve">Our </w:t>
      </w:r>
      <w:bookmarkStart w:id="557" w:name="V122485_10Q_HTM_V113417_10Q_HTM_EOLPAGE2"/>
      <w:bookmarkEnd w:id="557"/>
      <w:r>
        <w:rPr>
          <w:rFonts w:ascii="Helvetica" w:hAnsi="Helvetica"/>
          <w:sz w:val="20"/>
        </w:rPr>
        <w:t>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i/>
          <w:sz w:val="20"/>
        </w:rPr>
        <w:t>Stock-Based Compensation.</w:t>
      </w:r>
      <w:r>
        <w:rPr>
          <w:rFonts w:ascii="helvetica" w:hAnsi="helvetica"/>
          <w:sz w:val="20"/>
        </w:rPr>
        <w:t>  All share-based payments to employees, including grants of employee stock options and restricted stock grants, 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8" w:name="PGBRK42"/>
      <w:bookmarkStart w:id="559" w:name="PGBRK42"/>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0" w:name="FTR42"/>
      <w:bookmarkStart w:id="561" w:name="FTR42"/>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2" w:name="GLFTR41"/>
      <w:bookmarkEnd w:id="5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63" w:name="PN41"/>
      <w:bookmarkEnd w:id="563"/>
      <w:r>
        <w:rPr>
          <w:rFonts w:ascii="helvetica" w:hAnsi="helvetica"/>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4" w:name="HDR41"/>
      <w:bookmarkStart w:id="565" w:name="HDR41"/>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6" w:name="GLHDR41"/>
      <w:bookmarkEnd w:id="5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i/>
          <w:sz w:val="20"/>
        </w:rPr>
        <w:t>Income Taxes.</w:t>
      </w:r>
      <w:r>
        <w:rPr>
          <w:rFonts w:ascii="helvetica" w:hAnsi="helvetica"/>
          <w:sz w:val="20"/>
        </w:rPr>
        <w:t>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left"/>
        <w:rPr/>
      </w:pPr>
      <w:r>
        <w:rPr/>
        <w:t> </w:t>
      </w:r>
    </w:p>
    <w:p>
      <w:pPr>
        <w:pStyle w:val="TextBody"/>
        <w:spacing w:before="0" w:after="0"/>
        <w:ind w:left="0" w:right="0" w:firstLine="720"/>
        <w:jc w:val="left"/>
        <w:rPr/>
      </w:pPr>
      <w:r>
        <w:rPr>
          <w:i/>
        </w:rPr>
        <w:t>Research and Development.</w:t>
      </w:r>
      <w:r>
        <w:rPr/>
        <w:t xml:space="preserve"> We expense all costs related to research and development as they are incurred.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Results of Operations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The following period to period comparisons of our financial results and our interim results are not necessarily indicative of future results.</w:t>
      </w:r>
    </w:p>
    <w:p>
      <w:pPr>
        <w:pStyle w:val="TextBody"/>
        <w:spacing w:before="0" w:after="0"/>
        <w:ind w:left="0" w:right="0" w:firstLine="54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For the Three and Nine Months Ended September 30, 2012, Compared to the Three and Nine Months Ended September 30, 2011</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Revenues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No revenues were recognized during the three months ended September 30, 2012 and 2011.  For the nine months ended September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2540"/>
        <w:gridCol w:w="95"/>
        <w:gridCol w:w="125"/>
        <w:gridCol w:w="941"/>
        <w:gridCol w:w="95"/>
        <w:gridCol w:w="95"/>
        <w:gridCol w:w="125"/>
        <w:gridCol w:w="893"/>
        <w:gridCol w:w="95"/>
        <w:gridCol w:w="95"/>
        <w:gridCol w:w="125"/>
        <w:gridCol w:w="941"/>
        <w:gridCol w:w="95"/>
        <w:gridCol w:w="95"/>
        <w:gridCol w:w="124"/>
        <w:gridCol w:w="1016"/>
        <w:gridCol w:w="95"/>
        <w:gridCol w:w="95"/>
        <w:gridCol w:w="125"/>
        <w:gridCol w:w="941"/>
        <w:gridCol w:w="95"/>
        <w:gridCol w:w="95"/>
        <w:gridCol w:w="125"/>
        <w:gridCol w:w="1016"/>
        <w:gridCol w:w="123"/>
      </w:tblGrid>
      <w:tr>
        <w:trPr/>
        <w:tc>
          <w:tcPr>
            <w:tcW w:w="2540"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22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 September 30,</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66"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239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23" w:type="dxa"/>
            <w:tcBorders/>
            <w:shd w:fill="auto" w:val="clear"/>
            <w:vAlign w:val="bottom"/>
          </w:tcPr>
          <w:p>
            <w:pPr>
              <w:pStyle w:val="TableContents"/>
              <w:spacing w:before="0" w:after="283"/>
              <w:jc w:val="left"/>
              <w:rPr/>
            </w:pPr>
            <w:r>
              <w:rPr/>
              <w:t> </w:t>
            </w:r>
          </w:p>
        </w:tc>
      </w:tr>
      <w:tr>
        <w:trPr/>
        <w:tc>
          <w:tcPr>
            <w:tcW w:w="2540"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2012</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2011</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2540"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9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946,381</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89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66,496</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879,885</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2,240,004</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514,529</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1,725,475</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For the three and nine months ended September 30, 2012, there was an increase of $879,885 and $1,725,475, respectively, in selling, general and administrative expenses, as compared to the same periods in the prior year. The increase in selling, general and administrative expenses is largely attributable to the resumption of our operations in December 2011, following the winding down and ceasing of operations during these periods in 2011, including the suspension of payroll beginning in March 2011.  Selling, general and administrative expenses during the three and nine months ended September 30, 2012 were primarily due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nine months ended September 30, 2012, which increased $194,685 and $1,246,961, respectively, as compared to the same periods in the prior year.</w:t>
      </w:r>
    </w:p>
    <w:p>
      <w:pPr>
        <w:pStyle w:val="TextBody"/>
        <w:spacing w:before="0" w:after="0"/>
        <w:ind w:left="0" w:right="0" w:firstLine="720"/>
        <w:jc w:val="left"/>
        <w:rPr/>
      </w:pPr>
      <w:r>
        <w:rPr/>
        <w:t> </w:t>
      </w:r>
    </w:p>
    <w:p>
      <w:pPr>
        <w:pStyle w:val="TextBody"/>
        <w:spacing w:before="0" w:after="0"/>
        <w:jc w:val="both"/>
        <w:rPr>
          <w:b/>
        </w:rPr>
      </w:pPr>
      <w:r>
        <w:rPr>
          <w:b/>
        </w:rPr>
        <w:t xml:space="preserve">Research and Development Expenses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Our research and development expenses primarily include expenses related to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375"/>
        <w:gridCol w:w="97"/>
        <w:gridCol w:w="150"/>
        <w:gridCol w:w="1018"/>
        <w:gridCol w:w="97"/>
        <w:gridCol w:w="97"/>
        <w:gridCol w:w="256"/>
        <w:gridCol w:w="543"/>
        <w:gridCol w:w="97"/>
        <w:gridCol w:w="96"/>
        <w:gridCol w:w="150"/>
        <w:gridCol w:w="1018"/>
        <w:gridCol w:w="97"/>
        <w:gridCol w:w="97"/>
        <w:gridCol w:w="150"/>
        <w:gridCol w:w="1018"/>
        <w:gridCol w:w="97"/>
        <w:gridCol w:w="97"/>
        <w:gridCol w:w="150"/>
        <w:gridCol w:w="1018"/>
        <w:gridCol w:w="96"/>
        <w:gridCol w:w="97"/>
        <w:gridCol w:w="150"/>
        <w:gridCol w:w="1018"/>
        <w:gridCol w:w="126"/>
      </w:tblGrid>
      <w:tr>
        <w:trPr/>
        <w:tc>
          <w:tcPr>
            <w:tcW w:w="2375"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216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 September 30,</w:t>
            </w:r>
          </w:p>
        </w:tc>
        <w:tc>
          <w:tcPr>
            <w:tcW w:w="97"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25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w:t>
            </w:r>
          </w:p>
        </w:tc>
        <w:tc>
          <w:tcPr>
            <w:tcW w:w="9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26" w:type="dxa"/>
            <w:tcBorders/>
            <w:shd w:fill="auto" w:val="clear"/>
            <w:vAlign w:val="bottom"/>
          </w:tcPr>
          <w:p>
            <w:pPr>
              <w:pStyle w:val="TableContents"/>
              <w:spacing w:before="0" w:after="283"/>
              <w:jc w:val="left"/>
              <w:rPr/>
            </w:pPr>
            <w:r>
              <w:rPr/>
              <w:t> </w:t>
            </w:r>
          </w:p>
        </w:tc>
      </w:tr>
      <w:tr>
        <w:trPr/>
        <w:tc>
          <w:tcPr>
            <w:tcW w:w="2375"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97"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2012</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2011</w:t>
            </w:r>
          </w:p>
        </w:tc>
        <w:tc>
          <w:tcPr>
            <w:tcW w:w="9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6" w:type="dxa"/>
            <w:tcBorders/>
            <w:shd w:fill="auto" w:val="clear"/>
            <w:vAlign w:val="bottom"/>
          </w:tcPr>
          <w:p>
            <w:pPr>
              <w:pStyle w:val="TableContents"/>
              <w:spacing w:before="0" w:after="283"/>
              <w:jc w:val="left"/>
              <w:rPr/>
            </w:pPr>
            <w:r>
              <w:rPr/>
              <w:t> </w:t>
            </w:r>
          </w:p>
        </w:tc>
      </w:tr>
      <w:tr>
        <w:trPr/>
        <w:tc>
          <w:tcPr>
            <w:tcW w:w="2375"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97" w:type="dxa"/>
            <w:tcBorders/>
            <w:shd w:fill="CCEEFF" w:val="clear"/>
            <w:vAlign w:val="bottom"/>
          </w:tcPr>
          <w:p>
            <w:pPr>
              <w:pStyle w:val="TableContents"/>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303,666</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25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54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w:t>
            </w:r>
          </w:p>
        </w:tc>
        <w:tc>
          <w:tcPr>
            <w:tcW w:w="9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5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303,666</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580,240</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9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5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468,686</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For the three and nine months ended September 30, 2012, there was an increase of $303,666 and $468,686,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and costs related to supportive safety studies for Impracor, which began in September 2012.  A significant portion of the increase in research and development personnel costs is associated with stock-based compensation for the three and nine months ended September 30, 2012, which increased $61,299 and $105,957, respectively, as compared to the same periods in the prior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7" w:name="PGBRK43"/>
      <w:bookmarkStart w:id="568" w:name="PGBRK43"/>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9" w:name="FTR43"/>
      <w:bookmarkStart w:id="570" w:name="FTR43"/>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1" w:name="GLFTR42"/>
      <w:bookmarkEnd w:id="5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72" w:name="PN42"/>
      <w:bookmarkEnd w:id="572"/>
      <w:r>
        <w:rPr>
          <w:rFonts w:ascii="helvetica" w:hAnsi="helvetica"/>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3" w:name="HDR42"/>
      <w:bookmarkStart w:id="574" w:name="HDR42"/>
      <w:bookmarkEnd w:id="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5" w:name="GLHDR42"/>
      <w:bookmarkEnd w:id="5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Interest expense was $0 and $24,658 for the three and nine months ended September 30, 2012, respectively, compared to $18,904 and $56,095 for the three and nine months ended September 30, 2011, respectively.  The 10% promissory notes issued under our Line of Credit Agreement with DermaStar accounted for $0 and $12,535 of interest expense during the three and nine months ended September 30, 2012, respectively, and $0 during the same periods in the prior year.  The 7.5% Convertible Note with a principal balance of $1,000,000, issued in April 2010 (and converted to shares of our common stock in February 2012) accounted for $0 and $12,123 of interest expense during the three and nine months ended September 30, 2012, respectively, and $18,904 and $56,095 during the three and nine months ended September 30, 2011, respectively.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Lo</w:t>
      </w:r>
      <w:r>
        <w:rPr>
          <w:rFonts w:ascii="helvetica" w:hAnsi="helvetica"/>
          <w:b/>
          <w:sz w:val="20"/>
        </w:rPr>
        <w:t>ss on Extinguishment of Debt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Loss from extinguishment of debt was $0 and $1,195,410 for the three and nine months ended September 30, 2012,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1,835,830 shares of our common stock, and the Convertible Note was terminated. On February 28, 2012, we received payment from Mr. Ladonnikov of $50,000 and issued 380,868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Convertible Note principal balance less $50,000 cash payment) for the nine months ended September 30, 2012.  On February 28, 2012, we issued 1,454,962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nine months ended September 30, 2012.</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As further described above under the heading “Recent Developments”, on April 20, 2012, DermaStar agreed to convert the promissory notes issued under the Line of Credit Agreement and their related accrued interest, totaling $762,534, into 193,047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nine months ended September 30, 2012.</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Net Loss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Net losses attributable to common stockholders for the three and nine months ended September 30, 2012, were $1,245,826 and $4,130,507, respectively, or $(0.20) and $(1.11), respectively, per basic and diluted share, compared to net losses attributable to common stockholders for the three and nine months ended September 30, 2011 of $85,400 and $682,178, respectively, or $(0.21) and $(1.71), respectively, per basic and diluted share.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6" w:name="PGBRK44"/>
      <w:bookmarkStart w:id="577" w:name="PGBRK44"/>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8" w:name="FTR44"/>
      <w:bookmarkStart w:id="579" w:name="FTR44"/>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0" w:name="GLFTR43"/>
      <w:bookmarkEnd w:id="5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81" w:name="PN43"/>
      <w:bookmarkEnd w:id="581"/>
      <w:r>
        <w:rPr>
          <w:rFonts w:ascii="helvetica" w:hAnsi="helvetica"/>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HDR43"/>
      <w:bookmarkStart w:id="583" w:name="HDR43"/>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4" w:name="GLHDR43"/>
      <w:bookmarkEnd w:id="5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Fiscal Year Ended December 31, 2011 Compared to Fiscal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54"/>
        <w:gridCol w:w="105"/>
        <w:gridCol w:w="125"/>
        <w:gridCol w:w="1004"/>
        <w:gridCol w:w="105"/>
        <w:gridCol w:w="105"/>
        <w:gridCol w:w="125"/>
        <w:gridCol w:w="1053"/>
        <w:gridCol w:w="105"/>
        <w:gridCol w:w="105"/>
        <w:gridCol w:w="125"/>
        <w:gridCol w:w="1071"/>
        <w:gridCol w:w="123"/>
      </w:tblGrid>
      <w:tr>
        <w:trPr/>
        <w:tc>
          <w:tcPr>
            <w:tcW w:w="6054"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ind w:left="0" w:right="0" w:hanging="0"/>
              <w:rPr/>
            </w:pPr>
            <w:r>
              <w:rPr/>
              <w:t> </w:t>
            </w:r>
          </w:p>
        </w:tc>
        <w:tc>
          <w:tcPr>
            <w:tcW w:w="251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 December 31,</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shd w:fill="auto" w:val="clear"/>
            <w:vAlign w:val="bottom"/>
          </w:tcPr>
          <w:p>
            <w:pPr>
              <w:pStyle w:val="TableContents"/>
              <w:spacing w:before="0" w:after="283"/>
              <w:ind w:left="0" w:right="0" w:hanging="0"/>
              <w:jc w:val="center"/>
              <w:rPr>
                <w:rFonts w:ascii="helvetica" w:hAnsi="helvetica"/>
                <w:b/>
                <w:sz w:val="16"/>
              </w:rPr>
            </w:pPr>
            <w:r>
              <w:rPr>
                <w:rFonts w:ascii="helvetica" w:hAnsi="helvetica"/>
                <w:b/>
                <w:sz w:val="16"/>
              </w:rPr>
              <w:t>$</w:t>
            </w:r>
          </w:p>
        </w:tc>
        <w:tc>
          <w:tcPr>
            <w:tcW w:w="123" w:type="dxa"/>
            <w:tcBorders/>
            <w:shd w:fill="auto" w:val="clear"/>
            <w:vAlign w:val="bottom"/>
          </w:tcPr>
          <w:p>
            <w:pPr>
              <w:pStyle w:val="TableContents"/>
              <w:spacing w:before="0" w:after="283"/>
              <w:ind w:left="0" w:right="0" w:hanging="0"/>
              <w:jc w:val="center"/>
              <w:rPr/>
            </w:pPr>
            <w:r>
              <w:rPr/>
              <w:t> </w:t>
            </w:r>
          </w:p>
        </w:tc>
      </w:tr>
      <w:tr>
        <w:trPr/>
        <w:tc>
          <w:tcPr>
            <w:tcW w:w="6054" w:type="dxa"/>
            <w:tcBorders/>
            <w:shd w:fill="auto" w:val="clear"/>
            <w:vAlign w:val="bottom"/>
          </w:tcPr>
          <w:p>
            <w:pPr>
              <w:pStyle w:val="TableContents"/>
              <w:spacing w:before="0" w:after="283"/>
              <w:ind w:left="0" w:right="0" w:hanging="0"/>
              <w:jc w:val="center"/>
              <w:rPr/>
            </w:pPr>
            <w:r>
              <w:rPr/>
              <w:t xml:space="preserve">  </w:t>
            </w:r>
          </w:p>
        </w:tc>
        <w:tc>
          <w:tcPr>
            <w:tcW w:w="105" w:type="dxa"/>
            <w:tcBorders/>
            <w:shd w:fill="auto" w:val="clear"/>
            <w:vAlign w:val="bottom"/>
          </w:tcPr>
          <w:p>
            <w:pPr>
              <w:pStyle w:val="TableContents"/>
              <w:spacing w:before="0" w:after="283"/>
              <w:ind w:left="0" w:right="0" w:hanging="0"/>
              <w:jc w:val="center"/>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5" w:type="dxa"/>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05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827,674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2,307,972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(1,480,298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Research and Development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Accudel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5"/>
        <w:gridCol w:w="107"/>
        <w:gridCol w:w="126"/>
        <w:gridCol w:w="1019"/>
        <w:gridCol w:w="107"/>
        <w:gridCol w:w="107"/>
        <w:gridCol w:w="126"/>
        <w:gridCol w:w="1019"/>
        <w:gridCol w:w="107"/>
        <w:gridCol w:w="107"/>
        <w:gridCol w:w="126"/>
        <w:gridCol w:w="1006"/>
        <w:gridCol w:w="123"/>
      </w:tblGrid>
      <w:tr>
        <w:trPr/>
        <w:tc>
          <w:tcPr>
            <w:tcW w:w="61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504" w:type="dxa"/>
            <w:gridSpan w:val="6"/>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Year ended December 31,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23" w:type="dxa"/>
            <w:tcBorders/>
            <w:shd w:fill="auto" w:val="clear"/>
            <w:vAlign w:val="bottom"/>
          </w:tcPr>
          <w:p>
            <w:pPr>
              <w:pStyle w:val="TableContents"/>
              <w:spacing w:before="0" w:after="283"/>
              <w:jc w:val="center"/>
              <w:rPr/>
            </w:pPr>
            <w:r>
              <w:rPr/>
              <w:t> </w:t>
            </w:r>
          </w:p>
        </w:tc>
      </w:tr>
      <w:tr>
        <w:trPr/>
        <w:tc>
          <w:tcPr>
            <w:tcW w:w="6125" w:type="dxa"/>
            <w:tcBorders/>
            <w:shd w:fill="auto" w:val="clear"/>
            <w:vAlign w:val="bottom"/>
          </w:tcPr>
          <w:p>
            <w:pPr>
              <w:pStyle w:val="TableContents"/>
              <w:spacing w:before="0" w:after="283"/>
              <w:jc w:val="center"/>
              <w:rPr/>
            </w:pPr>
            <w:r>
              <w:rPr/>
              <w:t xml:space="preserve">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125"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0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 xml:space="preserve">(83,034 </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Impracor, our late-stage topical NSAID for the treatment of acute soft tissue injuries.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5" w:name="PGBRK45"/>
      <w:bookmarkStart w:id="586" w:name="PGBRK45"/>
      <w:bookmarkEnd w:id="5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7" w:name="FTR45"/>
      <w:bookmarkStart w:id="588" w:name="FTR45"/>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9" w:name="GLFTR44"/>
      <w:bookmarkEnd w:id="5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90" w:name="PN44"/>
      <w:bookmarkEnd w:id="590"/>
      <w:r>
        <w:rPr>
          <w:rFonts w:ascii="helvetica" w:hAnsi="helvetica"/>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HDR44"/>
      <w:bookmarkStart w:id="592" w:name="HDR44"/>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3" w:name="GLHDR44"/>
      <w:bookmarkEnd w:id="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b/>
          <w:sz w:val="20"/>
        </w:rPr>
      </w:pPr>
      <w:r>
        <w:rPr>
          <w:rFonts w:ascii="helvetica" w:hAnsi="helvetica"/>
          <w:b/>
          <w:sz w:val="20"/>
        </w:rPr>
        <w:t>Interest Income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Interest income was $0 and $512, for the years ended December 31, 2011 and 2010, respectively. The decrease was due to a lower average cash balance and lower interest rates during fiscal year 2011 as compared to fiscal year 2010</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April 2010, we issued a senior convertible promissory note to an existing investor through a private placement. The note accrues interest at an annual interest rate of 7.5%.  Interest expense on the note was $75,000 and $55,479 for the years ended December 31, 2011 and 2010, respectively.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Forgiveness of Liabilities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5, 2011, priority claims of former employees (the “Priority Claimants”) in the amount of $119,667 originating as a result of the Chapter 11 Case, were settled and paid by the Company. These amounts consisted of accrued and owed payroll amounts, accrued vacation and any other claims held against the Company at October 5, 2011. The Priority Claimants were given cash in the amount $47,975 and 60,000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2, 2008, we entered into a payment agreement with a vendor, settling a balance of $52,598, pursuant to which we agreed that 50% of the amount owed, or $26,299 would be forgiven and the remainder would be paid in two installments of $13,150 upon execution of the payment agreement and $13,149 upon an infusion of capital into the Company. Since the inception of the payment agreement, the amount to be forgiven, $26,299, continued to be recorded as an accounts payable up until the infusion of $1,000,000 from the issuance of the convertible note in April 2010. When the note was issued, the final installment payment of $13,149 was paid and the $26,299 was recognized as a gain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cash on hand at September 30, 2012 was $10,990,871 as compared to $2,154 at September 30, 2011.  The increase in cash on hand is primarily attributable to aggregate net proceeds of approximately $11,916,000 received from our issuance of securities in the April Private Placement and the PCCA Transaction during the nine months ended September 30, 2012, and the $750,000 drawn under our Line of Credit Agreement with DermaStar between December 2011 and April 2012. From inception through September 30, 2012, we have incurred aggregate losses of approximately $(22,351,000).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As we described in more detail above under the heading “Recent Developments,”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further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4" w:name="PGBRK46"/>
      <w:bookmarkStart w:id="595" w:name="PGBRK46"/>
      <w:bookmarkEnd w:id="5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6" w:name="FTR46"/>
      <w:bookmarkStart w:id="597" w:name="FTR46"/>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8" w:name="GLFTR45"/>
      <w:bookmarkEnd w:id="5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99" w:name="PN45"/>
      <w:bookmarkEnd w:id="599"/>
      <w:r>
        <w:rPr>
          <w:rFonts w:ascii="helvetica" w:hAnsi="helvetica"/>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0" w:name="HDR45"/>
      <w:bookmarkStart w:id="601" w:name="HDR45"/>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2" w:name="GLHDR45"/>
      <w:bookmarkEnd w:id="6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of $300,000 and $750,000, respectively, under the line of credit.  On April 25, 2012, the entire outstanding principal balance and all accrued and unpaid interest under the line of credit, an aggregate of $762,534, was converted into 193,047 shares of common stock and warrants to purchase 48,262 shares of our common stock.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April 25, 2012 we closed a private placement of securities with certain accredited investors for the sale and issuance of 2,011,691 shares of common stock and warrants to purchase up to 502,928 shares of common stock at an exercise price of $5.925 per share, for aggregate proceeds, net of offering costs, to us of approximately $7,930,000.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Pursuant to the terms of the PCCA Purchase Agreement that we entered into with PCCA in connection with the PCCA Transaction, on August 31, 2012, we issued and sold to PCCA 832,683 shares of our common stock at a per share purchase price of $4.8038, for aggregate net proceeds to us of approximately $3,980,000.</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Net Cash Flow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nine months ended September 30, 2012 and 2011.</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7339"/>
        <w:gridCol w:w="108"/>
        <w:gridCol w:w="127"/>
        <w:gridCol w:w="1108"/>
        <w:gridCol w:w="114"/>
        <w:gridCol w:w="108"/>
        <w:gridCol w:w="127"/>
        <w:gridCol w:w="1049"/>
        <w:gridCol w:w="125"/>
      </w:tblGrid>
      <w:tr>
        <w:trPr/>
        <w:tc>
          <w:tcPr>
            <w:tcW w:w="7339" w:type="dxa"/>
            <w:tcBorders/>
            <w:shd w:fill="auto" w:val="clear"/>
            <w:vAlign w:val="bottom"/>
          </w:tcPr>
          <w:p>
            <w:pPr>
              <w:pStyle w:val="TableContents"/>
              <w:spacing w:before="0" w:after="0"/>
              <w:ind w:left="0" w:right="0" w:hanging="0"/>
              <w:jc w:val="left"/>
              <w:rPr>
                <w:rFonts w:ascii="helvetica" w:hAnsi="helvetica"/>
                <w:b/>
                <w:sz w:val="20"/>
              </w:rPr>
            </w:pPr>
            <w:r>
              <w:rPr>
                <w:rFonts w:ascii="helvetica" w:hAnsi="helvetica"/>
                <w:b/>
                <w:sz w:val="20"/>
              </w:rPr>
              <w:t>Cash Flow</w:t>
            </w:r>
          </w:p>
        </w:tc>
        <w:tc>
          <w:tcPr>
            <w:tcW w:w="108" w:type="dxa"/>
            <w:tcBorders/>
            <w:shd w:fill="auto" w:val="clear"/>
            <w:vAlign w:val="bottom"/>
          </w:tcPr>
          <w:p>
            <w:pPr>
              <w:pStyle w:val="TableContents"/>
              <w:spacing w:before="0" w:after="283"/>
              <w:rPr/>
            </w:pPr>
            <w:r>
              <w:rPr/>
              <w:t> </w:t>
            </w:r>
          </w:p>
        </w:tc>
        <w:tc>
          <w:tcPr>
            <w:tcW w:w="263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25" w:type="dxa"/>
            <w:tcBorders/>
            <w:shd w:fill="auto" w:val="clear"/>
            <w:vAlign w:val="bottom"/>
          </w:tcPr>
          <w:p>
            <w:pPr>
              <w:pStyle w:val="TableContents"/>
              <w:spacing w:before="0" w:after="283"/>
              <w:jc w:val="left"/>
              <w:rPr/>
            </w:pPr>
            <w:r>
              <w:rPr/>
              <w:t> </w:t>
            </w:r>
          </w:p>
        </w:tc>
      </w:tr>
      <w:tr>
        <w:trPr/>
        <w:tc>
          <w:tcPr>
            <w:tcW w:w="7339" w:type="dxa"/>
            <w:tcBorders/>
            <w:shd w:fill="auto" w:val="clear"/>
            <w:vAlign w:val="bottom"/>
          </w:tcPr>
          <w:p>
            <w:pPr>
              <w:pStyle w:val="TableContents"/>
              <w:spacing w:before="0" w:after="283"/>
              <w:jc w:val="left"/>
              <w:rPr/>
            </w:pPr>
            <w:r>
              <w:rPr/>
              <w:t xml:space="preserve">  </w:t>
            </w:r>
          </w:p>
        </w:tc>
        <w:tc>
          <w:tcPr>
            <w:tcW w:w="108" w:type="dxa"/>
            <w:tcBorders/>
            <w:shd w:fill="auto" w:val="clear"/>
            <w:vAlign w:val="bottom"/>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5" w:type="dxa"/>
            <w:tcBorders/>
            <w:shd w:fill="auto"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(1,287,127</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(316,845</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3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(15,308</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12,147,146</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5" w:type="dxa"/>
            <w:tcBorders/>
            <w:shd w:fill="CCEEFF" w:val="clear"/>
            <w:vAlign w:val="bottom"/>
          </w:tcPr>
          <w:p>
            <w:pPr>
              <w:pStyle w:val="TableContents"/>
              <w:spacing w:before="0" w:after="283"/>
              <w:jc w:val="left"/>
              <w:rPr/>
            </w:pPr>
            <w:r>
              <w:rPr/>
              <w:t> </w:t>
            </w:r>
          </w:p>
        </w:tc>
      </w:tr>
      <w:tr>
        <w:trPr/>
        <w:tc>
          <w:tcPr>
            <w:tcW w:w="7339" w:type="dxa"/>
            <w:tcBorders/>
            <w:shd w:fill="FFFFFF" w:val="clear"/>
            <w:vAlign w:val="bottom"/>
          </w:tcPr>
          <w:p>
            <w:pPr>
              <w:pStyle w:val="TableContents"/>
              <w:spacing w:before="0" w:after="283"/>
              <w:jc w:val="left"/>
              <w:rPr/>
            </w:pPr>
            <w:r>
              <w:rPr/>
              <w:t xml:space="preserve">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Increase (Decrease) in Cash and Cash Equivalents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10,844,711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(289,308</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3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Beginning of the Period</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5" w:type="dxa"/>
            <w:tcBorders/>
            <w:shd w:fill="FFFFFF"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End of the Period</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10,990,871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2,154</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3" w:name="PGBRK47"/>
      <w:bookmarkStart w:id="604" w:name="PGBRK47"/>
      <w:bookmarkEnd w:id="6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5" w:name="FTR47"/>
      <w:bookmarkStart w:id="606" w:name="FTR47"/>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7" w:name="GLFTR46"/>
      <w:bookmarkEnd w:id="6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08" w:name="PN46"/>
      <w:bookmarkEnd w:id="608"/>
      <w:r>
        <w:rPr>
          <w:rFonts w:ascii="helvetica" w:hAnsi="helvetica"/>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9" w:name="HDR46"/>
      <w:bookmarkStart w:id="610" w:name="HDR46"/>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1" w:name="GLHDR46"/>
      <w:bookmarkEnd w:id="6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fiscal years ended December 31, 2011 and 2010: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367"/>
        <w:gridCol w:w="109"/>
        <w:gridCol w:w="126"/>
        <w:gridCol w:w="1044"/>
        <w:gridCol w:w="114"/>
        <w:gridCol w:w="109"/>
        <w:gridCol w:w="126"/>
        <w:gridCol w:w="1088"/>
        <w:gridCol w:w="122"/>
      </w:tblGrid>
      <w:tr>
        <w:trPr/>
        <w:tc>
          <w:tcPr>
            <w:tcW w:w="7367" w:type="dxa"/>
            <w:tcBorders/>
            <w:shd w:fill="auto" w:val="clear"/>
            <w:vAlign w:val="bottom"/>
          </w:tcPr>
          <w:p>
            <w:pPr>
              <w:pStyle w:val="TableContents"/>
              <w:spacing w:before="0" w:after="0"/>
              <w:ind w:left="0" w:right="0" w:hanging="0"/>
              <w:jc w:val="left"/>
              <w:rPr>
                <w:rFonts w:ascii="helvetica" w:hAnsi="helvetica"/>
                <w:sz w:val="16"/>
              </w:rPr>
            </w:pPr>
            <w:r>
              <w:rPr>
                <w:rFonts w:ascii="helvetica" w:hAnsi="helvetica"/>
                <w:b/>
                <w:sz w:val="16"/>
              </w:rPr>
              <w:t xml:space="preserve">Cash Flow </w:t>
            </w:r>
            <w:r>
              <w:rPr>
                <w:rFonts w:ascii="helvetica" w:hAnsi="helvetica"/>
                <w:sz w:val="16"/>
              </w:rPr>
              <w:t>(All amounts in U.S. dollars)</w:t>
            </w:r>
          </w:p>
        </w:tc>
        <w:tc>
          <w:tcPr>
            <w:tcW w:w="109" w:type="dxa"/>
            <w:tcBorders/>
            <w:shd w:fill="auto" w:val="clear"/>
            <w:vAlign w:val="bottom"/>
          </w:tcPr>
          <w:p>
            <w:pPr>
              <w:pStyle w:val="TableContents"/>
              <w:spacing w:before="0" w:after="283"/>
              <w:rPr/>
            </w:pPr>
            <w:r>
              <w:rPr/>
              <w:t xml:space="preserve">  </w:t>
            </w:r>
          </w:p>
        </w:tc>
        <w:tc>
          <w:tcPr>
            <w:tcW w:w="260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Years Ended</w:t>
            </w:r>
          </w:p>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(291,160</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145,858</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1,000,000</w:t>
            </w:r>
          </w:p>
        </w:tc>
        <w:tc>
          <w:tcPr>
            <w:tcW w:w="122" w:type="dxa"/>
            <w:tcBorders/>
            <w:shd w:fill="CCEEFF" w:val="clear"/>
            <w:vAlign w:val="bottom"/>
          </w:tcPr>
          <w:p>
            <w:pPr>
              <w:pStyle w:val="TableContents"/>
              <w:spacing w:before="0" w:after="283"/>
              <w:rPr/>
            </w:pPr>
            <w:r>
              <w:rPr/>
              <w:t xml:space="preserve">  </w:t>
            </w:r>
          </w:p>
        </w:tc>
      </w:tr>
      <w:tr>
        <w:trPr/>
        <w:tc>
          <w:tcPr>
            <w:tcW w:w="736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Decrease in Cash and Cash Equivalents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(145,302</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Beginning of the Year</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1,589,773</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End of the Year</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146,160</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22" w:type="dxa"/>
            <w:tcBorders/>
            <w:shd w:fill="CCEEFF"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i/>
          <w:sz w:val="20"/>
        </w:rPr>
      </w:pPr>
      <w:r>
        <w:rPr>
          <w:rFonts w:ascii="helvetica" w:hAnsi="helvetica"/>
          <w:b/>
          <w:i/>
          <w:sz w:val="20"/>
        </w:rPr>
        <w:t>Operating Activities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Net cash used in operating activities was $1,287,127 for the nine months ended September 30, 2012, as compared to $316,845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used in operating activities was $291,160 for the year ended December 31, 2011, as compared to $2,298,311 used in operating activities during 2010. The decrease in net cash used in operating activities was mainly due to the suspension of operations in fiscal 2011, and related matters including minimizing certain administrative expenses, suspension of payroll at March 1, 2011, and lengthening our accounts payable payment process.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Investing Activities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Net cash used in investing activities for the nine months ended September 30, 2012 and 2011 was $15,308 and $0, respectively.  Net cash used in investing activities for the year ended December 31, 2011 and 2010 was $0.  The increase in investing activities during the nine months ended September 30, 2012 was due primarily to our move into our new office space and our acquisition of furniture and office equipment to furnish that office space. </w:t>
      </w:r>
    </w:p>
    <w:p>
      <w:pPr>
        <w:pStyle w:val="TextBody"/>
        <w:spacing w:before="0" w:after="0"/>
        <w:ind w:left="0" w:right="0" w:firstLine="720"/>
        <w:jc w:val="left"/>
        <w:rPr/>
      </w:pPr>
      <w:r>
        <w:rPr/>
        <w:br/>
      </w:r>
      <w:r>
        <w:rPr>
          <w:rFonts w:ascii="helvetica" w:hAnsi="helvetica"/>
          <w:b/>
          <w:i/>
          <w:sz w:val="20"/>
        </w:rPr>
        <w:t>Financing Activities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nine months ended September 30, 2012 and 2011 was $12,147,146 and $27,537, respectively.  The increase in cash is primarily attributable to aggregate proceeds, net of offering costs, of approximately $7,930,000 received from the April Private Placement, $3,980,000 from the PCCA Purchase Agreement, and the $450,000 drawn under our Line of Credit Agreement with DermaStar between January 2012 and April 2012.</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year ended December 31, 2011 was $145,858, as compared to $1,000,000 net cash provided by financing activities for the year ended December 31, 2010. The decrease in net cash provided by financing activities was attributable to the issuance of the Convertible Note with a principal balance of $1,000,000 issued in exchange for cash of the same amount during April 2010. During the year ended December 31, 2011, we received $100,000 from the sale of Series A Preferred Stock and $300,000 in advances under our line of credit.  This was offset by amounts reimbursed DermaStar for its payment of certain of our expenses incurred prior to the dismissal of the Chapter 11 Case, which totaled $254,142.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2" w:name="PGBRK48"/>
      <w:bookmarkStart w:id="613" w:name="PGBRK48"/>
      <w:bookmarkEnd w:id="6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4" w:name="FTR48"/>
      <w:bookmarkStart w:id="615" w:name="FTR48"/>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6" w:name="GLFTR47"/>
      <w:bookmarkEnd w:id="6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17" w:name="PN47"/>
      <w:bookmarkEnd w:id="617"/>
      <w:r>
        <w:rPr>
          <w:rFonts w:ascii="helvetica" w:hAnsi="helvetica"/>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8" w:name="HDR47"/>
      <w:bookmarkStart w:id="619" w:name="HDR47"/>
      <w:bookmarkEnd w:id="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0" w:name="GLHDR47"/>
      <w:bookmarkEnd w:id="6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to use our current cash position to begin executing on our business plan, including starting additional clinical studies related to our Accudel technology, and otherwise fund our operations.  Management believes we have sufficient cash reserves to execute our business plan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will require additional funds in order to fully conduct our planned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may seek funds from equity or debt financings, a corporate partnership, or licensing arrangements (as we did with the PCCA transaction),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additional funds to complete our planned clinical trials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reported in the Report of Independent Registered Public Accounting Firm on our December 31, 2011 consolidated financial statements, we have incurred recurring losses from operations and have an accumulated deficit that raised substantial doubt about our ability to continue as a going concern.  At September 30, 2012, we had increased our cash position by approximately $11 million as compared to our cash position at December 31, 2011.  As of the date of this prospectus, management believes we have sufficient cash reserves to support our operating plan and fund operating cash flow requirements through the next twelve months.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bookmarkStart w:id="621" w:name="v122485_10q_htm_eolpage17"/>
      <w:bookmarkEnd w:id="621"/>
      <w:r>
        <w:rPr>
          <w:rFonts w:ascii="helvetica" w:hAnsi="helvetica"/>
          <w:b/>
          <w:sz w:val="20"/>
        </w:rPr>
        <w:t>Recent Accounting Pronouncements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There are no recent accounting pronouncements issued by the FASB that management believes have had or are reasonably likely to have a material impact on our present or future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2" w:name="PGBRK49"/>
      <w:bookmarkStart w:id="623" w:name="PGBRK49"/>
      <w:bookmarkEnd w:id="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4" w:name="FTR49"/>
      <w:bookmarkStart w:id="625" w:name="FTR49"/>
      <w:bookmarkEnd w:id="6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6" w:name="GLFTR48"/>
      <w:bookmarkEnd w:id="6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27" w:name="PN48"/>
      <w:bookmarkEnd w:id="627"/>
      <w:r>
        <w:rPr>
          <w:rFonts w:ascii="helvetica" w:hAnsi="helvetica"/>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8" w:name="HDR48"/>
      <w:bookmarkStart w:id="629" w:name="HDR48"/>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0" w:name="GLHDR48"/>
      <w:bookmarkEnd w:id="6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631" w:name="TAB13"/>
      <w:bookmarkEnd w:id="631"/>
      <w:r>
        <w:rPr>
          <w:rFonts w:ascii="helvetica" w:hAnsi="helvetica"/>
          <w:b/>
          <w:sz w:val="20"/>
        </w:rPr>
        <w:t>DESCRIPTION OF THE BUSINESS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General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To better enable us to analyze the myriad of PCCA and PCCA-related development opportunities, we have designed a comprehensive drug development selection methodology.  In determining the viability of a potential opportunity, we group all development candidates according to delivery modality and health category.  We review intellectual property related to a respective opportunity, as well as manufacturing considerations, various market-related criterion and other clinical development issues.  We believe that our review process will aid us in identifying viable development candidates and assist us in determining whether to internally develop a program or seek an appropriate commercialization partner.</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to Imprimis Pharmaceuticals, Inc. and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that reverse stock split</w:t>
      </w:r>
      <w:r>
        <w:rPr>
          <w:rFonts w:ascii="helvetica" w:hAnsi="helvetica"/>
          <w:b/>
          <w:sz w:val="20"/>
        </w:rPr>
        <w:t>.</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reverse stock split is intended to allow us to meet the minimum share price requirement of The NASDAQ Capital Market.  We have applied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Our common stock has been quoted in the over-the-counter market since March 14, 2007 and is currently quoted on OTC Markets Group’s OTCQB tier under the symbol IMMY.  Our executive offices are located at 437 S. Hwy 101, Suite 209, Solana Beach, CA  92075 and our telephone number at such office is (858) 433-2800.  Our website address is </w:t>
      </w:r>
      <w:r>
        <w:rPr>
          <w:rFonts w:ascii="helvetica" w:hAnsi="helvetica"/>
          <w:sz w:val="20"/>
          <w:u w:val="single"/>
        </w:rPr>
        <w:t>www.imprimispharma.com</w:t>
      </w:r>
      <w:r>
        <w:rPr>
          <w:rFonts w:ascii="helvetica" w:hAnsi="helvetica"/>
          <w:sz w:val="20"/>
        </w:rPr>
        <w:t>.  Information contained on our website is not deemed part of this prospectus.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2" w:name="PGBRK50"/>
      <w:bookmarkStart w:id="633" w:name="PGBRK50"/>
      <w:bookmarkEnd w:id="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4" w:name="FTR50"/>
      <w:bookmarkStart w:id="635" w:name="FTR50"/>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6" w:name="GLFTR49"/>
      <w:bookmarkEnd w:id="6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37" w:name="PN49"/>
      <w:bookmarkEnd w:id="637"/>
      <w:r>
        <w:rPr>
          <w:rFonts w:ascii="helvetica" w:hAnsi="helvetica"/>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8" w:name="HDR49"/>
      <w:bookmarkStart w:id="639" w:name="HDR49"/>
      <w:bookmarkEnd w:id="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0" w:name="GLHDR49"/>
      <w:bookmarkEnd w:id="6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Completed Clinical Studies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 point assessment and 4 patients who were misdiagnosed.  This mPP analysis on 250 patients demonstrated statistical significance of the primary endpoint (p=0.034).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Proposed Clinical Program for Impracor</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For Impracor to be approved by the FDA, two confirmatory Phase 3 trials with exposure of at least 300 to 500 patients and supportive dermal safety studies are required.  We plan to commence two adequate and well-controlled Phase 3 trials of Impracor in patients experiencing pain from osteoarthritis flare in their knees.  We plan to discuss the clinical development program for those trials, which has been endorsed by our scientific and regulatory advisory board, with the FDA at a Type C meeting scheduled to occur in April 2013.</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Also as required by the FDA, we recently completed a clinical study that measured the amount of ketoprofen found in the bloodstream following topical application of two different doses of the anti-inflammatory cream under different conditions, including normal activities, heat exposure to the application site and standardized exercise, as well as the amount of the drug in the bloodstream after taking an oral dose of ketoprofen (the relative oral bioavailability).  The study included a total of 40 healthy volunteers (36 of which completed the study) assigned to one of two cohorts (2g or 4g applications).  Subjects were dosed according to a four-sequence, four-treatment randomization schedule in which they received topical Impracor applications under each of the three conditions and an oral ketoprofen dose in weekly intervals.  Overall the pharmacokinetic parameters were observed to be consistent between the two different dose cohorts.  The application of an occlusive knee bandage with either heat or exercise following topical administration showed faster initial, but lower overall plasma exposure of ketoprofen relative to non-occluded topical administration with no heat or exercise.  The extent of bioavailability over 48 hours as measured by the area under the concentration curve from time zero to the time of last measurable concentration (AUC0-t) was 2% or less in cohort 1 (2 g single dose applied to one knee) and 4% or less in cohort 2 (2 g single dose applied to each knee) for the topical treatments relative to the oral treatment.  All treatments were observed to be well tolerated.  We also expect to initiate a routine supportive trial in healthy subjects related to the potential of contact sensitization.  We expect that all of our planned clinical studies for Impracor will be executed with the professional help of CROs with experience in clinical trials of similar design.  We are in the process of selecting and negotiating arrangements with potential CROs and other third parties in order to initiate our Phase 3 clinical trials. </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Following completion of our clinical trials, we expect to file a New Drug Application for marketing authorization for Impracor under Section 505(b)(2) of the Hatch-Waxman Act of 1984, a regulatory route towards U.S. approval that leverages previously established safety and/or effectiveness of already approved ketoprofen products in other dosage forms.  This regulatory path also improves the chances of success over a completely new drug chemical entity.</w:t>
      </w:r>
      <w:r>
        <w:rPr/>
        <w:t xml:space="preserve"> </w:t>
      </w: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The timing of Phase 3 trials and the other supportive studies will be dependent on obtaining adequate financing to support the execution of these activities and for other working capital expenditures.  Upon receipt of such financing, we anticipate initiating the supportive studies and Phase 3 trials in mid and late 2013, respectively.  Assuming successful timely completion and outcome of the additional Phase 3 trials, we would expect to file the New Drug Application for Impracor in the second half of 2014.</w:t>
      </w:r>
      <w:r>
        <w:rPr/>
        <w:t xml:space="preserv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1" w:name="PGBRK51"/>
      <w:bookmarkStart w:id="642" w:name="PGBRK51"/>
      <w:bookmarkEnd w:id="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3" w:name="FTR51"/>
      <w:bookmarkStart w:id="644" w:name="FTR51"/>
      <w:bookmarkEnd w:id="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5" w:name="GLFTR50"/>
      <w:bookmarkEnd w:id="6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46" w:name="PN50"/>
      <w:bookmarkEnd w:id="646"/>
      <w:r>
        <w:rPr>
          <w:rFonts w:ascii="helvetica" w:hAnsi="helvetica"/>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7" w:name="HDR50"/>
      <w:bookmarkStart w:id="648" w:name="HDR50"/>
      <w:bookmarkEnd w:id="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9" w:name="GLHDR50"/>
      <w:bookmarkEnd w:id="6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hanging="0"/>
        <w:jc w:val="both"/>
        <w:rPr/>
      </w:pPr>
      <w:r>
        <w:rPr/>
        <w:t> </w:t>
      </w:r>
    </w:p>
    <w:p>
      <w:pPr>
        <w:pStyle w:val="TextBody"/>
        <w:spacing w:before="0" w:after="0"/>
        <w:ind w:left="0" w:right="0" w:hanging="0"/>
        <w:jc w:val="center"/>
        <w:rPr/>
      </w:pPr>
      <w:r>
        <w:rPr/>
        <w:t xml:space="preserve">  </w:t>
      </w:r>
    </w:p>
    <w:p>
      <w:pPr>
        <w:pStyle w:val="TextBody"/>
        <w:spacing w:before="0" w:after="0"/>
        <w:ind w:left="0" w:right="0" w:hanging="0"/>
        <w:jc w:val="both"/>
        <w:rPr>
          <w:caps w:val="false"/>
          <w:smallCaps w:val="false"/>
        </w:rPr>
      </w:pPr>
      <w:r>
        <w:rPr>
          <w:caps w:val="false"/>
          <w:smallCaps w:val="false"/>
        </w:rPr>
        <w:drawing>
          <wp:inline distT="0" distB="0" distL="0" distR="0">
            <wp:extent cx="3829050" cy="2790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29050" cy="27908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50" w:name="list83"/>
      <w:bookmarkStart w:id="651" w:name="list83"/>
      <w:bookmarkEnd w:id="65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2" w:name="list84"/>
      <w:bookmarkStart w:id="653" w:name="list84"/>
      <w:bookmarkEnd w:id="653"/>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4" w:name="list85"/>
      <w:bookmarkStart w:id="655" w:name="list85"/>
      <w:bookmarkEnd w:id="655"/>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6" w:name="list86"/>
      <w:bookmarkStart w:id="657" w:name="list86"/>
      <w:bookmarkEnd w:id="657"/>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8" w:name="list87"/>
      <w:bookmarkStart w:id="659" w:name="list87"/>
      <w:bookmarkEnd w:id="659"/>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w:t>
            </w:r>
          </w:p>
        </w:tc>
        <w:tc>
          <w:tcPr>
            <w:tcW w:w="980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0" w:name="list88"/>
      <w:bookmarkStart w:id="661" w:name="list88"/>
      <w:bookmarkEnd w:id="661"/>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2" w:name="list89"/>
      <w:bookmarkStart w:id="663" w:name="list89"/>
      <w:bookmarkEnd w:id="663"/>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4" w:name="list90"/>
      <w:bookmarkStart w:id="665" w:name="list90"/>
      <w:bookmarkEnd w:id="665"/>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6" w:name="list91"/>
      <w:bookmarkStart w:id="667" w:name="list91"/>
      <w:bookmarkEnd w:id="667"/>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8" w:name="list92"/>
      <w:bookmarkStart w:id="669" w:name="list92"/>
      <w:bookmarkEnd w:id="669"/>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0" w:name="PGBRK52"/>
      <w:bookmarkStart w:id="671" w:name="PGBRK52"/>
      <w:bookmarkEnd w:id="6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2" w:name="FTR52"/>
      <w:bookmarkStart w:id="673" w:name="FTR52"/>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4" w:name="GLFTR51"/>
      <w:bookmarkEnd w:id="6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75" w:name="PN51"/>
      <w:bookmarkEnd w:id="675"/>
      <w:r>
        <w:rPr>
          <w:rFonts w:ascii="helvetica" w:hAnsi="helvetica"/>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6" w:name="HDR51"/>
      <w:bookmarkStart w:id="677" w:name="HDR51"/>
      <w:bookmarkEnd w:id="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8" w:name="GLHDR51"/>
      <w:bookmarkEnd w:id="6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Product Development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9" w:name="PGBRK53"/>
      <w:bookmarkStart w:id="680" w:name="PGBRK53"/>
      <w:bookmarkEnd w:id="6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1" w:name="FTR53"/>
      <w:bookmarkStart w:id="682" w:name="FTR53"/>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3" w:name="GLFTR52"/>
      <w:bookmarkEnd w:id="6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84" w:name="PN52"/>
      <w:bookmarkEnd w:id="684"/>
      <w:r>
        <w:rPr>
          <w:rFonts w:ascii="helvetica" w:hAnsi="helvetica"/>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5" w:name="HDR52"/>
      <w:bookmarkStart w:id="686" w:name="HDR52"/>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7" w:name="GLHDR52"/>
      <w:bookmarkEnd w:id="6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over $500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caused almost as many deaths as asthma, cervical cancer and malignant melanoma combined, and another 1999 sutdy publinshed in the Journal of Rheumatology found that death resulting from gastro-intestinal complications was the 15th most common cause of death in the U.S., higher than cervical cancer, asthma and malignant melanoma.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sytemic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Competition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The three FDA approved topical NSAID products currently in the US market are all diclofenac-based.  Currently, there are no FDA approved non-diclofenac-based topical NSAID products in the US market. We believe that additional transdermal NSAID products such as our ketoprofen-based Impracor would be well received by the FDA and patients by providing safe and effective treatment options to address pain in addition to diclofenac-based products.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8" w:name="PGBRK54"/>
      <w:bookmarkStart w:id="689" w:name="PGBRK54"/>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0" w:name="FTR54"/>
      <w:bookmarkStart w:id="691" w:name="FTR54"/>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2" w:name="GLFTR53"/>
      <w:bookmarkEnd w:id="6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93" w:name="PN53"/>
      <w:bookmarkEnd w:id="693"/>
      <w:r>
        <w:rPr>
          <w:rFonts w:ascii="helvetica" w:hAnsi="helvetica"/>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4" w:name="HDR53"/>
      <w:bookmarkStart w:id="695" w:name="HDR53"/>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6" w:name="GLHDR53"/>
      <w:bookmarkEnd w:id="6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Governmental Regulation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bookmarkStart w:id="697" w:name="eolpage9"/>
      <w:bookmarkEnd w:id="697"/>
      <w:r>
        <w:rPr>
          <w:rFonts w:ascii="helvetica" w:hAnsi="helvetica"/>
          <w:sz w:val="20"/>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8" w:name="PGBRK55"/>
      <w:bookmarkStart w:id="699" w:name="PGBRK55"/>
      <w:bookmarkEnd w:id="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0" w:name="FTR55"/>
      <w:bookmarkStart w:id="701" w:name="FTR55"/>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2" w:name="GLFTR54"/>
      <w:bookmarkEnd w:id="7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03" w:name="PN54"/>
      <w:bookmarkEnd w:id="703"/>
      <w:r>
        <w:rPr>
          <w:rFonts w:ascii="helvetica" w:hAnsi="helvetica"/>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4" w:name="HDR54"/>
      <w:bookmarkStart w:id="705" w:name="HDR54"/>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6" w:name="GLHDR54"/>
      <w:bookmarkEnd w:id="7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FDA Approval Process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sponsor typically conducts human clinical trials in the following three sequential phases, but the phases may overlap</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07" w:name="list93"/>
      <w:bookmarkStart w:id="708" w:name="list93"/>
      <w:bookmarkEnd w:id="70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09" w:name="list94"/>
      <w:bookmarkStart w:id="710" w:name="list94"/>
      <w:bookmarkEnd w:id="71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1" w:name="list95"/>
      <w:bookmarkStart w:id="712" w:name="list95"/>
      <w:bookmarkEnd w:id="71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3" w:name="PGBRK56"/>
      <w:bookmarkStart w:id="714" w:name="PGBRK56"/>
      <w:bookmarkEnd w:id="7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5" w:name="FTR56"/>
      <w:bookmarkStart w:id="716" w:name="FTR56"/>
      <w:bookmarkEnd w:id="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7" w:name="GLFTR55"/>
      <w:bookmarkEnd w:id="7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18" w:name="PN55"/>
      <w:bookmarkEnd w:id="718"/>
      <w:r>
        <w:rPr>
          <w:rFonts w:ascii="helvetica" w:hAnsi="helvetica"/>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9" w:name="HDR55"/>
      <w:bookmarkStart w:id="720" w:name="HDR55"/>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1" w:name="GLHDR55"/>
      <w:bookmarkEnd w:id="7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Section 505(b)(2) New Drug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2" w:name="PGBRK57"/>
      <w:bookmarkStart w:id="723" w:name="PGBRK57"/>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4" w:name="FTR57"/>
      <w:bookmarkStart w:id="725" w:name="FTR57"/>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6" w:name="GLFTR56"/>
      <w:bookmarkEnd w:id="7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27" w:name="PN56"/>
      <w:bookmarkEnd w:id="727"/>
      <w:r>
        <w:rPr>
          <w:rFonts w:ascii="helvetica" w:hAnsi="helvetica"/>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8" w:name="HDR56"/>
      <w:bookmarkStart w:id="729" w:name="HDR56"/>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0" w:name="GLHDR56"/>
      <w:bookmarkEnd w:id="7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pPr>
      <w:r>
        <w:rPr/>
        <w:t> </w:t>
      </w:r>
      <w:bookmarkStart w:id="731" w:name="eolPage11"/>
      <w:bookmarkEnd w:id="731"/>
      <w:r>
        <w:rPr>
          <w:rFonts w:ascii="Helvetica" w:hAnsi="Helvetica"/>
          <w:b/>
          <w:sz w:val="20"/>
        </w:rPr>
        <w:t>Quality Assurance Requirements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we and our suppliers and outside manufacturers are currently in compliance with all FDA requirements.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 </w:t>
      </w:r>
    </w:p>
    <w:p>
      <w:pPr>
        <w:pStyle w:val="TextBody"/>
        <w:spacing w:before="0" w:after="0"/>
        <w:ind w:left="0" w:right="0" w:hanging="0"/>
        <w:rPr/>
      </w:pPr>
      <w:r>
        <w:rPr/>
        <w:t> </w:t>
      </w:r>
    </w:p>
    <w:p>
      <w:pPr>
        <w:pStyle w:val="TextBody"/>
        <w:spacing w:before="0" w:after="0"/>
        <w:ind w:left="0" w:right="0" w:hanging="0"/>
        <w:jc w:val="left"/>
        <w:rPr/>
      </w:pPr>
      <w:r>
        <w:rPr/>
        <w:t> </w:t>
      </w:r>
      <w:r>
        <w:rPr>
          <w:rFonts w:ascii="helvetica" w:hAnsi="helvetica"/>
          <w:b/>
          <w:sz w:val="20"/>
        </w:rPr>
        <w:t>Other FDA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2" w:name="PGBRK58"/>
      <w:bookmarkStart w:id="733" w:name="PGBRK58"/>
      <w:bookmarkEnd w:id="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4" w:name="FTR58"/>
      <w:bookmarkStart w:id="735" w:name="FTR58"/>
      <w:bookmarkEnd w:id="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6" w:name="GLFTR57"/>
      <w:bookmarkEnd w:id="7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37" w:name="PN57"/>
      <w:bookmarkEnd w:id="737"/>
      <w:r>
        <w:rPr>
          <w:rFonts w:ascii="helvetica" w:hAnsi="helvetica"/>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8" w:name="HDR57"/>
      <w:bookmarkStart w:id="739" w:name="HDR57"/>
      <w:bookmarkEnd w:id="7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0" w:name="GLHDR57"/>
      <w:bookmarkEnd w:id="7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Research and Development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year ended December 31, 2011, we incurred $111,554 on research and development expenses, as compared to $194,588 during the year ended December 31, 2010. During the nine months ended September 30, 2012, we incurred $580,240 on research and development expenses, as compared to $111,554 during the nine months ended September 30, 2011. We expect research and development activities will increase significantly as we execute on our business plan and begin Phase 3 studies.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We have filed additional patent applications in various jurisdictions.  We have pending trademark applications for Imprimis Pharmaceuticals, Accudel, Impracor and Generecycle.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Employees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February 1, 2013, we have four full-time and one part-time employees.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pStyle w:val="TextBody"/>
        <w:spacing w:before="0" w:after="0"/>
        <w:ind w:left="0" w:right="0" w:firstLine="720"/>
        <w:jc w:val="left"/>
        <w:rPr/>
      </w:pPr>
      <w:r>
        <w:rPr/>
        <w:t> </w:t>
      </w:r>
    </w:p>
    <w:p>
      <w:pPr>
        <w:pStyle w:val="TextBody"/>
        <w:spacing w:before="0" w:after="0"/>
        <w:rPr>
          <w:b/>
        </w:rPr>
      </w:pPr>
      <w:r>
        <w:rPr>
          <w:b/>
        </w:rPr>
        <w:t>Scientific and Regulatory Advisors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October 25, 2012, the Board approved the establishment of a scientific and regulatory advisory board to provide guidance to our management team relating to clinical trial procedures and product development.  The members of our advisory board are not members of our Board of Directors and do not otherwise hold management roles with the Company.</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advisory board currently has  six members as follows:  Dr. Gerald J. Yakatan, Dr. Lee S. Simon, Dr. Allan Green, Dr. Marc Hochberg, Dr. Roy Altman and Dr. Roland Moskowitz.   Dr. Yakatan has served in both academic and industrial environments in connection with pharmaceutical product development efforts, and we believe that his experience with the drug development and FDA approval process for various notable drug products will be valuable for our business.  Dr. Simon, who has served as a division director and on advisory committees for the FDA and as a funded investigator and a member of the Steering Committee for the National Institutes of Health, brings important FDA expertise to the advisory board.  Dr. Green is a physician, attorney, research scientist and inventor on several US patents and has significant operating and management experience with a number of biomedical companies, who we believe can provide invaluable advice to our management in the fields in which we operate. Dr. Altman has over 35 years of clinical experience in osteoarthritis and rheumatology and has been internationally recognized for his life work in the area of rheumatology and immunology.  Dr. Hochberg serves in academic surroundings in connection with rheumatology and clinical immunology, where his research focuses on the clinical epidemiology of musculoskeletal diseases, particularly osteoarthritis and osteoporosis.   Dr. Moskowitz has over 30 years of experience, where he has conducted extensive research in the pathophysiology and genetics of osteoarthritis. We believe that the experience and know-how of Dr. Altman, Dr. Moskowitz,  and Dr. Hochberg, particularly in the areas of rheumatology and osteoarthritis, will provide our management with vital knowledge in order to serve our needs in those clinical areas. We have also entered into consulting agreements with the members of our advisory board.  On August 28, 2012, we entered into an independent contractor services agreement with SDG, LLC (“SDG”), of which Dr. Simon and Dr. Green are principals, pursuant to which SDG will provide consulting services for us relating to our clinical development strategy for clinical trial design and management and regulatory affairs.  In 2012, we entered into separate consulting agreements with each of Dr. Yakatan, Dr. Moskowitz, Dr. Hochberg and Dr. Altman, pursuant to which each has agreed to provide services for us relating to our regulatory and development strategy in connection with the FDA approval process.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Properties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lease approximately 1,486 square feet of office space in Solana Beach, California. The current lease term expires on February 28, 2014. This facility serves as our corporate headquarters.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our current facility is adequate for our immediate and near-term needs. Additional space may be required as we expand our activities. We do not currently foresee any significant difficulties in obtaining any required additional facilities.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1" w:name="PGBRK59"/>
      <w:bookmarkStart w:id="742" w:name="PGBRK59"/>
      <w:bookmarkEnd w:id="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3" w:name="FTR59"/>
      <w:bookmarkStart w:id="744" w:name="FTR59"/>
      <w:bookmarkEnd w:id="7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5" w:name="GLFTR58"/>
      <w:bookmarkEnd w:id="7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46" w:name="PN58"/>
      <w:bookmarkEnd w:id="746"/>
      <w:r>
        <w:rPr>
          <w:rFonts w:ascii="helvetica" w:hAnsi="helvetica"/>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7" w:name="HDR58"/>
      <w:bookmarkStart w:id="748" w:name="HDR58"/>
      <w:bookmarkEnd w:id="7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9" w:name="GLHDR58"/>
      <w:bookmarkEnd w:id="7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750" w:name="TAB14"/>
      <w:bookmarkEnd w:id="750"/>
      <w:r>
        <w:rPr>
          <w:rFonts w:ascii="helvetica" w:hAnsi="helvetica"/>
          <w:b/>
          <w:sz w:val="20"/>
        </w:rPr>
        <w:t>DIRECTORS, EXECUTIVE OFFICERS AND CORPORATE GOVERNANCE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prospectus: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266"/>
        <w:gridCol w:w="101"/>
        <w:gridCol w:w="1020"/>
        <w:gridCol w:w="101"/>
        <w:gridCol w:w="5717"/>
      </w:tblGrid>
      <w:tr>
        <w:trPr/>
        <w:tc>
          <w:tcPr>
            <w:tcW w:w="3266"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1" w:type="dxa"/>
            <w:tcBorders/>
            <w:shd w:fill="auto" w:val="clear"/>
            <w:tcMar>
              <w:bottom w:w="0" w:type="dxa"/>
            </w:tcMar>
          </w:tcPr>
          <w:p>
            <w:pPr>
              <w:pStyle w:val="TableContents"/>
              <w:spacing w:before="0" w:after="283"/>
              <w:rPr/>
            </w:pPr>
            <w:r>
              <w:rPr/>
              <w:t xml:space="preserve">  </w:t>
            </w:r>
          </w:p>
        </w:tc>
        <w:tc>
          <w:tcPr>
            <w:tcW w:w="1020" w:type="dxa"/>
            <w:tcBorders>
              <w:bottom w:val="single" w:sz="12" w:space="0" w:color="000000"/>
            </w:tcBorders>
            <w:shd w:fill="auto" w:val="clear"/>
          </w:tcPr>
          <w:p>
            <w:pPr>
              <w:pStyle w:val="TableContents"/>
              <w:spacing w:before="0" w:after="0"/>
              <w:ind w:left="0" w:right="0" w:hanging="0"/>
              <w:jc w:val="center"/>
              <w:rPr>
                <w:rFonts w:ascii="helvetica" w:hAnsi="helvetica"/>
                <w:b/>
                <w:sz w:val="16"/>
              </w:rPr>
            </w:pPr>
            <w:r>
              <w:rPr>
                <w:rFonts w:ascii="helvetica" w:hAnsi="helvetica"/>
                <w:b/>
                <w:sz w:val="16"/>
              </w:rPr>
              <w:t>Age</w:t>
            </w:r>
          </w:p>
        </w:tc>
        <w:tc>
          <w:tcPr>
            <w:tcW w:w="101" w:type="dxa"/>
            <w:tcBorders/>
            <w:shd w:fill="auto" w:val="clear"/>
            <w:tcMar>
              <w:bottom w:w="0" w:type="dxa"/>
            </w:tcMar>
          </w:tcPr>
          <w:p>
            <w:pPr>
              <w:pStyle w:val="TableContents"/>
              <w:spacing w:before="0" w:after="283"/>
              <w:rPr/>
            </w:pPr>
            <w:r>
              <w:rPr/>
              <w:t xml:space="preserve">  </w:t>
            </w:r>
          </w:p>
        </w:tc>
        <w:tc>
          <w:tcPr>
            <w:tcW w:w="5717"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Position</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Joachim Schupp, M.D.</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59</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Medical Officer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76</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 xml:space="preserve">President </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30</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Vice President of Accounting and Public Reporting</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40</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Executive Officer and 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Paul Finnegan, M.D., M.B.A.</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52</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65</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Kammer, D.D.S.</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63</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Chairman of the Board of Directors</w:t>
            </w:r>
          </w:p>
        </w:tc>
      </w:tr>
      <w:tr>
        <w:trPr/>
        <w:tc>
          <w:tcPr>
            <w:tcW w:w="3266"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Stephen G. Austin, C.P.A.</w:t>
            </w:r>
          </w:p>
        </w:tc>
        <w:tc>
          <w:tcPr>
            <w:tcW w:w="101" w:type="dxa"/>
            <w:tcBorders/>
            <w:shd w:fill="FFFFFF" w:val="clear"/>
            <w:tcMar>
              <w:bottom w:w="0" w:type="dxa"/>
            </w:tcMar>
          </w:tcPr>
          <w:p>
            <w:pPr>
              <w:pStyle w:val="TableContents"/>
              <w:spacing w:before="0" w:after="283"/>
              <w:rPr/>
            </w:pPr>
            <w:r>
              <w:rPr/>
              <w:t> </w:t>
            </w:r>
          </w:p>
        </w:tc>
        <w:tc>
          <w:tcPr>
            <w:tcW w:w="1020" w:type="dxa"/>
            <w:tcBorders/>
            <w:shd w:fill="FFFFFF" w:val="clear"/>
            <w:tcMar>
              <w:bottom w:w="0" w:type="dxa"/>
            </w:tcMar>
          </w:tcPr>
          <w:p>
            <w:pPr>
              <w:pStyle w:val="TableContents"/>
              <w:spacing w:before="0" w:after="283"/>
              <w:jc w:val="center"/>
              <w:rPr/>
            </w:pPr>
            <w:r>
              <w:rPr/>
              <w:t>60</w:t>
            </w:r>
          </w:p>
        </w:tc>
        <w:tc>
          <w:tcPr>
            <w:tcW w:w="101" w:type="dxa"/>
            <w:tcBorders/>
            <w:shd w:fill="FFFFFF" w:val="clear"/>
            <w:tcMar>
              <w:bottom w:w="0" w:type="dxa"/>
            </w:tcMar>
          </w:tcPr>
          <w:p>
            <w:pPr>
              <w:pStyle w:val="TableContents"/>
              <w:spacing w:before="0" w:after="283"/>
              <w:rPr/>
            </w:pPr>
            <w:r>
              <w:rPr/>
              <w:t> </w:t>
            </w:r>
          </w:p>
        </w:tc>
        <w:tc>
          <w:tcPr>
            <w:tcW w:w="5717"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Director</w:t>
            </w:r>
          </w:p>
        </w:tc>
      </w:tr>
      <w:tr>
        <w:trPr/>
        <w:tc>
          <w:tcPr>
            <w:tcW w:w="3266" w:type="dxa"/>
            <w:tcBorders/>
            <w:shd w:fill="CCEEFF" w:val="clear"/>
            <w:tcMar>
              <w:bottom w:w="0" w:type="dxa"/>
            </w:tcMar>
          </w:tcPr>
          <w:p>
            <w:pPr>
              <w:pStyle w:val="TableContents"/>
              <w:spacing w:before="0" w:after="283"/>
              <w:jc w:val="left"/>
              <w:rPr>
                <w:rFonts w:ascii="helvetica" w:hAnsi="helvetica"/>
                <w:sz w:val="20"/>
              </w:rPr>
            </w:pPr>
            <w:r>
              <w:rPr>
                <w:rFonts w:ascii="helvetica" w:hAnsi="helvetica"/>
                <w:sz w:val="20"/>
              </w:rPr>
              <w:t>August S. Bassani, Pharm.D.</w:t>
            </w:r>
          </w:p>
        </w:tc>
        <w:tc>
          <w:tcPr>
            <w:tcW w:w="101" w:type="dxa"/>
            <w:tcBorders/>
            <w:shd w:fill="CCEEFF" w:val="clear"/>
            <w:tcMar>
              <w:bottom w:w="0" w:type="dxa"/>
            </w:tcMar>
          </w:tcPr>
          <w:p>
            <w:pPr>
              <w:pStyle w:val="TableContents"/>
              <w:spacing w:before="0" w:after="283"/>
              <w:rPr/>
            </w:pPr>
            <w:r>
              <w:rPr/>
              <w:t> </w:t>
            </w:r>
          </w:p>
        </w:tc>
        <w:tc>
          <w:tcPr>
            <w:tcW w:w="1020" w:type="dxa"/>
            <w:tcBorders/>
            <w:shd w:fill="CCEEFF" w:val="clear"/>
            <w:tcMar>
              <w:bottom w:w="0" w:type="dxa"/>
            </w:tcMar>
          </w:tcPr>
          <w:p>
            <w:pPr>
              <w:pStyle w:val="TableContents"/>
              <w:spacing w:before="0" w:after="283"/>
              <w:jc w:val="center"/>
              <w:rPr/>
            </w:pPr>
            <w:r>
              <w:rPr/>
              <w:t>40</w:t>
            </w:r>
          </w:p>
        </w:tc>
        <w:tc>
          <w:tcPr>
            <w:tcW w:w="101" w:type="dxa"/>
            <w:tcBorders/>
            <w:shd w:fill="CCEEFF" w:val="clear"/>
            <w:tcMar>
              <w:bottom w:w="0" w:type="dxa"/>
            </w:tcMar>
          </w:tcPr>
          <w:p>
            <w:pPr>
              <w:pStyle w:val="TableContents"/>
              <w:spacing w:before="0" w:after="283"/>
              <w:rPr/>
            </w:pPr>
            <w:r>
              <w:rPr/>
              <w:t> </w:t>
            </w:r>
          </w:p>
        </w:tc>
        <w:tc>
          <w:tcPr>
            <w:tcW w:w="5717" w:type="dxa"/>
            <w:tcBorders/>
            <w:shd w:fill="CCEEFF" w:val="clear"/>
            <w:tcMar>
              <w:bottom w:w="0" w:type="dxa"/>
            </w:tcMar>
          </w:tcPr>
          <w:p>
            <w:pPr>
              <w:pStyle w:val="TableContents"/>
              <w:spacing w:before="0" w:after="283"/>
              <w:jc w:val="left"/>
              <w:rPr>
                <w:rFonts w:ascii="helvetica" w:hAnsi="helvetica"/>
                <w:sz w:val="20"/>
              </w:rPr>
            </w:pPr>
            <w:r>
              <w:rPr>
                <w:rFonts w:ascii="helvetica" w:hAnsi="helvetica"/>
                <w:sz w:val="20"/>
              </w:rPr>
              <w:t>Director</w:t>
            </w:r>
          </w:p>
        </w:tc>
      </w:tr>
    </w:tbl>
    <w:p>
      <w:pPr>
        <w:pStyle w:val="TextBody"/>
        <w:spacing w:before="0" w:after="0"/>
        <w:ind w:left="0" w:right="0" w:hanging="0"/>
        <w:rPr/>
      </w:pPr>
      <w:r>
        <w:rPr/>
        <w:t> </w:t>
      </w:r>
    </w:p>
    <w:p>
      <w:pPr>
        <w:pStyle w:val="TextBody"/>
        <w:spacing w:before="0" w:after="0"/>
        <w:ind w:left="0" w:right="0" w:hanging="0"/>
        <w:rPr/>
      </w:pPr>
      <w:bookmarkStart w:id="751" w:name="TAB213"/>
      <w:bookmarkEnd w:id="751"/>
      <w:r>
        <w:rPr>
          <w:color w:val="000000"/>
          <w:spacing w:val="180"/>
        </w:rPr>
        <w:t> </w:t>
      </w:r>
      <w:r>
        <w:rPr>
          <w:rFonts w:ascii="helvetica" w:hAnsi="helvetica"/>
          <w:b/>
          <w:sz w:val="20"/>
        </w:rPr>
        <w:t>Business Experience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brief account of the education and business experience of our current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Joachim Schupp, M.D. </w:t>
      </w:r>
      <w:r>
        <w:rPr>
          <w:rFonts w:ascii="helvetica" w:hAnsi="helvetica"/>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Balbir Brar, D.V.M., Ph.D.,</w:t>
      </w:r>
      <w:r>
        <w:rPr>
          <w:rFonts w:ascii="helvetica" w:hAnsi="helvetica"/>
          <w:sz w:val="20"/>
        </w:rPr>
        <w:t xml:space="preserve"> has been President of the Company since January 2012 and served as a director from February 15, 2012 until July 25, 2012.  Dr. Brar served as our Vice President of Research and 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2" w:name="PGBRK60"/>
      <w:bookmarkStart w:id="753" w:name="PGBRK60"/>
      <w:bookmarkEnd w:id="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4" w:name="FTR60"/>
      <w:bookmarkStart w:id="755" w:name="FTR60"/>
      <w:bookmarkEnd w:id="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6" w:name="GLFTR59"/>
      <w:bookmarkEnd w:id="7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57" w:name="PN59"/>
      <w:bookmarkEnd w:id="757"/>
      <w:r>
        <w:rPr>
          <w:rFonts w:ascii="helvetica" w:hAnsi="helvetica"/>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8" w:name="HDR59"/>
      <w:bookmarkStart w:id="759" w:name="HDR59"/>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0" w:name="GLHDR59"/>
      <w:bookmarkEnd w:id="7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Andrew R. Boll </w:t>
      </w:r>
      <w:r>
        <w:rPr>
          <w:rFonts w:ascii="helvetica" w:hAnsi="helvetica"/>
          <w:sz w:val="20"/>
        </w:rPr>
        <w:t xml:space="preserve">has been our Vice President of Accounting and Financial Reporting since February 2012 and was a consultant to the Company from December 2011 to February 2012. Mr. Boll has several years 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helvetica" w:hAnsi="helvetica"/>
          <w:i/>
          <w:sz w:val="20"/>
        </w:rPr>
        <w:t>summa cum laude,</w:t>
      </w:r>
      <w:r>
        <w:rPr>
          <w:rFonts w:ascii="helvetica" w:hAnsi="helvetica"/>
          <w:sz w:val="20"/>
        </w:rPr>
        <w:t xml:space="preserve"> from Huron University.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Mark L. Baum, Esq</w:t>
      </w:r>
      <w:r>
        <w:rPr>
          <w:rFonts w:ascii="helvetica" w:hAnsi="helvetica"/>
          <w:sz w:val="20"/>
        </w:rPr>
        <w:t>. has served as a director since December 2011 and as our Chairman of our Board of Directors from December 16, 2011 through April 1, 2012.  Mr. Baum has also served as our principal 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 Applied Natural Gas Fuels, Inc. (formerly AGAS), Shrink Nanotechnologies, Inc. (INKN), You on Demand, Inc. (CBBD) and CoConnect, Inc. (CCON), as well as boards of advisors for domestic and international private and public companies. Mr. Baum founded and capitalized the Mark L. Baum Scholarship which has funded tuition grants to college students in Texas. Mr. Baum is a published inventor and a licensed attorney in California and Texas.  Mr. Baum was a Managing Member of DermaStar International, LLC, our former majority stockholder.  Mr. Baum brings to our board years of public company executive experience, including knowledge of securities laws, reporting requirements and public company finance-related issues.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Paul Finnegan, M.D., M.B.A.</w:t>
      </w:r>
      <w:r>
        <w:rPr>
          <w:rFonts w:ascii="helvetica" w:hAnsi="helvetica"/>
          <w:sz w:val="20"/>
        </w:rPr>
        <w:t> has served as a director since February 15, 2012 and currently serves as the Chair of our Compensation Committee and our Nomination and Corporate Governance Committee and as a member of our Audit Committee.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1" w:name="PGBRK61"/>
      <w:bookmarkStart w:id="762" w:name="PGBRK61"/>
      <w:bookmarkEnd w:id="7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3" w:name="FTR61"/>
      <w:bookmarkStart w:id="764" w:name="FTR61"/>
      <w:bookmarkEnd w:id="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5" w:name="GLFTR60"/>
      <w:bookmarkEnd w:id="7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66" w:name="PN60"/>
      <w:bookmarkEnd w:id="766"/>
      <w:r>
        <w:rPr>
          <w:rFonts w:ascii="helvetica" w:hAnsi="helvetica"/>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7" w:name="HDR60"/>
      <w:bookmarkStart w:id="768" w:name="HDR60"/>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9" w:name="GLHDR60"/>
      <w:bookmarkEnd w:id="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Jeffrey J. Abrams, M.D., MPH,</w:t>
      </w:r>
      <w:r>
        <w:rPr>
          <w:rFonts w:ascii="helvetica" w:hAnsi="helvetica"/>
          <w:sz w:val="20"/>
        </w:rPr>
        <w:t xml:space="preserve"> has served as a director since September 2007 and served as Chairman of the Board from February 2010 until December 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and his years of experience as a practicing primary care clinician.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Robert Kammer, D.D.S., </w:t>
      </w:r>
      <w:r>
        <w:rPr>
          <w:rFonts w:ascii="helvetica" w:hAnsi="helvetica"/>
          <w:sz w:val="20"/>
        </w:rPr>
        <w:t xml:space="preserve">has served as a director since December 2011 and as Chairman of the Board of Directors since April 1, 2012.  Dr. 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helvetica" w:hAnsi="helvetica"/>
          <w:sz w:val="20"/>
          <w:u w:val="single"/>
        </w:rPr>
        <w:t>Osteoperiosteal Flap</w:t>
      </w:r>
      <w:r>
        <w:rPr>
          <w:rFonts w:ascii="helvetica" w:hAnsi="helvetica"/>
          <w:i/>
          <w:sz w:val="20"/>
          <w:u w:val="single"/>
        </w:rPr>
        <w:t>,</w:t>
      </w:r>
      <w:r>
        <w:rPr>
          <w:rFonts w:ascii="helvetica" w:hAnsi="helvetica"/>
          <w:sz w:val="20"/>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Stephen G. Austin, CPA,</w:t>
      </w:r>
      <w:r>
        <w:rPr>
          <w:rFonts w:ascii="helvetica" w:hAnsi="helvetica"/>
          <w:sz w:val="20"/>
        </w:rPr>
        <w:t xml:space="preserve"> has served as a director since July 2012 and currently serves as the Chair of our Audit Committee and as a member 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serves as a director on the board of Avanir Pharmaceuticals, Inc. (NASDAQ: AVNR). In 2004, Mr. Austin published a book on business ethics entitled “Rise of the New Ethics Class,” and in 2005 and 2006 he published articles in Asia discussing The Sarbanes-Oxley Act of 2002. In 2010 and 2011, Mr. Austin authored articles for the AICPA. Mr. Austin holds a B.S. degree in accounting from Bob Jones University and an M.B.A. degree from the University of Georgia. Mr. Austin brings to our Board financial and accounting expertise and extensive experience serving as a director of other companies.</w:t>
      </w:r>
    </w:p>
    <w:p>
      <w:pPr>
        <w:pStyle w:val="TextBody"/>
        <w:spacing w:before="0" w:after="0"/>
        <w:ind w:left="0" w:right="0" w:hanging="0"/>
        <w:jc w:val="left"/>
        <w:rPr/>
      </w:pPr>
      <w:r>
        <w:rPr/>
        <w:t> </w:t>
      </w:r>
    </w:p>
    <w:p>
      <w:pPr>
        <w:pStyle w:val="TextBody"/>
        <w:spacing w:before="0" w:after="0"/>
        <w:ind w:left="0" w:right="0" w:hanging="0"/>
        <w:jc w:val="left"/>
        <w:rPr/>
      </w:pPr>
      <w:r>
        <w:rPr>
          <w:rFonts w:ascii="helvetica" w:hAnsi="helvetica"/>
          <w:b/>
          <w:sz w:val="20"/>
        </w:rPr>
        <w:t>August (“Gus”) S. Bassani, Pharm.D.,</w:t>
      </w:r>
      <w:r>
        <w:rPr>
          <w:rFonts w:ascii="helvetica" w:hAnsi="helvetica"/>
          <w:sz w:val="20"/>
        </w:rPr>
        <w:t xml:space="preserve"> has served as a director since December 2012.  He currently serves as Vice-President of Consulting, R&amp;D and Formulations at PCCA and has been with PCCA since September 2002.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American Society of Health Systems Pharmacists (ASHP) and the American Association of Pharmaceutical Scientists (AAPS).  Mr. Bassani's widespread experience in the pharmaceutical industry and his formulation expertise provides valued guidance to our management and board.</w:t>
      </w:r>
      <w:r>
        <w:rPr/>
        <w:t xml:space="preserv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are no family relationships among our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Committees of the Board of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August 7, 2012, the Board established the following committees:  the Audit Committee, the Compensation Committee and the Nomination and Corporate Governance Committee.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Audit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Mr. Austin, Dr. Abrams, and Dr. Finnegan have been appointed to serve on our Audit Committee, and Mr. Austin has been appointed as the Chair of the Audit Committee. Our Board of Directors has determined that each current member of our Audit Committee is “independent” within the meaning of Section 10A(m)(3) of the Exchange Act and Rule 10A-3(b)(1) thereunder and satisfies the requirements for membership in the Audit Committee as set forth in Rule 5605(c)(2)(A) of the Rules of The NASDAQ Stock Market (“NASDAQ Rules”). Our Board of Directors has also determined that Mr. Austin qualifies as an “audit committee financial expert” as defined in applicable rules of the Securities and Exchange Commission.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adopted a written charter for our Audit Committee, which sets forth the specific duties and responsibilities of the Audit Committee, including: (i) overseeing our accounting and financial reporting processes and our financial reporting legal and regulatory compliance, (ii) overseeing and evaluating management’s assessment of the effectiveness of our internal controls over financial reporting, (iii) reviewing any transactions by us with related parties, (iv) appointing our independent registered public accounting firm, (v) monitoring the independence and performance of our independent registered public accounting firm, (vi) pre-approving all audit and permissible non-audit services to be provided to us by our independent registered public accounting firm, subject to a “de minimus” exception, (vii) meeting separately, periodically, with management and with our independent registered public accounting firm, and (viii) establishing procedures for our receipt, retention and treatment of information provided by our employees regarding accounting, internal accounting controls or audit matters. The Audit Committee’s charter is provided on our website, http://www.imprimispharma.com.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Compensation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Dr. Finnegan, Dr. Abrams and Mr. Austin have been appointed to serve on our Compensation Committee, and Dr. Finnegan has been appointed as the Chair of the Compensation Committee. Each member of our Compensation Committee is independent within the meaning of applicable NASDAQ Rules and is a “non-employee director” as defined under Rule 16b-3 of the Exchange Act and an “outside director” as that term is defined in applicable rules under the Internal Revenue Code.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adopted a written charter for our Compensation Committee, which sets forth the specific duties and responsibilities of the Compensation Committee, including: (i) reviewing and approving our executive officer compensation programs and arrangements, (ii) determining the specific objectives of our compensation programs and structuring such programs to effectively attract and retain qualified personnel, (iii) reviewing and establishing goals and objectives relevant to the compensation of our Chief Executive Officer, and evaluating the Chief Executive Officer’s performance in light of those goals and objectives, (iv) administering our equity and incentive compensation plans, and (v) reviewing and approving director compensation and benefits. Pursuant to its charter, the Compensation Committee may select and engage such advisors and consultants as it deems necessary or desirable in its sole discretion to carry out its duties, and has the authority to approve the fees and retention terms relating to such advisors and/or consultants. The Compensation Committee’s charter is provided on our website, http://www.imprimispharma.com.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0" w:name="PGBRK62"/>
      <w:bookmarkStart w:id="771" w:name="PGBRK62"/>
      <w:bookmarkEnd w:id="7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2" w:name="FTR62"/>
      <w:bookmarkStart w:id="773" w:name="FTR62"/>
      <w:bookmarkEnd w:id="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4" w:name="GLFTR61"/>
      <w:bookmarkEnd w:id="7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75" w:name="PN61"/>
      <w:bookmarkEnd w:id="775"/>
      <w:r>
        <w:rPr>
          <w:rFonts w:ascii="helvetica" w:hAnsi="helvetica"/>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6" w:name="HDR61"/>
      <w:bookmarkStart w:id="777" w:name="HDR61"/>
      <w:bookmarkEnd w:id="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8" w:name="GLHDR61"/>
      <w:bookmarkEnd w:id="7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Nomination and Corporate Governance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Dr. Finnegan, Dr. Abrams and Mr. Austin have been appointed to serve on our Nomination and Corporate Governance Committee, and Dr. Finnegan has been appointed as the Chair of that committee. Each member of our Nomination and Corporate Governance Committee is independent within the meaning of applicable NASDAQ Rules.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Our Board of Directors has adopted a written charter for our Nomination and Corporate Governance Committee, which sets forth the specific duties and responsibilities of that committee, including: (i) assisting in identifying and recruiting qualified candidates for our Board and our management team, (ii) advising the Board regarding the membership and chairs of the committees of our Board, (iii) overseeing and evaluating the performance of our Board and our management team, including assessing the independence of our directors, (iv) recommending to the Board and overseeing our corporate governance principles, and (vii) recommending to the Board and monitoring compliance with our code of business conduct and ethics. A copy of the Nomination and Corporate Governance Committee’s charter is provided on our website, http://www.imprimispharma.com.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val="false"/>
          <w:caps w:val="false"/>
          <w:smallCaps w:val="false"/>
          <w:sz w:val="20"/>
        </w:rPr>
      </w:pPr>
      <w:r>
        <w:rPr>
          <w:rFonts w:ascii="helvetica" w:hAnsi="helvetica"/>
          <w:b/>
          <w:i w:val="false"/>
          <w:caps w:val="false"/>
          <w:smallCaps w:val="false"/>
          <w:sz w:val="20"/>
        </w:rPr>
        <w:t>Director Independence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Current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We are not currently listed on any national securities exchange that has a requirement that the Board of Directors be independent. However, Mr. Austin, Dr. Abrams, Mr. Bassani  and Dr. Finnegan would each be considered an “independent director” as defined in Rule 5605(a)(2) of the NASDAQ Rules. Mr. Baum would not be considered independent because he currently serves as our Chief Executive Officer, and Dr. Kammer is not independent because of certain ongoing advisory relationships.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Former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Commencing on February 15, 2012, Dr. Balbir Brar, our President, served as a director on our Board.  Dr. Brar resigned as a director on July 25, 2012, but continues in his capacity as our President. Dr. Brar was not considered independent because of his position as our President.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During the fiscal year ended December 31, 2011, the following individuals served as our directors: John N. Bonfliglio, Lynn C. Swann, Anthony S. Thornley, Jeffrey J. Abrams, Mark L. Baum and Robert J. Kammer. Under NASDAQ Rules, during the fiscal year ended December 31, 2011, Mr. Swann, Mr. Thornley and Dr. Abrams would have been considered independent. Mr. Bonfiglio, Mr. Baum and Dr. Kammer would not be considered independent because of their employment or consulting relationships with the Company.</w:t>
      </w:r>
    </w:p>
    <w:p>
      <w:pPr>
        <w:pStyle w:val="TextBody"/>
        <w:spacing w:before="0" w:after="0"/>
        <w:ind w:left="0" w:right="0" w:hanging="0"/>
        <w:jc w:val="left"/>
        <w:rPr/>
      </w:pPr>
      <w:r>
        <w:rPr/>
      </w:r>
    </w:p>
    <w:p>
      <w:pPr>
        <w:pStyle w:val="TextBody"/>
        <w:spacing w:before="0" w:after="0"/>
        <w:ind w:left="0" w:right="0" w:hanging="0"/>
        <w:jc w:val="center"/>
        <w:rPr/>
      </w:pPr>
      <w:r>
        <w:rPr>
          <w:rFonts w:ascii="helvetica" w:hAnsi="helvetica"/>
          <w:b/>
          <w:sz w:val="20"/>
        </w:rPr>
        <w:t>EXECUTIVE COMPENSATION</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All information regarding share amounts of common stock and prices per share of common stock contained under the heading “Executive Compensation” assumes the consummation of the one-for-five reverse stock split to be effected following effectiveness of the registration statement of which this prospectus forms a part and prior to the closing of this offering.</w:t>
      </w:r>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rFonts w:ascii="helvetica" w:hAnsi="helvetica"/>
          <w:b/>
          <w:sz w:val="20"/>
        </w:rPr>
        <w:t>Summary Compensation Table</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bookmarkStart w:id="779" w:name="fis_compensation_table"/>
      <w:bookmarkEnd w:id="779"/>
      <w:r>
        <w:rPr>
          <w:rFonts w:ascii="helvetica" w:hAnsi="helvetica"/>
          <w:sz w:val="20"/>
        </w:rPr>
        <w:t>The following table summarizes compensation earned by or awarded or paid to our principal executive officer and our other two most highly compensated executive officers (our “named executive officers”). Also included is compensation information for our Vice President, Accounting and Public Reporting (our Principal Accounting and Financial Officer).</w:t>
      </w:r>
      <w:r>
        <w:rPr/>
        <w:t xml:space="preserve"> </w:t>
      </w:r>
    </w:p>
    <w:p>
      <w:pPr>
        <w:pStyle w:val="TextBody"/>
        <w:spacing w:before="0" w:after="0"/>
        <w:ind w:left="0" w:right="0" w:firstLine="720"/>
        <w:jc w:val="left"/>
        <w:rPr/>
      </w:pPr>
      <w:r>
        <w:rPr/>
        <w:t> </w:t>
      </w:r>
    </w:p>
    <w:tbl>
      <w:tblPr>
        <w:tblW w:w="5000" w:type="pct"/>
        <w:jc w:val="left"/>
        <w:tblInd w:w="0" w:type="dxa"/>
        <w:tblCellMar>
          <w:top w:w="0" w:type="dxa"/>
          <w:left w:w="0" w:type="dxa"/>
          <w:bottom w:w="28" w:type="dxa"/>
          <w:right w:w="0" w:type="dxa"/>
        </w:tblCellMar>
      </w:tblPr>
      <w:tblGrid>
        <w:gridCol w:w="2540"/>
        <w:gridCol w:w="550"/>
        <w:gridCol w:w="86"/>
        <w:gridCol w:w="141"/>
        <w:gridCol w:w="921"/>
        <w:gridCol w:w="86"/>
        <w:gridCol w:w="86"/>
        <w:gridCol w:w="141"/>
        <w:gridCol w:w="921"/>
        <w:gridCol w:w="245"/>
        <w:gridCol w:w="86"/>
        <w:gridCol w:w="141"/>
        <w:gridCol w:w="921"/>
        <w:gridCol w:w="245"/>
        <w:gridCol w:w="86"/>
        <w:gridCol w:w="207"/>
        <w:gridCol w:w="1159"/>
        <w:gridCol w:w="245"/>
        <w:gridCol w:w="86"/>
        <w:gridCol w:w="141"/>
        <w:gridCol w:w="1062"/>
        <w:gridCol w:w="109"/>
      </w:tblGrid>
      <w:tr>
        <w:trPr/>
        <w:tc>
          <w:tcPr>
            <w:tcW w:w="2540"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 and</w:t>
            </w:r>
          </w:p>
          <w:p>
            <w:pPr>
              <w:pStyle w:val="TableContents"/>
              <w:spacing w:before="0" w:after="0"/>
              <w:ind w:left="0" w:right="0" w:hanging="0"/>
              <w:jc w:val="left"/>
              <w:rPr>
                <w:rFonts w:ascii="helvetica" w:hAnsi="helvetica"/>
                <w:b/>
                <w:sz w:val="16"/>
              </w:rPr>
            </w:pPr>
            <w:r>
              <w:rPr>
                <w:rFonts w:ascii="helvetica" w:hAnsi="helvetica"/>
                <w:b/>
                <w:sz w:val="16"/>
              </w:rPr>
              <w:t>Principal Position</w:t>
            </w:r>
          </w:p>
        </w:tc>
        <w:tc>
          <w:tcPr>
            <w:tcW w:w="550"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w:t>
            </w:r>
          </w:p>
        </w:tc>
        <w:tc>
          <w:tcPr>
            <w:tcW w:w="86" w:type="dxa"/>
            <w:tcBorders/>
            <w:shd w:fill="auto" w:val="clear"/>
            <w:tcMar>
              <w:bottom w:w="0" w:type="dxa"/>
            </w:tcMar>
            <w:vAlign w:val="bottom"/>
          </w:tcPr>
          <w:p>
            <w:pPr>
              <w:pStyle w:val="TableContents"/>
              <w:spacing w:before="0" w:after="283"/>
              <w:rPr/>
            </w:pPr>
            <w:r>
              <w:rPr/>
              <w:t> </w:t>
            </w:r>
          </w:p>
        </w:tc>
        <w:tc>
          <w:tcPr>
            <w:tcW w:w="106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Salary</w:t>
            </w:r>
          </w:p>
        </w:tc>
        <w:tc>
          <w:tcPr>
            <w:tcW w:w="86"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06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 (1)</w:t>
            </w:r>
          </w:p>
        </w:tc>
        <w:tc>
          <w:tcPr>
            <w:tcW w:w="24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06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(2)</w:t>
            </w:r>
          </w:p>
        </w:tc>
        <w:tc>
          <w:tcPr>
            <w:tcW w:w="24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36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All Other Compensation</w:t>
            </w:r>
          </w:p>
        </w:tc>
        <w:tc>
          <w:tcPr>
            <w:tcW w:w="24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203"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09" w:type="dxa"/>
            <w:tcBorders/>
            <w:shd w:fill="auto"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150,300</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520,000</w:t>
            </w:r>
          </w:p>
        </w:tc>
        <w:tc>
          <w:tcPr>
            <w:tcW w:w="245"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(3)</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655,773</w:t>
            </w:r>
          </w:p>
        </w:tc>
        <w:tc>
          <w:tcPr>
            <w:tcW w:w="245"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1,326,073</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Chief Executive Officer</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283"/>
              <w:rPr/>
            </w:pPr>
            <w:r>
              <w:rPr/>
              <w:t xml:space="preserve">  </w:t>
            </w:r>
          </w:p>
        </w:tc>
        <w:tc>
          <w:tcPr>
            <w:tcW w:w="550" w:type="dxa"/>
            <w:tcBorders/>
            <w:shd w:fill="CCEEFF" w:val="clear"/>
            <w:tcMar>
              <w:bottom w:w="0" w:type="dxa"/>
            </w:tcMar>
            <w:vAlign w:val="bottom"/>
          </w:tcPr>
          <w:p>
            <w:pPr>
              <w:pStyle w:val="TableContents"/>
              <w:spacing w:before="0" w:after="283"/>
              <w:rPr/>
            </w:pPr>
            <w:r>
              <w:rPr/>
              <w:t xml:space="preserve">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62" w:type="dxa"/>
            <w:tcBorders/>
            <w:shd w:fill="CCEEFF" w:val="clear"/>
            <w:tcMar>
              <w:bottom w:w="0" w:type="dxa"/>
            </w:tcMar>
            <w:vAlign w:val="bottom"/>
          </w:tcPr>
          <w:p>
            <w:pPr>
              <w:pStyle w:val="TableContents"/>
              <w:spacing w:before="0" w:after="283"/>
              <w:jc w:val="right"/>
              <w:rPr/>
            </w:pPr>
            <w:r>
              <w:rPr/>
              <w:t> </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P.H. Schupp, M.D.</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178,500</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260,100</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29,134</w:t>
            </w:r>
          </w:p>
        </w:tc>
        <w:tc>
          <w:tcPr>
            <w:tcW w:w="245"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(5)</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467,734</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pPr>
            <w:r>
              <w:rPr/>
              <w:t>  </w:t>
            </w:r>
            <w:r>
              <w:rPr>
                <w:rFonts w:ascii="helvetica" w:hAnsi="helvetica"/>
                <w:sz w:val="20"/>
              </w:rPr>
              <w:t>Chief Medical Officer</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38,800</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2,192</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40,992</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283"/>
              <w:rPr/>
            </w:pPr>
            <w:r>
              <w:rPr/>
              <w:t xml:space="preserve">  </w:t>
            </w:r>
          </w:p>
        </w:tc>
        <w:tc>
          <w:tcPr>
            <w:tcW w:w="550" w:type="dxa"/>
            <w:tcBorders/>
            <w:shd w:fill="FFFFFF" w:val="clear"/>
            <w:tcMar>
              <w:bottom w:w="0" w:type="dxa"/>
            </w:tcMar>
            <w:vAlign w:val="bottom"/>
          </w:tcPr>
          <w:p>
            <w:pPr>
              <w:pStyle w:val="TableContents"/>
              <w:spacing w:before="0" w:after="283"/>
              <w:rPr/>
            </w:pPr>
            <w:r>
              <w:rPr/>
              <w:t xml:space="preserve">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pPr>
            <w:r>
              <w:rPr/>
              <w:t> </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pPr>
            <w:r>
              <w:rPr/>
              <w:t> </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pPr>
            <w:r>
              <w:rPr/>
              <w:t> </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pPr>
            <w:r>
              <w:rPr/>
              <w:t> </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62"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84,000</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669,300</w:t>
            </w:r>
          </w:p>
        </w:tc>
        <w:tc>
          <w:tcPr>
            <w:tcW w:w="245"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753,300</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President</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283"/>
              <w:rPr/>
            </w:pPr>
            <w:r>
              <w:rPr/>
              <w:t xml:space="preserve">  </w:t>
            </w:r>
          </w:p>
        </w:tc>
        <w:tc>
          <w:tcPr>
            <w:tcW w:w="550" w:type="dxa"/>
            <w:tcBorders/>
            <w:shd w:fill="CCEEFF" w:val="clear"/>
            <w:tcMar>
              <w:bottom w:w="0" w:type="dxa"/>
            </w:tcMar>
            <w:vAlign w:val="bottom"/>
          </w:tcPr>
          <w:p>
            <w:pPr>
              <w:pStyle w:val="TableContents"/>
              <w:spacing w:before="0" w:after="283"/>
              <w:rPr/>
            </w:pPr>
            <w:r>
              <w:rPr/>
              <w:t xml:space="preserve">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62" w:type="dxa"/>
            <w:tcBorders/>
            <w:shd w:fill="CCEEFF" w:val="clear"/>
            <w:tcMar>
              <w:bottom w:w="0" w:type="dxa"/>
            </w:tcMar>
            <w:vAlign w:val="bottom"/>
          </w:tcPr>
          <w:p>
            <w:pPr>
              <w:pStyle w:val="TableContents"/>
              <w:spacing w:before="0" w:after="283"/>
              <w:jc w:val="right"/>
              <w:rPr/>
            </w:pPr>
            <w:r>
              <w:rPr/>
              <w:t> </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64,500</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51,780</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7,524</w:t>
            </w:r>
          </w:p>
        </w:tc>
        <w:tc>
          <w:tcPr>
            <w:tcW w:w="245"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(7)</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123,804</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pPr>
            <w:r>
              <w:rPr/>
              <w:t>   </w:t>
            </w:r>
            <w:r>
              <w:rPr>
                <w:rFonts w:ascii="helvetica" w:hAnsi="helvetica"/>
                <w:sz w:val="20"/>
              </w:rPr>
              <w:t>Vice-President, Accounting and Public Reporting</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(1)</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jc w:val="left"/>
              <w:rPr/>
            </w:pPr>
            <w:r>
              <w:rPr>
                <w:rFonts w:ascii="helvetica" w:hAnsi="helvetica"/>
                <w:sz w:val="20"/>
              </w:rPr>
              <w:t>(2)</w:t>
            </w:r>
            <w:r>
              <w:rPr/>
              <w:t xml:space="preserve"> </w:t>
            </w:r>
          </w:p>
        </w:tc>
        <w:tc>
          <w:tcPr>
            <w:tcW w:w="9899" w:type="dxa"/>
            <w:tcBorders/>
            <w:shd w:fill="auto" w:val="clear"/>
          </w:tcPr>
          <w:p>
            <w:pPr>
              <w:pStyle w:val="TableContents"/>
              <w:spacing w:before="0" w:after="0"/>
              <w:ind w:left="0" w:right="0" w:hanging="0"/>
              <w:jc w:val="left"/>
              <w:rPr/>
            </w:pPr>
            <w:r>
              <w:rPr>
                <w:rFonts w:ascii="helvetica" w:hAnsi="helvetica"/>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 For a discussion of the material terms of each stock option award, see the table entitled "Outstanding Equity Awards at Fiscal Year End."</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(3)</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Represents restricted stock units granted to Mr. Baum outside the 2007 Plan in connection with his services as our Chief Executive Officer, the vesting of which is subject to certain performance conditions.  The value of the award at the grant date assuming that the highest level of the performance conditions will be achieved is the same as reflected in the above table.</w:t>
            </w: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80" w:name="PGBRK63"/>
      <w:bookmarkStart w:id="781" w:name="PGBRK63"/>
      <w:bookmarkEnd w:id="7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82" w:name="FTR63"/>
      <w:bookmarkStart w:id="783" w:name="FTR63"/>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4" w:name="GLFTR62"/>
      <w:bookmarkEnd w:id="7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85" w:name="PN62"/>
      <w:bookmarkEnd w:id="785"/>
      <w:r>
        <w:rPr>
          <w:rFonts w:ascii="effontselection" w:hAnsi="effontselectio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86" w:name="HDR62"/>
      <w:bookmarkStart w:id="787" w:name="HDR62"/>
      <w:bookmarkEnd w:id="7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8" w:name="GLHDR62"/>
      <w:bookmarkEnd w:id="7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ind w:left="0" w:right="0" w:hanging="0"/>
              <w:jc w:val="left"/>
              <w:rPr/>
            </w:pPr>
            <w:r>
              <w:rPr>
                <w:rFonts w:ascii="helvetica" w:hAnsi="helvetica"/>
                <w:sz w:val="20"/>
              </w:rPr>
              <w:t>(4)</w:t>
            </w:r>
            <w:r>
              <w:rPr/>
              <w:t xml:space="preserve"> </w:t>
            </w:r>
          </w:p>
        </w:tc>
        <w:tc>
          <w:tcPr>
            <w:tcW w:w="9901" w:type="dxa"/>
            <w:tcBorders/>
            <w:shd w:fill="auto" w:val="clear"/>
          </w:tcPr>
          <w:p>
            <w:pPr>
              <w:pStyle w:val="TableContents"/>
              <w:spacing w:before="0" w:after="0"/>
              <w:ind w:left="0" w:right="0" w:hanging="0"/>
              <w:jc w:val="left"/>
              <w:rPr/>
            </w:pPr>
            <w:r>
              <w:rPr>
                <w:rFonts w:ascii="helvetica" w:hAnsi="helvetica"/>
                <w:sz w:val="20"/>
              </w:rPr>
              <w:t>Represents (i) an option to purchase up to 125,000 shares of common stock under the 2007 Plan granted on January 25, 2012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(ii) an option to purchase up to 25,000 shares of common stock under the 2007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and (iii) an option to purchase up to 60,000 shares of common stock under the 2007 Plan granted on April 1, 2012 in connection with his appointment as our Chief Executive Officer.</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(5)</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Consists of (i) $23,500 paid to an entity beneficially owned by Mr. Schupp for consulting services performed during the fiscal year 2012 prior to his hire as our Chief Medical Officer, and (ii) $5,634 paid for medical and dental insurance premiums.</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ind w:left="0" w:right="0" w:hanging="0"/>
              <w:jc w:val="left"/>
              <w:rPr/>
            </w:pPr>
            <w:r>
              <w:rPr>
                <w:rFonts w:ascii="helvetica" w:hAnsi="helvetica"/>
                <w:sz w:val="20"/>
              </w:rPr>
              <w:t>(6)</w:t>
            </w:r>
            <w:r>
              <w:rPr/>
              <w:t xml:space="preserve"> </w:t>
            </w:r>
          </w:p>
        </w:tc>
        <w:tc>
          <w:tcPr>
            <w:tcW w:w="9901" w:type="dxa"/>
            <w:tcBorders/>
            <w:shd w:fill="auto" w:val="clear"/>
          </w:tcPr>
          <w:p>
            <w:pPr>
              <w:pStyle w:val="TableContents"/>
              <w:spacing w:before="0" w:after="0"/>
              <w:ind w:left="0" w:right="0" w:hanging="0"/>
              <w:jc w:val="left"/>
              <w:rPr/>
            </w:pPr>
            <w:r>
              <w:rPr>
                <w:rFonts w:ascii="helvetica" w:hAnsi="helvetica"/>
                <w:sz w:val="20"/>
              </w:rPr>
              <w:t>Represents (i) an option to purchase up to 225,000 shares of common stock under the 2007 Plan granted on January 25, 2012 in connection with his appointment as our President, and (ii) an option to purchase up to 25,000 shares of common stock under the 2007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Dr. Brar’s April 1, 2012 option grant were forfeited, and the 6,250 vested shares under such option remain exercisable until March 22, 2013.</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(7)</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Consists of (i) $5,000 paid to Mr. Boll for consulting services performed during the fiscal year 2012 prior to his hire as our Vice President, Accounting and Public Reporting, and (ii) $2,524 paid for medical and dental insurance premiums. </w:t>
            </w: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pPr>
      <w:r>
        <w:rPr>
          <w:rFonts w:ascii="helvetica" w:hAnsi="helvetica"/>
          <w:b/>
          <w:sz w:val="20"/>
        </w:rPr>
        <w:t>Outstanding Equity Awards at Fiscal Year-End</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The following table sets forth certain information concerning outstanding stock awards held by our named executive officers and our Vice President, Accounting and Public Reporting serving during the fiscal year ended December 31, 2012.</w:t>
      </w:r>
      <w:r>
        <w:rPr/>
        <w:t xml:space="preserve"> </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432"/>
        <w:gridCol w:w="81"/>
        <w:gridCol w:w="97"/>
        <w:gridCol w:w="1083"/>
        <w:gridCol w:w="350"/>
        <w:gridCol w:w="81"/>
        <w:gridCol w:w="106"/>
        <w:gridCol w:w="1199"/>
        <w:gridCol w:w="350"/>
        <w:gridCol w:w="81"/>
        <w:gridCol w:w="176"/>
        <w:gridCol w:w="710"/>
        <w:gridCol w:w="80"/>
        <w:gridCol w:w="81"/>
        <w:gridCol w:w="355"/>
        <w:gridCol w:w="671"/>
        <w:gridCol w:w="81"/>
        <w:gridCol w:w="81"/>
        <w:gridCol w:w="121"/>
        <w:gridCol w:w="1365"/>
        <w:gridCol w:w="253"/>
        <w:gridCol w:w="81"/>
        <w:gridCol w:w="141"/>
        <w:gridCol w:w="1043"/>
        <w:gridCol w:w="106"/>
      </w:tblGrid>
      <w:tr>
        <w:trPr/>
        <w:tc>
          <w:tcPr>
            <w:tcW w:w="6933" w:type="dxa"/>
            <w:gridSpan w:val="16"/>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3004" w:type="dxa"/>
            <w:gridSpan w:val="6"/>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283"/>
              <w:rPr/>
            </w:pPr>
            <w:r>
              <w:rPr/>
              <w:t> </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Market Value</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of Shares or</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of Shares</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Units of</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or Units</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Stock that</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Exercise</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Expiration</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of Stock that</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Have Not</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Name</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Exercisable</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Unexercisable</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Price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Date</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Have Not Vested</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Vested(1)</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114,583</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(2)</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10,417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(2)</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2.40</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1/25/2022</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31,875</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(3)</w:t>
            </w:r>
          </w:p>
        </w:tc>
        <w:tc>
          <w:tcPr>
            <w:tcW w:w="8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28,125</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(3)</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1026" w:type="dxa"/>
            <w:gridSpan w:val="2"/>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3/31/2017</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283"/>
              <w:rPr/>
            </w:pPr>
            <w:r>
              <w:rPr/>
              <w:t xml:space="preserve">  </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18,750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6,250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3/31/2017</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righ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355" w:type="dxa"/>
            <w:tcBorders/>
            <w:shd w:fill="FFFFFF" w:val="clear"/>
            <w:tcMar>
              <w:bottom w:w="0" w:type="dxa"/>
            </w:tcMar>
            <w:vAlign w:val="bottom"/>
          </w:tcPr>
          <w:p>
            <w:pPr>
              <w:pStyle w:val="TableContents"/>
              <w:spacing w:before="0" w:after="283"/>
              <w:jc w:val="left"/>
              <w:rPr/>
            </w:pPr>
            <w:r>
              <w:rPr/>
              <w:t> </w:t>
            </w:r>
          </w:p>
        </w:tc>
        <w:tc>
          <w:tcPr>
            <w:tcW w:w="67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160,000</w:t>
            </w:r>
          </w:p>
        </w:tc>
        <w:tc>
          <w:tcPr>
            <w:tcW w:w="253"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(5)</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1,560,000</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68,750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156,250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3.68</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1/25/2016</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6,250</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(7)</w:t>
            </w:r>
          </w:p>
        </w:tc>
        <w:tc>
          <w:tcPr>
            <w:tcW w:w="8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355" w:type="dxa"/>
            <w:tcBorders/>
            <w:shd w:fill="FFFFFF" w:val="clear"/>
            <w:tcMar>
              <w:bottom w:w="0" w:type="dxa"/>
            </w:tcMar>
            <w:vAlign w:val="bottom"/>
          </w:tcPr>
          <w:p>
            <w:pPr>
              <w:pStyle w:val="TableContents"/>
              <w:spacing w:before="0" w:after="283"/>
              <w:jc w:val="left"/>
              <w:rPr/>
            </w:pPr>
            <w:r>
              <w:rPr/>
              <w:t> </w:t>
            </w:r>
          </w:p>
        </w:tc>
        <w:tc>
          <w:tcPr>
            <w:tcW w:w="67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P.H. Schupp, M.D.</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22,917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(8)</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52,083</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(8)</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3.60</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2/15/2016</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493</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(9)</w:t>
            </w:r>
          </w:p>
        </w:tc>
        <w:tc>
          <w:tcPr>
            <w:tcW w:w="8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1026" w:type="dxa"/>
            <w:gridSpan w:val="2"/>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10/5/2014</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4,583</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(10)</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10,417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(10)</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3.68</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2/1/2016</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89" w:name="PGBRK64"/>
      <w:bookmarkStart w:id="790" w:name="PGBRK64"/>
      <w:bookmarkEnd w:id="7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91" w:name="FTR64"/>
      <w:bookmarkStart w:id="792" w:name="FTR64"/>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3" w:name="GLFTR63"/>
      <w:bookmarkEnd w:id="7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94" w:name="PN63"/>
      <w:bookmarkEnd w:id="794"/>
      <w:r>
        <w:rPr>
          <w:rFonts w:ascii="Helvetica" w:hAnsi="Helvetica"/>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95" w:name="HDR63"/>
      <w:bookmarkStart w:id="796" w:name="HDR63"/>
      <w:bookmarkEnd w:id="7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7" w:name="GLHDR63"/>
      <w:bookmarkEnd w:id="7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right"/>
              <w:rPr/>
            </w:pPr>
            <w:r>
              <w:rPr>
                <w:rFonts w:ascii="helvetica" w:hAnsi="helvetica"/>
                <w:sz w:val="20"/>
              </w:rPr>
              <w:t>(1)  </w:t>
            </w:r>
            <w:r>
              <w:rPr/>
              <w:t xml:space="preserve"> </w:t>
            </w:r>
          </w:p>
        </w:tc>
        <w:tc>
          <w:tcPr>
            <w:tcW w:w="9814" w:type="dxa"/>
            <w:tcBorders/>
            <w:shd w:fill="auto" w:val="clear"/>
          </w:tcPr>
          <w:p>
            <w:pPr>
              <w:pStyle w:val="TableContents"/>
              <w:spacing w:before="0" w:after="0"/>
              <w:ind w:left="0" w:right="0" w:hanging="0"/>
              <w:jc w:val="left"/>
              <w:rPr/>
            </w:pPr>
            <w:r>
              <w:rPr>
                <w:rFonts w:ascii="helvetica" w:hAnsi="helvetica"/>
                <w:sz w:val="20"/>
              </w:rPr>
              <w:t>Calculated by multiplying the number of unvested shares by $9.75, the closing price per share of our common stock on December 31, 2012 (which was the last business day of the fiscal year).</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right"/>
              <w:rPr/>
            </w:pPr>
            <w:r>
              <w:rPr>
                <w:rFonts w:ascii="helvetica" w:hAnsi="helvetica"/>
                <w:sz w:val="20"/>
              </w:rPr>
              <w:t>(2)  </w:t>
            </w:r>
            <w:r>
              <w:rPr/>
              <w:t xml:space="preserve"> </w:t>
            </w:r>
          </w:p>
        </w:tc>
        <w:tc>
          <w:tcPr>
            <w:tcW w:w="9814" w:type="dxa"/>
            <w:tcBorders/>
            <w:shd w:fill="auto" w:val="clear"/>
          </w:tcPr>
          <w:p>
            <w:pPr>
              <w:pStyle w:val="TableContents"/>
              <w:spacing w:before="0" w:after="0"/>
              <w:ind w:left="0" w:right="0" w:hanging="0"/>
              <w:jc w:val="left"/>
              <w:rPr/>
            </w:pPr>
            <w:r>
              <w:rPr>
                <w:rFonts w:ascii="helvetica" w:hAnsi="helvetica"/>
                <w:sz w:val="20"/>
              </w:rPr>
              <w:t>Represents an option granted to Mr. Baum on April 1, 2012 under the 2007 Plan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12 equal monthly installments of 10,417 shares commencing on January 25, 2012 and ending on January 25, 2013.</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pPr>
            <w:r>
              <w:rPr>
                <w:rFonts w:ascii="helvetica" w:hAnsi="helvetica"/>
                <w:sz w:val="20"/>
              </w:rPr>
              <w:t>(3)  </w:t>
            </w:r>
            <w:r>
              <w:rPr/>
              <w:t xml:space="preserve"> </w:t>
            </w:r>
          </w:p>
        </w:tc>
        <w:tc>
          <w:tcPr>
            <w:tcW w:w="9813" w:type="dxa"/>
            <w:tcBorders/>
            <w:shd w:fill="auto" w:val="clear"/>
          </w:tcPr>
          <w:p>
            <w:pPr>
              <w:pStyle w:val="TableContents"/>
              <w:spacing w:before="0" w:after="0"/>
              <w:ind w:left="0" w:right="0" w:hanging="0"/>
              <w:jc w:val="left"/>
              <w:rPr/>
            </w:pPr>
            <w:r>
              <w:rPr>
                <w:rFonts w:ascii="helvetica" w:hAnsi="helvetica"/>
                <w:sz w:val="20"/>
              </w:rPr>
              <w:t>Represents an option granted to Mr. Baum an April 1, 2012 under the 2007 Plan in connection with his appointment as our Chief Executive Officer.  The option vests over a two-year period, with 15,000 shares vesting immediately upon issuance and an additional 1,875 shares vesting monthly for the 24 months thereafter.</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right"/>
              <w:rPr/>
            </w:pPr>
            <w:r>
              <w:rPr>
                <w:rFonts w:ascii="helvetica" w:hAnsi="helvetica"/>
                <w:sz w:val="20"/>
              </w:rPr>
              <w:t>(4)  </w:t>
            </w:r>
            <w:r>
              <w:rPr/>
              <w:t xml:space="preserve"> </w:t>
            </w:r>
          </w:p>
        </w:tc>
        <w:tc>
          <w:tcPr>
            <w:tcW w:w="9814" w:type="dxa"/>
            <w:tcBorders/>
            <w:shd w:fill="auto" w:val="clear"/>
          </w:tcPr>
          <w:p>
            <w:pPr>
              <w:pStyle w:val="TableContents"/>
              <w:spacing w:before="0" w:after="0"/>
              <w:ind w:left="0" w:right="0" w:hanging="0"/>
              <w:jc w:val="left"/>
              <w:rPr/>
            </w:pPr>
            <w:r>
              <w:rPr>
                <w:rFonts w:ascii="helvetica" w:hAnsi="helvetica"/>
                <w:sz w:val="20"/>
              </w:rPr>
              <w:t>Represents an option granted to Mr. Baum an April 1, 2012 under the 2007 Plan in connection with his services as a director.  The option vests in four equal quarterly installments of 6,250 shares commencing on June 30, 2012.</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pPr>
            <w:r>
              <w:rPr>
                <w:rFonts w:ascii="helvetica" w:hAnsi="helvetica"/>
                <w:sz w:val="20"/>
              </w:rPr>
              <w:t>(5)  </w:t>
            </w:r>
            <w:r>
              <w:rPr/>
              <w:t xml:space="preserve"> </w:t>
            </w:r>
          </w:p>
        </w:tc>
        <w:tc>
          <w:tcPr>
            <w:tcW w:w="9813" w:type="dxa"/>
            <w:tcBorders/>
            <w:shd w:fill="auto" w:val="clear"/>
          </w:tcPr>
          <w:p>
            <w:pPr>
              <w:pStyle w:val="TableContents"/>
              <w:spacing w:before="0" w:after="0"/>
              <w:ind w:left="0" w:right="0" w:hanging="0"/>
              <w:jc w:val="left"/>
              <w:rPr/>
            </w:pPr>
            <w:r>
              <w:rPr>
                <w:rFonts w:ascii="helvetica" w:hAnsi="helvetica"/>
                <w:sz w:val="20"/>
              </w:rPr>
              <w:t>Represents restricted stock units granted to Mr. Baum outside the 2007 Plan in connection with his services as our Chief Executive Officer. The total award vests as follows:  (i) 25% vests on successful completion of a financing that results in aggregate cash proceeds to the Company of at least $5,000,000 at any time following the effective date of the grant; (ii) 25% vests on the Company meeting the primary endpoints of its Phase 3 clinical studies for its drug candidate, Impracor; (iii) 25% vests on the Company submitting a New Drug Application for Impracor to the U.S. Food and Drug Administration; and (iv) 25% vests on the Company entering into a definitive license, collaboration or similar agreement for Impracor that would reasonably be expected to generate cash flow for the Company.</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pPr>
            <w:r>
              <w:rPr>
                <w:rFonts w:ascii="helvetica" w:hAnsi="helvetica"/>
                <w:sz w:val="20"/>
              </w:rPr>
              <w:t>(6)  </w:t>
            </w:r>
            <w:r>
              <w:rPr/>
              <w:t xml:space="preserve"> </w:t>
            </w:r>
          </w:p>
        </w:tc>
        <w:tc>
          <w:tcPr>
            <w:tcW w:w="9813" w:type="dxa"/>
            <w:tcBorders/>
            <w:shd w:fill="auto" w:val="clear"/>
          </w:tcPr>
          <w:p>
            <w:pPr>
              <w:pStyle w:val="TableContents"/>
              <w:spacing w:before="0" w:after="0"/>
              <w:ind w:left="0" w:right="0" w:hanging="0"/>
              <w:jc w:val="left"/>
              <w:rPr/>
            </w:pPr>
            <w:r>
              <w:rPr>
                <w:rFonts w:ascii="helvetica" w:hAnsi="helvetica"/>
                <w:sz w:val="20"/>
              </w:rPr>
              <w:t>Represents an option granted to Dr. Brar on January 25, 2012 under the 2007 Plan in connection with his appointment as our President.  The option vests in equal monthly installments over the 36 month period following the date of grant.</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pPr>
            <w:r>
              <w:rPr>
                <w:rFonts w:ascii="helvetica" w:hAnsi="helvetica"/>
                <w:sz w:val="20"/>
              </w:rPr>
              <w:t>(7)  </w:t>
            </w:r>
            <w:r>
              <w:rPr/>
              <w:t xml:space="preserve"> </w:t>
            </w:r>
          </w:p>
        </w:tc>
        <w:tc>
          <w:tcPr>
            <w:tcW w:w="9813" w:type="dxa"/>
            <w:tcBorders/>
            <w:shd w:fill="auto" w:val="clear"/>
          </w:tcPr>
          <w:p>
            <w:pPr>
              <w:pStyle w:val="TableContents"/>
              <w:spacing w:before="0" w:after="0"/>
              <w:ind w:left="0" w:right="0" w:hanging="0"/>
              <w:jc w:val="left"/>
              <w:rPr/>
            </w:pPr>
            <w:r>
              <w:rPr>
                <w:rFonts w:ascii="helvetica" w:hAnsi="helvetica"/>
                <w:sz w:val="20"/>
              </w:rPr>
              <w:t>Represents an option granted to Dr. Brar on April 1, 2012 under the 2007 Plan in connection with his former services as a director.  The option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the option were forfeited, and the 6,250 vested shares under the option remain exercisable until March 22, 2013.</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pPr>
            <w:r>
              <w:rPr>
                <w:rFonts w:ascii="helvetica" w:hAnsi="helvetica"/>
                <w:sz w:val="20"/>
              </w:rPr>
              <w:t>(8)  </w:t>
            </w:r>
            <w:r>
              <w:rPr/>
              <w:t xml:space="preserve"> </w:t>
            </w:r>
          </w:p>
        </w:tc>
        <w:tc>
          <w:tcPr>
            <w:tcW w:w="9813" w:type="dxa"/>
            <w:tcBorders/>
            <w:shd w:fill="auto" w:val="clear"/>
          </w:tcPr>
          <w:p>
            <w:pPr>
              <w:pStyle w:val="TableContents"/>
              <w:spacing w:before="0" w:after="0"/>
              <w:ind w:left="0" w:right="0" w:hanging="0"/>
              <w:jc w:val="left"/>
              <w:rPr/>
            </w:pPr>
            <w:r>
              <w:rPr>
                <w:rFonts w:ascii="helvetica" w:hAnsi="helvetica"/>
                <w:sz w:val="20"/>
              </w:rPr>
              <w:t>Represents an option granted to Dr. Schupp on February 15, 2012 under the 2007 Plan in connection with his appointment as our Chief Medical Officer.  The option vests in equal monthly installments over the 36 month period following the date of grant.</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pPr>
            <w:r>
              <w:rPr>
                <w:rFonts w:ascii="helvetica" w:hAnsi="helvetica"/>
                <w:sz w:val="20"/>
              </w:rPr>
              <w:t>(9)  </w:t>
            </w:r>
            <w:r>
              <w:rPr/>
              <w:t xml:space="preserve"> </w:t>
            </w:r>
          </w:p>
        </w:tc>
        <w:tc>
          <w:tcPr>
            <w:tcW w:w="9813" w:type="dxa"/>
            <w:tcBorders/>
            <w:shd w:fill="auto" w:val="clear"/>
          </w:tcPr>
          <w:p>
            <w:pPr>
              <w:pStyle w:val="TableContents"/>
              <w:spacing w:before="0" w:after="0"/>
              <w:ind w:left="0" w:right="0" w:hanging="0"/>
              <w:jc w:val="left"/>
              <w:rPr/>
            </w:pPr>
            <w:r>
              <w:rPr>
                <w:rFonts w:ascii="helvetica" w:hAnsi="helvetica"/>
                <w:sz w:val="20"/>
              </w:rPr>
              <w:t>Represents an option granted to Dr. Schupp on December 15, 2011 under the 2007 Plan in connection with a release given by Dr. Schupp upon DermaStar’s investment in the Company.  The option was 100% vested upon its grant.</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0"/>
              <w:ind w:left="0" w:right="0" w:hanging="0"/>
              <w:jc w:val="right"/>
              <w:rPr/>
            </w:pPr>
            <w:r>
              <w:rPr>
                <w:rFonts w:ascii="helvetica" w:hAnsi="helvetica"/>
                <w:sz w:val="20"/>
              </w:rPr>
              <w:t>(10)  </w:t>
            </w:r>
            <w:r>
              <w:rPr/>
              <w:t xml:space="preserve"> </w:t>
            </w:r>
          </w:p>
        </w:tc>
        <w:tc>
          <w:tcPr>
            <w:tcW w:w="9682" w:type="dxa"/>
            <w:tcBorders/>
            <w:shd w:fill="auto" w:val="clear"/>
          </w:tcPr>
          <w:p>
            <w:pPr>
              <w:pStyle w:val="TableContents"/>
              <w:spacing w:before="0" w:after="0"/>
              <w:ind w:left="0" w:right="0" w:hanging="0"/>
              <w:jc w:val="left"/>
              <w:rPr/>
            </w:pPr>
            <w:r>
              <w:rPr>
                <w:rFonts w:ascii="helvetica" w:hAnsi="helvetica"/>
                <w:sz w:val="20"/>
              </w:rPr>
              <w:t>Represents an option granted to Mr. Boll on February 1, 2012 under the 2007 Plan in connection with his appointment as our Vice President, Accounting and Public Reporting.  The option vests in equal monthly installments over the 36 month period following the date of grant.</w:t>
            </w: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Employment Agreements</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Mark Baum</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1, 2012, the Board of Directors appointed Mr. Mark L. Baum, Esq.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Also on April 1, 2012, the Company granted to Mr. Baum an option to purchase up to 60,000 shares of common stock at an exercise price of $4.50 per share under the 2007 Plan .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8" w:name="PGBRK65"/>
      <w:bookmarkStart w:id="799" w:name="PGBRK65"/>
      <w:bookmarkEnd w:id="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0" w:name="FTR65"/>
      <w:bookmarkStart w:id="801" w:name="FTR65"/>
      <w:bookmarkEnd w:id="8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2" w:name="GLFTR64"/>
      <w:bookmarkEnd w:id="8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03" w:name="PN64"/>
      <w:bookmarkEnd w:id="803"/>
      <w:r>
        <w:rPr>
          <w:rFonts w:ascii="helvetica" w:hAnsi="helvetica"/>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4" w:name="HDR64"/>
      <w:bookmarkStart w:id="805" w:name="HDR64"/>
      <w:bookmarkEnd w:id="8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6" w:name="GLHDR64"/>
      <w:bookmarkEnd w:id="8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On January 25, 2012, the Board approved an option grant to Mr. Baum to purchase up to 125,000 shares pursuant to the 2007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installments commencing on January 25, 2012 and ending on January 25, 2013, and has an exercise price of $2.40.</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Dr. Balbir Brar</w:t>
      </w:r>
    </w:p>
    <w:p>
      <w:pPr>
        <w:pStyle w:val="TextBody"/>
        <w:spacing w:before="0" w:after="0"/>
        <w:ind w:left="0" w:right="0" w:hanging="0"/>
        <w:rPr/>
      </w:pPr>
      <w:r>
        <w:rPr/>
        <w:t> </w:t>
      </w:r>
    </w:p>
    <w:p>
      <w:pPr>
        <w:pStyle w:val="TextBody"/>
        <w:spacing w:before="0" w:after="0"/>
        <w:ind w:left="720" w:right="0" w:hanging="0"/>
        <w:jc w:val="left"/>
        <w:rPr>
          <w:rFonts w:ascii="helvetica" w:hAnsi="helvetica"/>
          <w:sz w:val="20"/>
        </w:rPr>
      </w:pPr>
      <w:bookmarkStart w:id="807" w:name="TAB15"/>
      <w:bookmarkEnd w:id="807"/>
      <w:r>
        <w:rPr>
          <w:rFonts w:ascii="helvetica" w:hAnsi="helvetica"/>
          <w:sz w:val="20"/>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has a four year term and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Dr. Joachim Schupp</w:t>
      </w:r>
    </w:p>
    <w:p>
      <w:pPr>
        <w:pStyle w:val="TextBody"/>
        <w:spacing w:before="0" w:after="0"/>
        <w:ind w:left="0" w:right="0" w:hanging="0"/>
        <w:jc w:val="left"/>
        <w:rPr/>
      </w:pPr>
      <w:r>
        <w:rPr/>
        <w:t> </w:t>
      </w:r>
    </w:p>
    <w:p>
      <w:pPr>
        <w:pStyle w:val="TextBody"/>
        <w:spacing w:before="0" w:after="0"/>
        <w:ind w:left="720" w:right="0" w:hanging="0"/>
        <w:jc w:val="left"/>
        <w:rPr>
          <w:rFonts w:ascii="helvetica" w:hAnsi="helvetica"/>
          <w:sz w:val="20"/>
        </w:rPr>
      </w:pPr>
      <w:bookmarkStart w:id="808" w:name="TAB16"/>
      <w:bookmarkEnd w:id="808"/>
      <w:r>
        <w:rPr>
          <w:rFonts w:ascii="helvetica" w:hAnsi="helvetica"/>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2007 Plan.  The option has a four year term and vests monthly over a 36 month period following the date of grant. The option vests in full upon a change of control as defined in the 2007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Andrew R. Boll</w:t>
      </w:r>
    </w:p>
    <w:p>
      <w:pPr>
        <w:pStyle w:val="TextBody"/>
        <w:spacing w:before="0" w:after="0"/>
        <w:ind w:left="0" w:right="0" w:hanging="0"/>
        <w:rPr/>
      </w:pPr>
      <w:r>
        <w:rPr/>
        <w:t> </w:t>
      </w:r>
    </w:p>
    <w:p>
      <w:pPr>
        <w:pStyle w:val="TextBody"/>
        <w:spacing w:before="0" w:after="0"/>
        <w:ind w:left="720" w:right="0" w:hanging="0"/>
        <w:jc w:val="left"/>
        <w:rPr>
          <w:rFonts w:ascii="helvetica" w:hAnsi="helvetica"/>
          <w:sz w:val="20"/>
        </w:rPr>
      </w:pPr>
      <w:bookmarkStart w:id="809" w:name="TAB17"/>
      <w:bookmarkEnd w:id="809"/>
      <w:r>
        <w:rPr>
          <w:rFonts w:ascii="helvetica" w:hAnsi="helvetica"/>
          <w:sz w:val="20"/>
        </w:rPr>
        <w:t xml:space="preserve">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 On October 1, 2012, Mr. Boll's salary was increased to $90,000 per year.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0" w:name="PGBRK66"/>
      <w:bookmarkStart w:id="811" w:name="PGBRK66"/>
      <w:bookmarkEnd w:id="8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2" w:name="FTR66"/>
      <w:bookmarkStart w:id="813" w:name="FTR66"/>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4" w:name="GLFTR65"/>
      <w:bookmarkEnd w:id="8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15" w:name="PN65"/>
      <w:bookmarkEnd w:id="815"/>
      <w:r>
        <w:rPr>
          <w:rFonts w:ascii="helvetica" w:hAnsi="helvetica"/>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6" w:name="HDR65"/>
      <w:bookmarkStart w:id="817" w:name="HDR65"/>
      <w:bookmarkEnd w:id="8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8" w:name="GLHDR65"/>
      <w:bookmarkEnd w:id="8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2007 Incentive Stock and Awards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stockholder approval of the amendment became effective upon our compliance with certain information requirements of the SEC.</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center"/>
        <w:rPr>
          <w:rFonts w:ascii="Helvetica" w:hAnsi="Helvetica"/>
          <w:b/>
          <w:sz w:val="20"/>
        </w:rPr>
      </w:pPr>
      <w:r>
        <w:rPr>
          <w:rFonts w:ascii="Helvetica" w:hAnsi="Helvetica"/>
          <w:b/>
          <w:sz w:val="20"/>
        </w:rPr>
        <w:t>DIRECTOR COMPENSATION</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Narrative Disclosure Regarding Director Compensation Practices</w:t>
      </w:r>
      <w:r>
        <w:rPr>
          <w:rFonts w:ascii="helvetica" w:hAnsi="helvetica"/>
          <w:sz w:val="20"/>
        </w:rPr>
        <w:t xml:space="preserve"> </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We do not currently have a standard director compensation program in place; however, the Board of Directors approved the following compensation to our directors for their service as directors in 2012: </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19" w:name="TAB214"/>
      <w:bookmarkEnd w:id="819"/>
      <w:r>
        <w:rPr>
          <w:rFonts w:ascii="helvetica" w:hAnsi="helvetica"/>
          <w:spacing w:val="180"/>
          <w:sz w:val="20"/>
        </w:rPr>
        <w:t> </w:t>
      </w:r>
      <w:r>
        <w:rPr>
          <w:rFonts w:ascii="helvetica" w:hAnsi="helvetica"/>
          <w:sz w:val="20"/>
        </w:rPr>
        <w:t xml:space="preserve">On April 1, 2012, the Board of Directors approved the grant to each of our directors on that date, including our employee and non-employee directors, of an option to purchase up to 25,000 shares of our common stock under the 2007 Plan (each, a “2012 Director Option”). The directors who received such an option were as follows: (i) employee directors Dr. Brar (whose option has been forfeited as a result of his resignation as a director but remains exercisable until March 22, 2013) and Mr. Baum, and (ii) non-employee directors Dr. Kammer, Dr. Finnegan and Dr. Abrams.  Each of the options has an exercise price of $4.50 per share and a term of five years, and vests quarterly over a one year period such that options to purchase 6,250 shares vest on each of June 30, 2012, September 30, 2012, December 31, 2012 and March 31, 2013 (subject to continued service as a director on each such date). </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20" w:name="TAB215"/>
      <w:bookmarkEnd w:id="820"/>
      <w:r>
        <w:rPr>
          <w:rFonts w:ascii="helvetica" w:hAnsi="helvetica"/>
          <w:spacing w:val="180"/>
          <w:sz w:val="20"/>
        </w:rPr>
        <w:t> </w:t>
      </w:r>
      <w:r>
        <w:rPr>
          <w:rFonts w:ascii="helvetica" w:hAnsi="helvetica"/>
          <w:sz w:val="20"/>
        </w:rPr>
        <w:t xml:space="preserve">On April 1, 2012, the Board of Directors approved the grant to director Dr. Jeffrey Abrams, in consideration of his service as a director of the Company during 2011 and 2012, of an option to purchase up to 60,000 shares of common stock under the 2007 Plan.  The option has an exercise price of $4.50 per share and a term of ten years, and vests in equal monthly installments over a one year period. </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21" w:name="TAB216"/>
      <w:bookmarkEnd w:id="821"/>
      <w:r>
        <w:rPr>
          <w:rFonts w:ascii="helvetica" w:hAnsi="helvetica"/>
          <w:spacing w:val="180"/>
          <w:sz w:val="20"/>
        </w:rPr>
        <w:t> </w:t>
      </w:r>
      <w:r>
        <w:rPr>
          <w:rFonts w:ascii="helvetica" w:hAnsi="helvetica"/>
          <w:sz w:val="20"/>
        </w:rPr>
        <w:t xml:space="preserve">On July 26, 2012, in connection with his appointment as a director, the Board of Directors granted to Mr. Austin an option to purchase up to 17,123 shares of our common stock under the 2007 Plan. That option has an exercise price of $4.50 per share and a term of five years, and vests in equal monthly installments over a period of one year commencing on January 1, 2013. In addition, the Board of Directors approved our payment to Mr. Austin of a quarterly cash payment of $5,000 for his services as a director and a quarterly cash payment of $1,250 for his services as the chair of the Audit Committee. </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22" w:name="TAB217"/>
      <w:bookmarkEnd w:id="822"/>
      <w:r>
        <w:rPr>
          <w:rFonts w:ascii="helvetica" w:hAnsi="helvetica"/>
          <w:spacing w:val="180"/>
          <w:sz w:val="20"/>
        </w:rPr>
        <w:t> </w:t>
      </w:r>
      <w:r>
        <w:rPr>
          <w:rFonts w:ascii="helvetica" w:hAnsi="helvetica"/>
          <w:sz w:val="20"/>
        </w:rPr>
        <w:t xml:space="preserve">On December 14, 2012, in connection with his appointment as a director, the Board of Directors granted to Mr. Bassani an option to purchase up to 7,603 shares of our common stock under the 2007 Plan. That option has an exercise price of $10.75 per share and a term of five years, and vests in equal monthly installments over a period of one year commencing on January 1, 2013. In addition, the Board of Directors approved the payment to Mr. Bassani of a quarterly cash payment of $5,000 for his services as a director. </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Director Compensation Table</w:t>
      </w:r>
      <w:r>
        <w:rPr>
          <w:rFonts w:ascii="helvetica" w:hAnsi="helvetica"/>
          <w:sz w:val="20"/>
        </w:rPr>
        <w:t xml:space="preserve"> </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following table shows the compensation paid in fiscal 2012 to our non-employee directors.  All compensation received by directors Dr. Brar and Mr. Baum, including compensation received by them for services as a director, is disclosed in the Summary Compensation Table. </w:t>
      </w:r>
    </w:p>
    <w:p>
      <w:pPr>
        <w:pStyle w:val="TextBody"/>
        <w:spacing w:before="0" w:after="0"/>
        <w:ind w:left="0" w:right="0" w:firstLine="720"/>
        <w:jc w:val="left"/>
        <w:rPr/>
      </w:pPr>
      <w:r>
        <w:rPr/>
        <w:t> </w:t>
      </w:r>
    </w:p>
    <w:tbl>
      <w:tblPr>
        <w:tblW w:w="5000" w:type="pct"/>
        <w:jc w:val="left"/>
        <w:tblInd w:w="0" w:type="dxa"/>
        <w:tblCellMar>
          <w:top w:w="0" w:type="dxa"/>
          <w:left w:w="0" w:type="dxa"/>
          <w:bottom w:w="28" w:type="dxa"/>
          <w:right w:w="0" w:type="dxa"/>
        </w:tblCellMar>
      </w:tblPr>
      <w:tblGrid>
        <w:gridCol w:w="3755"/>
        <w:gridCol w:w="108"/>
        <w:gridCol w:w="162"/>
        <w:gridCol w:w="1026"/>
        <w:gridCol w:w="262"/>
        <w:gridCol w:w="108"/>
        <w:gridCol w:w="162"/>
        <w:gridCol w:w="1114"/>
        <w:gridCol w:w="262"/>
        <w:gridCol w:w="108"/>
        <w:gridCol w:w="162"/>
        <w:gridCol w:w="1113"/>
        <w:gridCol w:w="350"/>
        <w:gridCol w:w="108"/>
        <w:gridCol w:w="162"/>
        <w:gridCol w:w="1114"/>
        <w:gridCol w:w="129"/>
      </w:tblGrid>
      <w:tr>
        <w:trPr/>
        <w:tc>
          <w:tcPr>
            <w:tcW w:w="3755"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8" w:type="dxa"/>
            <w:tcBorders/>
            <w:shd w:fill="auto" w:val="clear"/>
            <w:tcMar>
              <w:bottom w:w="0" w:type="dxa"/>
            </w:tcMar>
            <w:vAlign w:val="bottom"/>
          </w:tcPr>
          <w:p>
            <w:pPr>
              <w:pStyle w:val="TableContents"/>
              <w:spacing w:before="0" w:after="283"/>
              <w:rPr/>
            </w:pPr>
            <w:r>
              <w:rPr/>
              <w:t> </w:t>
            </w:r>
          </w:p>
        </w:tc>
        <w:tc>
          <w:tcPr>
            <w:tcW w:w="1188"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Fees Earned or Paid in Cash</w:t>
            </w:r>
          </w:p>
        </w:tc>
        <w:tc>
          <w:tcPr>
            <w:tcW w:w="262"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Awards(1)(3)</w:t>
            </w:r>
          </w:p>
        </w:tc>
        <w:tc>
          <w:tcPr>
            <w:tcW w:w="262"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5"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(2)(3)</w:t>
            </w:r>
          </w:p>
        </w:tc>
        <w:tc>
          <w:tcPr>
            <w:tcW w:w="350"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75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269,444</w:t>
            </w:r>
          </w:p>
        </w:tc>
        <w:tc>
          <w:tcPr>
            <w:tcW w:w="2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381,578</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(5)</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651,022</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755"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Paul Finnegan, M.D.</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18,000</w:t>
            </w:r>
          </w:p>
        </w:tc>
        <w:tc>
          <w:tcPr>
            <w:tcW w:w="2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450,325</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(7)</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468,325</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75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381,480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(8)</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381,480</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755"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Stephen G. Austin, CPA</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12,500</w:t>
            </w:r>
          </w:p>
        </w:tc>
        <w:tc>
          <w:tcPr>
            <w:tcW w:w="262"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58,099</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(9)</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70,599</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75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August S. Bassani, Pharm.D.</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81,627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(10)</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81,627</w:t>
            </w:r>
          </w:p>
        </w:tc>
        <w:tc>
          <w:tcPr>
            <w:tcW w:w="12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23" w:name="PGBRK67"/>
      <w:bookmarkStart w:id="824" w:name="PGBRK67"/>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25" w:name="FTR67"/>
      <w:bookmarkStart w:id="826" w:name="FTR67"/>
      <w:bookmarkEnd w:id="8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7" w:name="GLFTR66"/>
      <w:bookmarkEnd w:id="8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28" w:name="PN66"/>
      <w:bookmarkEnd w:id="828"/>
      <w:r>
        <w:rPr>
          <w:rFonts w:ascii="Helvetica" w:hAnsi="Helvetica"/>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29" w:name="HDR66"/>
      <w:bookmarkStart w:id="830" w:name="HDR66"/>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1" w:name="GLHDR66"/>
      <w:bookmarkEnd w:id="8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(1)</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jc w:val="left"/>
              <w:rPr/>
            </w:pPr>
            <w:r>
              <w:rPr>
                <w:rFonts w:ascii="helvetica" w:hAnsi="helvetica"/>
                <w:sz w:val="20"/>
              </w:rPr>
              <w:t>(2)</w:t>
            </w:r>
            <w:r>
              <w:rPr/>
              <w:t xml:space="preserve"> </w:t>
            </w:r>
          </w:p>
        </w:tc>
        <w:tc>
          <w:tcPr>
            <w:tcW w:w="9899" w:type="dxa"/>
            <w:tcBorders/>
            <w:shd w:fill="auto" w:val="clear"/>
          </w:tcPr>
          <w:p>
            <w:pPr>
              <w:pStyle w:val="TableContents"/>
              <w:spacing w:before="0" w:after="0"/>
              <w:ind w:left="0" w:right="0" w:hanging="0"/>
              <w:jc w:val="left"/>
              <w:rPr/>
            </w:pPr>
            <w:r>
              <w:rPr>
                <w:rFonts w:ascii="helvetica" w:hAnsi="helvetica"/>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(3)</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The aggregate number of stock and option awards outstanding as of December 31, 2012 for each non-employee director are as follows:</w:t>
            </w:r>
            <w:r>
              <w:rPr/>
              <w:t xml:space="preserve"> </w:t>
            </w:r>
          </w:p>
        </w:tc>
      </w:tr>
    </w:tbl>
    <w:p>
      <w:pPr>
        <w:pStyle w:val="TextBody"/>
        <w:spacing w:before="0" w:after="0"/>
        <w:ind w:left="0" w:right="0" w:hanging="0"/>
        <w:jc w:val="left"/>
        <w:rPr/>
      </w:pPr>
      <w:r>
        <w:rPr/>
        <w:t> </w:t>
      </w:r>
    </w:p>
    <w:tbl>
      <w:tblPr>
        <w:tblW w:w="4000" w:type="pct"/>
        <w:jc w:val="left"/>
        <w:tblInd w:w="540" w:type="dxa"/>
        <w:tblCellMar>
          <w:top w:w="0" w:type="dxa"/>
          <w:left w:w="0" w:type="dxa"/>
          <w:bottom w:w="28" w:type="dxa"/>
          <w:right w:w="0" w:type="dxa"/>
        </w:tblCellMar>
      </w:tblPr>
      <w:tblGrid>
        <w:gridCol w:w="4756"/>
        <w:gridCol w:w="88"/>
        <w:gridCol w:w="90"/>
        <w:gridCol w:w="879"/>
        <w:gridCol w:w="87"/>
        <w:gridCol w:w="88"/>
        <w:gridCol w:w="94"/>
        <w:gridCol w:w="875"/>
        <w:gridCol w:w="88"/>
        <w:gridCol w:w="87"/>
        <w:gridCol w:w="88"/>
        <w:gridCol w:w="844"/>
        <w:gridCol w:w="100"/>
      </w:tblGrid>
      <w:tr>
        <w:trPr/>
        <w:tc>
          <w:tcPr>
            <w:tcW w:w="4756"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88" w:type="dxa"/>
            <w:tcBorders/>
            <w:shd w:fill="auto" w:val="clear"/>
            <w:tcMar>
              <w:bottom w:w="0" w:type="dxa"/>
            </w:tcMar>
            <w:vAlign w:val="bottom"/>
          </w:tcPr>
          <w:p>
            <w:pPr>
              <w:pStyle w:val="TableContents"/>
              <w:spacing w:before="0" w:after="283"/>
              <w:rPr/>
            </w:pPr>
            <w:r>
              <w:rPr/>
              <w:t> </w:t>
            </w:r>
          </w:p>
        </w:tc>
        <w:tc>
          <w:tcPr>
            <w:tcW w:w="969"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Shares Underlying Options Awards</w:t>
            </w:r>
          </w:p>
        </w:tc>
        <w:tc>
          <w:tcPr>
            <w:tcW w:w="87"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969"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Shares Underlying Stock Awards</w:t>
            </w:r>
          </w:p>
        </w:tc>
        <w:tc>
          <w:tcPr>
            <w:tcW w:w="88"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3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00" w:type="dxa"/>
            <w:tcBorders/>
            <w:shd w:fill="auto" w:val="clear"/>
            <w:tcMar>
              <w:bottom w:w="0" w:type="dxa"/>
            </w:tcMar>
            <w:vAlign w:val="bottom"/>
          </w:tcPr>
          <w:p>
            <w:pPr>
              <w:pStyle w:val="TableContents"/>
              <w:spacing w:before="0" w:after="283"/>
              <w:jc w:val="left"/>
              <w:rPr/>
            </w:pPr>
            <w:r>
              <w:rPr/>
              <w:t> </w:t>
            </w:r>
          </w:p>
        </w:tc>
      </w:tr>
      <w:tr>
        <w:trPr/>
        <w:tc>
          <w:tcPr>
            <w:tcW w:w="4756"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88" w:type="dxa"/>
            <w:tcBorders/>
            <w:shd w:fill="CCEEFF" w:val="clear"/>
            <w:tcMar>
              <w:bottom w:w="0" w:type="dxa"/>
            </w:tcMar>
            <w:vAlign w:val="bottom"/>
          </w:tcPr>
          <w:p>
            <w:pPr>
              <w:pStyle w:val="TableContents"/>
              <w:spacing w:before="0" w:after="283"/>
              <w:jc w:val="left"/>
              <w:rPr/>
            </w:pPr>
            <w:r>
              <w:rPr/>
              <w:t> </w:t>
            </w:r>
          </w:p>
        </w:tc>
        <w:tc>
          <w:tcPr>
            <w:tcW w:w="90" w:type="dxa"/>
            <w:tcBorders/>
            <w:shd w:fill="CCEEFF" w:val="clear"/>
            <w:tcMar>
              <w:bottom w:w="0" w:type="dxa"/>
            </w:tcMar>
            <w:vAlign w:val="bottom"/>
          </w:tcPr>
          <w:p>
            <w:pPr>
              <w:pStyle w:val="TableContents"/>
              <w:spacing w:before="0" w:after="283"/>
              <w:jc w:val="left"/>
              <w:rPr/>
            </w:pPr>
            <w:r>
              <w:rPr/>
              <w:t> </w:t>
            </w:r>
          </w:p>
        </w:tc>
        <w:tc>
          <w:tcPr>
            <w:tcW w:w="87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85,000</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87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60,000</w:t>
            </w:r>
          </w:p>
        </w:tc>
        <w:tc>
          <w:tcPr>
            <w:tcW w:w="88"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84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145,000</w:t>
            </w:r>
          </w:p>
        </w:tc>
        <w:tc>
          <w:tcPr>
            <w:tcW w:w="100" w:type="dxa"/>
            <w:tcBorders/>
            <w:shd w:fill="CCEEFF" w:val="clear"/>
            <w:tcMar>
              <w:bottom w:w="0" w:type="dxa"/>
            </w:tcMar>
            <w:vAlign w:val="bottom"/>
          </w:tcPr>
          <w:p>
            <w:pPr>
              <w:pStyle w:val="TableContents"/>
              <w:spacing w:before="0" w:after="283"/>
              <w:jc w:val="left"/>
              <w:rPr/>
            </w:pPr>
            <w:r>
              <w:rPr/>
              <w:t> </w:t>
            </w:r>
          </w:p>
        </w:tc>
      </w:tr>
      <w:tr>
        <w:trPr/>
        <w:tc>
          <w:tcPr>
            <w:tcW w:w="4756"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Paul Finnegan, M.D.</w:t>
            </w:r>
          </w:p>
        </w:tc>
        <w:tc>
          <w:tcPr>
            <w:tcW w:w="88" w:type="dxa"/>
            <w:tcBorders/>
            <w:shd w:fill="FFFFFF" w:val="clear"/>
            <w:tcMar>
              <w:bottom w:w="0" w:type="dxa"/>
            </w:tcMar>
            <w:vAlign w:val="bottom"/>
          </w:tcPr>
          <w:p>
            <w:pPr>
              <w:pStyle w:val="TableContents"/>
              <w:spacing w:before="0" w:after="283"/>
              <w:jc w:val="left"/>
              <w:rPr/>
            </w:pPr>
            <w:r>
              <w:rPr/>
              <w:t> </w:t>
            </w:r>
          </w:p>
        </w:tc>
        <w:tc>
          <w:tcPr>
            <w:tcW w:w="90" w:type="dxa"/>
            <w:tcBorders/>
            <w:shd w:fill="FFFFFF" w:val="clear"/>
            <w:tcMar>
              <w:bottom w:w="0" w:type="dxa"/>
            </w:tcMar>
            <w:vAlign w:val="bottom"/>
          </w:tcPr>
          <w:p>
            <w:pPr>
              <w:pStyle w:val="TableContents"/>
              <w:spacing w:before="0" w:after="283"/>
              <w:jc w:val="left"/>
              <w:rPr/>
            </w:pPr>
            <w:r>
              <w:rPr/>
              <w:t> </w:t>
            </w:r>
          </w:p>
        </w:tc>
        <w:tc>
          <w:tcPr>
            <w:tcW w:w="87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150,000</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87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84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150,000</w:t>
            </w:r>
          </w:p>
        </w:tc>
        <w:tc>
          <w:tcPr>
            <w:tcW w:w="100" w:type="dxa"/>
            <w:tcBorders/>
            <w:shd w:fill="FFFFFF" w:val="clear"/>
            <w:tcMar>
              <w:bottom w:w="0" w:type="dxa"/>
            </w:tcMar>
            <w:vAlign w:val="bottom"/>
          </w:tcPr>
          <w:p>
            <w:pPr>
              <w:pStyle w:val="TableContents"/>
              <w:spacing w:before="0" w:after="283"/>
              <w:jc w:val="left"/>
              <w:rPr/>
            </w:pPr>
            <w:r>
              <w:rPr/>
              <w:t> </w:t>
            </w:r>
          </w:p>
        </w:tc>
      </w:tr>
      <w:tr>
        <w:trPr/>
        <w:tc>
          <w:tcPr>
            <w:tcW w:w="4756"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88" w:type="dxa"/>
            <w:tcBorders/>
            <w:shd w:fill="CCEEFF" w:val="clear"/>
            <w:tcMar>
              <w:bottom w:w="0" w:type="dxa"/>
            </w:tcMar>
            <w:vAlign w:val="bottom"/>
          </w:tcPr>
          <w:p>
            <w:pPr>
              <w:pStyle w:val="TableContents"/>
              <w:spacing w:before="0" w:after="283"/>
              <w:jc w:val="left"/>
              <w:rPr/>
            </w:pPr>
            <w:r>
              <w:rPr/>
              <w:t> </w:t>
            </w:r>
          </w:p>
        </w:tc>
        <w:tc>
          <w:tcPr>
            <w:tcW w:w="90" w:type="dxa"/>
            <w:tcBorders/>
            <w:shd w:fill="CCEEFF" w:val="clear"/>
            <w:tcMar>
              <w:bottom w:w="0" w:type="dxa"/>
            </w:tcMar>
            <w:vAlign w:val="bottom"/>
          </w:tcPr>
          <w:p>
            <w:pPr>
              <w:pStyle w:val="TableContents"/>
              <w:spacing w:before="0" w:after="283"/>
              <w:jc w:val="left"/>
              <w:rPr/>
            </w:pPr>
            <w:r>
              <w:rPr/>
              <w:t> </w:t>
            </w:r>
          </w:p>
        </w:tc>
        <w:tc>
          <w:tcPr>
            <w:tcW w:w="87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87,250</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87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84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87,250</w:t>
            </w:r>
          </w:p>
        </w:tc>
        <w:tc>
          <w:tcPr>
            <w:tcW w:w="100" w:type="dxa"/>
            <w:tcBorders/>
            <w:shd w:fill="CCEEFF" w:val="clear"/>
            <w:tcMar>
              <w:bottom w:w="0" w:type="dxa"/>
            </w:tcMar>
            <w:vAlign w:val="bottom"/>
          </w:tcPr>
          <w:p>
            <w:pPr>
              <w:pStyle w:val="TableContents"/>
              <w:spacing w:before="0" w:after="283"/>
              <w:jc w:val="left"/>
              <w:rPr/>
            </w:pPr>
            <w:r>
              <w:rPr/>
              <w:t> </w:t>
            </w:r>
          </w:p>
        </w:tc>
      </w:tr>
      <w:tr>
        <w:trPr/>
        <w:tc>
          <w:tcPr>
            <w:tcW w:w="4756"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Stephen G. Austin, CPA</w:t>
            </w:r>
          </w:p>
        </w:tc>
        <w:tc>
          <w:tcPr>
            <w:tcW w:w="88" w:type="dxa"/>
            <w:tcBorders/>
            <w:shd w:fill="FFFFFF" w:val="clear"/>
            <w:tcMar>
              <w:bottom w:w="0" w:type="dxa"/>
            </w:tcMar>
            <w:vAlign w:val="bottom"/>
          </w:tcPr>
          <w:p>
            <w:pPr>
              <w:pStyle w:val="TableContents"/>
              <w:spacing w:before="0" w:after="283"/>
              <w:jc w:val="left"/>
              <w:rPr/>
            </w:pPr>
            <w:r>
              <w:rPr/>
              <w:t> </w:t>
            </w:r>
          </w:p>
        </w:tc>
        <w:tc>
          <w:tcPr>
            <w:tcW w:w="90" w:type="dxa"/>
            <w:tcBorders/>
            <w:shd w:fill="FFFFFF" w:val="clear"/>
            <w:tcMar>
              <w:bottom w:w="0" w:type="dxa"/>
            </w:tcMar>
            <w:vAlign w:val="bottom"/>
          </w:tcPr>
          <w:p>
            <w:pPr>
              <w:pStyle w:val="TableContents"/>
              <w:spacing w:before="0" w:after="283"/>
              <w:jc w:val="left"/>
              <w:rPr/>
            </w:pPr>
            <w:r>
              <w:rPr/>
              <w:t> </w:t>
            </w:r>
          </w:p>
        </w:tc>
        <w:tc>
          <w:tcPr>
            <w:tcW w:w="87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17,123</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87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84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17,123</w:t>
            </w:r>
          </w:p>
        </w:tc>
        <w:tc>
          <w:tcPr>
            <w:tcW w:w="100" w:type="dxa"/>
            <w:tcBorders/>
            <w:shd w:fill="FFFFFF" w:val="clear"/>
            <w:tcMar>
              <w:bottom w:w="0" w:type="dxa"/>
            </w:tcMar>
            <w:vAlign w:val="bottom"/>
          </w:tcPr>
          <w:p>
            <w:pPr>
              <w:pStyle w:val="TableContents"/>
              <w:spacing w:before="0" w:after="283"/>
              <w:jc w:val="left"/>
              <w:rPr/>
            </w:pPr>
            <w:r>
              <w:rPr/>
              <w:t> </w:t>
            </w:r>
          </w:p>
        </w:tc>
      </w:tr>
      <w:tr>
        <w:trPr/>
        <w:tc>
          <w:tcPr>
            <w:tcW w:w="4756"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August S. Bassani, Pharm.D.</w:t>
            </w:r>
          </w:p>
        </w:tc>
        <w:tc>
          <w:tcPr>
            <w:tcW w:w="88" w:type="dxa"/>
            <w:tcBorders/>
            <w:shd w:fill="CCEEFF" w:val="clear"/>
            <w:tcMar>
              <w:bottom w:w="0" w:type="dxa"/>
            </w:tcMar>
            <w:vAlign w:val="bottom"/>
          </w:tcPr>
          <w:p>
            <w:pPr>
              <w:pStyle w:val="TableContents"/>
              <w:spacing w:before="0" w:after="283"/>
              <w:jc w:val="left"/>
              <w:rPr/>
            </w:pPr>
            <w:r>
              <w:rPr/>
              <w:t> </w:t>
            </w:r>
          </w:p>
        </w:tc>
        <w:tc>
          <w:tcPr>
            <w:tcW w:w="90" w:type="dxa"/>
            <w:tcBorders/>
            <w:shd w:fill="CCEEFF" w:val="clear"/>
            <w:tcMar>
              <w:bottom w:w="0" w:type="dxa"/>
            </w:tcMar>
            <w:vAlign w:val="bottom"/>
          </w:tcPr>
          <w:p>
            <w:pPr>
              <w:pStyle w:val="TableContents"/>
              <w:spacing w:before="0" w:after="283"/>
              <w:jc w:val="left"/>
              <w:rPr/>
            </w:pPr>
            <w:r>
              <w:rPr/>
              <w:t> </w:t>
            </w:r>
          </w:p>
        </w:tc>
        <w:tc>
          <w:tcPr>
            <w:tcW w:w="87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7,603</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87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84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7,603</w:t>
            </w:r>
          </w:p>
        </w:tc>
        <w:tc>
          <w:tcPr>
            <w:tcW w:w="10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( 4) </w:t>
            </w:r>
          </w:p>
        </w:tc>
        <w:tc>
          <w:tcPr>
            <w:tcW w:w="9900" w:type="dxa"/>
            <w:tcBorders/>
            <w:shd w:fill="auto" w:val="clear"/>
          </w:tcPr>
          <w:p>
            <w:pPr>
              <w:pStyle w:val="TableContents"/>
              <w:spacing w:before="0" w:after="0"/>
              <w:ind w:left="0" w:right="0" w:hanging="0"/>
              <w:jc w:val="left"/>
              <w:rPr/>
            </w:pPr>
            <w:r>
              <w:rPr>
                <w:rFonts w:ascii="helvetica" w:hAnsi="helvetica"/>
                <w:sz w:val="20"/>
              </w:rPr>
              <w:t>Represents (i) 20,000 shares of common stock earned by but not yet issued to Dr. Kammer under his advisory agreement entered into with the Company on April 1, 2012, pursuant to which Dr. Kammer provides certain consultant and advisory services in addition to his services as a director and, among other compensation, earns $10,000 per month in the form of common stock based on a price per share of $4.50, and (ii) 40,000 RSUs granted to Dr. Kammer on July 18, 2012 outside the 2007 Plan in connection with his services as a consultant and advisor to the Company, which RSUs are subject to certain performance-based vesting criteria such that all 40,000 RSUs will vest at such time as the Company meets the primary endpoints of its Phase III clinical studies for Impracor.</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jc w:val="left"/>
              <w:rPr/>
            </w:pPr>
            <w:r>
              <w:rPr>
                <w:rFonts w:ascii="helvetica" w:hAnsi="helvetica"/>
                <w:sz w:val="20"/>
              </w:rPr>
              <w:t>(5)</w:t>
            </w:r>
            <w:r>
              <w:rPr/>
              <w:t xml:space="preserve"> </w:t>
            </w:r>
          </w:p>
        </w:tc>
        <w:tc>
          <w:tcPr>
            <w:tcW w:w="9899" w:type="dxa"/>
            <w:tcBorders/>
            <w:shd w:fill="auto" w:val="clear"/>
          </w:tcPr>
          <w:p>
            <w:pPr>
              <w:pStyle w:val="TableContents"/>
              <w:spacing w:before="0" w:after="0"/>
              <w:ind w:left="0" w:right="0" w:hanging="0"/>
              <w:jc w:val="left"/>
              <w:rPr/>
            </w:pPr>
            <w:r>
              <w:rPr>
                <w:rFonts w:ascii="helvetica" w:hAnsi="helvetica"/>
                <w:sz w:val="20"/>
              </w:rPr>
              <w:t>Represents (i) a 2012 Director Option granted to Dr. Kammer, and (ii) an option to purchase up to 60,000 shares of common stock granted to Dr. Kammer on April 1, 2012 under the 2007 Plan pursuant to the terms of his advisory agreement with the Company, which agreement provides for, in addition to certain other compensation provided to Dr. Kammer under that agreement for his consulting and advisory services that is described in footnote (4) above, the grant to Dr. Kammer of this non-qualified stock option with an exercise price of $4.50 per share, an expiration date of March 31, 2017, and a vesting schedule as follows:  15,000 shares vest on the date of grant and the remaining shares vest in equal monthly installments over a two year period beginning on May 1, 2012.</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ind w:left="0" w:right="0" w:hanging="0"/>
              <w:jc w:val="left"/>
              <w:rPr/>
            </w:pPr>
            <w:r>
              <w:rPr>
                <w:rFonts w:ascii="helvetica" w:hAnsi="helvetica"/>
                <w:sz w:val="20"/>
              </w:rPr>
              <w:t>(6)</w:t>
            </w:r>
            <w:r>
              <w:rPr/>
              <w:t xml:space="preserve"> </w:t>
            </w:r>
          </w:p>
        </w:tc>
        <w:tc>
          <w:tcPr>
            <w:tcW w:w="9901" w:type="dxa"/>
            <w:tcBorders/>
            <w:shd w:fill="auto" w:val="clear"/>
          </w:tcPr>
          <w:p>
            <w:pPr>
              <w:pStyle w:val="TableContents"/>
              <w:spacing w:before="0" w:after="0"/>
              <w:ind w:left="0" w:right="0" w:hanging="0"/>
              <w:jc w:val="left"/>
              <w:rPr/>
            </w:pPr>
            <w:r>
              <w:rPr>
                <w:rFonts w:ascii="helvetica" w:hAnsi="helvetica"/>
                <w:sz w:val="20"/>
              </w:rPr>
              <w:t>Reflects the total amount paid to Dr. Finnegan under a senior advisory agreement entered into with the Company on January 17, 2012 and terminated on May 9, 2012. Such amount was paid in April 2012 prior to the termination of the agreement in exchange for services rendered under the agreement in the first quarter of 2012. </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(7)</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Represents (i) a 2012 Director Option granted to Dr. Finnegan, and (ii) an option to purchase 125,000 shares of common stock at an exercise price of $3.20 per share granted to Dr. Finnegan on January 25, 2012 under the 2007 Plan in connection with a senior advisory agreement entered with the Company on January 17, 2012, which agreement was terminated on May 9, 2012. Also effective May 9, 2012, we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(8)</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Represents (i) a 2012 Director Option granted to Dr. Abrams, and (ii) an option to purchase 60,000 shares of common stock granted to Dr. Abrams on April 1, 2012 under the 2007 Plan in consideration of his service as a director of the Company during 2011 and 2012, which option has an exercise price of $4.50 per share, a term of ten years, and vests in equal monthly installments over a one year period.  </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pPr>
            <w:r>
              <w:rPr>
                <w:rFonts w:ascii="helvetica" w:hAnsi="helvetica"/>
                <w:sz w:val="20"/>
              </w:rPr>
              <w:t>(9)</w:t>
            </w:r>
            <w:r>
              <w:rPr/>
              <w:t xml:space="preserve"> </w:t>
            </w:r>
          </w:p>
        </w:tc>
        <w:tc>
          <w:tcPr>
            <w:tcW w:w="9900" w:type="dxa"/>
            <w:tcBorders/>
            <w:shd w:fill="auto" w:val="clear"/>
          </w:tcPr>
          <w:p>
            <w:pPr>
              <w:pStyle w:val="TableContents"/>
              <w:spacing w:before="0" w:after="0"/>
              <w:ind w:left="0" w:right="0" w:hanging="0"/>
              <w:jc w:val="left"/>
              <w:rPr/>
            </w:pPr>
            <w:r>
              <w:rPr>
                <w:rFonts w:ascii="helvetica" w:hAnsi="helvetica"/>
                <w:sz w:val="20"/>
              </w:rPr>
              <w:t>Represents an option to purchase up to 17,123 shares of our common stock granted to Mr. Austin on August 26, 2012 under the 2007 Plan, as consideration for his service as a director. That option has an exercise price of $4.50 per share, a term of five years, and vests in equal monthly installments over a period of one year commencing on January 1, 2013.</w:t>
            </w:r>
            <w:r>
              <w:rPr/>
              <w:t xml:space="preserve">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ind w:left="0" w:right="0" w:hanging="0"/>
              <w:jc w:val="left"/>
              <w:rPr/>
            </w:pPr>
            <w:r>
              <w:rPr>
                <w:rFonts w:ascii="helvetica" w:hAnsi="helvetica"/>
                <w:sz w:val="20"/>
              </w:rPr>
              <w:t>(10)</w:t>
            </w:r>
            <w:r>
              <w:rPr/>
              <w:t xml:space="preserve"> </w:t>
            </w:r>
          </w:p>
        </w:tc>
        <w:tc>
          <w:tcPr>
            <w:tcW w:w="9896" w:type="dxa"/>
            <w:tcBorders/>
            <w:shd w:fill="auto" w:val="clear"/>
          </w:tcPr>
          <w:p>
            <w:pPr>
              <w:pStyle w:val="TableContents"/>
              <w:spacing w:before="0" w:after="0"/>
              <w:ind w:left="0" w:right="0" w:hanging="0"/>
              <w:jc w:val="left"/>
              <w:rPr/>
            </w:pPr>
            <w:r>
              <w:rPr>
                <w:rFonts w:ascii="helvetica" w:hAnsi="helvetica"/>
                <w:sz w:val="20"/>
              </w:rPr>
              <w:t>Represents an option to purchase up to 7,603 shares of our common stock granted to Mr. Bassani on December 14, 2012 under the 2007 Plan, as consideration for his services as a director.  That option has an exercise price of $10.75 per share, has a term of five years, and vests monthly over a period of one year commencing on January 1, 2013.</w:t>
            </w: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32" w:name="PGBRK68"/>
      <w:bookmarkStart w:id="833" w:name="PGBRK68"/>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34" w:name="FTR68"/>
      <w:bookmarkStart w:id="835" w:name="FTR68"/>
      <w:bookmarkEnd w:id="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6" w:name="GLFTR67"/>
      <w:bookmarkEnd w:id="8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37" w:name="PN67"/>
      <w:bookmarkEnd w:id="837"/>
      <w:r>
        <w:rPr>
          <w:rFonts w:ascii="Helvetica" w:hAnsi="Helvetica"/>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8" w:name="HDR67"/>
      <w:bookmarkEnd w:id="8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center"/>
        <w:rPr>
          <w:rFonts w:ascii="helvetica" w:hAnsi="helvetica"/>
          <w:b/>
          <w:sz w:val="20"/>
        </w:rPr>
      </w:pPr>
      <w:bookmarkStart w:id="839" w:name="TAB18"/>
      <w:bookmarkEnd w:id="839"/>
      <w:r>
        <w:rPr>
          <w:rFonts w:ascii="helvetica" w:hAnsi="helvetica"/>
          <w:b/>
          <w:sz w:val="20"/>
        </w:rPr>
        <w:t>CERTAIN RELATIONSHIPS AND RELATED TRANSACTIONS</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Transactions with Related Persons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fiscal years ended December 31, 2012, 2011 and 2010, and through the date of this prospectus,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Chief Executive Officer and director, Mr. Mark L. Baum, and the Chairman of our Board of Directors, Robert J. Kammer, served as Managing Members of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“Certain Relationship and Related Transactions”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 Purchase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Company Policy Regarding Related Party Transactions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charter of the Audit Committee of our Board tasks the Audit Committee with reviewing and overseeing all related party transactions for potential conflict of interest situations on an ongoing basis.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0" w:name="PGBRK69"/>
      <w:bookmarkStart w:id="841" w:name="PGBRK69"/>
      <w:bookmarkEnd w:id="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2" w:name="FTR69"/>
      <w:bookmarkStart w:id="843" w:name="FTR69"/>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4" w:name="GLFTR68"/>
      <w:bookmarkEnd w:id="8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45" w:name="PN68"/>
      <w:bookmarkEnd w:id="845"/>
      <w:r>
        <w:rPr>
          <w:rFonts w:ascii="helvetica" w:hAnsi="helvetica"/>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6" w:name="HDR68"/>
      <w:bookmarkStart w:id="847" w:name="HDR68"/>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8" w:name="GLHDR67"/>
      <w:bookmarkEnd w:id="8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SECURITY OWNERSHIP OF CERTAIN BENEFICIAL OWNERS AND MANAGEMENT AND RELATED STOCKHOLDER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January 31, 2013.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798"/>
        <w:gridCol w:w="117"/>
        <w:gridCol w:w="117"/>
        <w:gridCol w:w="1275"/>
        <w:gridCol w:w="117"/>
        <w:gridCol w:w="117"/>
        <w:gridCol w:w="169"/>
        <w:gridCol w:w="1271"/>
        <w:gridCol w:w="224"/>
      </w:tblGrid>
      <w:tr>
        <w:trPr/>
        <w:tc>
          <w:tcPr>
            <w:tcW w:w="6798"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306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Amount and Nature of Beneficial Ownership</w:t>
            </w:r>
          </w:p>
        </w:tc>
        <w:tc>
          <w:tcPr>
            <w:tcW w:w="224" w:type="dxa"/>
            <w:tcBorders/>
            <w:shd w:fill="auto" w:val="clear"/>
            <w:vAlign w:val="bottom"/>
          </w:tcPr>
          <w:p>
            <w:pPr>
              <w:pStyle w:val="TableContents"/>
              <w:spacing w:before="0" w:after="283"/>
              <w:jc w:val="left"/>
              <w:rPr/>
            </w:pPr>
            <w:r>
              <w:rPr/>
              <w:t> </w:t>
            </w:r>
          </w:p>
        </w:tc>
      </w:tr>
      <w:tr>
        <w:trPr/>
        <w:tc>
          <w:tcPr>
            <w:tcW w:w="6798" w:type="dxa"/>
            <w:tcBorders/>
            <w:shd w:fill="auto" w:val="clear"/>
            <w:vAlign w:val="bottom"/>
          </w:tcPr>
          <w:p>
            <w:pPr>
              <w:pStyle w:val="TableContents"/>
              <w:spacing w:before="0" w:after="0"/>
              <w:ind w:left="0" w:right="0" w:hanging="0"/>
              <w:jc w:val="left"/>
              <w:rPr>
                <w:rFonts w:ascii="helvetica" w:hAnsi="helvetica"/>
                <w:sz w:val="20"/>
                <w:u w:val="single"/>
              </w:rPr>
            </w:pPr>
            <w:r>
              <w:rPr>
                <w:rFonts w:ascii="helvetica" w:hAnsi="helvetica"/>
                <w:sz w:val="20"/>
                <w:u w:val="single"/>
              </w:rPr>
              <w:t>Beneficial Owner</w:t>
            </w:r>
          </w:p>
        </w:tc>
        <w:tc>
          <w:tcPr>
            <w:tcW w:w="117" w:type="dxa"/>
            <w:tcBorders/>
            <w:shd w:fill="auto" w:val="clear"/>
            <w:vAlign w:val="bottom"/>
          </w:tcPr>
          <w:p>
            <w:pPr>
              <w:pStyle w:val="TableContents"/>
              <w:spacing w:before="0" w:after="283"/>
              <w:rPr/>
            </w:pPr>
            <w:r>
              <w:rPr/>
              <w:t> </w:t>
            </w:r>
          </w:p>
        </w:tc>
        <w:tc>
          <w:tcPr>
            <w:tcW w:w="13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Number of Shares</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4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Percentage (1)</w:t>
            </w:r>
          </w:p>
        </w:tc>
        <w:tc>
          <w:tcPr>
            <w:tcW w:w="224" w:type="dxa"/>
            <w:tcBorders/>
            <w:shd w:fill="auto" w:val="clear"/>
            <w:vAlign w:val="bottom"/>
          </w:tcPr>
          <w:p>
            <w:pPr>
              <w:pStyle w:val="TableContents"/>
              <w:spacing w:before="0" w:after="283"/>
              <w:jc w:val="left"/>
              <w:rPr/>
            </w:pPr>
            <w:r>
              <w:rPr/>
              <w:t> </w:t>
            </w:r>
          </w:p>
        </w:tc>
      </w:tr>
      <w:tr>
        <w:trPr/>
        <w:tc>
          <w:tcPr>
            <w:tcW w:w="6798"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92"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left"/>
              <w:rPr/>
            </w:pPr>
            <w:r>
              <w:rPr/>
              <w:t> </w:t>
            </w:r>
          </w:p>
        </w:tc>
      </w:tr>
      <w:tr>
        <w:trPr/>
        <w:tc>
          <w:tcPr>
            <w:tcW w:w="6798" w:type="dxa"/>
            <w:tcBorders/>
            <w:shd w:fill="auto" w:val="clear"/>
            <w:vAlign w:val="bottom"/>
          </w:tcPr>
          <w:p>
            <w:pPr>
              <w:pStyle w:val="TableContents"/>
              <w:spacing w:before="0" w:after="0"/>
              <w:ind w:left="0" w:right="0" w:hanging="0"/>
              <w:jc w:val="left"/>
              <w:rPr>
                <w:rFonts w:ascii="helvetica" w:hAnsi="helvetica"/>
                <w:i/>
                <w:sz w:val="20"/>
                <w:u w:val="single"/>
              </w:rPr>
            </w:pPr>
            <w:r>
              <w:rPr>
                <w:rFonts w:ascii="helvetica" w:hAnsi="helvetica"/>
                <w:i/>
                <w:sz w:val="20"/>
                <w:u w:val="single"/>
              </w:rPr>
              <w:t>5% + Stockholders</w:t>
            </w:r>
          </w:p>
        </w:tc>
        <w:tc>
          <w:tcPr>
            <w:tcW w:w="117" w:type="dxa"/>
            <w:tcBorders/>
            <w:shd w:fill="auto" w:val="clear"/>
            <w:vAlign w:val="bottom"/>
          </w:tcPr>
          <w:p>
            <w:pPr>
              <w:pStyle w:val="TableContents"/>
              <w:spacing w:before="0" w:after="283"/>
              <w:rPr/>
            </w:pPr>
            <w:r>
              <w:rPr/>
              <w:t> </w:t>
            </w:r>
          </w:p>
        </w:tc>
        <w:tc>
          <w:tcPr>
            <w:tcW w:w="1392"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Alexej Ladonnikov (2)</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396,831</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5.86</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John W. Fish, Jr. (3)</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603,171</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8.89</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Don Miloni (4)</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1,243,513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18.13</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Professional Compounding Centers of America, Inc. (5)</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832,683</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12.30</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283"/>
              <w:rPr/>
            </w:pPr>
            <w:r>
              <w:rPr/>
              <w:t xml:space="preserve">  </w:t>
            </w:r>
          </w:p>
        </w:tc>
        <w:tc>
          <w:tcPr>
            <w:tcW w:w="11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i/>
                <w:sz w:val="20"/>
                <w:u w:val="single"/>
              </w:rPr>
            </w:pPr>
            <w:r>
              <w:rPr>
                <w:rFonts w:ascii="helvetica" w:hAnsi="helvetica"/>
                <w:i/>
                <w:sz w:val="20"/>
                <w:u w:val="single"/>
              </w:rPr>
              <w:t>Directors and Officers</w:t>
            </w:r>
          </w:p>
        </w:tc>
        <w:tc>
          <w:tcPr>
            <w:tcW w:w="117"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Jeffery J. Abrams, M.D. (6)</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126,013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Mark L. Baum, Esq. (7)</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359,299</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5.16</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Andrew R. Boll (8)</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5,833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John Bonfigilio</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469</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Balbir Brar, D.V.M., Ph.D. (9)</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106,954</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1.56</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Paul Finnegan, M.D.  (10)</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125,000</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1.81</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Robert J. Kammer, D.D.S.  (11)</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991,496</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14.43</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Stephen G. Austin, CPA (12)</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5,708</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August S. Bassani, Pharm.D. (14)</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2,534</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John Lomoro</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1,241</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Terry Nida</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3,639</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Joachim Schupp, M.D.  (13)</w:t>
            </w:r>
          </w:p>
        </w:tc>
        <w:tc>
          <w:tcPr>
            <w:tcW w:w="117" w:type="dxa"/>
            <w:tcBorders/>
            <w:shd w:fill="FFFFFF" w:val="clear"/>
            <w:vAlign w:val="bottom"/>
          </w:tcPr>
          <w:p>
            <w:pPr>
              <w:pStyle w:val="TableContents"/>
              <w:spacing w:before="0" w:after="283"/>
              <w:jc w:val="right"/>
              <w:rPr/>
            </w:pPr>
            <w:r>
              <w:rPr/>
              <w:t> </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27,576</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All current executives and directors as a group (9 persons)</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1,750,413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23.62</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9" w:name="PGBRK70"/>
      <w:bookmarkStart w:id="850" w:name="PGBRK70"/>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FTR70"/>
      <w:bookmarkStart w:id="852" w:name="FTR70"/>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3" w:name="GLFTR69"/>
      <w:bookmarkEnd w:id="8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54" w:name="PN69"/>
      <w:bookmarkEnd w:id="854"/>
      <w:r>
        <w:rPr>
          <w:rFonts w:ascii="helvetica" w:hAnsi="helvetica"/>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855" w:name="HDR69"/>
      <w:bookmarkEnd w:id="855"/>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317"/>
        <w:gridCol w:w="25"/>
        <w:gridCol w:w="9863"/>
      </w:tblGrid>
      <w:tr>
        <w:trPr/>
        <w:tc>
          <w:tcPr>
            <w:tcW w:w="342" w:type="dxa"/>
            <w:gridSpan w:val="2"/>
            <w:tcBorders/>
            <w:shd w:fill="auto" w:val="clear"/>
          </w:tcPr>
          <w:p>
            <w:pPr>
              <w:pStyle w:val="TableContents"/>
              <w:spacing w:before="0" w:after="0"/>
              <w:ind w:left="0" w:right="0" w:hanging="0"/>
              <w:jc w:val="left"/>
              <w:rPr/>
            </w:pPr>
            <w:r>
              <w:rPr>
                <w:rFonts w:ascii="helvetica" w:hAnsi="helvetica"/>
                <w:sz w:val="20"/>
              </w:rPr>
              <w:t>*</w:t>
            </w:r>
            <w:r>
              <w:rPr/>
              <w:t xml:space="preserve"> </w:t>
            </w:r>
          </w:p>
        </w:tc>
        <w:tc>
          <w:tcPr>
            <w:tcW w:w="9863" w:type="dxa"/>
            <w:tcBorders/>
            <w:shd w:fill="auto" w:val="clear"/>
          </w:tcPr>
          <w:p>
            <w:pPr>
              <w:pStyle w:val="TableContents"/>
              <w:spacing w:before="0" w:after="0"/>
              <w:ind w:left="0" w:right="0" w:hanging="0"/>
              <w:jc w:val="left"/>
              <w:rPr/>
            </w:pPr>
            <w:r>
              <w:rPr>
                <w:rFonts w:ascii="helvetica" w:hAnsi="helvetica"/>
                <w:sz w:val="20"/>
              </w:rPr>
              <w:t>Represents less than 1%.</w:t>
            </w:r>
            <w:r>
              <w:rPr/>
              <w:t xml:space="preserve"> </w:t>
            </w:r>
          </w:p>
        </w:tc>
      </w:tr>
      <w:tr>
        <w:trPr/>
        <w:tc>
          <w:tcPr>
            <w:tcW w:w="342" w:type="dxa"/>
            <w:gridSpan w:val="2"/>
            <w:tcBorders/>
            <w:shd w:fill="auto" w:val="clear"/>
          </w:tcPr>
          <w:p>
            <w:pPr>
              <w:pStyle w:val="TableContents"/>
              <w:spacing w:before="0" w:after="0"/>
              <w:ind w:left="0" w:right="0" w:hanging="0"/>
              <w:jc w:val="left"/>
              <w:rPr/>
            </w:pPr>
            <w:r>
              <w:rPr>
                <w:rFonts w:ascii="helvetica" w:hAnsi="helvetica"/>
                <w:sz w:val="20"/>
              </w:rPr>
              <w:t>(1)</w:t>
            </w:r>
            <w:r>
              <w:rPr/>
              <w:t xml:space="preserve"> </w:t>
            </w:r>
          </w:p>
        </w:tc>
        <w:tc>
          <w:tcPr>
            <w:tcW w:w="9863" w:type="dxa"/>
            <w:tcBorders/>
            <w:shd w:fill="auto" w:val="clear"/>
          </w:tcPr>
          <w:p>
            <w:pPr>
              <w:pStyle w:val="TableContents"/>
              <w:spacing w:before="0" w:after="0"/>
              <w:ind w:left="0" w:right="0" w:hanging="0"/>
              <w:jc w:val="left"/>
              <w:rPr/>
            </w:pPr>
            <w:r>
              <w:rPr>
                <w:rFonts w:ascii="helvetica" w:hAnsi="helvetica"/>
                <w:sz w:val="20"/>
              </w:rPr>
              <w:t>Applicable percentage ownership is based on 6,772,125 shares of our common stock outstanding as of January 31, 2013.  Shares of common stock subject to options or warrants and convertible notes subject to conversion into shares of our common stock currently exercisable or convertible, or exercisable or convertible within 60 days after January 31, 2013 are deemed outstanding for the purpose of computing the percentage ownership of the person holding such options, warrants or convertible notes, but are not deemed outstanding for computing the percentage ownership of any other person.</w:t>
            </w:r>
            <w:r>
              <w:rPr/>
              <w:t xml:space="preserve"> </w:t>
            </w:r>
          </w:p>
        </w:tc>
      </w:tr>
      <w:tr>
        <w:trPr/>
        <w:tc>
          <w:tcPr>
            <w:tcW w:w="342" w:type="dxa"/>
            <w:gridSpan w:val="2"/>
            <w:tcBorders/>
            <w:shd w:fill="auto" w:val="clear"/>
          </w:tcPr>
          <w:p>
            <w:pPr>
              <w:pStyle w:val="TableContents"/>
              <w:spacing w:before="0" w:after="0"/>
              <w:ind w:left="0" w:right="0" w:hanging="0"/>
              <w:jc w:val="left"/>
              <w:rPr/>
            </w:pPr>
            <w:r>
              <w:rPr>
                <w:rFonts w:ascii="helvetica" w:hAnsi="helvetica"/>
                <w:sz w:val="20"/>
              </w:rPr>
              <w:t>(2)</w:t>
            </w:r>
            <w:r>
              <w:rPr/>
              <w:t xml:space="preserve"> </w:t>
            </w:r>
          </w:p>
        </w:tc>
        <w:tc>
          <w:tcPr>
            <w:tcW w:w="9863" w:type="dxa"/>
            <w:tcBorders/>
            <w:shd w:fill="auto" w:val="clear"/>
          </w:tcPr>
          <w:p>
            <w:pPr>
              <w:pStyle w:val="TableContents"/>
              <w:spacing w:before="0" w:after="0"/>
              <w:ind w:left="0" w:right="0" w:hanging="0"/>
              <w:jc w:val="left"/>
              <w:rPr/>
            </w:pPr>
            <w:r>
              <w:rPr>
                <w:rFonts w:ascii="helvetica" w:hAnsi="helvetica"/>
                <w:sz w:val="20"/>
              </w:rPr>
              <w:t>The address for Mr. Ladonnikov is 13388 Surrey Lane, Saratoga, CA 95070.</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(3)</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10,190 shares of common stock issuable upon the exercise of warrants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(4)</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January 31, 2013 (of which Mr. Miloni holds warrants to acquire 15,282 shares, Mr. Miloni’s spouse holds warrants to acquire 6,329 shares, 1425 Greenwood Lane, LLC holds warrants to acquire 37,975 shares, and RCHER Financial, LLC holds warrants to acquire 25,730 shares).</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(5)</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The address for Professional Compounding Centers of America, Inc. is 9901 South Wilcrest Dr., Houston, TX 77099.</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(6)</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Jeffrey J. Abrams, M.D., a director, is a trustee of the Abrams Family Trust, which owns 39,063 shares of our common stock. Dr. Abrams has sole voting and investment control with respect to the shares of common stock owned by the Abrams Family Trust.  Includes 86,950 shares of common stock issuable upon the exercise of stock options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(7)</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187,500 shares of common stock issuable upon the exercise of stock options and 2,413 shares of common stock issuable upon the exercise of warrants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(8)</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5,833 shares of common stock issuable upon the exercise of stock options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(9)</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93,750 shares of common stock issuable upon the exercise of stock options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(10)</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125,000 shares of common stock issuable upon the exercise of stock options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(11)</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20,000 shares of common stock to which Dr. Kammer is entitled for services performed under his advisory agreement, and 62,500 shares of common stock issuable upon the exercise of stock options and 15,282 shares of common stock issuable upon the exercise of warrants exercisable within 60 days of January 31, 2013. </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(12)</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5,708 shares of common stock issuable upon the exercise of stock options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(13)</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27,576 shares of common stock issuable upon the exercise of stock options exercisable within 60 days of January 31, 2013.</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(14)</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2,534 shares of common stock issuable upon the exercise of stock options exercisable within 60 days of January 31, 2013.</w:t>
            </w:r>
            <w:r>
              <w:rPr/>
              <w:t xml:space="preserve"> </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center"/>
        <w:rPr>
          <w:rFonts w:ascii="helvetica" w:hAnsi="helvetica"/>
          <w:b/>
          <w:sz w:val="20"/>
        </w:rPr>
      </w:pPr>
      <w:bookmarkStart w:id="856" w:name="TAB19"/>
      <w:bookmarkEnd w:id="856"/>
      <w:r>
        <w:rPr>
          <w:rFonts w:ascii="helvetica" w:hAnsi="helvetica"/>
          <w:b/>
          <w:sz w:val="20"/>
        </w:rPr>
        <w:t>LEGAL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validity of the common stock being offered hereby will be passed upon for us by Morrison &amp; Foerster LLP, San Diego, California.</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57" w:name="TAB110"/>
      <w:bookmarkEnd w:id="857"/>
      <w:r>
        <w:rPr>
          <w:rFonts w:ascii="helvetica" w:hAnsi="helvetica"/>
          <w:b/>
          <w:sz w:val="20"/>
        </w:rPr>
        <w:t>EXPERTS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KMJ Corbin &amp; Company LLP, an independent registered public accounting firm, has audited our consolidated financial statements for the fiscal years ended December 31, 2011 and 2010, as stated in its report appearing herein, and such audited consolidated financial statements have been so included in reliance upon the report of such firm given upon its authority as experts in accounting and auditing.</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58" w:name="TAB111"/>
      <w:bookmarkEnd w:id="858"/>
      <w:r>
        <w:rPr>
          <w:rFonts w:ascii="helvetica" w:hAnsi="helvetica"/>
          <w:b/>
          <w:sz w:val="20"/>
        </w:rPr>
        <w:t>WHERE YOU CAN FIND MORE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with the SEC a registration statement on Form S-1 under the Securities Act with respect to the shares of common stock being offered by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room and website referred to above.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9" w:name="PGBRK71"/>
      <w:bookmarkStart w:id="860" w:name="PGBRK71"/>
      <w:bookmarkEnd w:id="8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1" w:name="FTR71"/>
      <w:bookmarkStart w:id="862" w:name="FTR71"/>
      <w:bookmarkEnd w:id="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3" w:name="GLFTR70"/>
      <w:bookmarkEnd w:id="8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64" w:name="PN70"/>
      <w:bookmarkEnd w:id="864"/>
      <w:r>
        <w:rPr>
          <w:rFonts w:ascii="helvetica" w:hAnsi="helvetica"/>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5" w:name="HDR70"/>
      <w:bookmarkStart w:id="866" w:name="HDR70"/>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7" w:name="GLHDR68"/>
      <w:bookmarkEnd w:id="8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Financial Statements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982"/>
        <w:gridCol w:w="101"/>
        <w:gridCol w:w="102"/>
        <w:gridCol w:w="918"/>
        <w:gridCol w:w="102"/>
      </w:tblGrid>
      <w:tr>
        <w:trPr/>
        <w:tc>
          <w:tcPr>
            <w:tcW w:w="8982"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Condensed Consolidated Balance Sheets – September 30, 2012 (Unaudited) and December 31, 2011</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Operations for the three and nine months ended September 30, 2012 and 2011 and for the Period from July 24, 1998 (Inception) Through September 30, 2012</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F-3</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Cash Flows for the nine months ended September 30, 2012 and 2011 and for the Period from July 24, 1998 (Inception) Through September 30, 2012</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F-4</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to the Unaudited Condensed Consolidated Financial Statements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F-5</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Audited Consolidated Financial Statements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982"/>
        <w:gridCol w:w="102"/>
        <w:gridCol w:w="101"/>
        <w:gridCol w:w="918"/>
        <w:gridCol w:w="102"/>
      </w:tblGrid>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Report of Independent Registered Public Accounting Firm</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F-17</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Balance Sheets at December 31, 2011 and 2010</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F-18</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Operations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F-19</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Stockholders’ Deficit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F-20</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Cash Flows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F-21</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Notes to the Consolidated Financial Statements</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F-22</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8" w:name="PGBRK72"/>
      <w:bookmarkStart w:id="869" w:name="PGBRK72"/>
      <w:bookmarkEnd w:id="8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0" w:name="FTR72"/>
      <w:bookmarkStart w:id="871" w:name="FTR72"/>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2" w:name="GLFTR71"/>
      <w:bookmarkEnd w:id="8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73" w:name="PN71"/>
      <w:bookmarkEnd w:id="873"/>
      <w:r>
        <w:rPr>
          <w:rFonts w:ascii="helvetica" w:hAnsi="helvetica"/>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4" w:name="HDR71"/>
      <w:bookmarkStart w:id="875" w:name="HDR71"/>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6" w:name="GLHDR69"/>
      <w:bookmarkEnd w:id="8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CONDENSED CONSOLIDATED BALANCE SHEETS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01"/>
        <w:gridCol w:w="101"/>
        <w:gridCol w:w="125"/>
        <w:gridCol w:w="1103"/>
        <w:gridCol w:w="108"/>
        <w:gridCol w:w="101"/>
        <w:gridCol w:w="125"/>
        <w:gridCol w:w="1103"/>
        <w:gridCol w:w="108"/>
        <w:gridCol w:w="101"/>
        <w:gridCol w:w="101"/>
        <w:gridCol w:w="1107"/>
        <w:gridCol w:w="121"/>
      </w:tblGrid>
      <w:tr>
        <w:trPr/>
        <w:tc>
          <w:tcPr>
            <w:tcW w:w="5901"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w:t>
            </w:r>
          </w:p>
          <w:p>
            <w:pPr>
              <w:pStyle w:val="TableContents"/>
              <w:spacing w:before="0" w:after="0"/>
              <w:ind w:left="0" w:right="0" w:hanging="0"/>
              <w:jc w:val="center"/>
              <w:rPr>
                <w:rFonts w:ascii="helvetica" w:hAnsi="helvetica"/>
                <w:b/>
                <w:sz w:val="16"/>
              </w:rPr>
            </w:pPr>
            <w:r>
              <w:rPr>
                <w:rFonts w:ascii="helvetica" w:hAnsi="helvetica"/>
                <w:b/>
                <w:sz w:val="16"/>
              </w:rPr>
              <w:t>2012</w:t>
            </w:r>
          </w:p>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Pro Forma Stockholder's Equity as of September 30,</w:t>
            </w:r>
          </w:p>
          <w:p>
            <w:pPr>
              <w:pStyle w:val="TableContents"/>
              <w:spacing w:before="0" w:after="0"/>
              <w:ind w:left="0" w:right="0" w:hanging="0"/>
              <w:jc w:val="center"/>
              <w:rPr>
                <w:rFonts w:ascii="helvetica" w:hAnsi="helvetica"/>
                <w:b/>
                <w:sz w:val="16"/>
              </w:rPr>
            </w:pPr>
            <w:r>
              <w:rPr>
                <w:rFonts w:ascii="helvetica" w:hAnsi="helvetica"/>
                <w:b/>
                <w:sz w:val="16"/>
              </w:rPr>
              <w:t>2012</w:t>
            </w:r>
          </w:p>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21" w:type="dxa"/>
            <w:tcBorders/>
            <w:shd w:fill="auto" w:val="clear"/>
            <w:vAlign w:val="bottom"/>
          </w:tcPr>
          <w:p>
            <w:pPr>
              <w:pStyle w:val="TableContents"/>
              <w:spacing w:before="0" w:after="283"/>
              <w:jc w:val="left"/>
              <w:rPr/>
            </w:pPr>
            <w:r>
              <w:rPr/>
              <w:t> </w:t>
            </w:r>
          </w:p>
        </w:tc>
      </w:tr>
      <w:tr>
        <w:trPr/>
        <w:tc>
          <w:tcPr>
            <w:tcW w:w="590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ASSETS</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0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10,990,871</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76,141</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offering costs</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383,746</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11,450,758</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 net</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13,218</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11,463,976</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bottom w:val="double" w:sz="8" w:space="0" w:color="000000"/>
            </w:tcBorders>
            <w:shd w:fill="FFFFFF" w:val="clear"/>
            <w:tcMar>
              <w:bottom w:w="28" w:type="dxa"/>
            </w:tcM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firstLine="540"/>
              <w:jc w:val="left"/>
              <w:rPr>
                <w:rFonts w:ascii="helvetica" w:hAnsi="helvetica"/>
                <w:sz w:val="20"/>
              </w:rPr>
            </w:pPr>
            <w:r>
              <w:rPr>
                <w:rFonts w:ascii="helvetica" w:hAnsi="helvetica"/>
                <w:sz w:val="20"/>
              </w:rPr>
              <w:t>LIABILITIES AND STOCKHOLDERS' EQUITY (DEFICIT)</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and accrued expenses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594,944</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payroll</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19,115</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and accrued interest - related party</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669,843</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EQUITY (DEFICIT)</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none and 10 shares issued and outstanding</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September 30, 2012 and December 31, 2011, respectively</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395,000,000 shares authorized,</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33,859,627 and 1,987,601 shares issued and outstanding</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September 30, 2012 and December 31, 2011, respectively</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33,860</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6,772</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paid-in capital</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33,411,513</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33,438,601</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0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0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EQUITY (DEFICIT)</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08"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 w:type="dxa"/>
            <w:tcBorders/>
            <w:shd w:fill="CCEEFF" w:val="clear"/>
            <w:vAlign w:val="bottom"/>
          </w:tcPr>
          <w:p>
            <w:pPr>
              <w:pStyle w:val="TableContents"/>
              <w:spacing w:before="0" w:after="283"/>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EQUITY (DEFICIT)</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11,463,976</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val="false"/>
          <w:sz w:val="20"/>
        </w:rPr>
      </w:pPr>
      <w:r>
        <w:rPr>
          <w:rFonts w:ascii="helvetica" w:hAnsi="helvetica"/>
          <w:b w:val="false"/>
          <w:sz w:val="20"/>
        </w:rPr>
        <w:t>The accompanying notes are an integral part of these unaudited condensed consolidated financial statements</w:t>
      </w:r>
    </w:p>
    <w:p>
      <w:pPr>
        <w:pStyle w:val="TextBody"/>
        <w:spacing w:before="0" w:after="0"/>
        <w:jc w:val="left"/>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7" w:name="PGBRK73"/>
      <w:bookmarkStart w:id="878" w:name="PGBRK73"/>
      <w:bookmarkEnd w:id="8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9" w:name="FTR73"/>
      <w:bookmarkStart w:id="880" w:name="FTR73"/>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1" w:name="GLFTR72"/>
      <w:bookmarkEnd w:id="8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82" w:name="PN72"/>
      <w:bookmarkEnd w:id="882"/>
      <w:r>
        <w:rPr>
          <w:rFonts w:ascii="helvetica" w:hAnsi="helvetica"/>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3" w:name="HDR72"/>
      <w:bookmarkStart w:id="884" w:name="HDR72"/>
      <w:bookmarkEnd w:id="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5" w:name="GLHDR70"/>
      <w:bookmarkEnd w:id="8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OPERATIONS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326"/>
        <w:gridCol w:w="95"/>
        <w:gridCol w:w="125"/>
        <w:gridCol w:w="1062"/>
        <w:gridCol w:w="104"/>
        <w:gridCol w:w="95"/>
        <w:gridCol w:w="125"/>
        <w:gridCol w:w="1013"/>
        <w:gridCol w:w="104"/>
        <w:gridCol w:w="95"/>
        <w:gridCol w:w="125"/>
        <w:gridCol w:w="1062"/>
        <w:gridCol w:w="104"/>
        <w:gridCol w:w="95"/>
        <w:gridCol w:w="124"/>
        <w:gridCol w:w="1013"/>
        <w:gridCol w:w="104"/>
        <w:gridCol w:w="95"/>
        <w:gridCol w:w="125"/>
        <w:gridCol w:w="1090"/>
        <w:gridCol w:w="124"/>
      </w:tblGrid>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Three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Three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Nine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Nine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vMerge w:val="restart"/>
            <w:tcBorders/>
            <w:shd w:fill="auto" w:val="clear"/>
            <w:vAlign w:val="bottom"/>
          </w:tcPr>
          <w:p>
            <w:pPr>
              <w:pStyle w:val="TableContents"/>
              <w:spacing w:before="0" w:after="0"/>
              <w:jc w:val="center"/>
              <w:rPr/>
            </w:pPr>
            <w:r>
              <w:rPr>
                <w:rFonts w:ascii="helvetica" w:hAnsi="helvetica"/>
                <w:b/>
                <w:sz w:val="16"/>
              </w:rPr>
              <w:t>For the Period</w:t>
              <w:br/>
              <w:t>From</w:t>
              <w:br/>
              <w:t>July 24, 1998 (Inception)</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through</w:t>
              <w:br/>
              <w:t>September 30,</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vMerge w:val="continue"/>
            <w:tcBorders/>
            <w:shd w:fill="auto" w:val="clear"/>
            <w:vAlign w:val="bottom"/>
          </w:tcPr>
          <w:p>
            <w:pPr>
              <w:pStyle w:val="Normal"/>
              <w:rPr/>
            </w:pPr>
            <w:r>
              <w:rPr/>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Revenues:</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License revenues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946,381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66,496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2,240,004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514,529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11,813,331</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303,666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580,240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8,400,498</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(1,250,047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(66,496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(2,720,244</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(626,083</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(20,113,829</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(18,904</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(24,658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(56,095</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(1,730,892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4,221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9,805</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137,386</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Loss on extinguishment of debt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income (expense), net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(18,904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(1,210,263</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(56,095</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(2,237,411</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(1,245,826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(85,400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(3,930,507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(682,178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(22,351,240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(200,000</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(300,000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(1,245,826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(85,400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(4,130,507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(682,178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 per common share, basic and diluted</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(0.22</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(0.34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basic and diluted</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31,099,103</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1,987,601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18,642,566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1,989,490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6" w:name="PGBRK74"/>
      <w:bookmarkStart w:id="887" w:name="PGBRK74"/>
      <w:bookmarkEnd w:id="8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8" w:name="FTR74"/>
      <w:bookmarkStart w:id="889" w:name="FTR74"/>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0" w:name="GLFTR73"/>
      <w:bookmarkEnd w:id="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91" w:name="PN73"/>
      <w:bookmarkEnd w:id="891"/>
      <w:r>
        <w:rPr>
          <w:rFonts w:ascii="helvetica" w:hAnsi="helvetica"/>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2" w:name="HDR73"/>
      <w:bookmarkStart w:id="893" w:name="HDR73"/>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4" w:name="GLHDR71"/>
      <w:bookmarkEnd w:id="8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CASH FLOWS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58"/>
        <w:gridCol w:w="104"/>
        <w:gridCol w:w="125"/>
        <w:gridCol w:w="1088"/>
        <w:gridCol w:w="111"/>
        <w:gridCol w:w="104"/>
        <w:gridCol w:w="125"/>
        <w:gridCol w:w="1020"/>
        <w:gridCol w:w="110"/>
        <w:gridCol w:w="104"/>
        <w:gridCol w:w="125"/>
        <w:gridCol w:w="1108"/>
        <w:gridCol w:w="123"/>
      </w:tblGrid>
      <w:tr>
        <w:trPr/>
        <w:tc>
          <w:tcPr>
            <w:tcW w:w="595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rFonts w:ascii="helvetica" w:hAnsi="helvetica"/>
                <w:b/>
                <w:sz w:val="16"/>
              </w:rPr>
            </w:pPr>
            <w:r>
              <w:rPr>
                <w:rFonts w:ascii="helvetica" w:hAnsi="helvetica"/>
                <w:b/>
                <w:sz w:val="16"/>
              </w:rPr>
              <w:t>Nine Months Ended</w:t>
            </w:r>
          </w:p>
          <w:p>
            <w:pPr>
              <w:pStyle w:val="TableContents"/>
              <w:spacing w:before="0" w:after="0"/>
              <w:jc w:val="center"/>
              <w:rPr>
                <w:rFonts w:ascii="helvetica" w:hAnsi="helvetica"/>
                <w:b/>
                <w:sz w:val="16"/>
              </w:rPr>
            </w:pPr>
            <w:r>
              <w:rPr>
                <w:rFonts w:ascii="helvetica" w:hAnsi="helvetica"/>
                <w:b/>
                <w:sz w:val="16"/>
              </w:rPr>
              <w:t>September 30,</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rFonts w:ascii="helvetica" w:hAnsi="helvetica"/>
                <w:b/>
                <w:sz w:val="16"/>
              </w:rPr>
            </w:pPr>
            <w:r>
              <w:rPr>
                <w:rFonts w:ascii="helvetica" w:hAnsi="helvetica"/>
                <w:b/>
                <w:sz w:val="16"/>
              </w:rPr>
              <w:t>Nine Months Ended</w:t>
            </w:r>
          </w:p>
          <w:p>
            <w:pPr>
              <w:pStyle w:val="TableContents"/>
              <w:spacing w:before="0" w:after="0"/>
              <w:jc w:val="center"/>
              <w:rPr>
                <w:rFonts w:ascii="helvetica" w:hAnsi="helvetica"/>
                <w:b/>
                <w:sz w:val="16"/>
              </w:rPr>
            </w:pPr>
            <w:r>
              <w:rPr>
                <w:rFonts w:ascii="helvetica" w:hAnsi="helvetica"/>
                <w:b/>
                <w:sz w:val="16"/>
              </w:rPr>
              <w:t>September 30,</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p>
            <w:pPr>
              <w:pStyle w:val="TableContents"/>
              <w:spacing w:before="0" w:after="0"/>
              <w:jc w:val="center"/>
              <w:rPr>
                <w:rFonts w:ascii="helvetica" w:hAnsi="helvetica"/>
                <w:b/>
                <w:sz w:val="16"/>
              </w:rPr>
            </w:pPr>
            <w:r>
              <w:rPr>
                <w:rFonts w:ascii="helvetica" w:hAnsi="helvetica"/>
                <w:b/>
                <w:sz w:val="16"/>
              </w:rPr>
              <w:t>July 24, 1998 (Inception)</w:t>
            </w:r>
          </w:p>
          <w:p>
            <w:pPr>
              <w:pStyle w:val="TableContents"/>
              <w:spacing w:before="0" w:after="0"/>
              <w:jc w:val="center"/>
              <w:rPr>
                <w:rFonts w:ascii="helvetica" w:hAnsi="helvetica"/>
                <w:b/>
                <w:sz w:val="16"/>
              </w:rPr>
            </w:pPr>
            <w:r>
              <w:rPr>
                <w:rFonts w:ascii="helvetica" w:hAnsi="helvetica"/>
                <w:b/>
                <w:sz w:val="16"/>
              </w:rPr>
              <w:t>through September 30,</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auto" w:val="clear"/>
            <w:vAlign w:val="bottom"/>
          </w:tcPr>
          <w:p>
            <w:pPr>
              <w:pStyle w:val="TableContents"/>
              <w:spacing w:before="0" w:after="283"/>
              <w:jc w:val="right"/>
              <w:rPr>
                <w:rFonts w:ascii="helvetica" w:hAnsi="helvetica"/>
                <w:sz w:val="20"/>
              </w:rPr>
            </w:pPr>
            <w:r>
              <w:rPr>
                <w:rFonts w:ascii="helvetica" w:hAnsi="helvetica"/>
                <w:sz w:val="20"/>
              </w:rPr>
              <w:t>(3,930,507</w:t>
            </w:r>
          </w:p>
        </w:tc>
        <w:tc>
          <w:tcPr>
            <w:tcW w:w="111"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auto" w:val="clear"/>
            <w:vAlign w:val="bottom"/>
          </w:tcPr>
          <w:p>
            <w:pPr>
              <w:pStyle w:val="TableContents"/>
              <w:spacing w:before="0" w:after="283"/>
              <w:jc w:val="right"/>
              <w:rPr>
                <w:rFonts w:ascii="helvetica" w:hAnsi="helvetica"/>
                <w:sz w:val="20"/>
              </w:rPr>
            </w:pPr>
            <w:r>
              <w:rPr>
                <w:rFonts w:ascii="helvetica" w:hAnsi="helvetica"/>
                <w:sz w:val="20"/>
              </w:rPr>
              <w:t>(682,178</w:t>
            </w:r>
          </w:p>
        </w:tc>
        <w:tc>
          <w:tcPr>
            <w:tcW w:w="110"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auto" w:val="clear"/>
            <w:vAlign w:val="bottom"/>
          </w:tcPr>
          <w:p>
            <w:pPr>
              <w:pStyle w:val="TableContents"/>
              <w:spacing w:before="0" w:after="283"/>
              <w:jc w:val="right"/>
              <w:rPr>
                <w:rFonts w:ascii="helvetica" w:hAnsi="helvetica"/>
                <w:sz w:val="20"/>
              </w:rPr>
            </w:pPr>
            <w:r>
              <w:rPr>
                <w:rFonts w:ascii="helvetica" w:hAnsi="helvetica"/>
                <w:sz w:val="20"/>
              </w:rPr>
              <w:t>(22,351,240</w:t>
            </w:r>
          </w:p>
        </w:tc>
        <w:tc>
          <w:tcPr>
            <w:tcW w:w="123"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2,090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5,244</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Loss on extinguishment of debt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24,658</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1,730,892</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1,502,080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149,162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3,630,896</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(61,344</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(13,876</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(76,141</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Accounts payable and accrued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61,371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104,779</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369,897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Accrued payroll</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19,115</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48,835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105,706</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(1,287,127</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(316,845</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(12,057,220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(15,308</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(18,462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(15,308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(18,462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notes payable to a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450,000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976,300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Proceeds received in connection with debt modification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50,000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Preferred stock deemed dividend paid at conversion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warrants and stock options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from issuance of common stock and warrants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for cash, net of offering costs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11,915,931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19,695,023</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Deferred offering costs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(68,785</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(68,785</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12,147,146</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23,066,553</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10,844,711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(289,308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10,990,871</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10,990,871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2,154</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10,990,871</w:t>
            </w:r>
          </w:p>
        </w:tc>
        <w:tc>
          <w:tcPr>
            <w:tcW w:w="123" w:type="dxa"/>
            <w:tcBorders/>
            <w:shd w:fill="CCEEFF" w:val="clear"/>
            <w:vAlign w:val="bottom"/>
          </w:tcPr>
          <w:p>
            <w:pPr>
              <w:pStyle w:val="TableContents"/>
              <w:spacing w:before="0" w:after="283"/>
              <w:jc w:val="left"/>
              <w:rPr/>
            </w:pPr>
            <w:r>
              <w:rPr/>
              <w:t> </w:t>
            </w:r>
          </w:p>
        </w:tc>
      </w:tr>
      <w:tr>
        <w:trPr/>
        <w:tc>
          <w:tcPr>
            <w:tcW w:w="7275" w:type="dxa"/>
            <w:gridSpan w:val="4"/>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Issuance of and adjustment to common stock and warrants to</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offering costs in connection with equity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offering recorded in accounts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314,961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314,961</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related party accounts payable into common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common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1,905,137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3,435,314</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Related party acquisition of Phase 3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preferred stock into common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7,499</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7,499</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5" w:name="PGBRK75"/>
      <w:bookmarkStart w:id="896" w:name="PGBRK75"/>
      <w:bookmarkEnd w:id="8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7" w:name="FTR75"/>
      <w:bookmarkStart w:id="898" w:name="FTR75"/>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9" w:name="GLFTR74"/>
      <w:bookmarkEnd w:id="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00" w:name="PN74"/>
      <w:bookmarkEnd w:id="900"/>
      <w:r>
        <w:rPr>
          <w:rFonts w:ascii="helvetica" w:hAnsi="helvetica"/>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1" w:name="HDR74"/>
      <w:bookmarkStart w:id="902" w:name="HDR74"/>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3" w:name="GLHDR72"/>
      <w:bookmarkEnd w:id="9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bookmarkStart w:id="904" w:name="fis_notes_to_financial_statement"/>
      <w:bookmarkEnd w:id="904"/>
    </w:p>
    <w:p>
      <w:pPr>
        <w:pStyle w:val="TextBody"/>
        <w:spacing w:before="0" w:after="0"/>
        <w:ind w:left="0" w:right="0" w:hanging="0"/>
        <w:jc w:val="center"/>
        <w:rPr>
          <w:rFonts w:ascii="helvetica" w:hAnsi="helvetica"/>
          <w:b/>
          <w:sz w:val="20"/>
        </w:rPr>
      </w:pPr>
      <w:r>
        <w:rPr>
          <w:rFonts w:ascii="helvetica" w:hAnsi="helvetica"/>
          <w:b/>
          <w:sz w:val="20"/>
        </w:rPr>
        <w:t>NOTES TO THE UNAUDITED CONDENSED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three and nine months ended September 30, 2012 and 2011 and the period from July 24, 1998 (Inception) through September 30, 2012</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NOTE 1.    OVERVIEW AND BASIS OF PRESENTATION</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Company and Background</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Through our strategic relationship with Professional Compounding Centers of America, Inc. (“PCCA”) (see Note 4 and Note 6),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a specific drug development opportunity. We plan to use our proprietary Accudel drug delivery technology, coupled with these licensed technologies, formulations and market data, to identify pharmaceutical development opportunities we perceive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Basis of Presentation</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share and per share amounts and calculations in this report reflect the effects of that reverse stock split.</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Imprimis has prepared the accompanying interim condensed unaudited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nine months ended September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  </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Principles of Consolidation</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5" w:name="PGBRK76"/>
      <w:bookmarkStart w:id="906" w:name="PGBRK76"/>
      <w:bookmarkEnd w:id="9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7" w:name="FTR76"/>
      <w:bookmarkStart w:id="908" w:name="FTR76"/>
      <w:bookmarkEnd w:id="9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9" w:name="GLFTR75"/>
      <w:bookmarkEnd w:id="9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10" w:name="PN75"/>
      <w:bookmarkEnd w:id="910"/>
      <w:r>
        <w:rPr>
          <w:rFonts w:ascii="helvetica" w:hAnsi="helvetica"/>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1" w:name="HDR75"/>
      <w:bookmarkStart w:id="912" w:name="HDR75"/>
      <w:bookmarkEnd w:id="9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3" w:name="GLHDR73"/>
      <w:bookmarkEnd w:id="9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Development Stage Enterprise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These condensed consolidated financial statements contemplate the realization of assets and the satisfaction of liabilities in the normal course of business. The Company is a development state enterprise and has incurred recurring operating losses, has had negative operating cash flows and has not recognized any significant revenues since July 24, 1998 (inception). In addition, the Company has a deficit accumulated during the development stage of approximately $22.7 million at September 30, 2012, and anticipates incurring further losses through the year 2012 and beyond.  The Company has not yet generated commercial sales revenue and has funded its operating losses to date through debt and equity offerings and borrowings under its line of credit.  The Company believes that its existing cash and cash equivalents will be sufficient to cover its cash flow requirements through the next twelve months.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Research and Development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Revenue Recognition and Deferred Revenue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For the nine months ended September 30, 2012, the Company recorded $100,000 in revenues for non-refundable royalty advances, which were previously deferred.  The Company does not anticipate that it will generate any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4" w:name="PGBRK77"/>
      <w:bookmarkStart w:id="915" w:name="PGBRK77"/>
      <w:bookmarkEnd w:id="9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6" w:name="FTR77"/>
      <w:bookmarkStart w:id="917" w:name="FTR77"/>
      <w:bookmarkEnd w:id="9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8" w:name="GLFTR76"/>
      <w:bookmarkEnd w:id="9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19" w:name="PN76"/>
      <w:bookmarkEnd w:id="919"/>
      <w:r>
        <w:rPr>
          <w:rFonts w:ascii="helvetica" w:hAnsi="helvetica"/>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0" w:name="HDR76"/>
      <w:bookmarkStart w:id="921" w:name="HDR76"/>
      <w:bookmarkEnd w:id="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2" w:name="GLHDR74"/>
      <w:bookmarkEnd w:id="9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Income Taxes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Income tax expense is provided for the tax effects of transactions reported in the financial statements and consists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No income tax benefit (expense) was recognized for the nine months ended September 30, 2012 as a result of tax losses in this period and because deferred tax benefits, derived from the Company’s prior net operating losses, were previously fully reserved.  At September 30, 2012, the Company had federal and California net operating loss carryforwards of approximately $14.1 million and $13.6 million, respectively.  The use of our net operating losses may be restricted in future years due to the limitations pursuant to IRC Section 382 on changes in ownership.</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is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Cash and Cash Equivalents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Cash equivalents include short-term, highly liquid investments with maturities of three months or less at the time of acquisition.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Concentrations of Credit Risk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September 30, 2012, the Company had approximately $10.1 million in cash deposits in excess of FDIC limits.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Furniture and Equipment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Furniture and equipment is stated at cost less accumulated depreciation.  Depreciation is calculated using the straight-line method over the estimated useful lives of three to five years.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Furniture and equipment, net, as of September 30, 2012 and December 31, 2011 consisted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733"/>
        <w:gridCol w:w="125"/>
        <w:gridCol w:w="202"/>
        <w:gridCol w:w="1292"/>
        <w:gridCol w:w="142"/>
        <w:gridCol w:w="125"/>
        <w:gridCol w:w="502"/>
        <w:gridCol w:w="940"/>
        <w:gridCol w:w="144"/>
      </w:tblGrid>
      <w:tr>
        <w:trPr/>
        <w:tc>
          <w:tcPr>
            <w:tcW w:w="6733"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4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44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44" w:type="dxa"/>
            <w:tcBorders/>
            <w:shd w:fill="auto" w:val="clear"/>
            <w:vAlign w:val="bottom"/>
          </w:tcPr>
          <w:p>
            <w:pPr>
              <w:pStyle w:val="TableContents"/>
              <w:spacing w:before="0" w:after="283"/>
              <w:jc w:val="left"/>
              <w:rPr/>
            </w:pPr>
            <w:r>
              <w:rPr/>
              <w:t> </w:t>
            </w:r>
          </w:p>
        </w:tc>
      </w:tr>
      <w:tr>
        <w:trPr/>
        <w:tc>
          <w:tcPr>
            <w:tcW w:w="6733"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4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4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44" w:type="dxa"/>
            <w:tcBorders/>
            <w:shd w:fill="auto" w:val="clear"/>
            <w:vAlign w:val="bottom"/>
          </w:tcPr>
          <w:p>
            <w:pPr>
              <w:pStyle w:val="TableContents"/>
              <w:spacing w:before="0" w:after="283"/>
              <w:jc w:val="left"/>
              <w:rPr/>
            </w:pPr>
            <w:r>
              <w:rPr/>
              <w:t> </w:t>
            </w:r>
          </w:p>
        </w:tc>
      </w:tr>
      <w:tr>
        <w:trPr/>
        <w:tc>
          <w:tcPr>
            <w:tcW w:w="673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 net:</w:t>
            </w:r>
          </w:p>
        </w:tc>
        <w:tc>
          <w:tcPr>
            <w:tcW w:w="125" w:type="dxa"/>
            <w:tcBorders/>
            <w:shd w:fill="CCEEFF" w:val="clear"/>
            <w:vAlign w:val="bottom"/>
          </w:tcPr>
          <w:p>
            <w:pPr>
              <w:pStyle w:val="TableContents"/>
              <w:spacing w:before="0" w:after="283"/>
              <w:rPr/>
            </w:pPr>
            <w:r>
              <w:rPr/>
              <w:t> </w:t>
            </w:r>
          </w:p>
        </w:tc>
        <w:tc>
          <w:tcPr>
            <w:tcW w:w="1494" w:type="dxa"/>
            <w:gridSpan w:val="2"/>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442" w:type="dxa"/>
            <w:gridSpan w:val="2"/>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r>
      <w:tr>
        <w:trPr/>
        <w:tc>
          <w:tcPr>
            <w:tcW w:w="6733" w:type="dxa"/>
            <w:tcBorders/>
            <w:shd w:fill="FFFFFF" w:val="clear"/>
            <w:vAlign w:val="bottom"/>
          </w:tcPr>
          <w:p>
            <w:pPr>
              <w:pStyle w:val="TableContents"/>
              <w:spacing w:before="0" w:after="0"/>
              <w:ind w:left="0" w:right="0" w:hanging="0"/>
              <w:jc w:val="left"/>
              <w:rPr/>
            </w:pPr>
            <w:r>
              <w:rPr/>
              <w:t>   </w:t>
            </w:r>
            <w:r>
              <w:rPr>
                <w:rFonts w:ascii="helvetica" w:hAnsi="helvetica"/>
                <w:sz w:val="20"/>
              </w:rPr>
              <w:t>Computer Software and Hardware</w:t>
            </w:r>
          </w:p>
        </w:tc>
        <w:tc>
          <w:tcPr>
            <w:tcW w:w="125"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29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6,341</w:t>
            </w:r>
          </w:p>
        </w:tc>
        <w:tc>
          <w:tcPr>
            <w:tcW w:w="142"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4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FFFFFF" w:val="clear"/>
            <w:vAlign w:val="bottom"/>
          </w:tcPr>
          <w:p>
            <w:pPr>
              <w:pStyle w:val="TableContents"/>
              <w:spacing w:before="0" w:after="283"/>
              <w:jc w:val="left"/>
              <w:rPr/>
            </w:pPr>
            <w:r>
              <w:rPr/>
              <w:t> </w:t>
            </w:r>
          </w:p>
        </w:tc>
      </w:tr>
      <w:tr>
        <w:trPr/>
        <w:tc>
          <w:tcPr>
            <w:tcW w:w="673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w:t>
            </w:r>
          </w:p>
        </w:tc>
        <w:tc>
          <w:tcPr>
            <w:tcW w:w="125"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8,967</w:t>
            </w:r>
          </w:p>
        </w:tc>
        <w:tc>
          <w:tcPr>
            <w:tcW w:w="142"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5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CCEEFF" w:val="clear"/>
            <w:vAlign w:val="bottom"/>
          </w:tcPr>
          <w:p>
            <w:pPr>
              <w:pStyle w:val="TableContents"/>
              <w:spacing w:before="0" w:after="283"/>
              <w:jc w:val="left"/>
              <w:rPr/>
            </w:pPr>
            <w:r>
              <w:rPr/>
              <w:t> </w:t>
            </w:r>
          </w:p>
        </w:tc>
      </w:tr>
      <w:tr>
        <w:trPr/>
        <w:tc>
          <w:tcPr>
            <w:tcW w:w="6733" w:type="dxa"/>
            <w:tcBorders/>
            <w:shd w:fill="FFFFFF" w:val="cle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pPr>
            <w:r>
              <w:rPr/>
              <w:t> </w:t>
            </w:r>
          </w:p>
        </w:tc>
        <w:tc>
          <w:tcPr>
            <w:tcW w:w="129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15,308</w:t>
            </w:r>
          </w:p>
        </w:tc>
        <w:tc>
          <w:tcPr>
            <w:tcW w:w="142"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left"/>
              <w:rPr/>
            </w:pPr>
            <w:r>
              <w:rPr/>
              <w:t> </w:t>
            </w:r>
          </w:p>
        </w:tc>
        <w:tc>
          <w:tcPr>
            <w:tcW w:w="94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FFFFFF" w:val="clear"/>
            <w:vAlign w:val="bottom"/>
          </w:tcPr>
          <w:p>
            <w:pPr>
              <w:pStyle w:val="TableContents"/>
              <w:spacing w:before="0" w:after="283"/>
              <w:jc w:val="left"/>
              <w:rPr/>
            </w:pPr>
            <w:r>
              <w:rPr/>
              <w:t> </w:t>
            </w:r>
          </w:p>
        </w:tc>
      </w:tr>
      <w:tr>
        <w:trPr/>
        <w:tc>
          <w:tcPr>
            <w:tcW w:w="6733" w:type="dxa"/>
            <w:tcBorders/>
            <w:shd w:fill="CCEEFF" w:val="clear"/>
            <w:vAlign w:val="bottom"/>
          </w:tcPr>
          <w:p>
            <w:pPr>
              <w:pStyle w:val="TableContents"/>
              <w:spacing w:before="0" w:after="0"/>
              <w:ind w:left="0" w:right="0" w:hanging="0"/>
              <w:jc w:val="left"/>
              <w:rPr/>
            </w:pPr>
            <w:r>
              <w:rPr/>
              <w:t>  </w:t>
            </w:r>
            <w:r>
              <w:rPr>
                <w:rFonts w:ascii="helvetica" w:hAnsi="helvetica"/>
                <w:sz w:val="20"/>
              </w:rPr>
              <w:t>Accumulated Depreciation</w:t>
            </w:r>
          </w:p>
        </w:tc>
        <w:tc>
          <w:tcPr>
            <w:tcW w:w="125"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(2,090</w:t>
            </w:r>
          </w:p>
        </w:tc>
        <w:tc>
          <w:tcPr>
            <w:tcW w:w="14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5" w:type="dxa"/>
            <w:tcBorders/>
            <w:shd w:fill="CCEEFF" w:val="clear"/>
            <w:vAlign w:val="bottom"/>
          </w:tcPr>
          <w:p>
            <w:pPr>
              <w:pStyle w:val="TableContents"/>
              <w:spacing w:before="0" w:after="283"/>
              <w:rPr/>
            </w:pPr>
            <w:r>
              <w:rPr/>
              <w:t> </w:t>
            </w:r>
          </w:p>
        </w:tc>
        <w:tc>
          <w:tcPr>
            <w:tcW w:w="5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CCEEFF" w:val="clear"/>
            <w:vAlign w:val="bottom"/>
          </w:tcPr>
          <w:p>
            <w:pPr>
              <w:pStyle w:val="TableContents"/>
              <w:spacing w:before="0" w:after="283"/>
              <w:jc w:val="left"/>
              <w:rPr/>
            </w:pPr>
            <w:r>
              <w:rPr/>
              <w:t> </w:t>
            </w:r>
          </w:p>
        </w:tc>
      </w:tr>
      <w:tr>
        <w:trPr/>
        <w:tc>
          <w:tcPr>
            <w:tcW w:w="6733" w:type="dxa"/>
            <w:tcBorders/>
            <w:shd w:fill="FFFFFF" w:val="cle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9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13,218</w:t>
            </w:r>
          </w:p>
        </w:tc>
        <w:tc>
          <w:tcPr>
            <w:tcW w:w="142"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50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940"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4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3" w:name="PGBRK78"/>
      <w:bookmarkStart w:id="924" w:name="PGBRK78"/>
      <w:bookmarkEnd w:id="9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5" w:name="FTR78"/>
      <w:bookmarkStart w:id="926" w:name="FTR78"/>
      <w:bookmarkEnd w:id="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7" w:name="GLFTR77"/>
      <w:bookmarkEnd w:id="9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28" w:name="PN77"/>
      <w:bookmarkEnd w:id="928"/>
      <w:r>
        <w:rPr>
          <w:rFonts w:ascii="helvetica" w:hAnsi="helvetica"/>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9" w:name="HDR77"/>
      <w:bookmarkStart w:id="930" w:name="HDR77"/>
      <w:bookmarkEnd w:id="9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1" w:name="GLHDR75"/>
      <w:bookmarkEnd w:id="9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During the three and nine months ended September 30, 2012, the Company recorded depreciation expenses of $843 and $2,090, respectively, and during the three and nine months ended September 30, 2011, the Company recorded depreciation expenses of $0 and $338, respectively.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Deferred Offering Costs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July 25, 2012, the Company filed with the Securities and Exchange Commission a registration statement in connection with a proposed offering of its common stock.  At September 30, 2012, the Company had deferred offering costs of $383,746 for legal, accounting and other expenses directly related to the proposed offering.  Any cash proceeds the Company may receive from the proposed offering will be netted against these deferred offering costs and any future costs directly associated with the offering.  There is no obligation to consummate an offering and an offering may not occur.</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Deferred Rent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September 30, 2012 was $1,734 and is included in accounts payable and accrued expenses in the accompanying unaudited condensed consolidated balance sheet.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Fair Value Measurements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rPr>
          <w:rFonts w:ascii="Helvetica" w:hAnsi="Helvetica"/>
          <w:sz w:val="20"/>
        </w:rPr>
      </w:pPr>
      <w:r>
        <w:rPr>
          <w:rFonts w:ascii="Helvetica" w:hAnsi="Helvetica"/>
          <w:sz w:val="20"/>
        </w:rPr>
      </w:r>
    </w:p>
    <w:tbl>
      <w:tblPr>
        <w:tblW w:w="5000" w:type="pct"/>
        <w:jc w:val="left"/>
        <w:tblInd w:w="0" w:type="dxa"/>
        <w:tblCellMar>
          <w:top w:w="0" w:type="dxa"/>
          <w:left w:w="0" w:type="dxa"/>
          <w:bottom w:w="0" w:type="dxa"/>
          <w:right w:w="0" w:type="dxa"/>
        </w:tblCellMar>
      </w:tblPr>
      <w:tblGrid>
        <w:gridCol w:w="367"/>
        <w:gridCol w:w="9838"/>
      </w:tblGrid>
      <w:tr>
        <w:trPr/>
        <w:tc>
          <w:tcPr>
            <w:tcW w:w="367" w:type="dxa"/>
            <w:tcBorders/>
            <w:shd w:fill="auto" w:val="clear"/>
          </w:tcPr>
          <w:p>
            <w:pPr>
              <w:pStyle w:val="TableContents"/>
              <w:spacing w:before="0" w:after="0"/>
              <w:ind w:left="0" w:right="0" w:hanging="0"/>
              <w:jc w:val="left"/>
              <w:rPr/>
            </w:pPr>
            <w:r>
              <w:rPr/>
              <w:t>●</w:t>
            </w:r>
          </w:p>
        </w:tc>
        <w:tc>
          <w:tcPr>
            <w:tcW w:w="9838"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67" w:type="dxa"/>
            <w:tcBorders/>
            <w:shd w:fill="auto" w:val="clear"/>
          </w:tcPr>
          <w:p>
            <w:pPr>
              <w:pStyle w:val="TableContents"/>
              <w:spacing w:before="0" w:after="0"/>
              <w:ind w:left="0" w:right="0" w:hanging="0"/>
              <w:jc w:val="left"/>
              <w:rPr/>
            </w:pPr>
            <w:r>
              <w:rPr/>
              <w:t>●</w:t>
            </w:r>
          </w:p>
        </w:tc>
        <w:tc>
          <w:tcPr>
            <w:tcW w:w="9838"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67" w:type="dxa"/>
            <w:tcBorders/>
            <w:shd w:fill="auto" w:val="clear"/>
          </w:tcPr>
          <w:p>
            <w:pPr>
              <w:pStyle w:val="TableContents"/>
              <w:spacing w:before="0" w:after="0"/>
              <w:ind w:left="0" w:right="0" w:hanging="0"/>
              <w:jc w:val="left"/>
              <w:rPr/>
            </w:pPr>
            <w:r>
              <w:rPr/>
              <w:t>●</w:t>
            </w:r>
          </w:p>
        </w:tc>
        <w:tc>
          <w:tcPr>
            <w:tcW w:w="9838"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The fair values of the Company’s cash and cash equivalents, accounts payable, and accrued expenses approximate carrying values due to their short term maturities.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Beneficial Conversion Features and Debt Discounts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Stock-Based Compensation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financial statements based upon their fair values.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recorded stock-based compensation related to equity instruments granted to employees, directors and consultants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279"/>
        <w:gridCol w:w="105"/>
        <w:gridCol w:w="175"/>
        <w:gridCol w:w="1069"/>
        <w:gridCol w:w="105"/>
        <w:gridCol w:w="105"/>
        <w:gridCol w:w="194"/>
        <w:gridCol w:w="1051"/>
        <w:gridCol w:w="105"/>
        <w:gridCol w:w="105"/>
        <w:gridCol w:w="149"/>
        <w:gridCol w:w="1179"/>
        <w:gridCol w:w="104"/>
        <w:gridCol w:w="105"/>
        <w:gridCol w:w="175"/>
        <w:gridCol w:w="1069"/>
        <w:gridCol w:w="131"/>
      </w:tblGrid>
      <w:tr>
        <w:trPr/>
        <w:tc>
          <w:tcPr>
            <w:tcW w:w="42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w:t>
            </w:r>
          </w:p>
        </w:tc>
        <w:tc>
          <w:tcPr>
            <w:tcW w:w="10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w:t>
            </w:r>
          </w:p>
        </w:tc>
        <w:tc>
          <w:tcPr>
            <w:tcW w:w="131" w:type="dxa"/>
            <w:tcBorders/>
            <w:shd w:fill="auto" w:val="clear"/>
            <w:vAlign w:val="bottom"/>
          </w:tcPr>
          <w:p>
            <w:pPr>
              <w:pStyle w:val="TableContents"/>
              <w:spacing w:before="0" w:after="283"/>
              <w:jc w:val="left"/>
              <w:rPr/>
            </w:pPr>
            <w:r>
              <w:rPr/>
              <w:t> </w:t>
            </w:r>
          </w:p>
        </w:tc>
      </w:tr>
      <w:tr>
        <w:trPr/>
        <w:tc>
          <w:tcPr>
            <w:tcW w:w="42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w:t>
            </w:r>
          </w:p>
          <w:p>
            <w:pPr>
              <w:pStyle w:val="TableContents"/>
              <w:spacing w:before="0" w:after="0"/>
              <w:ind w:left="0" w:right="0" w:hanging="0"/>
              <w:jc w:val="center"/>
              <w:rPr>
                <w:rFonts w:ascii="helvetica" w:hAnsi="helvetica"/>
                <w:b/>
                <w:sz w:val="16"/>
              </w:rPr>
            </w:pPr>
            <w:r>
              <w:rPr>
                <w:rFonts w:ascii="helvetica" w:hAnsi="helvetica"/>
                <w:b/>
                <w:sz w:val="16"/>
              </w:rPr>
              <w:t>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w:t>
            </w:r>
          </w:p>
          <w:p>
            <w:pPr>
              <w:pStyle w:val="TableContents"/>
              <w:spacing w:before="0" w:after="0"/>
              <w:ind w:left="0" w:right="0" w:hanging="0"/>
              <w:jc w:val="center"/>
              <w:rPr>
                <w:rFonts w:ascii="helvetica" w:hAnsi="helvetica"/>
                <w:b/>
                <w:sz w:val="16"/>
              </w:rPr>
            </w:pPr>
            <w:r>
              <w:rPr>
                <w:rFonts w:ascii="helvetica" w:hAnsi="helvetica"/>
                <w:b/>
                <w:sz w:val="16"/>
              </w:rPr>
              <w:t>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0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31" w:type="dxa"/>
            <w:tcBorders/>
            <w:shd w:fill="auto" w:val="clear"/>
            <w:vAlign w:val="bottom"/>
          </w:tcPr>
          <w:p>
            <w:pPr>
              <w:pStyle w:val="TableContents"/>
              <w:spacing w:before="0" w:after="283"/>
              <w:jc w:val="left"/>
              <w:rPr/>
            </w:pPr>
            <w:r>
              <w:rPr/>
              <w:t> </w:t>
            </w:r>
          </w:p>
        </w:tc>
      </w:tr>
      <w:tr>
        <w:trPr/>
        <w:tc>
          <w:tcPr>
            <w:tcW w:w="42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31" w:type="dxa"/>
            <w:tcBorders/>
            <w:shd w:fill="auto" w:val="clear"/>
            <w:vAlign w:val="bottom"/>
          </w:tcPr>
          <w:p>
            <w:pPr>
              <w:pStyle w:val="TableContents"/>
              <w:spacing w:before="0" w:after="283"/>
              <w:jc w:val="left"/>
              <w:rPr/>
            </w:pPr>
            <w:r>
              <w:rPr/>
              <w:t> </w:t>
            </w:r>
          </w:p>
        </w:tc>
      </w:tr>
      <w:tr>
        <w:trPr/>
        <w:tc>
          <w:tcPr>
            <w:tcW w:w="427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Employees - selling, general and administrative</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180,630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32,757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298,854</w:t>
            </w:r>
          </w:p>
        </w:tc>
        <w:tc>
          <w:tcPr>
            <w:tcW w:w="104"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104,675</w:t>
            </w:r>
          </w:p>
        </w:tc>
        <w:tc>
          <w:tcPr>
            <w:tcW w:w="131" w:type="dxa"/>
            <w:tcBorders/>
            <w:shd w:fill="CCEEFF" w:val="clear"/>
            <w:vAlign w:val="bottom"/>
          </w:tcPr>
          <w:p>
            <w:pPr>
              <w:pStyle w:val="TableContents"/>
              <w:spacing w:before="0" w:after="283"/>
              <w:jc w:val="left"/>
              <w:rPr/>
            </w:pPr>
            <w:r>
              <w:rPr/>
              <w:t> </w:t>
            </w:r>
          </w:p>
        </w:tc>
      </w:tr>
      <w:tr>
        <w:trPr/>
        <w:tc>
          <w:tcPr>
            <w:tcW w:w="427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Employees - research and development</w:t>
            </w:r>
          </w:p>
        </w:tc>
        <w:tc>
          <w:tcPr>
            <w:tcW w:w="10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61,299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7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143,711</w:t>
            </w:r>
          </w:p>
        </w:tc>
        <w:tc>
          <w:tcPr>
            <w:tcW w:w="104"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37,754</w:t>
            </w:r>
          </w:p>
        </w:tc>
        <w:tc>
          <w:tcPr>
            <w:tcW w:w="131" w:type="dxa"/>
            <w:tcBorders/>
            <w:shd w:fill="FFFFFF" w:val="clear"/>
            <w:vAlign w:val="bottom"/>
          </w:tcPr>
          <w:p>
            <w:pPr>
              <w:pStyle w:val="TableContents"/>
              <w:spacing w:before="0" w:after="283"/>
              <w:jc w:val="left"/>
              <w:rPr/>
            </w:pPr>
            <w:r>
              <w:rPr/>
              <w:t> </w:t>
            </w:r>
          </w:p>
        </w:tc>
      </w:tr>
      <w:tr>
        <w:trPr/>
        <w:tc>
          <w:tcPr>
            <w:tcW w:w="427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 selling, general and administrative</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331,264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4,041</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898,679</w:t>
            </w:r>
          </w:p>
        </w:tc>
        <w:tc>
          <w:tcPr>
            <w:tcW w:w="104"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6,733</w:t>
            </w:r>
          </w:p>
        </w:tc>
        <w:tc>
          <w:tcPr>
            <w:tcW w:w="131" w:type="dxa"/>
            <w:tcBorders/>
            <w:shd w:fill="CCEEFF" w:val="clear"/>
            <w:vAlign w:val="bottom"/>
          </w:tcPr>
          <w:p>
            <w:pPr>
              <w:pStyle w:val="TableContents"/>
              <w:spacing w:before="0" w:after="283"/>
              <w:jc w:val="left"/>
              <w:rPr/>
            </w:pPr>
            <w:r>
              <w:rPr/>
              <w:t> </w:t>
            </w:r>
          </w:p>
        </w:tc>
      </w:tr>
      <w:tr>
        <w:trPr/>
        <w:tc>
          <w:tcPr>
            <w:tcW w:w="427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Consultants - selling, general and administrative</w:t>
            </w:r>
          </w:p>
        </w:tc>
        <w:tc>
          <w:tcPr>
            <w:tcW w:w="105"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80,849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160,836</w:t>
            </w:r>
          </w:p>
        </w:tc>
        <w:tc>
          <w:tcPr>
            <w:tcW w:w="104"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31" w:type="dxa"/>
            <w:tcBorders/>
            <w:shd w:fill="FFFFFF" w:val="clear"/>
            <w:vAlign w:val="bottom"/>
          </w:tcPr>
          <w:p>
            <w:pPr>
              <w:pStyle w:val="TableContents"/>
              <w:spacing w:before="0" w:after="283"/>
              <w:jc w:val="left"/>
              <w:rPr/>
            </w:pPr>
            <w:r>
              <w:rPr/>
              <w:t> </w:t>
            </w:r>
          </w:p>
        </w:tc>
      </w:tr>
      <w:tr>
        <w:trPr/>
        <w:tc>
          <w:tcPr>
            <w:tcW w:w="427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w:t>
            </w:r>
          </w:p>
        </w:tc>
        <w:tc>
          <w:tcPr>
            <w:tcW w:w="105"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654,042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9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5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36,798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9"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7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1,502,080</w:t>
            </w:r>
          </w:p>
        </w:tc>
        <w:tc>
          <w:tcPr>
            <w:tcW w:w="104"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149,162</w:t>
            </w:r>
          </w:p>
        </w:tc>
        <w:tc>
          <w:tcPr>
            <w:tcW w:w="13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unvested restricted stock units (“RSUs”) and warrants were 8,345,388 and 395,846 at September 30, 2012 and 2011, respectively, and are excluded from the calculation of diluted net loss per share for all periods presented because the effect is anti-dilutive.</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following table shows the computation of basic and diluted earnings per common share for the three- and nine-month periods ended September 30, 2012 and September 30, 2011:</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608"/>
        <w:gridCol w:w="102"/>
        <w:gridCol w:w="125"/>
        <w:gridCol w:w="1079"/>
        <w:gridCol w:w="109"/>
        <w:gridCol w:w="102"/>
        <w:gridCol w:w="125"/>
        <w:gridCol w:w="1041"/>
        <w:gridCol w:w="109"/>
        <w:gridCol w:w="102"/>
        <w:gridCol w:w="125"/>
        <w:gridCol w:w="1079"/>
        <w:gridCol w:w="109"/>
        <w:gridCol w:w="102"/>
        <w:gridCol w:w="124"/>
        <w:gridCol w:w="1041"/>
        <w:gridCol w:w="123"/>
      </w:tblGrid>
      <w:tr>
        <w:trPr/>
        <w:tc>
          <w:tcPr>
            <w:tcW w:w="460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 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 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 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 months ended</w:t>
            </w:r>
          </w:p>
        </w:tc>
        <w:tc>
          <w:tcPr>
            <w:tcW w:w="123" w:type="dxa"/>
            <w:tcBorders/>
            <w:shd w:fill="auto" w:val="clear"/>
            <w:vAlign w:val="bottom"/>
          </w:tcPr>
          <w:p>
            <w:pPr>
              <w:pStyle w:val="TableContents"/>
              <w:spacing w:before="0" w:after="283"/>
              <w:jc w:val="left"/>
              <w:rPr/>
            </w:pPr>
            <w:r>
              <w:rPr/>
              <w:t> </w:t>
            </w:r>
          </w:p>
        </w:tc>
      </w:tr>
      <w:tr>
        <w:trPr/>
        <w:tc>
          <w:tcPr>
            <w:tcW w:w="460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23" w:type="dxa"/>
            <w:tcBorders/>
            <w:shd w:fill="auto" w:val="clear"/>
            <w:vAlign w:val="bottom"/>
          </w:tcPr>
          <w:p>
            <w:pPr>
              <w:pStyle w:val="TableContents"/>
              <w:spacing w:before="0" w:after="283"/>
              <w:jc w:val="left"/>
              <w:rPr/>
            </w:pPr>
            <w:r>
              <w:rPr/>
              <w:t> </w:t>
            </w:r>
          </w:p>
        </w:tc>
      </w:tr>
      <w:tr>
        <w:trPr/>
        <w:tc>
          <w:tcPr>
            <w:tcW w:w="460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460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(1,245,826</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(85,400</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(3,930,507</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(682,178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460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102"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(200,000</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460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Numerator – loss attributable to common stockholders</w:t>
            </w:r>
          </w:p>
        </w:tc>
        <w:tc>
          <w:tcPr>
            <w:tcW w:w="10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(1,245,826</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(85,400</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(4,130,507</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(682,178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460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Denominator – weighted average</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4608" w:type="dxa"/>
            <w:tcBorders/>
            <w:shd w:fill="CCEEFF" w:val="clear"/>
            <w:vAlign w:val="bottom"/>
          </w:tcPr>
          <w:p>
            <w:pPr>
              <w:pStyle w:val="TableContents"/>
              <w:spacing w:before="0" w:after="0"/>
              <w:ind w:left="0" w:right="0" w:hanging="0"/>
              <w:jc w:val="left"/>
              <w:rPr/>
            </w:pPr>
            <w:r>
              <w:rPr/>
              <w:t>   </w:t>
            </w:r>
            <w:r>
              <w:rPr>
                <w:rFonts w:ascii="helvetica" w:hAnsi="helvetica"/>
                <w:sz w:val="20"/>
              </w:rPr>
              <w:t>number of shares outstanding, basic and diluted</w:t>
            </w:r>
          </w:p>
        </w:tc>
        <w:tc>
          <w:tcPr>
            <w:tcW w:w="102"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31,099,103</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1,987,601</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18,642,566</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1,989,490</w:t>
            </w:r>
          </w:p>
        </w:tc>
        <w:tc>
          <w:tcPr>
            <w:tcW w:w="123" w:type="dxa"/>
            <w:tcBorders/>
            <w:shd w:fill="CCEEFF" w:val="clear"/>
            <w:vAlign w:val="bottom"/>
          </w:tcPr>
          <w:p>
            <w:pPr>
              <w:pStyle w:val="TableContents"/>
              <w:spacing w:before="0" w:after="283"/>
              <w:jc w:val="left"/>
              <w:rPr/>
            </w:pPr>
            <w:r>
              <w:rPr/>
              <w:t> </w:t>
            </w:r>
          </w:p>
        </w:tc>
      </w:tr>
      <w:tr>
        <w:trPr/>
        <w:tc>
          <w:tcPr>
            <w:tcW w:w="4608" w:type="dxa"/>
            <w:tcBorders/>
            <w:shd w:fill="FFFF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Loss per share, basic and diluted</w:t>
            </w:r>
          </w:p>
        </w:tc>
        <w:tc>
          <w:tcPr>
            <w:tcW w:w="102"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(0.22</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(0.34</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2" w:name="PGBRK79"/>
      <w:bookmarkStart w:id="933" w:name="PGBRK79"/>
      <w:bookmarkEnd w:id="9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4" w:name="FTR79"/>
      <w:bookmarkStart w:id="935" w:name="FTR79"/>
      <w:bookmarkEnd w:id="9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6" w:name="GLFTR78"/>
      <w:bookmarkEnd w:id="9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37" w:name="PN78"/>
      <w:bookmarkEnd w:id="937"/>
      <w:r>
        <w:rPr>
          <w:rFonts w:ascii="helvetica" w:hAnsi="helvetica"/>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8" w:name="HDR78"/>
      <w:bookmarkStart w:id="939" w:name="HDR78"/>
      <w:bookmarkEnd w:id="9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0" w:name="GLHDR76"/>
      <w:bookmarkEnd w:id="9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Use of Estimates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Unaudited Pro Forma Stockholders’ Equity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has filed a registration statement on Form S-1 with the U.S. Securities and Exchange Commission in connection with a proposed public offering of its securities. If the offering contemplated by the registration statement is consummated and the Company raises sufficient equity to meet the listing requirements of The NASDAQ Capital Market, the Company will effect a 1-for-5 reverse stock split of its common stock after the effectiveness of the registration statement and prior to the closing of the offering. The unaudited pro forma consolidated balance sheet as of September 30, 2012 gives effect to the assumed 1-for-5 reverse stock split.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Since the 1-for-5 reverse stock split is to be effected after the effectiveness of the registration statement, the historical share information included in the accompanying consolidated financial statements and notes hereto does not assume the 1-for-5 reverse stock split, and accordingly has not been adjusted therefor.</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NOTE 2.  BANKRUPTCY PETITION AND ASSET PURCHASE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1" w:name="PGBRK80"/>
      <w:bookmarkStart w:id="942" w:name="PGBRK80"/>
      <w:bookmarkEnd w:id="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3" w:name="FTR80"/>
      <w:bookmarkStart w:id="944" w:name="FTR80"/>
      <w:bookmarkEnd w:id="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5" w:name="GLFTR79"/>
      <w:bookmarkEnd w:id="9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46" w:name="PN79"/>
      <w:bookmarkEnd w:id="946"/>
      <w:r>
        <w:rPr>
          <w:rFonts w:ascii="effontselection" w:hAnsi="effontselection"/>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7" w:name="HDR79"/>
      <w:bookmarkStart w:id="948" w:name="HDR79"/>
      <w:bookmarkEnd w:id="9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9" w:name="GLHDR77"/>
      <w:bookmarkEnd w:id="9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NOTE 3.  NOTES PAYABLE – RELATED PARTY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Chief Executive Officer and a director of the Company, were managing members and partial owners of DermaStar.  In July 2012, the Company was informed by DermaStar that it had dissolved and distributed all of its shares of the Company’s capital stock held by it to its members.  As a result of that dissolution and distribution, DermaStar is no longer a control person of the Company.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April 5, 2010, the Company issued a Senior Convertible Promissory Note (the “Note”) to Alexej Ladonnikov in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$8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September 30, 2012 and December 31, 2011, respectively, and interest expense on the Note for the three and nine months ended September 30, 2012 was $0 and $12,123, respectively, and for the three and nine months ended September 30, 2011 was $18,904 and $56,095, respectively.  Following the Company’s bankruptcy petition filed June 26, 2011, as well as the change in ownership control following the issuance of Series A Convertible Preferred Stock to DermaStar, the entire unpaid principal sum of this Note, together with its accrued and unpaid interest became immediately due and payable.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 January 2012, DermaStar acquired 80% of the Note in a private transaction with Mr. Ladonnikov.  On January 25, 2012, the Board of Directors of the Company approved, and the Company entered into, separate waiver and settlement agreements with DermaStar and Mr. Ladonnikov, the two parties holding the Note.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(“Series A Preferred Stock”) and (iii) certain conversion rights pursuant to Section 3 of the Note related to the change of control that resulted from the sale of the Series A Preferred Stock.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Pursuant to the terms of the waiver and settlement agreement by and between the Company and DermaStar,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approximately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nine months ended September 30, 2012.</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Pursuant to the terms of the waiver and settlement agreement by and between the Company and Mr. Ladonnikov,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February 28, 2012, the Company received payment from Mr. Ladonnikov of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nine months ended September 30, 2012.</w:t>
      </w:r>
    </w:p>
    <w:p>
      <w:pPr>
        <w:pStyle w:val="TextBody"/>
        <w:spacing w:before="0" w:after="0"/>
        <w:ind w:left="0" w:right="0" w:hanging="0"/>
        <w:jc w:val="both"/>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50" w:name="PGBRK81"/>
      <w:bookmarkStart w:id="951" w:name="PGBRK81"/>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52" w:name="FTR81"/>
      <w:bookmarkStart w:id="953" w:name="FTR81"/>
      <w:bookmarkEnd w:id="9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4" w:name="GLFTR80"/>
      <w:bookmarkEnd w:id="9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55" w:name="PN80"/>
      <w:bookmarkEnd w:id="955"/>
      <w:r>
        <w:rPr>
          <w:rFonts w:ascii="effontselection" w:hAnsi="effontselection"/>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56" w:name="HDR80"/>
      <w:bookmarkStart w:id="957" w:name="HDR80"/>
      <w:bookmarkEnd w:id="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8" w:name="GLHDR78"/>
      <w:bookmarkEnd w:id="9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Secured Line of Credit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December 31, 2011, respectively.  The promissory notes accrued interest at 10% annually and had a maturity of one year after the effective dates of the applicable Advance.  There was no accrued interest on the promissory notes at September 30, 2012 and interest expense for the three and nine months ended September 30, 2012 was $0 and $12,534, respectively.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shares of the Company’s common stock and warrants to purchase the Company’s common stock on the same terms as the issuance of such securities in the April Private Placement (as described in Note 4).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Notes payable consist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24"/>
        <w:gridCol w:w="125"/>
        <w:gridCol w:w="534"/>
        <w:gridCol w:w="958"/>
        <w:gridCol w:w="125"/>
        <w:gridCol w:w="125"/>
        <w:gridCol w:w="181"/>
        <w:gridCol w:w="1472"/>
        <w:gridCol w:w="161"/>
      </w:tblGrid>
      <w:tr>
        <w:trPr/>
        <w:tc>
          <w:tcPr>
            <w:tcW w:w="652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25"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61" w:type="dxa"/>
            <w:tcBorders/>
            <w:shd w:fill="auto" w:val="clear"/>
            <w:vAlign w:val="bottom"/>
          </w:tcPr>
          <w:p>
            <w:pPr>
              <w:pStyle w:val="TableContents"/>
              <w:spacing w:before="0" w:after="283"/>
              <w:jc w:val="left"/>
              <w:rPr/>
            </w:pPr>
            <w:r>
              <w:rPr/>
              <w:t> </w:t>
            </w:r>
          </w:p>
        </w:tc>
      </w:tr>
      <w:tr>
        <w:trPr/>
        <w:tc>
          <w:tcPr>
            <w:tcW w:w="652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5"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6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61" w:type="dxa"/>
            <w:tcBorders/>
            <w:shd w:fill="auto" w:val="clear"/>
            <w:vAlign w:val="bottom"/>
          </w:tcPr>
          <w:p>
            <w:pPr>
              <w:pStyle w:val="TableContents"/>
              <w:spacing w:before="0" w:after="283"/>
              <w:jc w:val="left"/>
              <w:rPr/>
            </w:pPr>
            <w:r>
              <w:rPr/>
              <w:t> </w:t>
            </w:r>
          </w:p>
        </w:tc>
      </w:tr>
      <w:tr>
        <w:trPr/>
        <w:tc>
          <w:tcPr>
            <w:tcW w:w="652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10% convertible notes</w:t>
            </w:r>
          </w:p>
        </w:tc>
        <w:tc>
          <w:tcPr>
            <w:tcW w:w="1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47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61" w:type="dxa"/>
            <w:tcBorders/>
            <w:shd w:fill="CCEEFF" w:val="clear"/>
            <w:vAlign w:val="bottom"/>
          </w:tcPr>
          <w:p>
            <w:pPr>
              <w:pStyle w:val="TableContents"/>
              <w:spacing w:before="0" w:after="283"/>
              <w:jc w:val="left"/>
              <w:rPr/>
            </w:pPr>
            <w:r>
              <w:rPr/>
              <w:t> </w:t>
            </w:r>
          </w:p>
        </w:tc>
      </w:tr>
      <w:tr>
        <w:trPr/>
        <w:tc>
          <w:tcPr>
            <w:tcW w:w="6524"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7.5% convertible note</w:t>
            </w:r>
          </w:p>
        </w:tc>
        <w:tc>
          <w:tcPr>
            <w:tcW w:w="125" w:type="dxa"/>
            <w:tcBorders/>
            <w:shd w:fill="FFFFFF" w:val="clear"/>
            <w:vAlign w:val="bottom"/>
          </w:tcPr>
          <w:p>
            <w:pPr>
              <w:pStyle w:val="TableContents"/>
              <w:spacing w:before="0" w:after="283"/>
              <w:rPr/>
            </w:pPr>
            <w:r>
              <w:rPr/>
              <w:t> </w:t>
            </w:r>
          </w:p>
        </w:tc>
        <w:tc>
          <w:tcPr>
            <w:tcW w:w="5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7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61" w:type="dxa"/>
            <w:tcBorders/>
            <w:shd w:fill="FFFFFF" w:val="clear"/>
            <w:vAlign w:val="bottom"/>
          </w:tcPr>
          <w:p>
            <w:pPr>
              <w:pStyle w:val="TableContents"/>
              <w:spacing w:before="0" w:after="283"/>
              <w:jc w:val="left"/>
              <w:rPr/>
            </w:pPr>
            <w:r>
              <w:rPr/>
              <w:t> </w:t>
            </w:r>
          </w:p>
        </w:tc>
      </w:tr>
      <w:tr>
        <w:trPr/>
        <w:tc>
          <w:tcPr>
            <w:tcW w:w="652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Total convertible notes payable</w:t>
            </w:r>
          </w:p>
        </w:tc>
        <w:tc>
          <w:tcPr>
            <w:tcW w:w="1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958"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w:t>
            </w:r>
          </w:p>
        </w:tc>
        <w:tc>
          <w:tcPr>
            <w:tcW w:w="12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472"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61" w:type="dxa"/>
            <w:tcBorders/>
            <w:shd w:fill="CCEEFF" w:val="clear"/>
            <w:vAlign w:val="bottom"/>
          </w:tcPr>
          <w:p>
            <w:pPr>
              <w:pStyle w:val="TableContents"/>
              <w:spacing w:before="0" w:after="283"/>
              <w:jc w:val="left"/>
              <w:rPr/>
            </w:pPr>
            <w:r>
              <w:rPr/>
              <w:t> </w:t>
            </w:r>
          </w:p>
        </w:tc>
      </w:tr>
      <w:tr>
        <w:trPr/>
        <w:tc>
          <w:tcPr>
            <w:tcW w:w="6524"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Less: Current portion</w:t>
            </w:r>
          </w:p>
        </w:tc>
        <w:tc>
          <w:tcPr>
            <w:tcW w:w="125" w:type="dxa"/>
            <w:tcBorders/>
            <w:shd w:fill="FFFFFF" w:val="clear"/>
            <w:vAlign w:val="bottom"/>
          </w:tcPr>
          <w:p>
            <w:pPr>
              <w:pStyle w:val="TableContents"/>
              <w:spacing w:before="0" w:after="283"/>
              <w:rPr/>
            </w:pPr>
            <w:r>
              <w:rPr/>
              <w:t> </w:t>
            </w:r>
          </w:p>
        </w:tc>
        <w:tc>
          <w:tcPr>
            <w:tcW w:w="5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7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6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52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Long-term portion</w:t>
            </w:r>
          </w:p>
        </w:tc>
        <w:tc>
          <w:tcPr>
            <w:tcW w:w="125" w:type="dxa"/>
            <w:tcBorders/>
            <w:shd w:fill="CCEEFF" w:val="clear"/>
            <w:vAlign w:val="bottom"/>
          </w:tcPr>
          <w:p>
            <w:pPr>
              <w:pStyle w:val="TableContents"/>
              <w:spacing w:before="0" w:after="283"/>
              <w:rPr/>
            </w:pPr>
            <w:r>
              <w:rPr/>
              <w:t> </w:t>
            </w:r>
          </w:p>
        </w:tc>
        <w:tc>
          <w:tcPr>
            <w:tcW w:w="53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95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2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47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61" w:type="dxa"/>
            <w:tcBorders/>
            <w:shd w:fill="CCEEFF" w:val="clear"/>
            <w:vAlign w:val="bottom"/>
          </w:tcPr>
          <w:p>
            <w:pPr>
              <w:pStyle w:val="TableContents"/>
              <w:spacing w:before="0" w:after="283"/>
              <w:jc w:val="left"/>
              <w:rPr/>
            </w:pPr>
            <w:r>
              <w:rPr/>
              <w:t> </w:t>
            </w:r>
          </w:p>
        </w:tc>
      </w:tr>
    </w:tbl>
    <w:p>
      <w:pPr>
        <w:pStyle w:val="TextBody"/>
        <w:spacing w:before="0" w:after="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helvetica" w:hAnsi="helvetica"/>
          <w:b/>
          <w:sz w:val="20"/>
        </w:rPr>
      </w:pPr>
      <w:bookmarkStart w:id="959" w:name="PGBRK82"/>
      <w:bookmarkEnd w:id="959"/>
      <w:r>
        <w:rPr>
          <w:rFonts w:ascii="helvetica" w:hAnsi="helvetica"/>
          <w:b/>
          <w:sz w:val="20"/>
        </w:rPr>
        <w:t>NOTE 4.  STOCKHOLDERS’ EQUITY AND STOCK-BASED COMPENSATION</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Common Stock</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increased the number of authorized shares of capital stock to 400,000,000, and the number of authorized shares of common stock to 395,000,000 and effected a one-for-eight reverse stock split. All share and per share amounts and calculations in this report reflect the one-for-eight reverse stock split.</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issued 1,904,338 common shares to Alexej Ladonnikov as payment in full for his 20% ownership of the Note ($200,000) and its related accrued interest ($28,521).</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issued 7,274,812 common shares to DermaStar as payment in full for its 80% ownership of the Note ($800,000), its related accrued interest ($114,082) and $56,087 in the Company’s accounts payable.</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20, 2012, the Company entered into a Securities Purchase Agreement with certain accredited investors relating to the sale and issuance of an aggregate of 10,058,455 shares of its common stock and warrants to purchase up to 2,514,642 shares of its common stock at an exercise price of $1.185 per share, for an aggregate purchase price of approximately $7,950,000 (the “April Private Placement”).  The April Private Placement closed on April 25, 2012, and the Company received proceeds, net of offering costs, of approximately $7,930,000.</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on the same terms as the issuance of such securities in the April Private Placement (see Note 3).</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August 30, 2012, the Company entered into a License Agreement (the “PCCA License Agreement") and a Stock Purchase Agreement (the “PCCA Purchase Agreement”) in a strategic transaction with PCCA (the “PCCA Transaction”). Pursuant to the terms of the PCCA Purchase Agreement, on August 31, 2012, the Company issued and sold to PCCA 4,163,414 shares of its common stock at a per share purchase price of $0.96075, for aggregate proceeds, net of offering costs, of approximately $3,980,000.</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60" w:name="PGBRK83"/>
      <w:bookmarkStart w:id="961" w:name="PGBRK83"/>
      <w:bookmarkEnd w:id="9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2" w:name="FTR82"/>
      <w:bookmarkStart w:id="963" w:name="FTR82"/>
      <w:bookmarkEnd w:id="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4" w:name="GLFTR81"/>
      <w:bookmarkEnd w:id="9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65" w:name="PN81"/>
      <w:bookmarkEnd w:id="965"/>
      <w:r>
        <w:rPr>
          <w:rFonts w:ascii="effontselection" w:hAnsi="effontselection"/>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6" w:name="HDR81"/>
      <w:bookmarkStart w:id="967" w:name="HDR81"/>
      <w:bookmarkEnd w:id="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8" w:name="GLHDR79"/>
      <w:bookmarkEnd w:id="9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helvetica" w:hAnsi="helvetica"/>
          <w:b/>
          <w:sz w:val="20"/>
        </w:rPr>
      </w:pPr>
      <w:r>
        <w:rPr>
          <w:rFonts w:ascii="helvetica" w:hAnsi="helvetica"/>
          <w:b/>
          <w:sz w:val="20"/>
        </w:rPr>
        <w:t>Preferred Stock</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At September 30, 2012, the Company had 5,000,000 shares of preferred stock, $0.001 par value, authorized and no shares of preferred stock issued and outstanding.</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Series A Preferred Stock - Converted</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Restricted Stock Units (“RSUs”)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RSU awards are granted subject to certain restrictions, including performance based conditions. The grant-date fair value of the RSUs, which has been determined based upon the market value of the Company’s shares on the grant date, is expensed over the vesting period.</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18, 2012, the Company granted to Mr. Baum, in connection with his services as the Chief Executive Officer, 800,000 RSUs pursuant to a Stand-alone Restricted Stock Unit Agreement (the “Baum RSUs”) outside of the Company’s 2007 Incentive Stock and Awards Plan, as amended on November 5, 2008, January 25, 2012 and July 18, 2012 (the “Plan”).  The Baum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Baum RSUs vest in full upon a change in control of the Company.  The Company has accounted for the Baum RSUs based on an assumption of the full satisfaction of its performance-based vesting criteria.</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18, 2012, the Company granted to Dr. Kammer, in connection with his services as a consultant and advisor to the Company, 200,000 RSUs, pursuant to a Stand-alone Restricted Stock Unit Agreement (the “Kammer RSUs”) outside of the Plan.  The Kammer RSUs are subject to certain performance-based vesting criteria, such that all 200,000 RSUs will vest when the Company meets the primary endpoints of its Phase 3 clinical studies for its drug candidate, Impracor.  The Kammer RSUs vest in full upon a change in control of the Company.  The Company has accounted for the Kammer RSUs based on an assumption of the full satisfaction of its performance-based vesting criteria.  In accordance with accounting guidance for share-based compensation to consultants, the unvested portion of the Kammer RSUs will be revalued on an interim basis until the performance-based vesting criteria is met.  Once the performance-based vesting criteria is met, the fair value and total expense amount of the Kammer RSUs will be calculated based on the market value of the Company’s common stock on that day.  On the date of issuance, July 18, 2012, the Kammer RSUs were valued at $130,000, and as of September 30, 2012, the revalued estimated fair value of the Kammer RSUs was $380,000.</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 summary of the Company’s RSU activity and related information for the nine months ended September 30, 2012 is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5"/>
        <w:gridCol w:w="118"/>
        <w:gridCol w:w="118"/>
        <w:gridCol w:w="1251"/>
        <w:gridCol w:w="118"/>
        <w:gridCol w:w="118"/>
        <w:gridCol w:w="187"/>
        <w:gridCol w:w="1090"/>
        <w:gridCol w:w="130"/>
      </w:tblGrid>
      <w:tr>
        <w:trPr/>
        <w:tc>
          <w:tcPr>
            <w:tcW w:w="7075"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Average Grant Date Fair Value</w:t>
            </w:r>
          </w:p>
        </w:tc>
        <w:tc>
          <w:tcPr>
            <w:tcW w:w="130" w:type="dxa"/>
            <w:tcBorders/>
            <w:shd w:fill="auto" w:val="clear"/>
            <w:vAlign w:val="bottom"/>
          </w:tcPr>
          <w:p>
            <w:pPr>
              <w:pStyle w:val="TableContents"/>
              <w:spacing w:before="0" w:after="283"/>
              <w:jc w:val="left"/>
              <w:rPr/>
            </w:pPr>
            <w:r>
              <w:rPr/>
              <w:t> </w:t>
            </w:r>
          </w:p>
        </w:tc>
      </w:tr>
      <w:tr>
        <w:trPr/>
        <w:tc>
          <w:tcPr>
            <w:tcW w:w="7075"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Unvested – January 1, 2012</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51"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0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30" w:type="dxa"/>
            <w:tcBorders/>
            <w:shd w:fill="CCEEFF" w:val="clear"/>
            <w:vAlign w:val="bottom"/>
          </w:tcPr>
          <w:p>
            <w:pPr>
              <w:pStyle w:val="TableContents"/>
              <w:spacing w:before="0" w:after="283"/>
              <w:jc w:val="left"/>
              <w:rPr/>
            </w:pPr>
            <w:r>
              <w:rPr/>
              <w:t> </w:t>
            </w:r>
          </w:p>
        </w:tc>
      </w:tr>
      <w:tr>
        <w:trPr/>
        <w:tc>
          <w:tcPr>
            <w:tcW w:w="7075"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RSUs granted</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51"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1,000,000</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0.65</w:t>
            </w:r>
          </w:p>
        </w:tc>
        <w:tc>
          <w:tcPr>
            <w:tcW w:w="130" w:type="dxa"/>
            <w:tcBorders/>
            <w:shd w:fill="FFFFFF" w:val="clear"/>
            <w:vAlign w:val="bottom"/>
          </w:tcPr>
          <w:p>
            <w:pPr>
              <w:pStyle w:val="TableContents"/>
              <w:spacing w:before="0" w:after="283"/>
              <w:jc w:val="left"/>
              <w:rPr/>
            </w:pPr>
            <w:r>
              <w:rPr/>
              <w:t> </w:t>
            </w:r>
          </w:p>
        </w:tc>
      </w:tr>
      <w:tr>
        <w:trPr/>
        <w:tc>
          <w:tcPr>
            <w:tcW w:w="7075"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RSUs vested</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51"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30" w:type="dxa"/>
            <w:tcBorders/>
            <w:shd w:fill="CCEEFF" w:val="clear"/>
            <w:vAlign w:val="bottom"/>
          </w:tcPr>
          <w:p>
            <w:pPr>
              <w:pStyle w:val="TableContents"/>
              <w:spacing w:before="0" w:after="283"/>
              <w:jc w:val="left"/>
              <w:rPr/>
            </w:pPr>
            <w:r>
              <w:rPr/>
              <w:t> </w:t>
            </w:r>
          </w:p>
        </w:tc>
      </w:tr>
      <w:tr>
        <w:trPr/>
        <w:tc>
          <w:tcPr>
            <w:tcW w:w="7075"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RSUs cancelled</w:t>
            </w:r>
          </w:p>
        </w:tc>
        <w:tc>
          <w:tcPr>
            <w:tcW w:w="118" w:type="dxa"/>
            <w:tcBorders/>
            <w:shd w:fill="FFFFFF" w:val="clear"/>
            <w:vAlign w:val="bottom"/>
          </w:tcPr>
          <w:p>
            <w:pPr>
              <w:pStyle w:val="TableContents"/>
              <w:spacing w:before="0" w:after="283"/>
              <w:jc w:val="left"/>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5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30" w:type="dxa"/>
            <w:tcBorders/>
            <w:shd w:fill="FFFFFF" w:val="clear"/>
            <w:vAlign w:val="bottom"/>
          </w:tcPr>
          <w:p>
            <w:pPr>
              <w:pStyle w:val="TableContents"/>
              <w:spacing w:before="0" w:after="283"/>
              <w:jc w:val="left"/>
              <w:rPr/>
            </w:pPr>
            <w:r>
              <w:rPr/>
              <w:t> </w:t>
            </w:r>
          </w:p>
        </w:tc>
      </w:tr>
      <w:tr>
        <w:trPr/>
        <w:tc>
          <w:tcPr>
            <w:tcW w:w="7075"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Unvested - September 30, 2012</w:t>
            </w:r>
          </w:p>
        </w:tc>
        <w:tc>
          <w:tcPr>
            <w:tcW w:w="118" w:type="dxa"/>
            <w:tcBorders/>
            <w:shd w:fill="CCEEFF" w:val="clear"/>
            <w:vAlign w:val="bottom"/>
          </w:tcPr>
          <w:p>
            <w:pPr>
              <w:pStyle w:val="TableContents"/>
              <w:spacing w:before="0" w:after="283"/>
              <w:jc w:val="left"/>
              <w:rPr/>
            </w:pPr>
            <w:r>
              <w:rPr/>
              <w:t> </w:t>
            </w:r>
          </w:p>
        </w:tc>
        <w:tc>
          <w:tcPr>
            <w:tcW w:w="11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5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1,000,000</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0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0.65</w:t>
            </w:r>
          </w:p>
        </w:tc>
        <w:tc>
          <w:tcPr>
            <w:tcW w:w="13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grant-date fair value of RSUs granted during the nine month period ended September 30, 2012 was approximately $650,000.  As of September 30, 2012, the total unrecognized compensation expense related to unvested RSUs was approximately $685,000 (including recognized and unrecognized expenses of the revalued fair value of the Kammer RSUs) which is expected to be recognized over a weighted-average period of 1 year, based on estimated vesting schedules.</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69" w:name="PGBRK84"/>
      <w:bookmarkStart w:id="970" w:name="PGBRK84"/>
      <w:bookmarkEnd w:id="9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1" w:name="FTR83"/>
      <w:bookmarkStart w:id="972" w:name="FTR83"/>
      <w:bookmarkEnd w:id="9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3" w:name="GLFTR82"/>
      <w:bookmarkEnd w:id="9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b w:val="false"/>
          <w:sz w:val="20"/>
        </w:rPr>
      </w:pPr>
      <w:bookmarkStart w:id="974" w:name="PN82"/>
      <w:bookmarkEnd w:id="974"/>
      <w:r>
        <w:rPr>
          <w:rFonts w:ascii="effontselection" w:hAnsi="effontselection"/>
          <w:b w:val="false"/>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5" w:name="HDR82"/>
      <w:bookmarkStart w:id="976" w:name="HDR82"/>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7" w:name="GLHDR80"/>
      <w:bookmarkEnd w:id="9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Stock Option Plan</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September 17, 2007, the Company’s Board of Directors and stockholders adopted the Plan, which, as of September 30, 2012, provided for the issuance of a maximum of an aggregate of 12,000,000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 summary of the Plan activity for the nine months ended September 30, 2012 is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64"/>
        <w:gridCol w:w="106"/>
        <w:gridCol w:w="106"/>
        <w:gridCol w:w="1173"/>
        <w:gridCol w:w="119"/>
        <w:gridCol w:w="106"/>
        <w:gridCol w:w="186"/>
        <w:gridCol w:w="988"/>
        <w:gridCol w:w="106"/>
        <w:gridCol w:w="106"/>
        <w:gridCol w:w="147"/>
        <w:gridCol w:w="1141"/>
        <w:gridCol w:w="105"/>
        <w:gridCol w:w="106"/>
        <w:gridCol w:w="147"/>
        <w:gridCol w:w="1173"/>
        <w:gridCol w:w="126"/>
      </w:tblGrid>
      <w:tr>
        <w:trPr/>
        <w:tc>
          <w:tcPr>
            <w:tcW w:w="4264"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9"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 Contractual Life</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 Intrinsic Value</w:t>
            </w:r>
          </w:p>
        </w:tc>
        <w:tc>
          <w:tcPr>
            <w:tcW w:w="126" w:type="dxa"/>
            <w:tcBorders/>
            <w:shd w:fill="auto"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outstanding - December 31, 2011</w:t>
            </w:r>
          </w:p>
        </w:tc>
        <w:tc>
          <w:tcPr>
            <w:tcW w:w="1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jc w:val="left"/>
              <w:rPr/>
            </w:pPr>
            <w:r>
              <w:rPr/>
              <w:t> </w:t>
            </w:r>
          </w:p>
        </w:tc>
        <w:tc>
          <w:tcPr>
            <w:tcW w:w="1173"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150,152</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9.68</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88" w:type="dxa"/>
            <w:gridSpan w:val="2"/>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320"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264"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granted</w:t>
            </w:r>
          </w:p>
        </w:tc>
        <w:tc>
          <w:tcPr>
            <w:tcW w:w="106" w:type="dxa"/>
            <w:tcBorders/>
            <w:shd w:fill="FFFFFF" w:val="clear"/>
            <w:vAlign w:val="bottom"/>
          </w:tcPr>
          <w:p>
            <w:pPr>
              <w:pStyle w:val="TableContents"/>
              <w:spacing w:before="0" w:after="283"/>
              <w:rPr/>
            </w:pPr>
            <w:r>
              <w:rPr/>
              <w:t> </w:t>
            </w:r>
          </w:p>
        </w:tc>
        <w:tc>
          <w:tcPr>
            <w:tcW w:w="10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5,060,616</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0.73</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88" w:type="dxa"/>
            <w:gridSpan w:val="2"/>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20" w:type="dxa"/>
            <w:gridSpan w:val="2"/>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exercised</w:t>
            </w:r>
          </w:p>
        </w:tc>
        <w:tc>
          <w:tcPr>
            <w:tcW w:w="1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jc w:val="left"/>
              <w:rPr/>
            </w:pPr>
            <w:r>
              <w:rPr/>
              <w:t> </w:t>
            </w:r>
          </w:p>
        </w:tc>
        <w:tc>
          <w:tcPr>
            <w:tcW w:w="1173"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88" w:type="dxa"/>
            <w:gridSpan w:val="2"/>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320"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264"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cancelled</w:t>
            </w:r>
          </w:p>
        </w:tc>
        <w:tc>
          <w:tcPr>
            <w:tcW w:w="106" w:type="dxa"/>
            <w:tcBorders/>
            <w:shd w:fill="FFFFFF" w:val="clear"/>
            <w:vAlign w:val="bottom"/>
          </w:tcPr>
          <w:p>
            <w:pPr>
              <w:pStyle w:val="TableContents"/>
              <w:spacing w:before="0" w:after="283"/>
              <w:rPr/>
            </w:pPr>
            <w:r>
              <w:rPr/>
              <w:t> </w:t>
            </w:r>
          </w:p>
        </w:tc>
        <w:tc>
          <w:tcPr>
            <w:tcW w:w="10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(718,750</w:t>
            </w:r>
          </w:p>
        </w:tc>
        <w:tc>
          <w:tcPr>
            <w:tcW w:w="119" w:type="dxa"/>
            <w:tcBorders/>
            <w:shd w:fill="FFFF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06" w:type="dxa"/>
            <w:tcBorders/>
            <w:shd w:fill="FFFFFF" w:val="clear"/>
            <w:vAlign w:val="bottom"/>
          </w:tcPr>
          <w:p>
            <w:pPr>
              <w:pStyle w:val="TableContents"/>
              <w:spacing w:before="0" w:after="283"/>
              <w:rPr/>
            </w:pPr>
            <w:r>
              <w:rPr/>
              <w:t> </w:t>
            </w:r>
          </w:p>
        </w:tc>
        <w:tc>
          <w:tcPr>
            <w:tcW w:w="18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0.67</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8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20"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outstanding - September 30, 2012</w:t>
            </w:r>
          </w:p>
        </w:tc>
        <w:tc>
          <w:tcPr>
            <w:tcW w:w="106"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4,492,018</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1.04</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5.01</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5,072,416</w:t>
            </w:r>
          </w:p>
        </w:tc>
        <w:tc>
          <w:tcPr>
            <w:tcW w:w="126" w:type="dxa"/>
            <w:tcBorders/>
            <w:shd w:fill="CCEEFF" w:val="clear"/>
            <w:vAlign w:val="bottom"/>
          </w:tcPr>
          <w:p>
            <w:pPr>
              <w:pStyle w:val="TableContents"/>
              <w:spacing w:before="0" w:after="283"/>
              <w:jc w:val="left"/>
              <w:rPr/>
            </w:pPr>
            <w:r>
              <w:rPr/>
              <w:t> </w:t>
            </w:r>
          </w:p>
        </w:tc>
      </w:tr>
      <w:tr>
        <w:trPr/>
        <w:tc>
          <w:tcPr>
            <w:tcW w:w="4264"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exercisable - September 30, 2012</w:t>
            </w:r>
          </w:p>
        </w:tc>
        <w:tc>
          <w:tcPr>
            <w:tcW w:w="106" w:type="dxa"/>
            <w:tcBorders/>
            <w:shd w:fill="FFFFFF" w:val="clear"/>
            <w:vAlign w:val="bottom"/>
          </w:tcPr>
          <w:p>
            <w:pPr>
              <w:pStyle w:val="TableContents"/>
              <w:spacing w:before="0" w:after="283"/>
              <w:rPr/>
            </w:pPr>
            <w:r>
              <w:rPr/>
              <w:t> </w:t>
            </w:r>
          </w:p>
        </w:tc>
        <w:tc>
          <w:tcPr>
            <w:tcW w:w="10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7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1,847,652</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1.45</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4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5.59</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47"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17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2,038,108</w:t>
            </w:r>
          </w:p>
        </w:tc>
        <w:tc>
          <w:tcPr>
            <w:tcW w:w="126" w:type="dxa"/>
            <w:tcBorders/>
            <w:shd w:fill="FFFFFF"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vested and expected to vest - September 30, 2012</w:t>
            </w:r>
          </w:p>
        </w:tc>
        <w:tc>
          <w:tcPr>
            <w:tcW w:w="106"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4,227,582</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1.06</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5.04</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4,768,985</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28, 2012, based on the closing price of the Company’s common stock of $1.90 on that date.</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the grant to Dr. Balbir Brar, the Company’s President, of an option to purchase 1,125,000 shares of common stock under the Plan. The exercise price of the option is $0.736 and the option vests as follows: 1/36th of the unvested shares will vest on each of the 36 monthly periods following the date of the grant provided Dr. Brar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78" w:name="PGBRK85"/>
      <w:bookmarkStart w:id="979" w:name="PGBRK85"/>
      <w:bookmarkEnd w:id="9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0" w:name="FTR84"/>
      <w:bookmarkStart w:id="981" w:name="FTR84"/>
      <w:bookmarkEnd w:id="9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2" w:name="GLFTR83"/>
      <w:bookmarkEnd w:id="9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83" w:name="PN83"/>
      <w:bookmarkEnd w:id="983"/>
      <w:r>
        <w:rPr>
          <w:rFonts w:ascii="effontselection" w:hAnsi="effontselection"/>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4" w:name="HDR83"/>
      <w:bookmarkStart w:id="985" w:name="HDR83"/>
      <w:bookmarkEnd w:id="9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6" w:name="GLHDR81"/>
      <w:bookmarkEnd w:id="9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in connection with a senior advisory agreement, the Board approved the grant to Dr. Paul Finnegan, a director, an option to purchase up to 625,000 shares of common stock under the Plan.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a one-time stock option grant to Mr. Baum, the Company’s current Chief Executive Officer and a director, to purchase up to 625,000 shares of the Company’s common stock under the Plan. The option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the grant to Andrew R. Boll, the Company’s Vice-President of Accounting and Public Reporting, of an option to purchase up to 75,000 shares of common stock under the Plan, which option was granted on February 1, 2012, the commencement date of Mr. Boll’s employment with the Company. The exercise price of the option is $0.736 and the option vests as follows: 1/36th of the unvested shares will vest on each of the 36 monthly periods following the date of the grant provided Mr. Boll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the grant to Dr. Joachim Schupp, the Company’s Chief Medical Officer, of an option to purchase up to 375,000 shares of common stock under the Plan, which option was granted on February 15, 2012, the commencement date of Dr. Schupp’s employment with the Company. The exercise price of the option is $0.72 and the option vests as follows: 1/36th of the unvested shares will vest on each of the 36 monthly periods following the date of the grant provided Dr. Schupp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1, 2012, the Board of Directors approved the issuance of options to purchase 125,000 shares of the Company’s common stock to each of the Company’s directors, including the Company’s employee and non-employee directors, under the Plan.  Each of the options has an exercise price of $0.90 per share.  The options have a term of five years and vest quarterly over a one year period, such that the option to purchase 31,250 shares vests on each of June 30, 2012, September 30, 2012, December 31, 2012 and March 31, 2013.</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Plan.  The option has a ten year term and vests monthly over a one year period.</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1, 2012, the Company granted to Mr. Baum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Effective as of the close of business on July 25, 2012, Dr. Brar submitted his resignation as a director on the Board of Directors of the Company.  Dr. Brar continues in his capacity as the President of the Company.  At the time of his resignation as a director, options to purchase 31,250 shares had vested under Dr. Brar’s April 1, 2012 option grant related to his Board service, and all unvested shares subject to the option were forfeited.  Dr. Brar was granted an extension of 240 days from his resignation date to exercise the 31,250 vested shares.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26, 2012, the Board of Directors of the Company appointed Stephen G. Austin, CPA, as a new director on the Board of Directors of the Company.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87" w:name="PGBRK86"/>
      <w:bookmarkStart w:id="988" w:name="PGBRK86"/>
      <w:bookmarkEnd w:id="9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9" w:name="FTR85"/>
      <w:bookmarkStart w:id="990" w:name="FTR85"/>
      <w:bookmarkEnd w:id="9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1" w:name="GLFTR84"/>
      <w:bookmarkEnd w:id="9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b/>
          <w:sz w:val="20"/>
        </w:rPr>
      </w:pPr>
      <w:bookmarkStart w:id="992" w:name="PN84"/>
      <w:bookmarkEnd w:id="992"/>
      <w:r>
        <w:rPr>
          <w:rFonts w:ascii="effontselection" w:hAnsi="effontselection"/>
          <w:b/>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3" w:name="HDR84"/>
      <w:bookmarkStart w:id="994" w:name="HDR84"/>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5" w:name="GLHDR82"/>
      <w:bookmarkEnd w:id="9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table below illustrates the fair value per share determined by the Black-Scholes-Merton option pricing model with the following assumptions used for the grants issued to employees and directors during the nine months ended September 30,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63"/>
        <w:gridCol w:w="122"/>
        <w:gridCol w:w="163"/>
        <w:gridCol w:w="1234"/>
        <w:gridCol w:w="223"/>
      </w:tblGrid>
      <w:tr>
        <w:trPr/>
        <w:tc>
          <w:tcPr>
            <w:tcW w:w="8463"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 2012</w:t>
            </w:r>
          </w:p>
        </w:tc>
        <w:tc>
          <w:tcPr>
            <w:tcW w:w="223" w:type="dxa"/>
            <w:tcBorders/>
            <w:shd w:fill="auto"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Weighted-average fair value of options granted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0.65</w:t>
            </w:r>
          </w:p>
        </w:tc>
        <w:tc>
          <w:tcPr>
            <w:tcW w:w="223" w:type="dxa"/>
            <w:tcBorders/>
            <w:shd w:fill="CCEEFF" w:val="clear"/>
            <w:vAlign w:val="bottom"/>
          </w:tcPr>
          <w:p>
            <w:pPr>
              <w:pStyle w:val="TableContents"/>
              <w:spacing w:before="0" w:after="283"/>
              <w:jc w:val="left"/>
              <w:rPr/>
            </w:pPr>
            <w:r>
              <w:rPr/>
              <w:t> </w:t>
            </w:r>
          </w:p>
        </w:tc>
      </w:tr>
      <w:tr>
        <w:trPr/>
        <w:tc>
          <w:tcPr>
            <w:tcW w:w="846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terms (in years)</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2.5-5.5</w:t>
            </w:r>
          </w:p>
        </w:tc>
        <w:tc>
          <w:tcPr>
            <w:tcW w:w="223" w:type="dxa"/>
            <w:tcBorders/>
            <w:shd w:fill="FFFFFF"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volatility</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219-360</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46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Risk-free interest rate</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0.31-1.03</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46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Dividend yield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As part of Dr. Kammer’s compensation under the Advisory Agreement, the Company granted to Dr. Kammer on April 1, 2012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September 30, 2012, the revalued aggregate estimated fair value of the stock option, based on the Black-Scholes-Merton pricing model, was $338,420.</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table below illustrates the fair value per share determined by the Black-Scholes-Merton option pricing model with the following assumptions used for the grants issued to consultants during the nine months ended September 30,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63"/>
        <w:gridCol w:w="122"/>
        <w:gridCol w:w="163"/>
        <w:gridCol w:w="1234"/>
        <w:gridCol w:w="223"/>
      </w:tblGrid>
      <w:tr>
        <w:trPr/>
        <w:tc>
          <w:tcPr>
            <w:tcW w:w="8463"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 2012</w:t>
            </w:r>
          </w:p>
        </w:tc>
        <w:tc>
          <w:tcPr>
            <w:tcW w:w="223" w:type="dxa"/>
            <w:tcBorders/>
            <w:shd w:fill="auto"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Weighted-average fair value of options granted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234"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1.46</w:t>
            </w:r>
          </w:p>
        </w:tc>
        <w:tc>
          <w:tcPr>
            <w:tcW w:w="223" w:type="dxa"/>
            <w:tcBorders/>
            <w:shd w:fill="CCEEFF" w:val="clear"/>
            <w:vAlign w:val="bottom"/>
          </w:tcPr>
          <w:p>
            <w:pPr>
              <w:pStyle w:val="TableContents"/>
              <w:spacing w:before="0" w:after="283"/>
              <w:jc w:val="left"/>
              <w:rPr/>
            </w:pPr>
            <w:r>
              <w:rPr/>
              <w:t> </w:t>
            </w:r>
          </w:p>
        </w:tc>
      </w:tr>
      <w:tr>
        <w:trPr/>
        <w:tc>
          <w:tcPr>
            <w:tcW w:w="8463"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Expected terms (in years)</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4.50-5.00</w:t>
            </w:r>
          </w:p>
        </w:tc>
        <w:tc>
          <w:tcPr>
            <w:tcW w:w="223" w:type="dxa"/>
            <w:tcBorders/>
            <w:shd w:fill="FFFFFF"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Expected volatility</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306% - 361</w:t>
            </w:r>
          </w:p>
        </w:tc>
        <w:tc>
          <w:tcPr>
            <w:tcW w:w="223"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r>
      <w:tr>
        <w:trPr/>
        <w:tc>
          <w:tcPr>
            <w:tcW w:w="8463"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Risk-free interest rate</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0.62%-1.03</w:t>
            </w:r>
          </w:p>
        </w:tc>
        <w:tc>
          <w:tcPr>
            <w:tcW w:w="223" w:type="dxa"/>
            <w:tcBorders/>
            <w:shd w:fill="FFFF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r>
      <w:tr>
        <w:trPr/>
        <w:tc>
          <w:tcPr>
            <w:tcW w:w="8463"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Dividend yield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from their grant date and vest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issued options to purchase up to 5,060,616 shares of the Company’s common stock during the nine months ended September 30, 2012.  The weighted average fair value per share of grants issued during the nine months ended September 30, 2012 was $0.65.</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As of September 30, 2012, there was approximately $1,800,000 of total unrecognized compensation expense related to unvested stock options under the Plan. That expense is expected to be recognized over the weighted-average remaining vesting period of 1.42 years.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Other Stock Based Compensation</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As additional compensation to Dr. Kammer under his Advisory Agreement, Dr. Kammer is to be compensated $10,000 per month in the form of common stock issued outside of the Plan, based on a $0.90 price per share being allocated to each dollar of payment due to Dr. Kammer. Upon the completion of a financing transaction yielding not less than $15 million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September 30, 2012 under the Advisory Agreement was $71,667 (share equivalent of 66,667 common shares) and is included in accounts payable and accrued expenses in the accompanying unaudited condensed consolidated balance sheet.</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96" w:name="PGBRK87"/>
      <w:bookmarkStart w:id="997" w:name="PGBRK87"/>
      <w:bookmarkEnd w:id="9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8" w:name="FTR86"/>
      <w:bookmarkStart w:id="999" w:name="FTR86"/>
      <w:bookmarkEnd w:id="9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0" w:name="GLFTR85"/>
      <w:bookmarkEnd w:id="10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01" w:name="PN85"/>
      <w:bookmarkEnd w:id="1001"/>
      <w:r>
        <w:rPr>
          <w:rFonts w:ascii="effontselection" w:hAnsi="effontselection"/>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2" w:name="HDR85"/>
      <w:bookmarkStart w:id="1003" w:name="HDR85"/>
      <w:bookmarkEnd w:id="1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4" w:name="GLHDR83"/>
      <w:bookmarkEnd w:id="10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NOTE 5.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April 25, 2012, at the closing of the April Private Placement (see Note 4), the Company issued warrants to certain accredited investors to purchase up to an aggregate amount of 2,514,642 shares of common stock with an exercise price of $1.185. The warrants have an initial exercise date of April 25, 2012 and a three-year term.  Also on April 25, 2012, in connection with the Conversion Agreement (see Note 3)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a written notice delivered by the Company to each holder of a warrant;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 summary of the activity of the warrants for the nine months ended September 30, 2012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73"/>
        <w:gridCol w:w="114"/>
        <w:gridCol w:w="116"/>
        <w:gridCol w:w="1218"/>
        <w:gridCol w:w="123"/>
        <w:gridCol w:w="114"/>
        <w:gridCol w:w="156"/>
        <w:gridCol w:w="1065"/>
        <w:gridCol w:w="126"/>
      </w:tblGrid>
      <w:tr>
        <w:trPr/>
        <w:tc>
          <w:tcPr>
            <w:tcW w:w="717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23"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w:t>
              <w:br/>
              <w:t>Exercise Price</w:t>
            </w:r>
          </w:p>
        </w:tc>
        <w:tc>
          <w:tcPr>
            <w:tcW w:w="126" w:type="dxa"/>
            <w:tcBorders/>
            <w:shd w:fill="auto" w:val="clear"/>
            <w:vAlign w:val="bottom"/>
          </w:tcPr>
          <w:p>
            <w:pPr>
              <w:pStyle w:val="TableContents"/>
              <w:spacing w:before="0" w:after="283"/>
              <w:jc w:val="left"/>
              <w:rPr/>
            </w:pPr>
            <w:r>
              <w:rPr/>
              <w:t> </w:t>
            </w:r>
          </w:p>
        </w:tc>
      </w:tr>
      <w:tr>
        <w:trPr/>
        <w:tc>
          <w:tcPr>
            <w:tcW w:w="717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3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17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Warrants outstanding – January 1, 2012</w:t>
            </w:r>
          </w:p>
        </w:tc>
        <w:tc>
          <w:tcPr>
            <w:tcW w:w="1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95,498</w:t>
            </w:r>
          </w:p>
        </w:tc>
        <w:tc>
          <w:tcPr>
            <w:tcW w:w="123"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33.16</w:t>
            </w:r>
          </w:p>
        </w:tc>
        <w:tc>
          <w:tcPr>
            <w:tcW w:w="126" w:type="dxa"/>
            <w:tcBorders/>
            <w:shd w:fill="CCEEFF" w:val="clear"/>
            <w:vAlign w:val="bottom"/>
          </w:tcPr>
          <w:p>
            <w:pPr>
              <w:pStyle w:val="TableContents"/>
              <w:spacing w:before="0" w:after="283"/>
              <w:jc w:val="left"/>
              <w:rPr/>
            </w:pPr>
            <w:r>
              <w:rPr/>
              <w:t> </w:t>
            </w:r>
          </w:p>
        </w:tc>
      </w:tr>
      <w:tr>
        <w:trPr/>
        <w:tc>
          <w:tcPr>
            <w:tcW w:w="717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2,755,950</w:t>
            </w:r>
          </w:p>
        </w:tc>
        <w:tc>
          <w:tcPr>
            <w:tcW w:w="123"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w:t>
            </w:r>
          </w:p>
        </w:tc>
        <w:tc>
          <w:tcPr>
            <w:tcW w:w="126" w:type="dxa"/>
            <w:tcBorders/>
            <w:shd w:fill="FFFFFF" w:val="clear"/>
            <w:vAlign w:val="bottom"/>
          </w:tcPr>
          <w:p>
            <w:pPr>
              <w:pStyle w:val="TableContents"/>
              <w:spacing w:before="0" w:after="283"/>
              <w:jc w:val="left"/>
              <w:rPr/>
            </w:pPr>
            <w:r>
              <w:rPr/>
              <w:t> </w:t>
            </w:r>
          </w:p>
        </w:tc>
      </w:tr>
      <w:tr>
        <w:trPr/>
        <w:tc>
          <w:tcPr>
            <w:tcW w:w="717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17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(64,745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32.00</w:t>
            </w:r>
          </w:p>
        </w:tc>
        <w:tc>
          <w:tcPr>
            <w:tcW w:w="126" w:type="dxa"/>
            <w:tcBorders/>
            <w:shd w:fill="FFFFFF" w:val="clear"/>
            <w:vAlign w:val="bottom"/>
          </w:tcPr>
          <w:p>
            <w:pPr>
              <w:pStyle w:val="TableContents"/>
              <w:spacing w:before="0" w:after="283"/>
              <w:jc w:val="left"/>
              <w:rPr/>
            </w:pPr>
            <w:r>
              <w:rPr/>
              <w:t> </w:t>
            </w:r>
          </w:p>
        </w:tc>
      </w:tr>
      <w:tr>
        <w:trPr/>
        <w:tc>
          <w:tcPr>
            <w:tcW w:w="717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Warrants outstanding and exercisable - September 30, 2012</w:t>
            </w:r>
          </w:p>
        </w:tc>
        <w:tc>
          <w:tcPr>
            <w:tcW w:w="114" w:type="dxa"/>
            <w:tcBorders/>
            <w:shd w:fill="CCEEFF" w:val="clear"/>
            <w:vAlign w:val="bottom"/>
          </w:tcPr>
          <w:p>
            <w:pPr>
              <w:pStyle w:val="TableContents"/>
              <w:spacing w:before="0" w:after="283"/>
              <w:rPr/>
            </w:pPr>
            <w:r>
              <w:rPr/>
              <w:t> </w:t>
            </w:r>
          </w:p>
        </w:tc>
        <w:tc>
          <w:tcPr>
            <w:tcW w:w="11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2,786,703</w:t>
            </w:r>
          </w:p>
        </w:tc>
        <w:tc>
          <w:tcPr>
            <w:tcW w:w="123"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1.56</w:t>
            </w:r>
          </w:p>
        </w:tc>
        <w:tc>
          <w:tcPr>
            <w:tcW w:w="126" w:type="dxa"/>
            <w:tcBorders/>
            <w:shd w:fill="CCEEFF" w:val="clear"/>
            <w:vAlign w:val="bottom"/>
          </w:tcPr>
          <w:p>
            <w:pPr>
              <w:pStyle w:val="TableContents"/>
              <w:spacing w:before="0" w:after="283"/>
              <w:jc w:val="left"/>
              <w:rPr/>
            </w:pPr>
            <w:r>
              <w:rPr/>
              <w:t> </w:t>
            </w:r>
          </w:p>
        </w:tc>
      </w:tr>
      <w:tr>
        <w:trPr/>
        <w:tc>
          <w:tcPr>
            <w:tcW w:w="717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remaining contractual life of the outstanding warrants in years - September 30, 2012</w:t>
            </w:r>
          </w:p>
        </w:tc>
        <w:tc>
          <w:tcPr>
            <w:tcW w:w="114"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2.55</w:t>
            </w:r>
          </w:p>
        </w:tc>
        <w:tc>
          <w:tcPr>
            <w:tcW w:w="123"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NOTE 6.  COMMITMENTS AND CONTINGENCIES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Commitments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$8,900.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bookmarkStart w:id="1005" w:name="fis_subsequent_events"/>
      <w:bookmarkEnd w:id="1005"/>
      <w:r>
        <w:rPr>
          <w:rFonts w:ascii="helvetica" w:hAnsi="helvetica"/>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PCCA License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Pursuant to the terms of the PCCA License Agreement entered in connection with the PCCA Transaction (Note 4), effective August 30, 2012,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Cosmetic License Agreements - Terminated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nine months ended September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06" w:name="PGBRK88"/>
      <w:bookmarkStart w:id="1007" w:name="PGBRK88"/>
      <w:bookmarkEnd w:id="10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8" w:name="FTR87"/>
      <w:bookmarkStart w:id="1009" w:name="FTR87"/>
      <w:bookmarkEnd w:id="10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0" w:name="GLFTR86"/>
      <w:bookmarkEnd w:id="10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11" w:name="PN86"/>
      <w:bookmarkEnd w:id="1011"/>
      <w:r>
        <w:rPr>
          <w:rFonts w:ascii="effontselection" w:hAnsi="effontselection"/>
          <w:sz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2" w:name="HDR86"/>
      <w:bookmarkStart w:id="1013" w:name="HDR86"/>
      <w:bookmarkEnd w:id="10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4" w:name="GLHDR84"/>
      <w:bookmarkEnd w:id="10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center"/>
        <w:rPr>
          <w:rFonts w:ascii="helvetica" w:hAnsi="helvetica"/>
          <w:b/>
          <w:sz w:val="20"/>
        </w:rPr>
      </w:pPr>
      <w:r>
        <w:rPr>
          <w:rFonts w:ascii="helvetica" w:hAnsi="helvetica"/>
          <w:b/>
          <w:sz w:val="20"/>
        </w:rPr>
        <w:t>REPORT OF INDEPENDENT REGISTERED PUBLIC ACCOUNTING FIRM</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To the Board of Directors and Stockholders of Imprimis Pharmaceuticals, Inc.</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We have audited the accompanying consolidated balance sheets of Imprimis Pharmaceuticals, Inc. (formerly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our opinion, the consolidated financial statements referred to above present fairly, in all material respects, the consolidated financial position of Imprimis Pharmaceuticals, Inc. (formerly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/s/ KMJ Corbin &amp; Company LLP</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Costa Mesa, California</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February 23, 2012</w:t>
      </w:r>
    </w:p>
    <w:p>
      <w:pPr>
        <w:pStyle w:val="TextBody"/>
        <w:spacing w:before="0" w:after="0"/>
        <w:ind w:left="0" w:right="0" w:hanging="0"/>
        <w:jc w:val="left"/>
        <w:rPr>
          <w:rFonts w:ascii="helvetica" w:hAnsi="helvetica"/>
          <w:sz w:val="20"/>
        </w:rPr>
      </w:pPr>
      <w:r>
        <w:rPr>
          <w:rFonts w:ascii="helvetica" w:hAnsi="helvetica"/>
          <w:sz w:val="20"/>
        </w:rPr>
        <w:t>Except for Note 3 and the effects of</w:t>
      </w:r>
    </w:p>
    <w:p>
      <w:pPr>
        <w:pStyle w:val="TextBody"/>
        <w:spacing w:before="0" w:after="0"/>
        <w:ind w:left="0" w:right="0" w:hanging="0"/>
        <w:jc w:val="left"/>
        <w:rPr>
          <w:rFonts w:ascii="helvetica" w:hAnsi="helvetica"/>
          <w:sz w:val="20"/>
        </w:rPr>
      </w:pPr>
      <w:r>
        <w:rPr>
          <w:rFonts w:ascii="helvetica" w:hAnsi="helvetica"/>
          <w:sz w:val="20"/>
        </w:rPr>
        <w:t>the retrospective application of the</w:t>
      </w:r>
    </w:p>
    <w:p>
      <w:pPr>
        <w:pStyle w:val="TextBody"/>
        <w:spacing w:before="0" w:after="0"/>
        <w:ind w:left="0" w:right="0" w:hanging="0"/>
        <w:jc w:val="left"/>
        <w:rPr>
          <w:rFonts w:ascii="helvetica" w:hAnsi="helvetica"/>
          <w:sz w:val="20"/>
        </w:rPr>
      </w:pPr>
      <w:r>
        <w:rPr>
          <w:rFonts w:ascii="helvetica" w:hAnsi="helvetica"/>
          <w:sz w:val="20"/>
        </w:rPr>
        <w:t>reverse stock split as described in</w:t>
      </w:r>
    </w:p>
    <w:p>
      <w:pPr>
        <w:pStyle w:val="TextBody"/>
        <w:spacing w:before="0" w:after="0"/>
        <w:ind w:left="0" w:right="0" w:hanging="0"/>
        <w:jc w:val="left"/>
        <w:rPr>
          <w:rFonts w:ascii="helvetica" w:hAnsi="helvetica"/>
          <w:sz w:val="20"/>
        </w:rPr>
      </w:pPr>
      <w:r>
        <w:rPr>
          <w:rFonts w:ascii="helvetica" w:hAnsi="helvetica"/>
          <w:sz w:val="20"/>
        </w:rPr>
        <w:t>Note 3, as to which the date is</w:t>
      </w:r>
    </w:p>
    <w:p>
      <w:pPr>
        <w:pStyle w:val="TextBody"/>
        <w:spacing w:before="0" w:after="0"/>
        <w:ind w:left="0" w:right="0" w:hanging="0"/>
        <w:jc w:val="left"/>
        <w:rPr>
          <w:rFonts w:ascii="helvetica" w:hAnsi="helvetica"/>
          <w:sz w:val="20"/>
        </w:rPr>
      </w:pPr>
      <w:r>
        <w:rPr>
          <w:rFonts w:ascii="helvetica" w:hAnsi="helvetica"/>
          <w:sz w:val="20"/>
        </w:rPr>
        <w:t>February 28, 2012</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15" w:name="PGBRK89"/>
      <w:bookmarkStart w:id="1016" w:name="PGBRK89"/>
      <w:bookmarkEnd w:id="10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7" w:name="FTR88"/>
      <w:bookmarkStart w:id="1018" w:name="FTR88"/>
      <w:bookmarkEnd w:id="10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9" w:name="GLFTR87"/>
      <w:bookmarkEnd w:id="10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20" w:name="PN87"/>
      <w:bookmarkEnd w:id="1020"/>
      <w:r>
        <w:rPr>
          <w:rFonts w:ascii="effontselection" w:hAnsi="effontselection"/>
          <w:sz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1" w:name="HDR87"/>
      <w:bookmarkStart w:id="1022" w:name="HDR87"/>
      <w:bookmarkEnd w:id="1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3" w:name="GLHDR85"/>
      <w:bookmarkEnd w:id="10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bookmarkStart w:id="1024" w:name="range!a1%3Ag49"/>
            <w:bookmarkEnd w:id="1024"/>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BALANCE SHEETS</w:t>
            </w:r>
          </w:p>
        </w:tc>
      </w:tr>
      <w:tr>
        <w:trPr/>
        <w:tc>
          <w:tcPr>
            <w:tcW w:w="10205" w:type="dxa"/>
            <w:tcBorders/>
            <w:shd w:fill="auto" w:val="clear"/>
            <w:vAlign w:val="bottom"/>
          </w:tcPr>
          <w:p>
            <w:pPr>
              <w:pStyle w:val="TableContents"/>
              <w:spacing w:before="0" w:after="283"/>
              <w:rPr/>
            </w:pP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281"/>
        <w:gridCol w:w="106"/>
        <w:gridCol w:w="126"/>
        <w:gridCol w:w="1112"/>
        <w:gridCol w:w="112"/>
        <w:gridCol w:w="106"/>
        <w:gridCol w:w="126"/>
        <w:gridCol w:w="1112"/>
        <w:gridCol w:w="124"/>
      </w:tblGrid>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b/>
                <w:sz w:val="20"/>
              </w:rPr>
            </w:pPr>
            <w:r>
              <w:rPr>
                <w:rFonts w:ascii="helvetica" w:hAnsi="helvetica"/>
                <w:b/>
                <w:sz w:val="20"/>
              </w:rPr>
              <w:t>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14,797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60,492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351,954</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Computer equipment, net</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LIABILITIES AND 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73,632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expenses and payroll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69,532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80,000</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335,035</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1,055,479</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1,390,514</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8625" w:type="dxa"/>
            <w:gridSpan w:val="4"/>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10 and 0 shares issued and outstanding</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50,000,000 shares authorized,</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1,987,601 and  1,991,508 issued and outstanding</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 in capital</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1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(17,466,797</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DEFICIT)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1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(1,038,222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DEFICIT</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25" w:name="PGBRK90"/>
      <w:bookmarkStart w:id="1026" w:name="PGBRK90"/>
      <w:bookmarkEnd w:id="10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FTR89"/>
      <w:bookmarkStart w:id="1028" w:name="FTR89"/>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9" w:name="GLFTR88"/>
      <w:bookmarkEnd w:id="10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30" w:name="PN88"/>
      <w:bookmarkEnd w:id="1030"/>
      <w:r>
        <w:rPr>
          <w:rFonts w:ascii="effontselection" w:hAnsi="effontselection"/>
          <w:sz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1" w:name="HDR88"/>
      <w:bookmarkStart w:id="1032" w:name="HDR88"/>
      <w:bookmarkEnd w:id="1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3" w:name="GLHDR86"/>
      <w:bookmarkEnd w:id="10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03"/>
        <w:gridCol w:w="105"/>
        <w:gridCol w:w="126"/>
        <w:gridCol w:w="1077"/>
        <w:gridCol w:w="111"/>
        <w:gridCol w:w="105"/>
        <w:gridCol w:w="126"/>
        <w:gridCol w:w="1077"/>
        <w:gridCol w:w="111"/>
        <w:gridCol w:w="105"/>
        <w:gridCol w:w="126"/>
        <w:gridCol w:w="1111"/>
        <w:gridCol w:w="122"/>
      </w:tblGrid>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827,674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2,307,972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9,573,327</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7,820,258</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(939,228</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(2,502,560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(17,393,585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512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127,581</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60,292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26,299</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expense, net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(14,708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(28,668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(1,027,148</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per common share, basic and diluted:</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 basic and diluted</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1,989,014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1,973,155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34" w:name="PGBRK91"/>
      <w:bookmarkStart w:id="1035" w:name="PGBRK91"/>
      <w:bookmarkEnd w:id="10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6" w:name="FTR90"/>
      <w:bookmarkStart w:id="1037" w:name="FTR90"/>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8" w:name="GLFTR89"/>
      <w:bookmarkEnd w:id="1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39" w:name="PN89"/>
      <w:bookmarkEnd w:id="1039"/>
      <w:r>
        <w:rPr>
          <w:rFonts w:ascii="effontselection" w:hAnsi="effontselection"/>
          <w:sz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0" w:name="HDR89"/>
      <w:bookmarkStart w:id="1041" w:name="HDR89"/>
      <w:bookmarkEnd w:id="1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2" w:name="GLHDR87"/>
      <w:bookmarkEnd w:id="10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STOCKHOLDERS' EQUITY (DEFICIT)</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For the years ended December 31, 2011 and 2010 and for the period from June 24, 1998 (Inception) through December 31, 2011</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70"/>
        <w:gridCol w:w="81"/>
        <w:gridCol w:w="135"/>
        <w:gridCol w:w="586"/>
        <w:gridCol w:w="92"/>
        <w:gridCol w:w="92"/>
        <w:gridCol w:w="292"/>
        <w:gridCol w:w="334"/>
        <w:gridCol w:w="81"/>
        <w:gridCol w:w="81"/>
        <w:gridCol w:w="81"/>
        <w:gridCol w:w="982"/>
        <w:gridCol w:w="99"/>
        <w:gridCol w:w="81"/>
        <w:gridCol w:w="139"/>
        <w:gridCol w:w="641"/>
        <w:gridCol w:w="99"/>
        <w:gridCol w:w="81"/>
        <w:gridCol w:w="140"/>
        <w:gridCol w:w="1077"/>
        <w:gridCol w:w="99"/>
        <w:gridCol w:w="81"/>
        <w:gridCol w:w="140"/>
        <w:gridCol w:w="1132"/>
        <w:gridCol w:w="99"/>
        <w:gridCol w:w="81"/>
        <w:gridCol w:w="141"/>
        <w:gridCol w:w="1045"/>
        <w:gridCol w:w="123"/>
      </w:tblGrid>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1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Preferred Stock</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202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Common Stock</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Additional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Deficit accumulated</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Paid-in</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during the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Stockholders'</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Capital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development stage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Equity (Deficit)</w:t>
            </w:r>
          </w:p>
        </w:tc>
        <w:tc>
          <w:tcPr>
            <w:tcW w:w="123" w:type="dxa"/>
            <w:tcBorders/>
            <w:shd w:fill="auto"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Balance at June 24, 1998 (Inception)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1998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1999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(304,000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May and June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(517,092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(11,092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2001</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(725,512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(19,512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(953,729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(47,729</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2003</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(1,160,925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(54,925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2004</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(1,669,151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(163,151</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306,641</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15,393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15,700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425,782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1,935,574</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(2,208,773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(272,773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 June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and July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46,875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472,657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2,386,527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(2,793,005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(406,005</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at $0.0512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during January and March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498,047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Exercise of stock options and warrants at $0.0512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per share in April and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Forgiveness of notes payable and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common stock at $16.00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24,414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in connection with merger</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on September 17,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231,249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$100,000 per unit in September and October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258,979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3,837,532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3,837,791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related to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 and accrued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191,272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1,529,986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Beneficial conversion feature upon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warrants for consulting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services in September 2007 at a value of $16.00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for stock transaction and $100,000 per unit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 stock and warrant transaction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34,375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549,966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2007</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1,715,876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10,566,309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(7,077,545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3,490,480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$110,000 per unit in May 2008 and final costs of</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2007  private placement offering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227,273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3,941,073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3,941,301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Adjustment and issuance of common stock, warrant and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 options related to consulting services agreement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restricted stock at $5.60 per share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in November 2008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3,125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2008</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1,944,535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14,951,830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(10,381,933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4,571,842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agreements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121,449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121,455</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$7.92 per share August 2009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49,494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2009</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1,956,508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15,510,823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(14,935,569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577,211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to consulting agreements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28,750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367,871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367,900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stock at $6.40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October 2010</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12,083</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2010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1,991,508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(17,466,797</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(1,038,222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Forfeiture of unvested restricted stock in May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(3,906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Series A Preferred Stock at $10,000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in December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Preferred stock beneficial conversion feature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stock options granted to former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employees in forgiveness of liabilities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2011</w:t>
            </w:r>
          </w:p>
        </w:tc>
        <w:tc>
          <w:tcPr>
            <w:tcW w:w="81" w:type="dxa"/>
            <w:tcBorders/>
            <w:shd w:fill="FFFFFF" w:val="clear"/>
            <w:vAlign w:val="bottom"/>
          </w:tcPr>
          <w:p>
            <w:pPr>
              <w:pStyle w:val="TableContents"/>
              <w:spacing w:before="0" w:after="283"/>
              <w:rPr/>
            </w:pPr>
            <w:r>
              <w:rPr/>
              <w:t>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1,987,601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16,818,740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43" w:name="PGBRK92"/>
      <w:bookmarkStart w:id="1044" w:name="PGBRK92"/>
      <w:bookmarkEnd w:id="10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5" w:name="FTR91"/>
      <w:bookmarkStart w:id="1046" w:name="FTR91"/>
      <w:bookmarkEnd w:id="1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7" w:name="GLFTR90"/>
      <w:bookmarkEnd w:id="10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48" w:name="PN90"/>
      <w:bookmarkEnd w:id="1048"/>
      <w:r>
        <w:rPr>
          <w:rFonts w:ascii="effontselection" w:hAnsi="effontselection"/>
          <w:sz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9" w:name="HDR90"/>
      <w:bookmarkStart w:id="1050" w:name="HDR90"/>
      <w:bookmarkEnd w:id="10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1" w:name="GLHDR88"/>
      <w:bookmarkEnd w:id="10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90"/>
        <w:gridCol w:w="104"/>
        <w:gridCol w:w="125"/>
        <w:gridCol w:w="1016"/>
        <w:gridCol w:w="110"/>
        <w:gridCol w:w="104"/>
        <w:gridCol w:w="125"/>
        <w:gridCol w:w="1069"/>
        <w:gridCol w:w="110"/>
        <w:gridCol w:w="103"/>
        <w:gridCol w:w="125"/>
        <w:gridCol w:w="1103"/>
        <w:gridCol w:w="121"/>
      </w:tblGrid>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(60,292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(26,299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235,600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1,056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192,153</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680,195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2,128,816</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45,695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20,425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Accounts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144,980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(607,382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308,526</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(231,762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Accrued expenses and payroll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(9,240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25,605</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86,591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(291,160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(10,770,093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526,300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common stock for cash, net of offering costs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7,779,092</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145,858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10,919,407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(145,302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CASH AND CASH EQUIVALENTS,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1,589,773</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 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Payment of Phase 3 Liabilities by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jc w:val="center"/>
        <w:rPr>
          <w:rFonts w:ascii="helvetica" w:hAnsi="helvetica"/>
          <w:b w:val="false"/>
          <w:sz w:val="20"/>
        </w:rPr>
      </w:pPr>
      <w:r>
        <w:rPr>
          <w:rFonts w:ascii="helvetica" w:hAnsi="helvetica"/>
          <w:b w:val="false"/>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52" w:name="PGBRK93"/>
      <w:bookmarkStart w:id="1053" w:name="PGBRK93"/>
      <w:bookmarkEnd w:id="10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4" w:name="FTR92"/>
      <w:bookmarkStart w:id="1055" w:name="FTR92"/>
      <w:bookmarkEnd w:id="10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6" w:name="GLFTR91"/>
      <w:bookmarkEnd w:id="10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57" w:name="PN91"/>
      <w:bookmarkEnd w:id="1057"/>
      <w:r>
        <w:rPr>
          <w:rFonts w:ascii="effontselection" w:hAnsi="effontselection"/>
          <w:sz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8" w:name="HDR91"/>
      <w:bookmarkStart w:id="1059" w:name="HDR91"/>
      <w:bookmarkEnd w:id="10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0" w:name="GLHDR89"/>
      <w:bookmarkEnd w:id="10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NOTES TO THE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years ended December 31, 2011 and 2010 and the period from July 24, 1998 (Inception) through December 31, 2011</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1.   ORGANIZATION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changed its name from Transdel Pharmaceuticals, Inc. to Imprimis Pharmaceuticals, Inc. All prior references to Transdel Pharmaceuticals, Inc. have been changed to Imprimis Pharmaceuticals, Inc. to reflect the change.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Imprimis Pharmaceuticals, Inc. (“Imprimis” or “Company”) is a specialty pharmaceutical company developing non-invasive, topically delivered products. The Company’s innovative patented Accudel cream formulation technology is designed to facilitate the effective penetration of a variety of products through the skin barrier. Impracor , the Company’s lead pain product, utilizes the Accudel platform technology to deliver the active drug, ketoprofen, a non-steroidal anti-inflammatory drug (“NSAID”), through the skin directly into the underlying musculoskeletal and soft tissues where the drug exerts its anti-inflammatory and analgesic effects. The Company intends to leverage its Accudel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8, 2011, the Bankruptcy Court entered an order dismissing the Chapter 11 Case.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2.   GOING CONCERN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 which are required by the U.S. Food and Drug Administration (“FDA”) to obtain final regulatory approval for Impracor ,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61" w:name="PGBRK94"/>
      <w:bookmarkStart w:id="1062" w:name="PGBRK94"/>
      <w:bookmarkEnd w:id="10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3" w:name="FTR93"/>
      <w:bookmarkStart w:id="1064" w:name="FTR93"/>
      <w:bookmarkEnd w:id="1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5" w:name="GLFTR92"/>
      <w:bookmarkEnd w:id="10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66" w:name="PN92"/>
      <w:bookmarkEnd w:id="1066"/>
      <w:r>
        <w:rPr>
          <w:rFonts w:ascii="effontselection" w:hAnsi="effontselection"/>
          <w:sz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7" w:name="HDR92"/>
      <w:bookmarkStart w:id="1068" w:name="HDR92"/>
      <w:bookmarkEnd w:id="10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9" w:name="GLHDR90"/>
      <w:bookmarkEnd w:id="10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3.    SUMMARY OF SIGNIFICANT ACCOUNTING POLICIES</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Basis of Presentation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Imprimis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connection with the merger, 231,242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Development Stage Enterprise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70" w:name="PGBRK95"/>
      <w:bookmarkStart w:id="1071" w:name="PGBRK95"/>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FTR94"/>
      <w:bookmarkStart w:id="1073" w:name="FTR94"/>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4" w:name="GLFTR93"/>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75" w:name="PN93"/>
      <w:bookmarkEnd w:id="1075"/>
      <w:r>
        <w:rPr>
          <w:rFonts w:ascii="effontselection" w:hAnsi="effontselection"/>
          <w:sz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6" w:name="HDR93"/>
      <w:bookmarkStart w:id="1077" w:name="HDR93"/>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8" w:name="GLHDR91"/>
      <w:bookmarkEnd w:id="10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Research and Development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Revenue Recognition and Deferred Revenue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Cash and Cash Equivalents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Cash equivalents include short-term, highly liquid investments with maturities of three months or less at the time of acquisition.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Concentrations of Credit Risk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Computer Equipment</w:t>
      </w:r>
    </w:p>
    <w:p>
      <w:pPr>
        <w:pStyle w:val="TextBody"/>
        <w:spacing w:before="0" w:after="0"/>
        <w:ind w:left="0" w:right="0" w:hanging="0"/>
        <w:jc w:val="both"/>
        <w:rPr>
          <w:rFonts w:ascii="helvetica" w:hAnsi="helvetica"/>
          <w:sz w:val="20"/>
        </w:rPr>
      </w:pPr>
      <w:r>
        <w:rPr>
          <w:rFonts w:ascii="helvetica" w:hAnsi="helvetica"/>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years ended December 31, 2011 and 2010, the Company recorded $338 and $1,056, respectively, in depreciation expense.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79" w:name="PGBRK96"/>
      <w:bookmarkStart w:id="1080" w:name="PGBRK96"/>
      <w:bookmarkEnd w:id="1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1" w:name="FTR95"/>
      <w:bookmarkStart w:id="1082" w:name="FTR95"/>
      <w:bookmarkEnd w:id="10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3" w:name="GLFTR94"/>
      <w:bookmarkEnd w:id="10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84" w:name="PN94"/>
      <w:bookmarkEnd w:id="1084"/>
      <w:r>
        <w:rPr>
          <w:rFonts w:ascii="effontselection" w:hAnsi="effontselection"/>
          <w:sz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5" w:name="HDR94"/>
      <w:bookmarkStart w:id="1086" w:name="HDR94"/>
      <w:bookmarkEnd w:id="10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7" w:name="GLHDR92"/>
      <w:bookmarkEnd w:id="10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Fair Value Measurements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fair values of the Company’s cash and cash equivalents, accounts payable, accounts payable due to related parties, accrued expenses and notes payable approximate carrying values due to their short term maturities.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consolidated financial statements based upon their fair values.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account for income taxes under the provision of Accounting Standards Codification 740, “Income Taxes”, or ASC 740. As of December 31, 2011 and 2010, there was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88" w:name="PGBRK97"/>
      <w:bookmarkStart w:id="1089" w:name="PGBRK97"/>
      <w:bookmarkEnd w:id="10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0" w:name="FTR96"/>
      <w:bookmarkStart w:id="1091" w:name="FTR96"/>
      <w:bookmarkEnd w:id="10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2" w:name="GLFTR95"/>
      <w:bookmarkEnd w:id="10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93" w:name="PN95"/>
      <w:bookmarkEnd w:id="1093"/>
      <w:r>
        <w:rPr>
          <w:rFonts w:ascii="effontselection" w:hAnsi="effontselection"/>
          <w:sz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4" w:name="HDR95"/>
      <w:bookmarkStart w:id="1095" w:name="HDR95"/>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6" w:name="GLHDR93"/>
      <w:bookmarkEnd w:id="10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4,136,10 and 541,335 for the years ended December 31, 2011 and 2010, respectively, are excluded from the calculation of diluted net loss per share for all periods presented because the effect is anti-dilutive.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7"/>
        <w:gridCol w:w="108"/>
        <w:gridCol w:w="126"/>
        <w:gridCol w:w="1086"/>
        <w:gridCol w:w="114"/>
        <w:gridCol w:w="108"/>
        <w:gridCol w:w="126"/>
        <w:gridCol w:w="1086"/>
        <w:gridCol w:w="124"/>
      </w:tblGrid>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2010</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loss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Deemed dividend to preferred stockholders</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Numerator – loss attributable to common stockholders</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Denominator – weighted average</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pPr>
            <w:r>
              <w:rPr/>
              <w:t>   </w:t>
            </w:r>
            <w:r>
              <w:rPr>
                <w:rFonts w:ascii="helvetica" w:hAnsi="helvetica"/>
                <w:sz w:val="20"/>
              </w:rPr>
              <w:t>number of shares outstanding, basic and diluted</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1,989,014</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1,973,155</w:t>
            </w:r>
          </w:p>
        </w:tc>
        <w:tc>
          <w:tcPr>
            <w:tcW w:w="124" w:type="dxa"/>
            <w:tcBorders/>
            <w:shd w:fill="CCEEFF" w:val="clear"/>
            <w:vAlign w:val="bottom"/>
          </w:tcPr>
          <w:p>
            <w:pPr>
              <w:pStyle w:val="TableContents"/>
              <w:spacing w:before="0" w:after="283"/>
              <w:jc w:val="left"/>
              <w:rPr/>
            </w:pPr>
            <w:r>
              <w:rPr/>
              <w:t> </w:t>
            </w:r>
          </w:p>
        </w:tc>
      </w:tr>
      <w:tr>
        <w:trPr/>
        <w:tc>
          <w:tcPr>
            <w:tcW w:w="7327" w:type="dxa"/>
            <w:tcBorders/>
            <w:shd w:fill="FFFF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Loss per share, basic and diluted</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Use of Estimates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 xml:space="preserve">In May 2011, the FASB issued ASU 2011-04, </w:t>
      </w:r>
      <w:r>
        <w:rPr>
          <w:rFonts w:ascii="helvetica" w:hAnsi="helvetica"/>
          <w:i/>
          <w:sz w:val="20"/>
        </w:rPr>
        <w:t>Fair Value Measurement (Topic 820): Amendments to Achieve Common  Fair Value Measurement and Disclosure Requirements</w:t>
      </w:r>
      <w:r>
        <w:rPr>
          <w:rFonts w:ascii="helvetica" w:hAnsi="helvetica"/>
          <w:sz w:val="20"/>
        </w:rPr>
        <w:t xml:space="preserve"> in U.S. GAAP and  IFRSs.  The update contains the results of the work of the FASB and the International Accounting Standards 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97" w:name="PGBRK98"/>
      <w:bookmarkStart w:id="1098" w:name="PGBRK98"/>
      <w:bookmarkEnd w:id="10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9" w:name="FTR97"/>
      <w:bookmarkStart w:id="1100" w:name="FTR97"/>
      <w:bookmarkEnd w:id="1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1" w:name="GLFTR96"/>
      <w:bookmarkEnd w:id="1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02" w:name="PN96"/>
      <w:bookmarkEnd w:id="1102"/>
      <w:r>
        <w:rPr>
          <w:rFonts w:ascii="effontselection" w:hAnsi="effontselection"/>
          <w:sz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3" w:name="HDR96"/>
      <w:bookmarkStart w:id="1104" w:name="HDR96"/>
      <w:bookmarkEnd w:id="1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5" w:name="GLHDR94"/>
      <w:bookmarkEnd w:id="1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effected a one-for-8 reverse stock split of its common stock. The reverse stock split did not affect the Company’s Series A convertible preferred stock. The accompanying consolidated financial statements and footnotes have been retroactively adjusted to reflect the effects of the reverse stock split. The reverse stock split did not affect the amount of the Company’s equity or its market capitalization.</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NOTE 4.   BANKRUPTCY PETITION AND ASSET PURCHASE AGREEMENT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5.   NOTES PAYABLE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Notes – August 2005</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4,443 shares of the Company’s common stock. The warrants were determined to have an insignificant fair value at the time of the grant.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06" w:name="PGBRK99"/>
      <w:bookmarkStart w:id="1107" w:name="PGBRK99"/>
      <w:bookmarkEnd w:id="1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8" w:name="FTR98"/>
      <w:bookmarkStart w:id="1109" w:name="FTR98"/>
      <w:bookmarkEnd w:id="1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0" w:name="GLFTR97"/>
      <w:bookmarkEnd w:id="1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11" w:name="PN97"/>
      <w:bookmarkEnd w:id="1111"/>
      <w:r>
        <w:rPr>
          <w:rFonts w:ascii="effontselection" w:hAnsi="effontselection"/>
          <w:sz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2" w:name="HDR97"/>
      <w:bookmarkStart w:id="1113" w:name="HDR97"/>
      <w:bookmarkEnd w:id="1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4" w:name="GLHDR95"/>
      <w:bookmarkEnd w:id="1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Notes – May and June 2007</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In May and June 2007, the Company issued convertible notes payable to various lenders for an aggregate amount of $1,500,000 (collectively, the “2007 Notes”).</w:t>
      </w:r>
      <w:bookmarkStart w:id="1115" w:name="eolPage36"/>
      <w:bookmarkEnd w:id="1115"/>
      <w:r>
        <w:rPr>
          <w:rFonts w:ascii="Helvetica" w:hAnsi="Helvetica"/>
          <w:sz w:val="20"/>
        </w:rPr>
        <w:t>  Each of the 2007 Notes included interest at 7% per annum and was to mature on December 16, 2007 (“Maturity Date”). However, as a result of the Merger and Private Placement (see Note 6), the entire outstanding principal amount and accrued interest was converted into the Company’s common stock at a conversion price equal to $8.00 per share, which resulted in the issuance of 191,272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Imprimis’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Secured Line of Credit – Related Party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16" w:name="PGBRK100"/>
      <w:bookmarkStart w:id="1117" w:name="PGBRK100"/>
      <w:bookmarkEnd w:id="1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FTR99"/>
      <w:bookmarkStart w:id="1119" w:name="FTR99"/>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0" w:name="GLFTR98"/>
      <w:bookmarkEnd w:id="1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21" w:name="PN98"/>
      <w:bookmarkEnd w:id="1121"/>
      <w:r>
        <w:rPr>
          <w:rFonts w:ascii="effontselection" w:hAnsi="effontselection"/>
          <w:sz w:val="20"/>
        </w:rPr>
        <w:t>F-28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2" w:name="HDR98"/>
      <w:bookmarkStart w:id="1123" w:name="HDR98"/>
      <w:bookmarkEnd w:id="1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4" w:name="GLHDR96"/>
      <w:bookmarkEnd w:id="1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Notes Payable consists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942"/>
        <w:gridCol w:w="97"/>
        <w:gridCol w:w="125"/>
        <w:gridCol w:w="1049"/>
        <w:gridCol w:w="106"/>
        <w:gridCol w:w="97"/>
        <w:gridCol w:w="125"/>
        <w:gridCol w:w="1023"/>
        <w:gridCol w:w="110"/>
      </w:tblGrid>
      <w:tr>
        <w:trPr/>
        <w:tc>
          <w:tcPr>
            <w:tcW w:w="5942"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r>
      <w:tr>
        <w:trPr/>
        <w:tc>
          <w:tcPr>
            <w:tcW w:w="5942" w:type="dxa"/>
            <w:tcBorders/>
            <w:shd w:fill="auto" w:val="clear"/>
            <w:vAlign w:val="bottom"/>
          </w:tcPr>
          <w:p>
            <w:pPr>
              <w:pStyle w:val="TableContents"/>
              <w:spacing w:before="0" w:after="283"/>
              <w:jc w:val="center"/>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10%  note payable due December 2012</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7.5% convertible note</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Total convertible notes payable</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Current portion</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0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Long-term portion</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6.   STOCKHOLDERS’ EQUITY</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Preferred Stock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At December 31, 2011, the Company had 5,000,000 shares of preferred stock, $0.001 par value, authorized and 10 shares issued and outstanding.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10 shares of the Company’s preferred stock to be designated as “Series A Convertible Preferred Stock” (“Series A Preferred Stock”); (ii) grants the holders of the Series A Preferred Stock the right to convert into the Company’s Common Stock at a conversion price of approximately $0.013336,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partial consideration for and in connection with the Line of Credit Agreement described in Note 5, on November 21, 2011, the Company entered into a Securities Purchase Agreement (the “Purchase Agreement”) with DermaStar, pursuant to which the Company agreed to issue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helvetica" w:hAnsi="helvetica"/>
          <w:sz w:val="20"/>
          <w:u w:val="single"/>
        </w:rPr>
        <w:t>Amendment</w:t>
      </w:r>
      <w:r>
        <w:rPr>
          <w:rFonts w:ascii="helvetica" w:hAnsi="helvetica"/>
          <w:sz w:val="20"/>
        </w:rPr>
        <w:t>”). Pursuant to the terms of the Amendment, DermaStar agreed not to convert more than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7,498,500 shares of common stock, which represents approximately 65% of the capital stock of the Company on an as-converted basis.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Upon issuance of the Series A Preferred Stock, DermaStar, and its members individually, became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25" w:name="PGBRK101"/>
      <w:bookmarkStart w:id="1126" w:name="PGBRK101"/>
      <w:bookmarkEnd w:id="1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7" w:name="FTR100"/>
      <w:bookmarkStart w:id="1128" w:name="FTR100"/>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9" w:name="GLFTR99"/>
      <w:bookmarkEnd w:id="1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30" w:name="PN99"/>
      <w:bookmarkEnd w:id="1130"/>
      <w:r>
        <w:rPr>
          <w:rFonts w:ascii="effontselection" w:hAnsi="effontselection"/>
          <w:sz w:val="20"/>
        </w:rPr>
        <w:t>F-29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1" w:name="HDR99"/>
      <w:bookmarkStart w:id="1132" w:name="HDR99"/>
      <w:bookmarkEnd w:id="1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3" w:name="GLHDR97"/>
      <w:bookmarkEnd w:id="1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Common Stock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following is a summary of common stock and capital contribution transactions from inception through December 31, 2011: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34" w:name="TAB218"/>
            <w:bookmarkEnd w:id="1134"/>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35" w:name="TAB219"/>
            <w:bookmarkEnd w:id="1135"/>
            <w:r>
              <w:rPr>
                <w:color w:val="000000"/>
                <w:spacing w:val="180"/>
              </w:rPr>
              <w:t> </w:t>
            </w:r>
          </w:p>
        </w:tc>
        <w:tc>
          <w:tcPr>
            <w:tcW w:w="92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36" w:name="TAB220"/>
            <w:bookmarkEnd w:id="1136"/>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2000, the Company issued 117,188 shares of common stock at a price of $0.0512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37" w:name="TAB221"/>
            <w:bookmarkEnd w:id="1137"/>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38" w:name="TAB222"/>
            <w:bookmarkEnd w:id="1138"/>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39" w:name="TAB223"/>
            <w:bookmarkEnd w:id="1139"/>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40" w:name="TAB224"/>
            <w:bookmarkEnd w:id="1140"/>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41" w:name="TAB225"/>
            <w:bookmarkEnd w:id="1141"/>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2005, the Company issued 308,594 shares of common stock at a price of $0.0512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42" w:name="TAB226"/>
            <w:bookmarkEnd w:id="1142"/>
            <w:r>
              <w:rPr>
                <w:color w:val="000000"/>
                <w:spacing w:val="180"/>
              </w:rPr>
              <w:t> </w:t>
            </w:r>
            <w:r>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2006, the Company issued 46,875 shares of common stock at a price of $0.0512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bl>
    <w:p>
      <w:pPr>
        <w:pStyle w:val="Normal"/>
        <w:spacing w:before="0" w:after="0"/>
        <w:rPr>
          <w:sz w:val="4"/>
          <w:szCs w:val="4"/>
        </w:rPr>
      </w:pPr>
      <w:r>
        <w:rPr>
          <w:sz w:val="4"/>
          <w:szCs w:val="4"/>
        </w:rPr>
      </w:r>
      <w:bookmarkStart w:id="1143" w:name="list96"/>
      <w:bookmarkStart w:id="1144" w:name="list96"/>
      <w:bookmarkEnd w:id="114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issued 498,047 shares of its common stock at a price of $0.0512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45" w:name="PGBRK102"/>
      <w:bookmarkStart w:id="1146" w:name="PGBRK102"/>
      <w:bookmarkEnd w:id="1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7" w:name="FTR101"/>
      <w:bookmarkStart w:id="1148" w:name="FTR101"/>
      <w:bookmarkEnd w:id="1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9" w:name="GLFTR100"/>
      <w:bookmarkEnd w:id="1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50" w:name="PN100"/>
      <w:bookmarkEnd w:id="1150"/>
      <w:r>
        <w:rPr>
          <w:rFonts w:ascii="effontselection" w:hAnsi="effontselection"/>
          <w:sz w:val="20"/>
        </w:rPr>
        <w:t>F-30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1" w:name="HDR100"/>
      <w:bookmarkStart w:id="1152" w:name="HDR100"/>
      <w:bookmarkEnd w:id="1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3" w:name="GLHDR98"/>
      <w:bookmarkEnd w:id="1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154" w:name="list97"/>
      <w:bookmarkStart w:id="1155" w:name="list97"/>
      <w:bookmarkEnd w:id="1155"/>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recorded additional paid-in capital of $241,701 related to the forgiveness of Stockholders’ Notes (see Note 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6" w:name="list98"/>
      <w:bookmarkStart w:id="1157" w:name="list98"/>
      <w:bookmarkEnd w:id="115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2007, the Company issued a restricted stock grant to an executive of the Company for 195,313 shares of the Company’s common stock.</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8" w:name="list99"/>
      <w:bookmarkStart w:id="1159" w:name="list99"/>
      <w:bookmarkEnd w:id="115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connection with the Merger in 2007, 231,249 of Imprimis common shares remained outstanding (see Note 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60" w:name="list100"/>
      <w:bookmarkStart w:id="1161" w:name="list100"/>
      <w:bookmarkEnd w:id="116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sold 258,979 shares of common stock for net proceeds of $3,837,791 ($4,143,667 gross) through a private placement (the “Private Placement”). In addition, the investors received warrants to purchase 64,745 shares of common stock for a period of five years at a cash and cashless exercise price of $32.00 and $40.00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$32.00 and $40.00 per share, respectively.</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62" w:name="list101"/>
      <w:bookmarkStart w:id="1163" w:name="list101"/>
      <w:bookmarkEnd w:id="1163"/>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issued 191,272 shares of common stock related to the conversion of the 2007 Notes and accrued interest of $1,530,177 (see Note 5). Also, the Company recorded a debt discount of $1,530,177 related to the 2007 Notes (see Note 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64" w:name="list102"/>
      <w:bookmarkStart w:id="1165" w:name="list102"/>
      <w:bookmarkEnd w:id="1165"/>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September 2007, the Company entered into three, one-year consulting agreements with three separate firms to provide services related to investor communications. In the aggregate, 34,375 shares of common stock were issued in accordance with the terms of the agreements along with a warrant to purchase 2,344 shares of common stock for a period of five years at a cash and cashless exercise price of $32.00 and $40.00, respectively. The fair value of the stock and warrants were valued at $550,000. The estimated costs of the consulting agreements, including the stock, warrants and non-refundable fee were amortized over the one-year terms.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66" w:name="list103"/>
      <w:bookmarkStart w:id="1167" w:name="list103"/>
      <w:bookmarkEnd w:id="116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12, 2008, the Company sold 227,273 shares of common stock for net proceeds of $3,941,301 ($4,000,000 gross) through a follow-on private placement (the “Follow-on Private Placement”) to accredited investors. In addition, the investors received warrants to purchase 28,409 shares of common stock for a period of five years at a cash and cashless exercise price of $35.20 and $44.00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68" w:name="list104"/>
      <w:bookmarkStart w:id="1169" w:name="list104"/>
      <w:bookmarkEnd w:id="116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2008, in connection with the termination of certain consulting agreements entered into in 2007 and 2008, 10,321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8,583 shares of common stock during 2008 at a value of $85,833. In a separate agreement, the Company entered into a consulting agreement in which the Company issued a three-year warrant to purchase 625 shares of the Company’s common stock at a cash and cashless price of $16.00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70" w:name="list105"/>
      <w:bookmarkStart w:id="1171" w:name="list105"/>
      <w:bookmarkEnd w:id="117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November 21, 2008, the Company issued a restricted stock grant to a director of the Company for 3,125 shares of the Company’s common stock. The restricted stock grant vested over a one-year period.</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72" w:name="PGBRK103"/>
      <w:bookmarkStart w:id="1173" w:name="PGBRK103"/>
      <w:bookmarkEnd w:id="1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4" w:name="FTR102"/>
      <w:bookmarkStart w:id="1175" w:name="FTR102"/>
      <w:bookmarkEnd w:id="1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6" w:name="GLFTR101"/>
      <w:bookmarkEnd w:id="1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77" w:name="PN101"/>
      <w:bookmarkEnd w:id="1177"/>
      <w:r>
        <w:rPr>
          <w:rFonts w:ascii="effontselection" w:hAnsi="effontselection"/>
          <w:sz w:val="20"/>
        </w:rPr>
        <w:t>F-31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8" w:name="HDR101"/>
      <w:bookmarkStart w:id="1179" w:name="HDR101"/>
      <w:bookmarkEnd w:id="1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0" w:name="GLHDR99"/>
      <w:bookmarkEnd w:id="1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181" w:name="list106"/>
      <w:bookmarkStart w:id="1182" w:name="list106"/>
      <w:bookmarkEnd w:id="118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During 2009, in connection with the agreement with the IR Firm, the Company issued 5,722 shares of common stock valued at $50,356. In a separate agreement, the Company entered into a consulting agreement in which the Company issued a stock option to purchase 6,250 shares of the Company’s common stock at an exercise price of $7.92 per share. The fair value of the option, determined based on the Black-Scholes pricing model, was recorded as $14,434.  In another agreement, the Company entered into a consulting agreement in which the Company issued stock options to purchase 5,938 shares of the Company’s common stock at an exercise price of $12.80 per share. The fair value of the options, determined based on the Black-Scholes pricing model, was recorded at $56,665. The total value of common stock, warrants and options recorded during 2009 was $121,455.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83" w:name="list107"/>
      <w:bookmarkStart w:id="1184" w:name="list107"/>
      <w:bookmarkEnd w:id="118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2009, the Company issued 6,250 shares of common stock at a price of $7.92 per share for gross proceeds of $49,500 for stock option exercises.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85" w:name="list108"/>
      <w:bookmarkStart w:id="1186" w:name="list108"/>
      <w:bookmarkEnd w:id="1186"/>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$8.56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87" w:name="list109"/>
      <w:bookmarkStart w:id="1188" w:name="list109"/>
      <w:bookmarkEnd w:id="1188"/>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$6.40 per share, the reported closing price of the Company’s common stock on October 20, 2010. For the year ended December 31, 2010, the Company recorded stock-based compensation expense related to the issuance and partial vesting of the restricted stock award of $12,083.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89" w:name="list110"/>
      <w:bookmarkStart w:id="1190" w:name="list110"/>
      <w:bookmarkEnd w:id="1190"/>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13, 2011, the Board accepted the resignation of Dr. Bonfiglio, Ph.D. as Chief Executive Officer and President of the Company and as a director on the Board.  As a result of Dr. Bonfiglio’s resignation, of the 6,250 shares of restricted stock awarded to him, 2,344 shares had vested and 3,906 shares were returned to treasury and cancelled effective his date of resignation.   For the year ended December 31, 2011, the Company recorded stock-based compensation expense related to the issuance and partial vesting of the restricted stock award of $3,332.</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91" w:name="list111"/>
      <w:bookmarkStart w:id="1192" w:name="list111"/>
      <w:bookmarkEnd w:id="119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5, 2011, the Company issued 37,500 stock options to former employees, valued at $11,400 (see Note 7).</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93" w:name="PGBRK104"/>
      <w:bookmarkStart w:id="1194" w:name="PGBRK104"/>
      <w:bookmarkEnd w:id="1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5" w:name="FTR103"/>
      <w:bookmarkStart w:id="1196" w:name="FTR103"/>
      <w:bookmarkEnd w:id="1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7" w:name="GLFTR102"/>
      <w:bookmarkEnd w:id="1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98" w:name="PN102"/>
      <w:bookmarkEnd w:id="1198"/>
      <w:r>
        <w:rPr>
          <w:rFonts w:ascii="effontselection" w:hAnsi="effontselection"/>
          <w:sz w:val="20"/>
        </w:rPr>
        <w:t>F-32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9" w:name="HDR102"/>
      <w:bookmarkStart w:id="1200" w:name="HDR102"/>
      <w:bookmarkEnd w:id="1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1" w:name="GLHDR100"/>
      <w:bookmarkEnd w:id="1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For the year ended December 31, 2011, the Company recorded $177,421 of stock-based compensation expense for employee options, $11,400 of compensation expense to employees paid in stock options in lieu of cash and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7.   STOCK OPTION PLAN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 summary of the Plan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438"/>
        <w:gridCol w:w="107"/>
        <w:gridCol w:w="107"/>
        <w:gridCol w:w="1102"/>
        <w:gridCol w:w="119"/>
        <w:gridCol w:w="107"/>
        <w:gridCol w:w="161"/>
        <w:gridCol w:w="1014"/>
        <w:gridCol w:w="107"/>
        <w:gridCol w:w="107"/>
        <w:gridCol w:w="145"/>
        <w:gridCol w:w="1133"/>
        <w:gridCol w:w="107"/>
        <w:gridCol w:w="107"/>
        <w:gridCol w:w="170"/>
        <w:gridCol w:w="1048"/>
        <w:gridCol w:w="126"/>
      </w:tblGrid>
      <w:tr>
        <w:trPr/>
        <w:tc>
          <w:tcPr>
            <w:tcW w:w="443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 Contractual Life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 Intrinsic Value</w:t>
            </w:r>
          </w:p>
        </w:tc>
        <w:tc>
          <w:tcPr>
            <w:tcW w:w="126" w:type="dxa"/>
            <w:tcBorders/>
            <w:shd w:fill="auto"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January 1, 2011</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313,277</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07"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0.80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Cancelled/Forfeited</w:t>
            </w:r>
          </w:p>
        </w:tc>
        <w:tc>
          <w:tcPr>
            <w:tcW w:w="107" w:type="dxa"/>
            <w:tcBorders/>
            <w:shd w:fill="FFFFFF" w:val="clear"/>
            <w:vAlign w:val="bottom"/>
          </w:tcPr>
          <w:p>
            <w:pPr>
              <w:pStyle w:val="TableContents"/>
              <w:spacing w:before="0" w:after="283"/>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(200,625</w:t>
            </w:r>
          </w:p>
        </w:tc>
        <w:tc>
          <w:tcPr>
            <w:tcW w:w="1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rPr/>
            </w:pPr>
            <w:r>
              <w:rPr/>
              <w:t>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150,152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Exercisable - December 31, 2011</w:t>
            </w:r>
          </w:p>
        </w:tc>
        <w:tc>
          <w:tcPr>
            <w:tcW w:w="107" w:type="dxa"/>
            <w:tcBorders/>
            <w:shd w:fill="FFFFFF" w:val="clear"/>
            <w:vAlign w:val="bottom"/>
          </w:tcPr>
          <w:p>
            <w:pPr>
              <w:pStyle w:val="TableContents"/>
              <w:spacing w:before="0" w:after="283"/>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146,152</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9.76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4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Vested and expected to vest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149,752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$0.96 on that date.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02" w:name="PGBRK105"/>
      <w:bookmarkStart w:id="1203" w:name="PGBRK105"/>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4" w:name="FTR104"/>
      <w:bookmarkStart w:id="1205" w:name="FTR104"/>
      <w:bookmarkEnd w:id="1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6" w:name="GLFTR103"/>
      <w:bookmarkEnd w:id="1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07" w:name="PN103"/>
      <w:bookmarkEnd w:id="1207"/>
      <w:r>
        <w:rPr>
          <w:rFonts w:ascii="effontselection" w:hAnsi="effontselection"/>
          <w:sz w:val="20"/>
        </w:rPr>
        <w:t>F-33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8" w:name="HDR103"/>
      <w:bookmarkStart w:id="1209" w:name="HDR103"/>
      <w:bookmarkEnd w:id="1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0" w:name="GLHDR101"/>
      <w:bookmarkEnd w:id="12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options were granted to the employees, directors and consultants at exercise prices that ranged from $0.80 to $20.96,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$0.32.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$154,399 and $37,754, $447,292 and $100,603, and $1,024,102 and $437,063, respectively.  The Company cancelled 200,625 stock options during the year ended December 31, 2011.  These options were cancelled due to the resignation of the optionees during the fiscal year.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there was approximately $14,094 of total unrecognized compensation expense related to unvested stock options under the Plan. That expense is expected to be recognized over the weighted-average period of 1.89 years.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37,500 stock options previously granted. In addition, the term in which Dr. Singh may exercise the vested options (which included 76,250 options in total, comprised of 38,750 stock options that were vested as of the separation date as well as the 37,500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26, 2010, the Company’s Board of Directors granted 37,500 stock options to an executive officer of the Company under the Company’s 2007 Incentive Stock and Awards Plan. All of the options were granted with an exercise price of $7.20 and have a ten year life.  Also, the options vest one-twelfth per quarter commencing on the first full quarter after the initial grant date of February 26, 2010.</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11" w:name="PGBRK106"/>
      <w:bookmarkStart w:id="1212" w:name="PGBRK106"/>
      <w:bookmarkEnd w:id="1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3" w:name="FTR105"/>
      <w:bookmarkStart w:id="1214" w:name="FTR105"/>
      <w:bookmarkEnd w:id="1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5" w:name="GLFTR104"/>
      <w:bookmarkEnd w:id="1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16" w:name="PN104"/>
      <w:bookmarkEnd w:id="1216"/>
      <w:r>
        <w:rPr>
          <w:rFonts w:ascii="effontselection" w:hAnsi="effontselection"/>
          <w:sz w:val="20"/>
        </w:rPr>
        <w:t>F-34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7" w:name="HDR104"/>
      <w:bookmarkStart w:id="1218" w:name="HDR104"/>
      <w:bookmarkEnd w:id="1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9" w:name="GLHDR102"/>
      <w:bookmarkEnd w:id="1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$5.26 based on the Black-Scholes pricing model using an exercise price of $8.56.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10,000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$441,000, therefore, the final fee due to the retained search firm was $132,300. The Company opted to pay the remainder of the fee due with a non-qualified stock option. Considering the option issued in August 2010 for the purchase of up to 10,000 shares of common stock, the final stock option issued in October 2010 was to purchase an additional 15,152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$6.40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37,500 stock options valued at $11,400 and the difference of $60,292 was recognized as a gain on forgiveness of liabilities during the year ended December 31, 2011. These options have an exercise price of $0.80, vested immediately upon issuance, and have a three year life from the date of issuance.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20" w:name="PGBRK107"/>
      <w:bookmarkStart w:id="1221" w:name="PGBRK107"/>
      <w:bookmarkEnd w:id="1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2" w:name="FTR106"/>
      <w:bookmarkStart w:id="1223" w:name="FTR106"/>
      <w:bookmarkEnd w:id="1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4" w:name="GLFTR105"/>
      <w:bookmarkEnd w:id="1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25" w:name="PN105"/>
      <w:bookmarkEnd w:id="1225"/>
      <w:r>
        <w:rPr>
          <w:rFonts w:ascii="effontselection" w:hAnsi="effontselection"/>
          <w:sz w:val="20"/>
        </w:rPr>
        <w:t>F-35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6" w:name="HDR105"/>
      <w:bookmarkStart w:id="1227" w:name="HDR105"/>
      <w:bookmarkEnd w:id="1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8" w:name="GLHDR103"/>
      <w:bookmarkEnd w:id="1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employees and directors during the years ended December 31, 2011 and 2010</w:t>
      </w:r>
    </w:p>
    <w:p>
      <w:pPr>
        <w:pStyle w:val="TextBody"/>
        <w:spacing w:before="0" w:after="0"/>
        <w:rPr/>
      </w:pPr>
      <w:r>
        <w:rPr/>
        <w:t> </w:t>
      </w:r>
    </w:p>
    <w:tbl>
      <w:tblPr>
        <w:tblW w:w="4250" w:type="pct"/>
        <w:jc w:val="left"/>
        <w:tblInd w:w="0" w:type="dxa"/>
        <w:tblCellMar>
          <w:top w:w="0" w:type="dxa"/>
          <w:left w:w="0" w:type="dxa"/>
          <w:bottom w:w="0" w:type="dxa"/>
          <w:right w:w="0" w:type="dxa"/>
        </w:tblCellMar>
      </w:tblPr>
      <w:tblGrid>
        <w:gridCol w:w="6008"/>
        <w:gridCol w:w="106"/>
        <w:gridCol w:w="153"/>
        <w:gridCol w:w="859"/>
        <w:gridCol w:w="207"/>
        <w:gridCol w:w="106"/>
        <w:gridCol w:w="153"/>
        <w:gridCol w:w="859"/>
        <w:gridCol w:w="223"/>
      </w:tblGrid>
      <w:tr>
        <w:trPr/>
        <w:tc>
          <w:tcPr>
            <w:tcW w:w="600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2011</w:t>
            </w:r>
          </w:p>
        </w:tc>
        <w:tc>
          <w:tcPr>
            <w:tcW w:w="207"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2010</w:t>
            </w:r>
          </w:p>
        </w:tc>
        <w:tc>
          <w:tcPr>
            <w:tcW w:w="223" w:type="dxa"/>
            <w:tcBorders/>
            <w:shd w:fill="auto"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0.32</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4.48</w:t>
            </w:r>
          </w:p>
        </w:tc>
        <w:tc>
          <w:tcPr>
            <w:tcW w:w="223" w:type="dxa"/>
            <w:tcBorders/>
            <w:shd w:fill="CCEEFF" w:val="clear"/>
            <w:vAlign w:val="bottom"/>
          </w:tcPr>
          <w:p>
            <w:pPr>
              <w:pStyle w:val="TableContents"/>
              <w:spacing w:before="0" w:after="283"/>
              <w:jc w:val="left"/>
              <w:rPr/>
            </w:pPr>
            <w:r>
              <w:rPr/>
              <w:t> </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w:t>
            </w:r>
          </w:p>
        </w:tc>
        <w:tc>
          <w:tcPr>
            <w:tcW w:w="2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w:t>
            </w:r>
          </w:p>
        </w:tc>
        <w:tc>
          <w:tcPr>
            <w:tcW w:w="223" w:type="dxa"/>
            <w:tcBorders/>
            <w:shd w:fill="FFFFFF"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w:t>
            </w:r>
          </w:p>
        </w:tc>
        <w:tc>
          <w:tcPr>
            <w:tcW w:w="20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0.46</w:t>
            </w:r>
          </w:p>
        </w:tc>
        <w:tc>
          <w:tcPr>
            <w:tcW w:w="20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2.02</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No options were issued to consultants during the year ended December 31, 2011.</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consultants during the year ended December 31, 2010:</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7289"/>
        <w:gridCol w:w="111"/>
        <w:gridCol w:w="154"/>
        <w:gridCol w:w="901"/>
        <w:gridCol w:w="219"/>
      </w:tblGrid>
      <w:tr>
        <w:trPr/>
        <w:tc>
          <w:tcPr>
            <w:tcW w:w="728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jc w:val="center"/>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19" w:type="dxa"/>
            <w:tcBorders/>
            <w:shd w:fill="auto"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5.28</w:t>
            </w:r>
          </w:p>
        </w:tc>
        <w:tc>
          <w:tcPr>
            <w:tcW w:w="219" w:type="dxa"/>
            <w:tcBorders/>
            <w:shd w:fill="CCEEFF" w:val="clear"/>
            <w:vAlign w:val="bottom"/>
          </w:tcPr>
          <w:p>
            <w:pPr>
              <w:pStyle w:val="TableContents"/>
              <w:spacing w:before="0" w:after="283"/>
              <w:jc w:val="left"/>
              <w:rPr/>
            </w:pPr>
            <w:r>
              <w:rPr/>
              <w:t> </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w:t>
            </w:r>
          </w:p>
        </w:tc>
        <w:tc>
          <w:tcPr>
            <w:tcW w:w="219" w:type="dxa"/>
            <w:tcBorders/>
            <w:shd w:fill="FFFFFF"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1.63</w:t>
            </w:r>
          </w:p>
        </w:tc>
        <w:tc>
          <w:tcPr>
            <w:tcW w:w="2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8.   WARRANTS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 summary of the status of the warrants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88"/>
        <w:gridCol w:w="114"/>
        <w:gridCol w:w="127"/>
        <w:gridCol w:w="1198"/>
        <w:gridCol w:w="122"/>
        <w:gridCol w:w="114"/>
        <w:gridCol w:w="154"/>
        <w:gridCol w:w="1062"/>
        <w:gridCol w:w="126"/>
      </w:tblGrid>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26" w:type="dxa"/>
            <w:tcBorders/>
            <w:shd w:fill="auto" w:val="clear"/>
            <w:vAlign w:val="bottom"/>
          </w:tcPr>
          <w:p>
            <w:pPr>
              <w:pStyle w:val="TableContents"/>
              <w:spacing w:before="0" w:after="283"/>
              <w:jc w:val="left"/>
              <w:rPr/>
            </w:pPr>
            <w:r>
              <w:rPr/>
              <w:t> </w:t>
            </w:r>
          </w:p>
        </w:tc>
      </w:tr>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 January 1, 2011</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96,123</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32.80</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(625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16.00</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and exercisable - December 31, 2011</w:t>
            </w:r>
          </w:p>
        </w:tc>
        <w:tc>
          <w:tcPr>
            <w:tcW w:w="114"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95,498</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33.16</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 average remaining contractual life of the outstanding warrants in years - December 31, 2011</w:t>
            </w:r>
          </w:p>
        </w:tc>
        <w:tc>
          <w:tcPr>
            <w:tcW w:w="114"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0.91</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29" w:name="PGBRK108"/>
      <w:bookmarkStart w:id="1230" w:name="PGBRK108"/>
      <w:bookmarkEnd w:id="1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1" w:name="FTR107"/>
      <w:bookmarkStart w:id="1232" w:name="FTR107"/>
      <w:bookmarkEnd w:id="1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33" w:name="GLFTR106"/>
      <w:bookmarkEnd w:id="12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34" w:name="PN106"/>
      <w:bookmarkEnd w:id="1234"/>
      <w:r>
        <w:rPr>
          <w:rFonts w:ascii="effontselection" w:hAnsi="effontselection"/>
          <w:sz w:val="20"/>
        </w:rPr>
        <w:t>F-36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5" w:name="HDR106"/>
      <w:bookmarkStart w:id="1236" w:name="HDR106"/>
      <w:bookmarkEnd w:id="1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7" w:name="GLHDR104"/>
      <w:bookmarkEnd w:id="12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expiration of the outstanding warrants at December 31, 2011 occurs through May 2013 at various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24, 2008, the Company entered into a one-year consulting agreement with a firm to provide the Company with financial advisory services. As compensation for the services, the Company issued a three-year warrant to purchase 625 shares of the Company’s common stock at a cash and cashless price of $16.00 per share. The fair value of the warrant, determined based on the Black-Scholes pricing model, this warrant expired during the year ended December 31,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9.   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subject to taxation in the United States and California. The Company does not have any income tax provision for the years ended December 31, 2011 and 2010 due to current and historical losses.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provision for income taxes using the statutory federal income tax rate of 34% as compared to the company’s effective tax rate is summarized as follows: </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5784"/>
        <w:gridCol w:w="99"/>
        <w:gridCol w:w="145"/>
        <w:gridCol w:w="1085"/>
        <w:gridCol w:w="110"/>
        <w:gridCol w:w="99"/>
        <w:gridCol w:w="136"/>
        <w:gridCol w:w="1093"/>
        <w:gridCol w:w="123"/>
      </w:tblGrid>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3" w:type="dxa"/>
            <w:tcBorders/>
            <w:shd w:fill="auto" w:val="clear"/>
            <w:vAlign w:val="bottom"/>
          </w:tcPr>
          <w:p>
            <w:pPr>
              <w:pStyle w:val="TableContents"/>
              <w:spacing w:before="0" w:after="283"/>
              <w:jc w:val="center"/>
              <w:rPr/>
            </w:pPr>
            <w:r>
              <w:rPr/>
              <w:t> </w:t>
            </w:r>
          </w:p>
        </w:tc>
      </w:tr>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3" w:type="dxa"/>
            <w:tcBorders/>
            <w:shd w:fill="auto"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Federal tax benefit at statutory rate</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(319,489</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(842,257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State tax benefit, net</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(58,881</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(161,372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Research and development credits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(10,123</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(39,517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Employee stock-based compensation</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Other differences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w:t>
            </w:r>
          </w:p>
        </w:tc>
        <w:tc>
          <w:tcPr>
            <w:tcW w:w="123" w:type="dxa"/>
            <w:tcBorders/>
            <w:shd w:fill="CCEEFF" w:val="clear"/>
            <w:vAlign w:val="bottom"/>
          </w:tcPr>
          <w:p>
            <w:pPr>
              <w:pStyle w:val="TableContents"/>
              <w:spacing w:before="0" w:after="283"/>
              <w:jc w:val="left"/>
              <w:rPr/>
            </w:pPr>
            <w:r>
              <w:rPr/>
              <w:t> </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Change in valuation allowance</w:t>
            </w:r>
          </w:p>
        </w:tc>
        <w:tc>
          <w:tcPr>
            <w:tcW w:w="99" w:type="dxa"/>
            <w:tcBorders/>
            <w:shd w:fill="FFFFFF" w:val="clear"/>
            <w:vAlign w:val="bottom"/>
          </w:tcPr>
          <w:p>
            <w:pPr>
              <w:pStyle w:val="TableContents"/>
              <w:spacing w:before="0" w:after="283"/>
              <w:rPr/>
            </w:pPr>
            <w:r>
              <w:rPr/>
              <w:t> </w:t>
            </w:r>
          </w:p>
        </w:tc>
        <w:tc>
          <w:tcPr>
            <w:tcW w:w="14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388,493</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1,043,100</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Provision for income taxes</w:t>
            </w:r>
          </w:p>
        </w:tc>
        <w:tc>
          <w:tcPr>
            <w:tcW w:w="99"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Significant components of the company’s deferred tax assets are as follows:</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309"/>
        <w:gridCol w:w="102"/>
        <w:gridCol w:w="154"/>
        <w:gridCol w:w="1237"/>
        <w:gridCol w:w="118"/>
        <w:gridCol w:w="102"/>
        <w:gridCol w:w="154"/>
        <w:gridCol w:w="1237"/>
        <w:gridCol w:w="261"/>
      </w:tblGrid>
      <w:tr>
        <w:trPr/>
        <w:tc>
          <w:tcPr>
            <w:tcW w:w="530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261" w:type="dxa"/>
            <w:tcBorders/>
            <w:shd w:fill="auto" w:val="clear"/>
            <w:vAlign w:val="bottom"/>
          </w:tcPr>
          <w:p>
            <w:pPr>
              <w:pStyle w:val="TableContents"/>
              <w:spacing w:before="0" w:after="283"/>
              <w:jc w:val="center"/>
              <w:rPr/>
            </w:pPr>
            <w:r>
              <w:rPr/>
              <w:t> </w:t>
            </w:r>
          </w:p>
        </w:tc>
      </w:tr>
      <w:tr>
        <w:trPr/>
        <w:tc>
          <w:tcPr>
            <w:tcW w:w="5309" w:type="dxa"/>
            <w:tcBorders/>
            <w:shd w:fill="auto" w:val="clear"/>
            <w:vAlign w:val="bottom"/>
          </w:tcPr>
          <w:p>
            <w:pPr>
              <w:pStyle w:val="TableContents"/>
              <w:spacing w:before="0" w:after="283"/>
              <w:jc w:val="center"/>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61" w:type="dxa"/>
            <w:tcBorders/>
            <w:shd w:fill="auto" w:val="clear"/>
            <w:vAlign w:val="bottom"/>
          </w:tcPr>
          <w:p>
            <w:pPr>
              <w:pStyle w:val="TableContents"/>
              <w:spacing w:before="0" w:after="283"/>
              <w:jc w:val="left"/>
              <w:rPr/>
            </w:pPr>
            <w:r>
              <w:rPr/>
              <w:t> </w:t>
            </w:r>
          </w:p>
        </w:tc>
      </w:tr>
      <w:tr>
        <w:trPr/>
        <w:tc>
          <w:tcPr>
            <w:tcW w:w="5309" w:type="dxa"/>
            <w:tcBorders/>
            <w:shd w:fill="auto" w:val="clear"/>
            <w:vAlign w:val="bottom"/>
          </w:tcPr>
          <w:p>
            <w:pPr>
              <w:pStyle w:val="TableContents"/>
              <w:spacing w:before="0" w:after="0"/>
              <w:ind w:left="0" w:right="0" w:hanging="0"/>
              <w:jc w:val="both"/>
              <w:rPr>
                <w:rFonts w:ascii="helvetica" w:hAnsi="helvetica"/>
                <w:sz w:val="20"/>
              </w:rPr>
            </w:pPr>
            <w:r>
              <w:rPr>
                <w:rFonts w:ascii="helvetica" w:hAnsi="helvetica"/>
                <w:sz w:val="20"/>
              </w:rPr>
              <w:t>Deferred tax assets</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Federal and state net operating loss carryforwards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4,886,429</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4,565,466</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Stock-based compensation</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743,789</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671,940</w:t>
            </w:r>
          </w:p>
        </w:tc>
        <w:tc>
          <w:tcPr>
            <w:tcW w:w="261" w:type="dxa"/>
            <w:tcBorders/>
            <w:shd w:fill="FFFFFF"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Tax credits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532,278</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522,155</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Other</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4,985</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19,427</w:t>
            </w:r>
          </w:p>
        </w:tc>
        <w:tc>
          <w:tcPr>
            <w:tcW w:w="261" w:type="dxa"/>
            <w:tcBorders/>
            <w:shd w:fill="FFFFFF" w:val="clear"/>
            <w:vAlign w:val="bottom"/>
          </w:tcPr>
          <w:p>
            <w:pPr>
              <w:pStyle w:val="TableContents"/>
              <w:spacing w:before="0" w:after="283"/>
              <w:jc w:val="left"/>
              <w:rPr/>
            </w:pPr>
            <w:r>
              <w:rPr/>
              <w:t> </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Total deferred tax assets</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CCEEFF" w:val="clear"/>
            <w:vAlign w:val="bottom"/>
          </w:tcPr>
          <w:p>
            <w:pPr>
              <w:pStyle w:val="TableContents"/>
              <w:spacing w:before="0" w:after="283"/>
              <w:jc w:val="left"/>
              <w:rPr/>
            </w:pPr>
            <w:r>
              <w:rPr/>
              <w:t> </w:t>
            </w:r>
          </w:p>
        </w:tc>
      </w:tr>
      <w:tr>
        <w:trPr/>
        <w:tc>
          <w:tcPr>
            <w:tcW w:w="530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Valuation allowance</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deferred income tax asset</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38" w:name="PGBRK109"/>
      <w:bookmarkStart w:id="1239" w:name="PGBRK109"/>
      <w:bookmarkEnd w:id="1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0" w:name="FTR108"/>
      <w:bookmarkStart w:id="1241" w:name="FTR108"/>
      <w:bookmarkEnd w:id="1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2" w:name="GLFTR107"/>
      <w:bookmarkEnd w:id="1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43" w:name="PN107"/>
      <w:bookmarkEnd w:id="1243"/>
      <w:r>
        <w:rPr>
          <w:rFonts w:ascii="effontselection" w:hAnsi="effontselection"/>
          <w:sz w:val="20"/>
        </w:rPr>
        <w:t>F-37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4" w:name="HDR107"/>
      <w:bookmarkStart w:id="1245" w:name="HDR107"/>
      <w:bookmarkEnd w:id="1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6" w:name="GLHDR105"/>
      <w:bookmarkEnd w:id="1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helvetica" w:hAnsi="helvetica"/>
          <w:sz w:val="20"/>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federal and California net operating loss carryforwards of approximately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10.  COMMITMENTS AND CONTINGENCIES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Commitments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47" w:name="PGBRK110"/>
      <w:bookmarkStart w:id="1248" w:name="PGBRK110"/>
      <w:bookmarkEnd w:id="1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9" w:name="FTR109"/>
      <w:bookmarkStart w:id="1250" w:name="FTR109"/>
      <w:bookmarkEnd w:id="1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1" w:name="GLFTR108"/>
      <w:bookmarkEnd w:id="12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52" w:name="PN108"/>
      <w:bookmarkEnd w:id="1252"/>
      <w:r>
        <w:rPr>
          <w:rFonts w:ascii="effontselection" w:hAnsi="effontselection"/>
          <w:sz w:val="20"/>
        </w:rPr>
        <w:t>F-38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3" w:name="HDR108"/>
      <w:bookmarkStart w:id="1254" w:name="HDR108"/>
      <w:bookmarkEnd w:id="1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5" w:name="GLHDR106"/>
      <w:bookmarkEnd w:id="1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Cato Research Ltd.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Impracor .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Products Consulting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Product License Agreements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June 2010, the Company and Jan Marini Skin Research, Inc. (“JMSR”) entered into a licensing agreement providing JMSR with the exclusive U.S. rights to Imprimis’ transdermal delivery technology for use in an anti-cellulite cosmetic product for the dermatological market. Under the terms of the agreement, JMSR will pay Imprimis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Separation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37,500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56" w:name="PGBRK111"/>
      <w:bookmarkStart w:id="1257" w:name="PGBRK111"/>
      <w:bookmarkEnd w:id="1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8" w:name="FTR110"/>
      <w:bookmarkStart w:id="1259" w:name="FTR110"/>
      <w:bookmarkEnd w:id="1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60" w:name="GLFTR109"/>
      <w:bookmarkEnd w:id="12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61" w:name="PN109"/>
      <w:bookmarkEnd w:id="1261"/>
      <w:r>
        <w:rPr>
          <w:rFonts w:ascii="effontselection" w:hAnsi="effontselection"/>
          <w:sz w:val="20"/>
        </w:rPr>
        <w:t>F-39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2" w:name="HDR109"/>
      <w:bookmarkStart w:id="1263" w:name="HDR109"/>
      <w:bookmarkEnd w:id="1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4" w:name="GLHDR107"/>
      <w:bookmarkEnd w:id="12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11.  OTHER RELATED PARTY TRANSACTIONS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8, 2011, $27,537 was paid back by the Company in cash to Mr. Thornley and Mr. Abrams.  There are currently no amounts due to Mr. Thornley and/or Dr. Abrams related to this or any other transaction.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12.  RESEARCH AND DEVELOPMENT CREDIT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November 2010, the Company received a Federal grant amount of $244,479 under the Qualifying Therapeutic Discovery Project that is part of the Patient Protection and Affordable Care Act.  The funds were awarded in support of Impracor, the Company’s late-stage topical NSAID product candidate for the treatment of acute soft tissue injuries. The proceeds from this grant were recorded as a reduction in research and development expenses in the accompanying consolidated statement of operations.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13.  GAIN ON FORGIVENESS OF LIABILITIES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65" w:name="PGBRK112"/>
      <w:bookmarkStart w:id="1266" w:name="PGBRK112"/>
      <w:bookmarkEnd w:id="1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7" w:name="FTR111"/>
      <w:bookmarkStart w:id="1268" w:name="FTR111"/>
      <w:bookmarkEnd w:id="1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69" w:name="GLFTR110"/>
      <w:bookmarkEnd w:id="1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70" w:name="PN110"/>
      <w:bookmarkEnd w:id="1270"/>
      <w:r>
        <w:rPr>
          <w:rFonts w:ascii="effontselection" w:hAnsi="effontselection"/>
          <w:sz w:val="20"/>
        </w:rPr>
        <w:t>F-40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1" w:name="HDR110"/>
      <w:bookmarkStart w:id="1272" w:name="HDR110"/>
      <w:bookmarkEnd w:id="1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73" w:name="GLHDR108"/>
      <w:bookmarkEnd w:id="1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3223"/>
        <w:gridCol w:w="3758"/>
        <w:gridCol w:w="3224"/>
      </w:tblGrid>
      <w:tr>
        <w:trPr/>
        <w:tc>
          <w:tcPr>
            <w:tcW w:w="3223" w:type="dxa"/>
            <w:tcBorders/>
            <w:shd w:fill="FFFFFF" w:val="clear"/>
            <w:vAlign w:val="center"/>
          </w:tcPr>
          <w:p>
            <w:pPr>
              <w:pStyle w:val="TableContents"/>
              <w:spacing w:before="0" w:after="283"/>
              <w:jc w:val="center"/>
              <w:rPr/>
            </w:pPr>
            <w:r>
              <w:rPr/>
              <w:t> </w:t>
            </w:r>
          </w:p>
        </w:tc>
        <w:tc>
          <w:tcPr>
            <w:tcW w:w="3758" w:type="dxa"/>
            <w:tcBorders/>
            <w:shd w:fill="FFFFFF" w:val="clear"/>
            <w:vAlign w:val="center"/>
          </w:tcPr>
          <w:p>
            <w:pPr>
              <w:pStyle w:val="TableContents"/>
              <w:spacing w:before="0" w:after="283"/>
              <w:jc w:val="center"/>
              <w:rPr/>
            </w:pPr>
            <w:r>
              <w:rPr/>
              <w:t> </w:t>
            </w:r>
            <w:r>
              <w:rPr>
                <w:rFonts w:ascii="helvetica" w:hAnsi="helvetica"/>
                <w:b/>
                <w:sz w:val="20"/>
              </w:rPr>
              <w:t>Up to 1,619,047 Shares of Common Stock</w:t>
            </w:r>
          </w:p>
        </w:tc>
        <w:tc>
          <w:tcPr>
            <w:tcW w:w="3224" w:type="dxa"/>
            <w:tcBorders/>
            <w:shd w:fill="FFFFFF" w:val="clear"/>
            <w:vAlign w:val="center"/>
          </w:tcPr>
          <w:p>
            <w:pPr>
              <w:pStyle w:val="TableContents"/>
              <w:spacing w:before="0" w:after="283"/>
              <w:jc w:val="left"/>
              <w:rPr/>
            </w:pPr>
            <w:r>
              <w:rPr/>
              <w:t> </w:t>
            </w:r>
          </w:p>
        </w:tc>
      </w:tr>
      <w:tr>
        <w:trPr/>
        <w:tc>
          <w:tcPr>
            <w:tcW w:w="3223" w:type="dxa"/>
            <w:tcBorders/>
            <w:shd w:fill="FFFFFF" w:val="clear"/>
            <w:vAlign w:val="center"/>
          </w:tcPr>
          <w:p>
            <w:pPr>
              <w:pStyle w:val="TableContents"/>
              <w:spacing w:before="0" w:after="283"/>
              <w:jc w:val="right"/>
              <w:rPr/>
            </w:pPr>
            <w:r>
              <w:rPr/>
              <w:t> </w:t>
            </w:r>
          </w:p>
        </w:tc>
        <w:tc>
          <w:tcPr>
            <w:tcW w:w="3758" w:type="dxa"/>
            <w:tcBorders/>
            <w:shd w:fill="FFFFFF" w:val="clear"/>
            <w:vAlign w:val="center"/>
          </w:tcPr>
          <w:p>
            <w:pPr>
              <w:pStyle w:val="TableContents"/>
              <w:spacing w:before="0" w:after="283"/>
              <w:jc w:val="center"/>
              <w:rPr/>
            </w:pPr>
            <w:r>
              <w:rPr/>
              <w:t> </w:t>
            </w:r>
          </w:p>
        </w:tc>
        <w:tc>
          <w:tcPr>
            <w:tcW w:w="3224" w:type="dxa"/>
            <w:tcBorders/>
            <w:shd w:fill="FFFFFF" w:val="clear"/>
            <w:vAlign w:val="center"/>
          </w:tcPr>
          <w:p>
            <w:pPr>
              <w:pStyle w:val="TableContents"/>
              <w:spacing w:before="0" w:after="283"/>
              <w:jc w:val="left"/>
              <w:rPr/>
            </w:pPr>
            <w:r>
              <w:rPr/>
              <w:t> </w:t>
            </w:r>
          </w:p>
        </w:tc>
      </w:tr>
      <w:tr>
        <w:trPr/>
        <w:tc>
          <w:tcPr>
            <w:tcW w:w="3223" w:type="dxa"/>
            <w:tcBorders/>
            <w:shd w:fill="FFFFFF" w:val="clear"/>
            <w:vAlign w:val="center"/>
          </w:tcPr>
          <w:p>
            <w:pPr>
              <w:pStyle w:val="TableContents"/>
              <w:spacing w:before="0" w:after="283"/>
              <w:jc w:val="right"/>
              <w:rPr/>
            </w:pPr>
            <w:r>
              <w:rPr/>
              <w:t> </w:t>
            </w:r>
            <w:r>
              <w:rPr>
                <w:rFonts w:ascii="helvetica" w:hAnsi="helvetica"/>
                <w:b/>
                <w:sz w:val="20"/>
              </w:rPr>
              <w:t>MDB Capital Group LLC</w:t>
            </w:r>
          </w:p>
        </w:tc>
        <w:tc>
          <w:tcPr>
            <w:tcW w:w="3758" w:type="dxa"/>
            <w:tcBorders/>
            <w:shd w:fill="FFFFFF" w:val="clear"/>
            <w:vAlign w:val="center"/>
          </w:tcPr>
          <w:p>
            <w:pPr>
              <w:pStyle w:val="TableContents"/>
              <w:spacing w:before="0" w:after="283"/>
              <w:jc w:val="center"/>
              <w:rPr/>
            </w:pPr>
            <w:r>
              <w:rPr/>
              <w:t> </w:t>
            </w:r>
          </w:p>
        </w:tc>
        <w:tc>
          <w:tcPr>
            <w:tcW w:w="3224" w:type="dxa"/>
            <w:tcBorders/>
            <w:shd w:fill="FFFFFF" w:val="clear"/>
            <w:vAlign w:val="center"/>
          </w:tcPr>
          <w:p>
            <w:pPr>
              <w:pStyle w:val="TableContents"/>
              <w:spacing w:before="0" w:after="283"/>
              <w:jc w:val="left"/>
              <w:rPr>
                <w:rFonts w:ascii="helvetica" w:hAnsi="helvetica"/>
                <w:b/>
                <w:sz w:val="20"/>
              </w:rPr>
            </w:pPr>
            <w:r>
              <w:rPr>
                <w:rFonts w:ascii="helvetica" w:hAnsi="helvetica"/>
                <w:b/>
                <w:sz w:val="20"/>
              </w:rPr>
              <w:t>Aegis Capital Corp</w:t>
            </w:r>
          </w:p>
        </w:tc>
      </w:tr>
    </w:tbl>
    <w:p>
      <w:pPr>
        <w:pStyle w:val="TextBody"/>
        <w:spacing w:before="0" w:after="0"/>
        <w:rPr/>
      </w:pPr>
      <w:r>
        <w:rPr/>
        <w:t> </w:t>
      </w:r>
    </w:p>
    <w:p>
      <w:pPr>
        <w:pStyle w:val="TextBody"/>
        <w:spacing w:before="0" w:after="0"/>
        <w:jc w:val="center"/>
        <w:rPr>
          <w:b/>
        </w:rPr>
      </w:pPr>
      <w:r>
        <w:rPr>
          <w:b/>
        </w:rPr>
        <w:t xml:space="preserve">Prospectus dated        , 2013 </w:t>
      </w:r>
    </w:p>
    <w:p>
      <w:pPr>
        <w:pStyle w:val="TextBody"/>
        <w:spacing w:before="0" w:after="0"/>
        <w:jc w:val="center"/>
        <w:rPr/>
      </w:pPr>
      <w:r>
        <w:rPr/>
        <w:t> </w:t>
      </w:r>
    </w:p>
    <w:p>
      <w:pPr>
        <w:pStyle w:val="TextBody"/>
        <w:spacing w:before="0" w:after="0"/>
        <w:rPr/>
      </w:pPr>
      <w:r>
        <w:rPr/>
        <w:t> </w:t>
      </w:r>
    </w:p>
    <w:p>
      <w:pPr>
        <w:pStyle w:val="TextBody"/>
        <w:spacing w:before="0" w:after="0"/>
        <w:ind w:left="0" w:right="0" w:hanging="0"/>
        <w:jc w:val="center"/>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74" w:name="PGBRK113"/>
      <w:bookmarkStart w:id="1275" w:name="PGBRK113"/>
      <w:bookmarkEnd w:id="1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6" w:name="FTR112"/>
      <w:bookmarkStart w:id="1277" w:name="FTR112"/>
      <w:bookmarkEnd w:id="1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8" w:name="GLFTR111"/>
      <w:bookmarkEnd w:id="1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79" w:name="PN111"/>
      <w:bookmarkEnd w:id="127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0" w:name="HDR111"/>
      <w:bookmarkStart w:id="1281" w:name="HDR111"/>
      <w:bookmarkEnd w:id="1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2" w:name="GLHDR109"/>
      <w:bookmarkEnd w:id="12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PART II</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INFORMATION NOT REQUIRED IN PROSPECTUS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13. OTHER EXPENSES OF ISSUANCE AND DISTRIBUTION.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costs and expenses, other than the underwriting discount, payable by the registrant in connection with the sale and distribution of the securities being registered. All amounts are estimated except the SEC registration fee and the FINRA filing fee.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783"/>
        <w:gridCol w:w="111"/>
        <w:gridCol w:w="127"/>
        <w:gridCol w:w="1065"/>
        <w:gridCol w:w="119"/>
      </w:tblGrid>
      <w:tr>
        <w:trPr/>
        <w:tc>
          <w:tcPr>
            <w:tcW w:w="8783"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xml:space="preserve">  </w:t>
            </w:r>
          </w:p>
        </w:tc>
        <w:tc>
          <w:tcPr>
            <w:tcW w:w="131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20"/>
              </w:rPr>
            </w:pPr>
            <w:r>
              <w:rPr>
                <w:rFonts w:ascii="helvetica" w:hAnsi="helvetica"/>
                <w:b/>
                <w:sz w:val="20"/>
              </w:rPr>
              <w:t>Amount</w:t>
            </w:r>
          </w:p>
        </w:tc>
      </w:tr>
      <w:tr>
        <w:trPr/>
        <w:tc>
          <w:tcPr>
            <w:tcW w:w="87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SEC Registration Fee</w:t>
            </w:r>
          </w:p>
        </w:tc>
        <w:tc>
          <w:tcPr>
            <w:tcW w:w="111" w:type="dxa"/>
            <w:tcBorders/>
            <w:shd w:fill="CCEEFF" w:val="clear"/>
            <w:vAlign w:val="bottom"/>
          </w:tcPr>
          <w:p>
            <w:pPr>
              <w:pStyle w:val="TableContents"/>
              <w:spacing w:before="0" w:after="283"/>
              <w:rPr/>
            </w:pPr>
            <w:r>
              <w:rPr/>
              <w:t xml:space="preserve">  </w:t>
            </w:r>
          </w:p>
        </w:tc>
        <w:tc>
          <w:tcPr>
            <w:tcW w:w="127"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065"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1,333</w:t>
            </w:r>
          </w:p>
        </w:tc>
        <w:tc>
          <w:tcPr>
            <w:tcW w:w="119" w:type="dxa"/>
            <w:tcBorders/>
            <w:shd w:fill="CCEEFF" w:val="clear"/>
            <w:vAlign w:val="bottom"/>
          </w:tcPr>
          <w:p>
            <w:pPr>
              <w:pStyle w:val="TableContents"/>
              <w:spacing w:before="0" w:after="283"/>
              <w:rPr/>
            </w:pPr>
            <w:r>
              <w:rPr/>
              <w:t xml:space="preserve">  </w:t>
            </w:r>
          </w:p>
        </w:tc>
      </w:tr>
      <w:tr>
        <w:trPr/>
        <w:tc>
          <w:tcPr>
            <w:tcW w:w="87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FINRA Filing Fee</w:t>
            </w:r>
          </w:p>
        </w:tc>
        <w:tc>
          <w:tcPr>
            <w:tcW w:w="111"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1065"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2,750</w:t>
            </w:r>
          </w:p>
        </w:tc>
        <w:tc>
          <w:tcPr>
            <w:tcW w:w="119" w:type="dxa"/>
            <w:tcBorders/>
            <w:shd w:fill="FFFFFF" w:val="clear"/>
            <w:vAlign w:val="bottom"/>
          </w:tcPr>
          <w:p>
            <w:pPr>
              <w:pStyle w:val="TableContents"/>
              <w:spacing w:before="0" w:after="283"/>
              <w:rPr/>
            </w:pPr>
            <w:r>
              <w:rPr/>
              <w:t xml:space="preserve">  </w:t>
            </w:r>
          </w:p>
        </w:tc>
      </w:tr>
      <w:tr>
        <w:trPr/>
        <w:tc>
          <w:tcPr>
            <w:tcW w:w="87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NASDAQ fee</w:t>
            </w:r>
          </w:p>
        </w:tc>
        <w:tc>
          <w:tcPr>
            <w:tcW w:w="111" w:type="dxa"/>
            <w:tcBorders/>
            <w:shd w:fill="CCEEFF" w:val="clear"/>
            <w:vAlign w:val="bottom"/>
          </w:tcPr>
          <w:p>
            <w:pPr>
              <w:pStyle w:val="TableContents"/>
              <w:spacing w:before="0" w:after="283"/>
              <w:rPr/>
            </w:pPr>
            <w:r>
              <w:rPr/>
              <w:t xml:space="preserve">  </w:t>
            </w:r>
          </w:p>
        </w:tc>
        <w:tc>
          <w:tcPr>
            <w:tcW w:w="127" w:type="dxa"/>
            <w:tcBorders/>
            <w:shd w:fill="CCEEFF" w:val="clear"/>
            <w:vAlign w:val="bottom"/>
          </w:tcPr>
          <w:p>
            <w:pPr>
              <w:pStyle w:val="TableContents"/>
              <w:spacing w:before="0" w:after="283"/>
              <w:rPr/>
            </w:pPr>
            <w:r>
              <w:rPr/>
              <w:t xml:space="preserve">  </w:t>
            </w:r>
          </w:p>
        </w:tc>
        <w:tc>
          <w:tcPr>
            <w:tcW w:w="1065"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50,000</w:t>
            </w:r>
          </w:p>
        </w:tc>
        <w:tc>
          <w:tcPr>
            <w:tcW w:w="119" w:type="dxa"/>
            <w:tcBorders/>
            <w:shd w:fill="CCEEFF" w:val="clear"/>
            <w:vAlign w:val="bottom"/>
          </w:tcPr>
          <w:p>
            <w:pPr>
              <w:pStyle w:val="TableContents"/>
              <w:spacing w:before="0" w:after="283"/>
              <w:rPr/>
            </w:pPr>
            <w:r>
              <w:rPr/>
              <w:t xml:space="preserve">  </w:t>
            </w:r>
          </w:p>
        </w:tc>
      </w:tr>
      <w:tr>
        <w:trPr/>
        <w:tc>
          <w:tcPr>
            <w:tcW w:w="87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Legal Fees and Expenses</w:t>
            </w:r>
          </w:p>
        </w:tc>
        <w:tc>
          <w:tcPr>
            <w:tcW w:w="111"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1065"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550,000</w:t>
            </w:r>
          </w:p>
        </w:tc>
        <w:tc>
          <w:tcPr>
            <w:tcW w:w="119" w:type="dxa"/>
            <w:tcBorders/>
            <w:shd w:fill="FFFFFF" w:val="clear"/>
            <w:vAlign w:val="bottom"/>
          </w:tcPr>
          <w:p>
            <w:pPr>
              <w:pStyle w:val="TableContents"/>
              <w:spacing w:before="0" w:after="283"/>
              <w:rPr/>
            </w:pPr>
            <w:r>
              <w:rPr/>
              <w:t xml:space="preserve">  </w:t>
            </w:r>
          </w:p>
        </w:tc>
      </w:tr>
      <w:tr>
        <w:trPr/>
        <w:tc>
          <w:tcPr>
            <w:tcW w:w="87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Accounting Fees and Expenses</w:t>
            </w:r>
          </w:p>
        </w:tc>
        <w:tc>
          <w:tcPr>
            <w:tcW w:w="111" w:type="dxa"/>
            <w:tcBorders/>
            <w:shd w:fill="CCEEFF" w:val="clear"/>
            <w:vAlign w:val="bottom"/>
          </w:tcPr>
          <w:p>
            <w:pPr>
              <w:pStyle w:val="TableContents"/>
              <w:spacing w:before="0" w:after="283"/>
              <w:rPr/>
            </w:pPr>
            <w:r>
              <w:rPr/>
              <w:t xml:space="preserve">  </w:t>
            </w:r>
          </w:p>
        </w:tc>
        <w:tc>
          <w:tcPr>
            <w:tcW w:w="127" w:type="dxa"/>
            <w:tcBorders/>
            <w:shd w:fill="CCEEFF" w:val="clear"/>
            <w:vAlign w:val="bottom"/>
          </w:tcPr>
          <w:p>
            <w:pPr>
              <w:pStyle w:val="TableContents"/>
              <w:spacing w:before="0" w:after="283"/>
              <w:rPr/>
            </w:pPr>
            <w:r>
              <w:rPr/>
              <w:t xml:space="preserve">  </w:t>
            </w:r>
          </w:p>
        </w:tc>
        <w:tc>
          <w:tcPr>
            <w:tcW w:w="1065"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70,000</w:t>
            </w:r>
          </w:p>
        </w:tc>
        <w:tc>
          <w:tcPr>
            <w:tcW w:w="119" w:type="dxa"/>
            <w:tcBorders/>
            <w:shd w:fill="CCEEFF" w:val="clear"/>
            <w:vAlign w:val="bottom"/>
          </w:tcPr>
          <w:p>
            <w:pPr>
              <w:pStyle w:val="TableContents"/>
              <w:spacing w:before="0" w:after="283"/>
              <w:rPr/>
            </w:pPr>
            <w:r>
              <w:rPr/>
              <w:t xml:space="preserve">  </w:t>
            </w:r>
          </w:p>
        </w:tc>
      </w:tr>
      <w:tr>
        <w:trPr/>
        <w:tc>
          <w:tcPr>
            <w:tcW w:w="87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Printing and Related Expenses</w:t>
            </w:r>
          </w:p>
        </w:tc>
        <w:tc>
          <w:tcPr>
            <w:tcW w:w="111" w:type="dxa"/>
            <w:tcBorders/>
            <w:shd w:fill="FFFFFF" w:val="clear"/>
            <w:vAlign w:val="bottom"/>
          </w:tcPr>
          <w:p>
            <w:pPr>
              <w:pStyle w:val="TableContents"/>
              <w:spacing w:before="0" w:after="283"/>
              <w:rPr/>
            </w:pPr>
            <w:r>
              <w:rPr/>
              <w:t xml:space="preserve">  </w:t>
            </w:r>
          </w:p>
        </w:tc>
        <w:tc>
          <w:tcPr>
            <w:tcW w:w="127" w:type="dxa"/>
            <w:tcBorders/>
            <w:shd w:fill="FFFFFF" w:val="clear"/>
            <w:vAlign w:val="bottom"/>
          </w:tcPr>
          <w:p>
            <w:pPr>
              <w:pStyle w:val="TableContents"/>
              <w:spacing w:before="0" w:after="283"/>
              <w:rPr/>
            </w:pPr>
            <w:r>
              <w:rPr/>
              <w:t xml:space="preserve">  </w:t>
            </w:r>
          </w:p>
        </w:tc>
        <w:tc>
          <w:tcPr>
            <w:tcW w:w="1065" w:type="dxa"/>
            <w:tcBorders/>
            <w:shd w:fill="FFFFFF" w:val="clear"/>
            <w:vAlign w:val="bottom"/>
          </w:tcPr>
          <w:p>
            <w:pPr>
              <w:pStyle w:val="TableContents"/>
              <w:spacing w:before="0" w:after="0"/>
              <w:ind w:left="0" w:right="0" w:hanging="0"/>
              <w:jc w:val="right"/>
              <w:rPr/>
            </w:pPr>
            <w:r>
              <w:rPr/>
              <w:t>   </w:t>
            </w:r>
            <w:r>
              <w:rPr>
                <w:rFonts w:ascii="helvetica" w:hAnsi="helvetica"/>
                <w:sz w:val="20"/>
              </w:rPr>
              <w:t>20,000</w:t>
            </w:r>
          </w:p>
        </w:tc>
        <w:tc>
          <w:tcPr>
            <w:tcW w:w="119" w:type="dxa"/>
            <w:tcBorders/>
            <w:shd w:fill="FFFFFF" w:val="clear"/>
            <w:vAlign w:val="bottom"/>
          </w:tcPr>
          <w:p>
            <w:pPr>
              <w:pStyle w:val="TableContents"/>
              <w:spacing w:before="0" w:after="283"/>
              <w:rPr/>
            </w:pPr>
            <w:r>
              <w:rPr/>
              <w:t xml:space="preserve">  </w:t>
            </w:r>
          </w:p>
        </w:tc>
      </w:tr>
      <w:tr>
        <w:trPr/>
        <w:tc>
          <w:tcPr>
            <w:tcW w:w="87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Transfer Agent and Registrar Fees</w:t>
            </w:r>
          </w:p>
        </w:tc>
        <w:tc>
          <w:tcPr>
            <w:tcW w:w="111" w:type="dxa"/>
            <w:tcBorders/>
            <w:shd w:fill="CCEEFF" w:val="clear"/>
            <w:vAlign w:val="bottom"/>
          </w:tcPr>
          <w:p>
            <w:pPr>
              <w:pStyle w:val="TableContents"/>
              <w:spacing w:before="0" w:after="283"/>
              <w:rPr/>
            </w:pPr>
            <w:r>
              <w:rPr/>
              <w:t xml:space="preserve">  </w:t>
            </w:r>
          </w:p>
        </w:tc>
        <w:tc>
          <w:tcPr>
            <w:tcW w:w="127" w:type="dxa"/>
            <w:tcBorders/>
            <w:shd w:fill="CCEEFF" w:val="clear"/>
            <w:vAlign w:val="bottom"/>
          </w:tcPr>
          <w:p>
            <w:pPr>
              <w:pStyle w:val="TableContents"/>
              <w:spacing w:before="0" w:after="283"/>
              <w:rPr/>
            </w:pPr>
            <w:r>
              <w:rPr/>
              <w:t xml:space="preserve">  </w:t>
            </w:r>
          </w:p>
        </w:tc>
        <w:tc>
          <w:tcPr>
            <w:tcW w:w="1065" w:type="dxa"/>
            <w:tcBorders/>
            <w:shd w:fill="CCEEFF" w:val="clear"/>
            <w:vAlign w:val="bottom"/>
          </w:tcPr>
          <w:p>
            <w:pPr>
              <w:pStyle w:val="TableContents"/>
              <w:spacing w:before="0" w:after="0"/>
              <w:ind w:left="0" w:right="0" w:hanging="0"/>
              <w:jc w:val="right"/>
              <w:rPr/>
            </w:pPr>
            <w:r>
              <w:rPr/>
              <w:t>   </w:t>
            </w:r>
            <w:r>
              <w:rPr>
                <w:rFonts w:ascii="helvetica" w:hAnsi="helvetica"/>
                <w:sz w:val="20"/>
              </w:rPr>
              <w:t>5,000</w:t>
            </w:r>
          </w:p>
        </w:tc>
        <w:tc>
          <w:tcPr>
            <w:tcW w:w="119" w:type="dxa"/>
            <w:tcBorders/>
            <w:shd w:fill="CCEEFF" w:val="clear"/>
            <w:vAlign w:val="bottom"/>
          </w:tcPr>
          <w:p>
            <w:pPr>
              <w:pStyle w:val="TableContents"/>
              <w:spacing w:before="0" w:after="283"/>
              <w:rPr/>
            </w:pPr>
            <w:r>
              <w:rPr/>
              <w:t xml:space="preserve">  </w:t>
            </w:r>
          </w:p>
        </w:tc>
      </w:tr>
      <w:tr>
        <w:trPr/>
        <w:tc>
          <w:tcPr>
            <w:tcW w:w="87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Miscellaneous Expenses</w:t>
            </w:r>
          </w:p>
        </w:tc>
        <w:tc>
          <w:tcPr>
            <w:tcW w:w="111" w:type="dxa"/>
            <w:tcBorders/>
            <w:shd w:fill="FFFFFF" w:val="clear"/>
            <w:vAlign w:val="bottom"/>
          </w:tcPr>
          <w:p>
            <w:pPr>
              <w:pStyle w:val="TableContents"/>
              <w:spacing w:before="0" w:after="283"/>
              <w:rPr/>
            </w:pPr>
            <w:r>
              <w:rPr/>
              <w:t xml:space="preserve">  </w:t>
            </w:r>
          </w:p>
        </w:tc>
        <w:tc>
          <w:tcPr>
            <w:tcW w:w="127"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1065" w:type="dxa"/>
            <w:tcBorders>
              <w:bottom w:val="single" w:sz="12" w:space="0" w:color="000000"/>
            </w:tcBorders>
            <w:shd w:fill="FFFFFF" w:val="clear"/>
            <w:tcMar>
              <w:bottom w:w="28" w:type="dxa"/>
            </w:tcMar>
            <w:vAlign w:val="bottom"/>
          </w:tcPr>
          <w:p>
            <w:pPr>
              <w:pStyle w:val="TableContents"/>
              <w:spacing w:before="0" w:after="0"/>
              <w:ind w:left="0" w:right="0" w:hanging="0"/>
              <w:jc w:val="right"/>
              <w:rPr/>
            </w:pPr>
            <w:r>
              <w:rPr/>
              <w:t>   </w:t>
            </w:r>
            <w:r>
              <w:rPr>
                <w:rFonts w:ascii="helvetica" w:hAnsi="helvetica"/>
                <w:sz w:val="20"/>
              </w:rPr>
              <w:t>10,000</w:t>
            </w:r>
          </w:p>
        </w:tc>
        <w:tc>
          <w:tcPr>
            <w:tcW w:w="119" w:type="dxa"/>
            <w:tcBorders/>
            <w:shd w:fill="FFFFFF" w:val="clear"/>
            <w:vAlign w:val="bottom"/>
          </w:tcPr>
          <w:p>
            <w:pPr>
              <w:pStyle w:val="TableContents"/>
              <w:spacing w:before="0" w:after="283"/>
              <w:rPr/>
            </w:pPr>
            <w:r>
              <w:rPr/>
              <w:t xml:space="preserve">  </w:t>
            </w:r>
          </w:p>
        </w:tc>
      </w:tr>
      <w:tr>
        <w:trPr/>
        <w:tc>
          <w:tcPr>
            <w:tcW w:w="8783" w:type="dxa"/>
            <w:tcBorders/>
            <w:shd w:fill="CCEEFF" w:val="clear"/>
            <w:vAlign w:val="bottom"/>
          </w:tcPr>
          <w:p>
            <w:pPr>
              <w:pStyle w:val="TableContents"/>
              <w:spacing w:before="0" w:after="283"/>
              <w:jc w:val="left"/>
              <w:rPr/>
            </w:pPr>
            <w:r>
              <w:rPr/>
              <w:t> </w:t>
            </w:r>
            <w:r>
              <w:rPr>
                <w:rFonts w:ascii="helvetica" w:hAnsi="helvetica"/>
                <w:sz w:val="20"/>
              </w:rPr>
              <w:t>Total</w:t>
            </w:r>
          </w:p>
        </w:tc>
        <w:tc>
          <w:tcPr>
            <w:tcW w:w="111"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65" w:type="dxa"/>
            <w:tcBorders>
              <w:bottom w:val="double" w:sz="8" w:space="0" w:color="000000"/>
            </w:tcBorders>
            <w:shd w:fill="CCEEFF" w:val="clear"/>
            <w:tcMar>
              <w:bottom w:w="28" w:type="dxa"/>
            </w:tcMar>
            <w:vAlign w:val="bottom"/>
          </w:tcPr>
          <w:p>
            <w:pPr>
              <w:pStyle w:val="TableContents"/>
              <w:spacing w:before="0" w:after="0"/>
              <w:ind w:left="0" w:right="0" w:hanging="0"/>
              <w:jc w:val="right"/>
              <w:rPr>
                <w:rFonts w:ascii="helvetica" w:hAnsi="helvetica"/>
                <w:sz w:val="20"/>
              </w:rPr>
            </w:pPr>
            <w:r>
              <w:rPr>
                <w:rFonts w:ascii="helvetica" w:hAnsi="helvetica"/>
                <w:sz w:val="20"/>
              </w:rPr>
              <w:t>709,083</w:t>
            </w:r>
          </w:p>
        </w:tc>
        <w:tc>
          <w:tcPr>
            <w:tcW w:w="119" w:type="dxa"/>
            <w:tcBorders/>
            <w:shd w:fill="CCEEFF" w:val="clear"/>
            <w:vAlign w:val="bottom"/>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ITEM 14.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  Our Amended and Restated Certificate of Incorporation provides for the indemnification of directors and officers to the fullest extent permissible under Delaware law.  Our Bylaws provide for the indemnification of officers and directors to the fullest extent permissible under Delaware law, except that we are only obligated to indemnify such officer or director in connection with a proceeding initiated by such person if the proceeding was authorized by our Board of Directors.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have entered into indemnification agreements with our directors and certain executive officers, in addition to indemnification provided for in our charter documents, and we intend to enter into indemnification agreements with any new directors and our other executive officers in the future.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underwriting agreement (Exhibit 1.1 hereto) provides for the underwriters' indemnification of us for certain liabilities, including liabilities arising under the Securities Act, in connection with matters specifically provided in writing by the underwriters for inclusion in the registration statement, and our indemnification of the underwriters for certain liabilities as set forth in the underwriting agreement.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83" w:name="PGBRK114"/>
      <w:bookmarkStart w:id="1284" w:name="PGBRK114"/>
      <w:bookmarkEnd w:id="1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5" w:name="FTR113"/>
      <w:bookmarkStart w:id="1286" w:name="FTR113"/>
      <w:bookmarkEnd w:id="1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7" w:name="GLFTR112"/>
      <w:bookmarkEnd w:id="12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88" w:name="PN112"/>
      <w:bookmarkEnd w:id="1288"/>
      <w:r>
        <w:rPr>
          <w:rFonts w:ascii="helvetica" w:hAnsi="helvetica"/>
          <w:sz w:val="20"/>
        </w:rPr>
        <w:t>II-1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9" w:name="HDR112"/>
      <w:bookmarkStart w:id="1290" w:name="HDR112"/>
      <w:bookmarkEnd w:id="1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1" w:name="GLHDR110"/>
      <w:bookmarkEnd w:id="12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15. RECENT SALES OF UNREGISTERED SECURITIES.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below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Issuance to Consultants and Executive Officers</w:t>
      </w:r>
    </w:p>
    <w:p>
      <w:pPr>
        <w:pStyle w:val="TextBody"/>
        <w:spacing w:before="0" w:after="0"/>
        <w:ind w:left="0" w:right="0" w:hanging="0"/>
        <w:jc w:val="both"/>
        <w:rPr/>
      </w:pPr>
      <w:r>
        <w:rPr/>
        <w:t> </w:t>
      </w:r>
    </w:p>
    <w:p>
      <w:pPr>
        <w:pStyle w:val="TextBody"/>
        <w:spacing w:before="0" w:after="0"/>
        <w:ind w:left="0" w:right="0" w:firstLine="720"/>
        <w:jc w:val="left"/>
        <w:rPr/>
      </w:pPr>
      <w:bookmarkStart w:id="1292" w:name="TAB227"/>
      <w:bookmarkEnd w:id="1292"/>
      <w:r>
        <w:rPr>
          <w:color w:val="000000"/>
          <w:spacing w:val="180"/>
        </w:rPr>
        <w:t> </w:t>
      </w: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determining that the issuance of the securities in such transactions qualified for an exemption under Section 4(2), we relied on the following facts: each recipient represented that it was an accredited investor; the Company did not use general solicitation or advertising to market the securities; in each case the securities were issued to only one investor; and the securities issued were restricted securities.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Dr. Kammer 40,000 RSUs outside of the 2007 Plan in connection with his services as a consultant and advisor to the Company.  The RSU is subject to certain performance-based vesting criteria, such that all 40,000 RSUs will vest at such time as the Company meets the primary endpoints of its Phase III clinical studies for Impracor.</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RSUs described in the two immediately preceding paragraphs have been registered under the Securities Act pursuant to a registration statement on Form S-8, filed by the Company with the SEC on August 22, 2012.</w:t>
      </w:r>
    </w:p>
    <w:p>
      <w:pPr>
        <w:pStyle w:val="TextBody"/>
        <w:spacing w:before="0" w:after="0"/>
        <w:ind w:left="0" w:right="0" w:firstLine="720"/>
        <w:jc w:val="left"/>
        <w:rPr/>
      </w:pPr>
      <w:r>
        <w:rPr/>
        <w:t> </w:t>
      </w:r>
    </w:p>
    <w:p>
      <w:pPr>
        <w:pStyle w:val="TextBody"/>
        <w:spacing w:before="0" w:after="0"/>
        <w:ind w:left="0" w:right="0" w:hanging="0"/>
        <w:jc w:val="both"/>
        <w:rPr>
          <w:rFonts w:ascii="helvetica" w:hAnsi="helvetica"/>
          <w:i/>
          <w:sz w:val="20"/>
        </w:rPr>
      </w:pPr>
      <w:r>
        <w:rPr>
          <w:rFonts w:ascii="helvetica" w:hAnsi="helvetica"/>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Senior Convertible Promissory Note (the “Convertible Note”) to an existing stockholder, Alexej Ladonnikov, in a private placement.  The Convertible Note had a two-year term and an annual interest rate of 7.5% percent. We had a right to prepay the Convertible Note at any time upon providing written notice to the holder. At the time of issuance, the Convertible Note provided that at any time prior to the Company’s repayment of the Convertible Note, the holder may convert all or any part of the outstanding principal and accrued interest on the Convertible Note into shares of our common stock at a conversion rate of $40.00 per share. We received gross proceeds from the issuance of the Convertible Note in the aggregate amount of $1,000,000.</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93" w:name="PGBRK115"/>
      <w:bookmarkStart w:id="1294" w:name="PGBRK115"/>
      <w:bookmarkEnd w:id="1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5" w:name="FTR114"/>
      <w:bookmarkStart w:id="1296" w:name="FTR114"/>
      <w:bookmarkEnd w:id="1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7" w:name="GLFTR113"/>
      <w:bookmarkEnd w:id="1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98" w:name="PN113"/>
      <w:bookmarkEnd w:id="1298"/>
      <w:r>
        <w:rPr>
          <w:rFonts w:ascii="helvetica" w:hAnsi="helvetica"/>
          <w:sz w:val="20"/>
        </w:rPr>
        <w:t>II-2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9" w:name="HDR113"/>
      <w:bookmarkStart w:id="1300" w:name="HDR113"/>
      <w:bookmarkEnd w:id="1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1" w:name="GLHDR111"/>
      <w:bookmarkEnd w:id="1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were no discounts or commissions paid in connection with this private placement. The proceeds were used for working capital purposes.  The private placement was made solely to a single “accredited investor,” as that term is defined in Regulation D under the Securities Act. The securities issuable upon conversion of all or a portion of the Convertible Note were not registered under the Securities Act or the securities laws of any state, and were offered and sold in reliance on the exemption from registration afforded by Section 4(2) and corresponding provisions of state securities laws, which exempt transactions by an issuer not involving any public offering.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highlight w:val="white"/>
        </w:rPr>
        <w:t xml:space="preserve">The securities issued upon conversion of the outstanding principal and interest owing under the line of credit pursuant to the Conversion Agreement were issued </w:t>
      </w:r>
      <w:r>
        <w:rPr>
          <w:rFonts w:ascii="helvetica" w:hAnsi="helvetica"/>
          <w:sz w:val="20"/>
        </w:rPr>
        <w:t>in reliance on the exemption from the registration requirements of Section 4(2) of the Securities Act. In determining that the issuance of the securities pursuant to the Conversion Agreement qualified for an exemption under Section 4(2), we relied on the following facts: DermaStar is an accredited investor and the Company’s major stockholder;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02" w:name="PGBRK116"/>
      <w:bookmarkStart w:id="1303" w:name="PGBRK116"/>
      <w:bookmarkEnd w:id="1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4" w:name="FTR115"/>
      <w:bookmarkStart w:id="1305" w:name="FTR115"/>
      <w:bookmarkEnd w:id="1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6" w:name="GLFTR114"/>
      <w:bookmarkEnd w:id="1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07" w:name="PN114"/>
      <w:bookmarkEnd w:id="1307"/>
      <w:r>
        <w:rPr>
          <w:rFonts w:ascii="helvetica" w:hAnsi="helvetica"/>
          <w:sz w:val="20"/>
        </w:rPr>
        <w:t>II-3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8" w:name="HDR114"/>
      <w:bookmarkStart w:id="1309" w:name="HDR114"/>
      <w:bookmarkEnd w:id="1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0" w:name="GLHDR112"/>
      <w:bookmarkEnd w:id="1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ten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are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highlight w:val="white"/>
        </w:rPr>
        <w:t xml:space="preserve">The Series A Preferred Stock issued to DermaStar in the offering were issued </w:t>
      </w:r>
      <w:r>
        <w:rPr>
          <w:rFonts w:ascii="helvetica" w:hAnsi="helvetica"/>
          <w:sz w:val="20"/>
        </w:rPr>
        <w:t>in reliance on the exemption from the registration requirements of Section 4(2) of the Securities Act. In determining that the issuance of the securities pursuant to the Series A Purchase Agreement qualified for an exemption under Section 4(2), we relied on the following facts: DermaStar is an accredited investor;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December 9, 2011, we filed a Certificate of Designation to our Amended and Restated Certificate of Incorporation with the Secretary of State of the State of Delaware setting forth the rights and preferences of the Series A Preferred Stock.  Among other things, the Certificate of Designation (i) authorizes 10 shares of the Company’s preferred stock to be designated as “Series A Convertible Preferred Stock”; (ii) grants the holders of the Series A Preferred Stock the right to convert into the Company’s Common Stock at a conversion price of $0.06668,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securities sold in the April Private Placement were sold in reliance on the exemption from the registration requirements of Section 4(2) of the Securities Act and Rule 506 of Regulation D promulgated thereunder. In determining that the issuance of the securities in the April Private Placement qualified for an exemption under Section 4(2) and Rule 506 of Regulation D, we relied on the following facts: the Company did not use general solicitation or advertising to market the securities; each investor in the April Private Placement represented to the Company that it was an accredited investor (as that term is defined in Rule 501 of Regulation D) and that it was purchasing the securities for its own account and not with a view to distribute them; and the securities issued are restricted securities.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i/>
          <w:sz w:val="20"/>
        </w:rPr>
      </w:pPr>
      <w:r>
        <w:rPr>
          <w:rFonts w:ascii="helvetica" w:hAnsi="helvetica"/>
          <w:i/>
          <w:sz w:val="20"/>
        </w:rPr>
        <w:t>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August 30, 2012, we entered into a Stock Purchase Agreement (the “PCCA Purchase Agreement”) with PCCA in connection with the PCCA Transaction.  Pursuant to the terms of the PCCA Purchase Agreement,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 In determining that the issuance of such shares qualified for an exemption under Section 4(2) of the Securities Act, we relied on the following facts: PCCA represented that it was an accredited investor (as that term is defined in Rule 501 of Regulation D) and that it was purchasing such shares for its own account and not with a view to distribute them; the shares were sold to only one purchaser in connection with a strategic transaction; and the securities issued are restricted securities.</w:t>
      </w:r>
    </w:p>
    <w:p>
      <w:pPr>
        <w:pStyle w:val="TextBody"/>
        <w:spacing w:before="0" w:after="0"/>
        <w:ind w:left="0" w:right="0" w:firstLine="72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11" w:name="PGBRK117"/>
      <w:bookmarkStart w:id="1312" w:name="PGBRK117"/>
      <w:bookmarkEnd w:id="1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3" w:name="FTR116"/>
      <w:bookmarkStart w:id="1314" w:name="FTR116"/>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5" w:name="GLFTR115"/>
      <w:bookmarkEnd w:id="1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16" w:name="PN115"/>
      <w:bookmarkEnd w:id="1316"/>
      <w:r>
        <w:rPr>
          <w:rFonts w:ascii="helvetica" w:hAnsi="helvetica"/>
          <w:sz w:val="20"/>
        </w:rPr>
        <w:t>II-4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7" w:name="HDR115"/>
      <w:bookmarkStart w:id="1318" w:name="HDR115"/>
      <w:bookmarkEnd w:id="1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9" w:name="GLHDR113"/>
      <w:bookmarkEnd w:id="1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16. EXHIBITS AND FINANCIAL STATEMENT SCHEDULES</w:t>
      </w:r>
    </w:p>
    <w:p>
      <w:pPr>
        <w:pStyle w:val="TextBody"/>
        <w:spacing w:before="0" w:after="0"/>
        <w:ind w:left="0" w:right="0" w:hanging="0"/>
        <w:jc w:val="both"/>
        <w:rPr/>
      </w:pPr>
      <w:r>
        <w:rPr/>
        <w:t> </w:t>
      </w:r>
    </w:p>
    <w:p>
      <w:pPr>
        <w:pStyle w:val="TextBody"/>
        <w:spacing w:before="0" w:after="0"/>
        <w:ind w:left="0" w:right="0" w:hanging="0"/>
        <w:rPr/>
      </w:pPr>
      <w:bookmarkStart w:id="1320" w:name="TAB228"/>
      <w:bookmarkEnd w:id="1320"/>
      <w:r>
        <w:rPr>
          <w:color w:val="000000"/>
          <w:spacing w:val="180"/>
        </w:rPr>
        <w:t> </w:t>
      </w:r>
      <w:r>
        <w:rPr>
          <w:rFonts w:ascii="helvetica" w:hAnsi="helvetica"/>
          <w:sz w:val="20"/>
          <w:u w:val="single"/>
        </w:rPr>
        <w:t>Financial Statement Schedules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financial statement schedules are omitted because they are not applicable or the required information is shown in the financial statements or notes thereto.</w:t>
      </w:r>
    </w:p>
    <w:p>
      <w:pPr>
        <w:pStyle w:val="TextBody"/>
        <w:spacing w:before="0" w:after="0"/>
        <w:ind w:left="0" w:right="0" w:hanging="0"/>
        <w:jc w:val="both"/>
        <w:rPr/>
      </w:pPr>
      <w:r>
        <w:rPr/>
        <w:t> </w:t>
      </w:r>
    </w:p>
    <w:p>
      <w:pPr>
        <w:pStyle w:val="TextBody"/>
        <w:spacing w:before="0" w:after="0"/>
        <w:ind w:left="0" w:right="0" w:hanging="0"/>
        <w:rPr/>
      </w:pPr>
      <w:bookmarkStart w:id="1321" w:name="TAB229"/>
      <w:bookmarkEnd w:id="1321"/>
      <w:r>
        <w:rPr>
          <w:color w:val="000000"/>
          <w:spacing w:val="180"/>
        </w:rPr>
        <w:t> </w:t>
      </w:r>
      <w:r>
        <w:rPr>
          <w:rFonts w:ascii="helvetica" w:hAnsi="helvetica"/>
          <w:sz w:val="20"/>
          <w:u w:val="single"/>
        </w:rPr>
        <w:t>Exhibits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exhibits are being filed with this registration statement on Form S-1.</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095"/>
        <w:gridCol w:w="205"/>
        <w:gridCol w:w="8905"/>
      </w:tblGrid>
      <w:tr>
        <w:trPr/>
        <w:tc>
          <w:tcPr>
            <w:tcW w:w="1095" w:type="dxa"/>
            <w:tcBorders>
              <w:bottom w:val="single" w:sz="12" w:space="0" w:color="000000"/>
            </w:tcBorders>
            <w:shd w:fill="auto" w:val="clear"/>
          </w:tcPr>
          <w:p>
            <w:pPr>
              <w:pStyle w:val="TableContents"/>
              <w:spacing w:before="0" w:after="0"/>
              <w:ind w:left="0" w:right="16" w:hanging="0"/>
              <w:jc w:val="left"/>
              <w:rPr>
                <w:rFonts w:ascii="helvetica" w:hAnsi="helvetica"/>
                <w:b/>
                <w:sz w:val="20"/>
              </w:rPr>
            </w:pPr>
            <w:r>
              <w:rPr>
                <w:rFonts w:ascii="helvetica" w:hAnsi="helvetica"/>
                <w:b/>
                <w:sz w:val="20"/>
              </w:rPr>
              <w:t>Exhibit No.</w:t>
            </w:r>
          </w:p>
        </w:tc>
        <w:tc>
          <w:tcPr>
            <w:tcW w:w="205" w:type="dxa"/>
            <w:tcBorders/>
            <w:shd w:fill="auto" w:val="clear"/>
            <w:tcMar>
              <w:bottom w:w="0" w:type="dxa"/>
            </w:tcMar>
          </w:tcPr>
          <w:p>
            <w:pPr>
              <w:pStyle w:val="TableContents"/>
              <w:spacing w:before="0" w:after="283"/>
              <w:jc w:val="left"/>
              <w:rPr/>
            </w:pPr>
            <w:r>
              <w:rPr/>
              <w:t xml:space="preserve">  </w:t>
            </w:r>
          </w:p>
        </w:tc>
        <w:tc>
          <w:tcPr>
            <w:tcW w:w="8905" w:type="dxa"/>
            <w:tcBorders>
              <w:bottom w:val="single" w:sz="12" w:space="0" w:color="000000"/>
            </w:tcBorders>
            <w:shd w:fill="auto" w:val="clear"/>
          </w:tcPr>
          <w:p>
            <w:pPr>
              <w:pStyle w:val="TableContents"/>
              <w:spacing w:before="0" w:after="0"/>
              <w:ind w:left="0" w:right="16" w:hanging="0"/>
              <w:jc w:val="left"/>
              <w:rPr>
                <w:rFonts w:ascii="helvetica" w:hAnsi="helvetica"/>
                <w:b/>
                <w:sz w:val="20"/>
              </w:rPr>
            </w:pPr>
            <w:r>
              <w:rPr>
                <w:rFonts w:ascii="helvetica" w:hAnsi="helvetica"/>
                <w:b/>
                <w:sz w:val="20"/>
              </w:rPr>
              <w:t>Description</w:t>
            </w:r>
          </w:p>
        </w:tc>
      </w:tr>
      <w:tr>
        <w:trPr/>
        <w:tc>
          <w:tcPr>
            <w:tcW w:w="1095"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left"/>
              <w:rPr>
                <w:rFonts w:ascii="helvetica" w:hAnsi="helvetica"/>
                <w:sz w:val="20"/>
              </w:rPr>
            </w:pPr>
            <w:r>
              <w:rPr>
                <w:rFonts w:ascii="helvetica" w:hAnsi="helvetica"/>
                <w:sz w:val="20"/>
              </w:rPr>
              <w:t>1.1**</w:t>
            </w:r>
          </w:p>
        </w:tc>
        <w:tc>
          <w:tcPr>
            <w:tcW w:w="205" w:type="dxa"/>
            <w:tcBorders/>
            <w:shd w:fill="CCEEFF" w:val="clear"/>
            <w:tcMar>
              <w:bottom w:w="0" w:type="dxa"/>
            </w:tcMar>
          </w:tcPr>
          <w:p>
            <w:pPr>
              <w:pStyle w:val="TableContents"/>
              <w:spacing w:before="0" w:after="283"/>
              <w:rPr/>
            </w:pPr>
            <w:r>
              <w:rPr/>
              <w:t xml:space="preserve">  </w:t>
            </w:r>
          </w:p>
        </w:tc>
        <w:tc>
          <w:tcPr>
            <w:tcW w:w="8905" w:type="dxa"/>
            <w:tcBorders/>
            <w:shd w:fill="CCEEFF" w:val="clear"/>
            <w:tcMar>
              <w:bottom w:w="0" w:type="dxa"/>
            </w:tcMar>
          </w:tcPr>
          <w:p>
            <w:pPr>
              <w:pStyle w:val="TableContents"/>
              <w:spacing w:before="0" w:after="0"/>
              <w:ind w:left="0" w:right="14" w:hanging="0"/>
              <w:jc w:val="both"/>
              <w:rPr>
                <w:rFonts w:ascii="helvetica" w:hAnsi="helvetica"/>
                <w:sz w:val="20"/>
              </w:rPr>
            </w:pPr>
            <w:r>
              <w:rPr>
                <w:rFonts w:ascii="helvetica" w:hAnsi="helvetica"/>
                <w:sz w:val="20"/>
              </w:rPr>
              <w:t>Form of Underwriting Agreement</w:t>
            </w:r>
          </w:p>
        </w:tc>
      </w:tr>
      <w:tr>
        <w:trPr/>
        <w:tc>
          <w:tcPr>
            <w:tcW w:w="1095"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2.1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herein by reference to Exhibit 3.1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Bylaws (incorporated herein by reference to Exhibit 3.2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Amendment to Amended and Restated Certificate of Incorporation (incorporated by reference to Exhibit 3.1 to the Company’s Quarterly Report on 10-Q filed with the Securities and Exchange Commission on May 10,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5.1**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Opinion of Morrison &amp; Foerster LLP</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Directors and Officers Indemnification Agreement (incorporated herein by reference to Exhibit 10.8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(incorporated herein by reference to Exhibit 10.11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10.5#</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10.6#**</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3 to Imprimis Pharmaceuticals, Inc. 2007 Incentive Stock and Awards Plan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10.7#</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Incentive Stock Option Agreement (incorporated herein by reference to Exhibit 10.12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10.8#</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Non-Qualified Stock Option Agreement (incorporated herein by reference to Exhibit 10.13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10.9</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10.10 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1322" w:name="PGBRK118"/>
      <w:bookmarkStart w:id="1323" w:name="PGBRK118"/>
      <w:bookmarkEnd w:id="1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24" w:name="FTR117"/>
      <w:bookmarkStart w:id="1325" w:name="FTR117"/>
      <w:bookmarkEnd w:id="1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6" w:name="GLFTR116"/>
      <w:bookmarkEnd w:id="1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27" w:name="PN116"/>
      <w:bookmarkEnd w:id="1327"/>
      <w:r>
        <w:rPr>
          <w:rFonts w:ascii="helvetica" w:hAnsi="helvetica"/>
          <w:sz w:val="20"/>
        </w:rPr>
        <w:t>II-5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28" w:name="HDR116"/>
      <w:bookmarkStart w:id="1329" w:name="HDR116"/>
      <w:bookmarkEnd w:id="1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0" w:name="GLHDR114"/>
      <w:bookmarkEnd w:id="1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540" w:right="0" w:hanging="540"/>
              <w:jc w:val="left"/>
              <w:rPr>
                <w:rFonts w:ascii="helvetica" w:hAnsi="helvetica"/>
                <w:sz w:val="20"/>
              </w:rPr>
            </w:pPr>
            <w:r>
              <w:rPr>
                <w:rFonts w:ascii="helvetica" w:hAnsi="helvetica"/>
                <w:sz w:val="20"/>
              </w:rPr>
              <w:t>10.13#</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Note Purchase Agreement (incorporated herein by reference to Exhibit 10.1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Promissory Note (incorporated herein by reference to Exhibit 10.2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First Amendment to Securities Purchase Agreement, effective as of December 31, 2011, by and between Transdel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bl>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1331" w:name="PGBRK119"/>
      <w:bookmarkStart w:id="1332" w:name="PGBRK119"/>
      <w:bookmarkEnd w:id="1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33" w:name="FTR118"/>
      <w:bookmarkStart w:id="1334" w:name="FTR118"/>
      <w:bookmarkEnd w:id="1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5" w:name="GLFTR117"/>
      <w:bookmarkEnd w:id="13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36" w:name="PN117"/>
      <w:bookmarkEnd w:id="1336"/>
      <w:r>
        <w:rPr>
          <w:rFonts w:ascii="helvetica" w:hAnsi="helvetica"/>
          <w:sz w:val="20"/>
        </w:rPr>
        <w:t>II-6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37" w:name="HDR117"/>
      <w:bookmarkStart w:id="1338" w:name="HDR117"/>
      <w:bookmarkEnd w:id="1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9" w:name="GLHDR115"/>
      <w:bookmarkEnd w:id="13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Amended and Restated Employment Agreement, dated July 24, 2012, by and between Imprimis Pharmaceuticals, Inc. and Mark L. Baum, Esq.</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 xml:space="preserve">Amendment to Advisory Agreement, dated July 24, 2012, by and between Imprimis Pharmaceuticals, Inc. and Dr. Robert Kammer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Termination Agreement, effective as of May 9, 2012, by and between Imprimis Pharmaceuticals, Inc. and Paul Finnegan, M.D.</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Conversion Agreement, dated June 29, 2012, by and between Imprimis Pharmaceuticals, Inc. and DermaStar,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10.40#**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Stand-alone Restricted Stock Unit Agreement, dated July 18, 2012, granted by Imprimis Pharmaceuticals, Inc. to Mark L. Baum</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283"/>
              <w:jc w:val="both"/>
              <w:rPr>
                <w:rFonts w:ascii="helvetica" w:hAnsi="helvetica"/>
                <w:sz w:val="20"/>
              </w:rPr>
            </w:pPr>
            <w:r>
              <w:rPr>
                <w:rFonts w:ascii="helvetica" w:hAnsi="helvetica"/>
                <w:sz w:val="20"/>
              </w:rPr>
              <w:t>10.41#**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Stand-alone Restricted Stock Unit Agreement, dated July 18, 2012, granted by Imprimis Pharmaceuticals, Inc. to Robert J. Kammer</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283"/>
              <w:jc w:val="left"/>
              <w:rPr>
                <w:rFonts w:ascii="helvetica" w:hAnsi="helvetica"/>
                <w:sz w:val="20"/>
              </w:rPr>
            </w:pPr>
            <w:r>
              <w:rPr>
                <w:rFonts w:ascii="helvetica" w:hAnsi="helvetica"/>
                <w:sz w:val="20"/>
              </w:rPr>
              <w:t>10.42</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License Agreement, dated as of August 30, 2012, by and between Imprimis Pharmaceuticals, Inc. and Professional Compounding Centers of America, Inc. (incorporated herein by reference to Exhibit 10.1 to the Current Report on Form 8-K of Imprimis Pharmaceuticals, Inc. filed with the Securities and Exchange Commission on August 31, 2012)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283"/>
              <w:jc w:val="left"/>
              <w:rPr>
                <w:rFonts w:ascii="helvetica" w:hAnsi="helvetica"/>
                <w:sz w:val="20"/>
              </w:rPr>
            </w:pPr>
            <w:r>
              <w:rPr>
                <w:rFonts w:ascii="helvetica" w:hAnsi="helvetica"/>
                <w:sz w:val="20"/>
              </w:rPr>
              <w:t>10.43</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Stock Purchase Agreement, dated as of August 30, 2012, by and between Imprimis Pharmaceuticals, Inc. and Professional Compounding Centers of America, Inc. (incorporated herein by reference to Exhibit 10.2 to the Current Report on Form 8-K of Imprimis Pharmaceuticals, Inc. filed with the Securities and Exchange Commission on August 31, 2012)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283"/>
              <w:jc w:val="left"/>
              <w:rPr>
                <w:rFonts w:ascii="helvetica" w:hAnsi="helvetica"/>
                <w:sz w:val="20"/>
              </w:rPr>
            </w:pPr>
            <w:r>
              <w:rPr>
                <w:rFonts w:ascii="helvetica" w:hAnsi="helvetica"/>
                <w:sz w:val="20"/>
              </w:rPr>
              <w:t>10.44**</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Form of Underwriter’s Warrant</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helvetica" w:hAnsi="helvetica"/>
                <w:sz w:val="20"/>
              </w:rPr>
            </w:pPr>
            <w:r>
              <w:rPr>
                <w:rFonts w:ascii="helvetica" w:hAnsi="helvetica"/>
                <w:sz w:val="20"/>
              </w:rPr>
              <w:t>23.1*</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16" w:hanging="0"/>
              <w:jc w:val="left"/>
              <w:rPr>
                <w:rFonts w:ascii="helvetica" w:hAnsi="helvetica"/>
                <w:sz w:val="20"/>
              </w:rPr>
            </w:pPr>
            <w:r>
              <w:rPr>
                <w:rFonts w:ascii="helvetica" w:hAnsi="helvetica"/>
                <w:sz w:val="20"/>
              </w:rPr>
              <w:t>Consent of KMJ Corbin &amp; Company LLP</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720" w:right="0" w:hanging="720"/>
              <w:jc w:val="left"/>
              <w:rPr>
                <w:rFonts w:ascii="helvetica" w:hAnsi="helvetica"/>
                <w:sz w:val="20"/>
              </w:rPr>
            </w:pPr>
            <w:r>
              <w:rPr>
                <w:rFonts w:ascii="helvetica" w:hAnsi="helvetica"/>
                <w:sz w:val="20"/>
              </w:rPr>
              <w:t>23.2**</w:t>
            </w:r>
          </w:p>
        </w:tc>
        <w:tc>
          <w:tcPr>
            <w:tcW w:w="203" w:type="dxa"/>
            <w:tcBorders/>
            <w:shd w:fill="CCEEFF" w:val="clear"/>
          </w:tcPr>
          <w:p>
            <w:pPr>
              <w:pStyle w:val="TableContents"/>
              <w:spacing w:before="0" w:after="283"/>
              <w:ind w:left="0" w:right="0" w:hanging="0"/>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Consent of Morrison &amp; Foerster LLP (contained in Exhibit 5.1)</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ind w:left="0" w:right="0" w:hanging="0"/>
              <w:jc w:val="left"/>
              <w:rPr/>
            </w:pPr>
            <w:r>
              <w:rPr/>
              <w:t> </w:t>
            </w:r>
          </w:p>
        </w:tc>
        <w:tc>
          <w:tcPr>
            <w:tcW w:w="9186" w:type="dxa"/>
            <w:tcBorders/>
            <w:shd w:fill="FFFFFF" w:val="clear"/>
          </w:tcPr>
          <w:p>
            <w:pPr>
              <w:pStyle w:val="TableContents"/>
              <w:spacing w:before="0" w:after="283"/>
              <w:ind w:left="0" w:right="0" w:hanging="0"/>
              <w:jc w:val="left"/>
              <w:rPr/>
            </w:pPr>
            <w:r>
              <w:rPr/>
              <w:t> </w:t>
            </w:r>
          </w:p>
        </w:tc>
      </w:tr>
      <w:tr>
        <w:trPr/>
        <w:tc>
          <w:tcPr>
            <w:tcW w:w="81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24.1**</w:t>
            </w:r>
          </w:p>
        </w:tc>
        <w:tc>
          <w:tcPr>
            <w:tcW w:w="203" w:type="dxa"/>
            <w:tcBorders/>
            <w:shd w:fill="CCEEFF" w:val="clear"/>
          </w:tcPr>
          <w:p>
            <w:pPr>
              <w:pStyle w:val="TableContents"/>
              <w:spacing w:before="0" w:after="283"/>
              <w:ind w:left="0" w:right="0" w:hanging="0"/>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Power of Attorney (contained on the signature page)</w:t>
            </w:r>
          </w:p>
        </w:tc>
      </w:tr>
    </w:tbl>
    <w:p>
      <w:pPr>
        <w:pStyle w:val="TextBody"/>
        <w:spacing w:before="0" w:after="0"/>
        <w:jc w:val="both"/>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101.INS++**</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Instant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101.SCH++**</w:t>
            </w:r>
          </w:p>
        </w:tc>
        <w:tc>
          <w:tcPr>
            <w:tcW w:w="203" w:type="dxa"/>
            <w:tcBorders/>
            <w:shd w:fill="CCEEFF" w:val="clear"/>
            <w:vAlign w:val="bottom"/>
          </w:tcPr>
          <w:p>
            <w:pPr>
              <w:pStyle w:val="TableContents"/>
              <w:spacing w:before="0" w:after="283"/>
              <w:ind w:left="0" w:right="0" w:hanging="0"/>
              <w:jc w:val="left"/>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Schema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101.CAL++**</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Calculation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101.DEF++**</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Definition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101.LAB++**</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Label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101.PRE++**</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Presentation Linkbase Document</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10002"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Filed herewith.</w:t>
            </w:r>
          </w:p>
        </w:tc>
      </w:tr>
      <w:tr>
        <w:trPr/>
        <w:tc>
          <w:tcPr>
            <w:tcW w:w="203"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10002"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Management contract or compensatory plan or arrangement.</w:t>
            </w:r>
          </w:p>
        </w:tc>
      </w:tr>
      <w:tr>
        <w:trPr/>
        <w:tc>
          <w:tcPr>
            <w:tcW w:w="203"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10002" w:type="dxa"/>
            <w:tcBorders/>
            <w:shd w:fill="auto" w:val="clear"/>
          </w:tcPr>
          <w:p>
            <w:pPr>
              <w:pStyle w:val="TableContents"/>
              <w:spacing w:before="0" w:after="0"/>
              <w:ind w:left="180" w:right="0" w:hanging="0"/>
              <w:jc w:val="both"/>
              <w:rPr>
                <w:rFonts w:ascii="helvetica" w:hAnsi="helvetica"/>
                <w:sz w:val="20"/>
              </w:rPr>
            </w:pPr>
            <w:r>
              <w:rPr>
                <w:rFonts w:ascii="helvetica" w:hAnsi="helvetica"/>
                <w:sz w:val="20"/>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tc>
      </w:tr>
      <w:tr>
        <w:trPr/>
        <w:tc>
          <w:tcPr>
            <w:tcW w:w="203" w:type="dxa"/>
            <w:tcBorders/>
            <w:shd w:fill="auto" w:val="clear"/>
          </w:tcPr>
          <w:p>
            <w:pPr>
              <w:pStyle w:val="TableContents"/>
              <w:spacing w:before="0" w:after="283"/>
              <w:jc w:val="left"/>
              <w:rPr>
                <w:rFonts w:ascii="helvetica" w:hAnsi="helvetica"/>
                <w:sz w:val="20"/>
              </w:rPr>
            </w:pPr>
            <w:r>
              <w:rPr>
                <w:rFonts w:ascii="helvetica" w:hAnsi="helvetica"/>
                <w:sz w:val="20"/>
              </w:rPr>
              <w:t xml:space="preserve">** </w:t>
            </w:r>
          </w:p>
        </w:tc>
        <w:tc>
          <w:tcPr>
            <w:tcW w:w="10002" w:type="dxa"/>
            <w:tcBorders/>
            <w:shd w:fill="auto" w:val="clear"/>
          </w:tcPr>
          <w:p>
            <w:pPr>
              <w:pStyle w:val="TableContents"/>
              <w:spacing w:before="0" w:after="283"/>
              <w:jc w:val="both"/>
              <w:rPr/>
            </w:pPr>
            <w:r>
              <w:rPr/>
              <w:t>   </w:t>
            </w:r>
            <w:r>
              <w:rPr>
                <w:rFonts w:ascii="helvetica" w:hAnsi="helvetica"/>
                <w:sz w:val="20"/>
              </w:rPr>
              <w:t>Previously filed.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0" w:name="PGBRK120"/>
      <w:bookmarkStart w:id="1341" w:name="PGBRK120"/>
      <w:bookmarkEnd w:id="1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2" w:name="FTR119"/>
      <w:bookmarkStart w:id="1343" w:name="FTR119"/>
      <w:bookmarkEnd w:id="1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4" w:name="GLFTR118"/>
      <w:bookmarkEnd w:id="1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45" w:name="PN118"/>
      <w:bookmarkEnd w:id="1345"/>
      <w:r>
        <w:rPr>
          <w:rFonts w:ascii="helvetica" w:hAnsi="helvetica"/>
          <w:sz w:val="20"/>
        </w:rPr>
        <w:t>II-7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6" w:name="HDR118"/>
      <w:bookmarkStart w:id="1347" w:name="HDR118"/>
      <w:bookmarkEnd w:id="1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8" w:name="GLHDR116"/>
      <w:bookmarkEnd w:id="13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ITEM 17. UNDERTAKINGS.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undersigned registrant hereby undertakes that:</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(1)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 xml:space="preserve">(2)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helvetica" w:hAnsi="helvetica"/>
          <w:i/>
          <w:sz w:val="20"/>
        </w:rPr>
        <w:t>bona fide</w:t>
      </w:r>
      <w:r>
        <w:rPr>
          <w:rFonts w:ascii="helvetica" w:hAnsi="helvetica"/>
          <w:sz w:val="20"/>
        </w:rPr>
        <w:t xml:space="preserve"> offering thereof.</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9" w:name="PGBRK121"/>
      <w:bookmarkStart w:id="1350" w:name="PGBRK121"/>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1" w:name="FTR120"/>
      <w:bookmarkStart w:id="1352" w:name="FTR120"/>
      <w:bookmarkEnd w:id="1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3" w:name="GLFTR119"/>
      <w:bookmarkEnd w:id="1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54" w:name="PN119"/>
      <w:bookmarkEnd w:id="1354"/>
      <w:r>
        <w:rPr>
          <w:rFonts w:ascii="helvetica" w:hAnsi="helvetica"/>
          <w:sz w:val="20"/>
        </w:rPr>
        <w:t>II-8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5" w:name="HDR119"/>
      <w:bookmarkStart w:id="1356" w:name="HDR119"/>
      <w:bookmarkEnd w:id="1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7" w:name="GLHDR117"/>
      <w:bookmarkEnd w:id="1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SIGNATURES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Pursuant to the requirements of the Securities Act of 1933, the registrant has duly caused this registration statement to be signed on its behalf by the undersigned, thereunto duly authorized in the City of Solana Beach, State of California, on February 4, 2013.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39"/>
        <w:gridCol w:w="324"/>
        <w:gridCol w:w="3634"/>
        <w:gridCol w:w="1208"/>
      </w:tblGrid>
      <w:tr>
        <w:trPr/>
        <w:tc>
          <w:tcPr>
            <w:tcW w:w="5039" w:type="dxa"/>
            <w:tcBorders/>
            <w:shd w:fill="auto" w:val="clear"/>
          </w:tcPr>
          <w:p>
            <w:pPr>
              <w:pStyle w:val="TableContents"/>
              <w:spacing w:before="0" w:after="283"/>
              <w:rPr/>
            </w:pPr>
            <w:r>
              <w:rPr/>
              <w:t xml:space="preserve">  </w:t>
            </w:r>
          </w:p>
        </w:tc>
        <w:tc>
          <w:tcPr>
            <w:tcW w:w="3958" w:type="dxa"/>
            <w:gridSpan w:val="2"/>
            <w:tcBorders/>
            <w:shd w:fill="auto" w:val="clear"/>
          </w:tcPr>
          <w:p>
            <w:pPr>
              <w:pStyle w:val="TableContents"/>
              <w:spacing w:before="0" w:after="283"/>
              <w:rPr>
                <w:rFonts w:ascii="helvetica" w:hAnsi="helvetica"/>
                <w:b/>
                <w:sz w:val="20"/>
              </w:rPr>
            </w:pPr>
            <w:r>
              <w:rPr>
                <w:rFonts w:ascii="helvetica" w:hAnsi="helvetica"/>
                <w:b/>
                <w:sz w:val="20"/>
              </w:rPr>
              <w:t>IMPRIMIS PHARMACEUTICALS, INC.</w:t>
            </w:r>
          </w:p>
        </w:tc>
        <w:tc>
          <w:tcPr>
            <w:tcW w:w="1208" w:type="dxa"/>
            <w:tcBorders/>
            <w:shd w:fill="auto" w:val="clear"/>
          </w:tcPr>
          <w:p>
            <w:pPr>
              <w:pStyle w:val="TableContents"/>
              <w:spacing w:before="0" w:after="283"/>
              <w:jc w:val="left"/>
              <w:rPr/>
            </w:pPr>
            <w:r>
              <w:rPr/>
              <w:t> </w:t>
            </w:r>
          </w:p>
        </w:tc>
      </w:tr>
      <w:tr>
        <w:trPr/>
        <w:tc>
          <w:tcPr>
            <w:tcW w:w="5039" w:type="dxa"/>
            <w:tcBorders/>
            <w:shd w:fill="auto" w:val="clear"/>
          </w:tcPr>
          <w:p>
            <w:pPr>
              <w:pStyle w:val="TableContents"/>
              <w:spacing w:before="0" w:after="283"/>
              <w:rPr/>
            </w:pPr>
            <w:r>
              <w:rPr/>
              <w:t xml:space="preserve">  </w:t>
            </w:r>
          </w:p>
        </w:tc>
        <w:tc>
          <w:tcPr>
            <w:tcW w:w="324" w:type="dxa"/>
            <w:tcBorders/>
            <w:shd w:fill="auto" w:val="clear"/>
          </w:tcPr>
          <w:p>
            <w:pPr>
              <w:pStyle w:val="TableContents"/>
              <w:spacing w:before="0" w:after="283"/>
              <w:rPr/>
            </w:pPr>
            <w:r>
              <w:rPr/>
              <w:t xml:space="preserve">  </w:t>
            </w:r>
          </w:p>
        </w:tc>
        <w:tc>
          <w:tcPr>
            <w:tcW w:w="3634" w:type="dxa"/>
            <w:tcBorders/>
            <w:shd w:fill="auto" w:val="clear"/>
          </w:tcPr>
          <w:p>
            <w:pPr>
              <w:pStyle w:val="TableContents"/>
              <w:spacing w:before="0" w:after="283"/>
              <w:rPr/>
            </w:pPr>
            <w:r>
              <w:rPr/>
              <w:t xml:space="preserve">  </w:t>
            </w:r>
          </w:p>
        </w:tc>
        <w:tc>
          <w:tcPr>
            <w:tcW w:w="1208" w:type="dxa"/>
            <w:tcBorders/>
            <w:shd w:fill="auto" w:val="clear"/>
          </w:tcPr>
          <w:p>
            <w:pPr>
              <w:pStyle w:val="TableContents"/>
              <w:spacing w:before="0" w:after="283"/>
              <w:rPr/>
            </w:pPr>
            <w:r>
              <w:rPr/>
              <w:t> </w:t>
            </w:r>
          </w:p>
        </w:tc>
      </w:tr>
      <w:tr>
        <w:trPr/>
        <w:tc>
          <w:tcPr>
            <w:tcW w:w="5039" w:type="dxa"/>
            <w:tcBorders/>
            <w:shd w:fill="auto" w:val="clear"/>
          </w:tcPr>
          <w:p>
            <w:pPr>
              <w:pStyle w:val="TableContents"/>
              <w:spacing w:before="0" w:after="283"/>
              <w:rPr/>
            </w:pPr>
            <w:r>
              <w:rPr/>
              <w:t xml:space="preserve">  </w:t>
            </w:r>
          </w:p>
        </w:tc>
        <w:tc>
          <w:tcPr>
            <w:tcW w:w="32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By:</w:t>
            </w:r>
          </w:p>
        </w:tc>
        <w:tc>
          <w:tcPr>
            <w:tcW w:w="3634" w:type="dxa"/>
            <w:tcBorders>
              <w:bottom w:val="single" w:sz="12" w:space="0" w:color="000000"/>
            </w:tcBorders>
            <w:shd w:fill="auto" w:val="clear"/>
            <w:tcMar>
              <w:bottom w:w="28" w:type="dxa"/>
            </w:tcMar>
          </w:tcPr>
          <w:p>
            <w:pPr>
              <w:pStyle w:val="TableContents"/>
              <w:spacing w:before="0" w:after="0"/>
              <w:ind w:left="0" w:right="0" w:hanging="0"/>
              <w:jc w:val="left"/>
              <w:rPr>
                <w:rFonts w:ascii="helvetica" w:hAnsi="helvetica"/>
                <w:sz w:val="20"/>
              </w:rPr>
            </w:pPr>
            <w:r>
              <w:rPr>
                <w:rFonts w:ascii="helvetica" w:hAnsi="helvetica"/>
                <w:sz w:val="20"/>
              </w:rPr>
              <w:t>/s/ Mark L. Baum</w:t>
            </w:r>
          </w:p>
        </w:tc>
        <w:tc>
          <w:tcPr>
            <w:tcW w:w="1208" w:type="dxa"/>
            <w:tcBorders/>
            <w:shd w:fill="auto" w:val="clear"/>
          </w:tcPr>
          <w:p>
            <w:pPr>
              <w:pStyle w:val="TableContents"/>
              <w:spacing w:before="0" w:after="283"/>
              <w:jc w:val="left"/>
              <w:rPr/>
            </w:pPr>
            <w:r>
              <w:rPr/>
              <w:t> </w:t>
            </w:r>
          </w:p>
        </w:tc>
      </w:tr>
      <w:tr>
        <w:trPr/>
        <w:tc>
          <w:tcPr>
            <w:tcW w:w="503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Date: February 4, 2013 </w:t>
            </w:r>
          </w:p>
        </w:tc>
        <w:tc>
          <w:tcPr>
            <w:tcW w:w="324" w:type="dxa"/>
            <w:tcBorders/>
            <w:shd w:fill="auto" w:val="clear"/>
          </w:tcPr>
          <w:p>
            <w:pPr>
              <w:pStyle w:val="TableContents"/>
              <w:spacing w:before="0" w:after="283"/>
              <w:rPr/>
            </w:pPr>
            <w:r>
              <w:rPr/>
              <w:t xml:space="preserve">  </w:t>
            </w:r>
          </w:p>
        </w:tc>
        <w:tc>
          <w:tcPr>
            <w:tcW w:w="363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Mark L. Baum, Chief Executive Officer</w:t>
            </w:r>
          </w:p>
          <w:p>
            <w:pPr>
              <w:pStyle w:val="TableContents"/>
              <w:spacing w:before="0" w:after="0"/>
              <w:ind w:left="0" w:right="0" w:hanging="0"/>
              <w:jc w:val="left"/>
              <w:rPr>
                <w:rFonts w:ascii="helvetica" w:hAnsi="helvetica"/>
                <w:i/>
                <w:sz w:val="20"/>
              </w:rPr>
            </w:pPr>
            <w:r>
              <w:rPr>
                <w:rFonts w:ascii="helvetica" w:hAnsi="helvetica"/>
                <w:i/>
                <w:sz w:val="20"/>
              </w:rPr>
              <w:t>(Principal Executive Officer)</w:t>
            </w:r>
          </w:p>
        </w:tc>
        <w:tc>
          <w:tcPr>
            <w:tcW w:w="1208" w:type="dxa"/>
            <w:tcBorders/>
            <w:shd w:fill="auto" w:val="clear"/>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requirements of the Securities Act of 1933, this registration statement has been signed by the following persons in the capacities and on the dates indicated.</w:t>
      </w:r>
    </w:p>
    <w:p>
      <w:pPr>
        <w:pStyle w:val="TextBody"/>
        <w:spacing w:before="0" w:after="0"/>
        <w:ind w:left="0" w:right="0" w:firstLine="720"/>
        <w:jc w:val="left"/>
        <w:rPr/>
      </w:pPr>
      <w:r>
        <w:rPr/>
        <w:t> </w:t>
      </w:r>
    </w:p>
    <w:tbl>
      <w:tblPr>
        <w:tblW w:w="5000" w:type="pct"/>
        <w:jc w:val="center"/>
        <w:tblInd w:w="0" w:type="dxa"/>
        <w:tblCellMar>
          <w:top w:w="0" w:type="dxa"/>
          <w:left w:w="0" w:type="dxa"/>
          <w:bottom w:w="28" w:type="dxa"/>
          <w:right w:w="0" w:type="dxa"/>
        </w:tblCellMar>
      </w:tblPr>
      <w:tblGrid>
        <w:gridCol w:w="543"/>
        <w:gridCol w:w="2973"/>
        <w:gridCol w:w="434"/>
        <w:gridCol w:w="3844"/>
        <w:gridCol w:w="354"/>
        <w:gridCol w:w="2057"/>
      </w:tblGrid>
      <w:tr>
        <w:trPr/>
        <w:tc>
          <w:tcPr>
            <w:tcW w:w="3516" w:type="dxa"/>
            <w:gridSpan w:val="2"/>
            <w:tcBorders>
              <w:bottom w:val="single" w:sz="12" w:space="0" w:color="000000"/>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SIGNATURE</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TITLE</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DATE</w:t>
            </w:r>
          </w:p>
        </w:tc>
      </w:tr>
      <w:tr>
        <w:trPr/>
        <w:tc>
          <w:tcPr>
            <w:tcW w:w="3516" w:type="dxa"/>
            <w:gridSpan w:val="2"/>
            <w:tcBorders/>
            <w:shd w:fill="auto" w:val="clear"/>
            <w:tcMar>
              <w:bottom w:w="0" w:type="dxa"/>
            </w:tcMar>
          </w:tcPr>
          <w:p>
            <w:pPr>
              <w:pStyle w:val="TableContents"/>
              <w:spacing w:before="0" w:after="283"/>
              <w:rPr/>
            </w:pPr>
            <w:r>
              <w:rPr/>
              <w:t xml:space="preserve">  </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ind w:left="0" w:right="0" w:hanging="0"/>
              <w:rPr/>
            </w:pPr>
            <w:r>
              <w:rPr/>
              <w:t xml:space="preserve">  </w:t>
            </w:r>
          </w:p>
        </w:tc>
      </w:tr>
      <w:tr>
        <w:trPr/>
        <w:tc>
          <w:tcPr>
            <w:tcW w:w="3516" w:type="dxa"/>
            <w:gridSpan w:val="2"/>
            <w:tcBorders>
              <w:bottom w:val="single" w:sz="12" w:space="0" w:color="000000"/>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/s/ Mark L. Baum</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Chief Executive Officer and Director</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vAlign w:val="bottom"/>
          </w:tcPr>
          <w:p>
            <w:pPr>
              <w:pStyle w:val="TableContents"/>
              <w:spacing w:before="0" w:after="0"/>
              <w:ind w:left="0" w:right="0" w:hanging="0"/>
              <w:jc w:val="center"/>
              <w:rPr/>
            </w:pPr>
            <w:r>
              <w:rPr>
                <w:rFonts w:ascii="helvetica" w:hAnsi="helvetica"/>
                <w:sz w:val="20"/>
              </w:rPr>
              <w:t>February 4, 2013</w:t>
            </w:r>
            <w:r>
              <w:rPr/>
              <w:t xml:space="preserve"> </w:t>
            </w:r>
          </w:p>
        </w:tc>
      </w:tr>
      <w:tr>
        <w:trPr/>
        <w:tc>
          <w:tcPr>
            <w:tcW w:w="3516"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jc w:val="center"/>
              <w:rPr>
                <w:rFonts w:ascii="helvetica" w:hAnsi="helvetica"/>
                <w:sz w:val="20"/>
              </w:rPr>
            </w:pPr>
            <w:r>
              <w:rPr>
                <w:rFonts w:ascii="helvetica" w:hAnsi="helvetica"/>
                <w:sz w:val="20"/>
              </w:rPr>
              <w:t>(</w:t>
            </w:r>
            <w:r>
              <w:rPr>
                <w:rFonts w:ascii="helvetica" w:hAnsi="helvetica"/>
                <w:i/>
                <w:sz w:val="20"/>
              </w:rPr>
              <w:t>Principal Executive Officer</w:t>
            </w:r>
            <w:r>
              <w:rPr>
                <w:rFonts w:ascii="helvetica" w:hAnsi="helvetica"/>
                <w:sz w:val="20"/>
              </w:rPr>
              <w:t>)</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ind w:left="0" w:right="0" w:hanging="0"/>
              <w:rPr/>
            </w:pPr>
            <w:r>
              <w:rPr/>
              <w:t xml:space="preserve">  </w:t>
            </w:r>
          </w:p>
        </w:tc>
      </w:tr>
      <w:tr>
        <w:trPr/>
        <w:tc>
          <w:tcPr>
            <w:tcW w:w="3516" w:type="dxa"/>
            <w:gridSpan w:val="2"/>
            <w:tcBorders/>
            <w:shd w:fill="auto" w:val="clear"/>
            <w:tcMar>
              <w:bottom w:w="0" w:type="dxa"/>
            </w:tcMar>
          </w:tcPr>
          <w:p>
            <w:pPr>
              <w:pStyle w:val="TableContents"/>
              <w:spacing w:before="0" w:after="283"/>
              <w:jc w:val="left"/>
              <w:rPr/>
            </w:pPr>
            <w:r>
              <w:rPr/>
              <w:t xml:space="preserve">  </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ind w:left="0" w:right="0" w:hanging="0"/>
              <w:rPr/>
            </w:pPr>
            <w:r>
              <w:rPr/>
              <w:t xml:space="preserve">  </w:t>
            </w:r>
          </w:p>
        </w:tc>
      </w:tr>
      <w:tr>
        <w:trPr/>
        <w:tc>
          <w:tcPr>
            <w:tcW w:w="3516" w:type="dxa"/>
            <w:gridSpan w:val="2"/>
            <w:tcBorders>
              <w:bottom w:val="single" w:sz="12" w:space="0" w:color="000000"/>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/s/ Andrew R. Boll</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 xml:space="preserve">Vice President of Accounting and Public Reporting </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vAlign w:val="bottom"/>
          </w:tcPr>
          <w:p>
            <w:pPr>
              <w:pStyle w:val="TableContents"/>
              <w:spacing w:before="0" w:after="0"/>
              <w:ind w:left="0" w:right="0" w:hanging="0"/>
              <w:jc w:val="center"/>
              <w:rPr/>
            </w:pPr>
            <w:r>
              <w:rPr>
                <w:rFonts w:ascii="helvetica" w:hAnsi="helvetica"/>
                <w:sz w:val="20"/>
              </w:rPr>
              <w:t>February 4, 2013</w:t>
            </w:r>
            <w:r>
              <w:rPr/>
              <w:t xml:space="preserve"> </w:t>
            </w:r>
          </w:p>
        </w:tc>
      </w:tr>
      <w:tr>
        <w:trPr/>
        <w:tc>
          <w:tcPr>
            <w:tcW w:w="3516"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jc w:val="center"/>
              <w:rPr>
                <w:rFonts w:ascii="helvetica" w:hAnsi="helvetica"/>
                <w:sz w:val="20"/>
              </w:rPr>
            </w:pPr>
            <w:r>
              <w:rPr>
                <w:rFonts w:ascii="helvetica" w:hAnsi="helvetica"/>
                <w:sz w:val="20"/>
              </w:rPr>
              <w:t>(</w:t>
            </w:r>
            <w:r>
              <w:rPr>
                <w:rFonts w:ascii="helvetica" w:hAnsi="helvetica"/>
                <w:i/>
                <w:sz w:val="20"/>
              </w:rPr>
              <w:t>Principal Accounting &amp; Financial Officer</w:t>
            </w:r>
            <w:r>
              <w:rPr>
                <w:rFonts w:ascii="helvetica" w:hAnsi="helvetica"/>
                <w:sz w:val="20"/>
              </w:rPr>
              <w:t>)</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rPr/>
            </w:pPr>
            <w:r>
              <w:rPr/>
              <w:t xml:space="preserve">  </w:t>
            </w:r>
          </w:p>
        </w:tc>
      </w:tr>
      <w:tr>
        <w:trPr/>
        <w:tc>
          <w:tcPr>
            <w:tcW w:w="3516" w:type="dxa"/>
            <w:gridSpan w:val="2"/>
            <w:tcBorders/>
            <w:shd w:fill="auto" w:val="clear"/>
            <w:tcMar>
              <w:bottom w:w="0" w:type="dxa"/>
            </w:tcMar>
          </w:tcPr>
          <w:p>
            <w:pPr>
              <w:pStyle w:val="TableContents"/>
              <w:spacing w:before="0" w:after="283"/>
              <w:rPr/>
            </w:pPr>
            <w:r>
              <w:rPr/>
              <w:t xml:space="preserve">  </w:t>
            </w:r>
          </w:p>
        </w:tc>
        <w:tc>
          <w:tcPr>
            <w:tcW w:w="434" w:type="dxa"/>
            <w:tcBorders/>
            <w:shd w:fill="auto" w:val="clear"/>
            <w:tcMar>
              <w:bottom w:w="0" w:type="dxa"/>
            </w:tcMar>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ind w:left="0" w:right="0" w:hanging="0"/>
              <w:rPr/>
            </w:pPr>
            <w:r>
              <w:rPr/>
              <w:t xml:space="preserve">  </w:t>
            </w:r>
          </w:p>
        </w:tc>
      </w:tr>
      <w:tr>
        <w:trPr/>
        <w:tc>
          <w:tcPr>
            <w:tcW w:w="3516"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Jeffrey J. Abrams*</w:t>
            </w:r>
          </w:p>
        </w:tc>
        <w:tc>
          <w:tcPr>
            <w:tcW w:w="434" w:type="dxa"/>
            <w:tcBorders/>
            <w:shd w:fill="auto" w:val="clear"/>
            <w:tcMar>
              <w:bottom w:w="0" w:type="dxa"/>
            </w:tcMar>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Director</w:t>
            </w:r>
          </w:p>
        </w:tc>
        <w:tc>
          <w:tcPr>
            <w:tcW w:w="354" w:type="dxa"/>
            <w:tcBorders/>
            <w:shd w:fill="auto" w:val="clear"/>
            <w:tcMar>
              <w:bottom w:w="0" w:type="dxa"/>
            </w:tcMar>
          </w:tcPr>
          <w:p>
            <w:pPr>
              <w:pStyle w:val="TableContents"/>
              <w:spacing w:before="0" w:after="283"/>
              <w:rPr/>
            </w:pPr>
            <w:r>
              <w:rPr/>
              <w:t xml:space="preserve">  </w:t>
            </w:r>
          </w:p>
        </w:tc>
        <w:tc>
          <w:tcPr>
            <w:tcW w:w="2057" w:type="dxa"/>
            <w:tcBorders/>
            <w:shd w:fill="auto" w:val="clear"/>
            <w:tcMar>
              <w:bottom w:w="0" w:type="dxa"/>
            </w:tcMar>
            <w:vAlign w:val="bottom"/>
          </w:tcPr>
          <w:p>
            <w:pPr>
              <w:pStyle w:val="TableContents"/>
              <w:spacing w:before="0" w:after="0"/>
              <w:ind w:left="0" w:right="0" w:hanging="0"/>
              <w:jc w:val="center"/>
              <w:rPr/>
            </w:pPr>
            <w:r>
              <w:rPr>
                <w:rFonts w:ascii="helvetica" w:hAnsi="helvetica"/>
                <w:sz w:val="20"/>
              </w:rPr>
              <w:t>February 4, 2013</w:t>
            </w:r>
            <w:r>
              <w:rPr/>
              <w:t xml:space="preserve"> </w:t>
            </w:r>
          </w:p>
        </w:tc>
      </w:tr>
      <w:tr>
        <w:trPr/>
        <w:tc>
          <w:tcPr>
            <w:tcW w:w="3516"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rPr/>
            </w:pPr>
            <w:r>
              <w:rPr/>
              <w:t xml:space="preserve">  </w:t>
            </w:r>
          </w:p>
        </w:tc>
      </w:tr>
      <w:tr>
        <w:trPr/>
        <w:tc>
          <w:tcPr>
            <w:tcW w:w="3516" w:type="dxa"/>
            <w:gridSpan w:val="2"/>
            <w:tcBorders/>
            <w:shd w:fill="auto" w:val="clear"/>
            <w:tcMar>
              <w:bottom w:w="0" w:type="dxa"/>
            </w:tcMar>
          </w:tcPr>
          <w:p>
            <w:pPr>
              <w:pStyle w:val="TableContents"/>
              <w:spacing w:before="0" w:after="283"/>
              <w:rPr/>
            </w:pPr>
            <w:r>
              <w:rPr/>
              <w:t xml:space="preserve">  </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bottom"/>
          </w:tcPr>
          <w:p>
            <w:pPr>
              <w:pStyle w:val="TableContents"/>
              <w:spacing w:before="0" w:after="283"/>
              <w:rPr/>
            </w:pPr>
            <w:r>
              <w:rPr/>
              <w:t xml:space="preserve">  </w:t>
            </w:r>
          </w:p>
        </w:tc>
        <w:tc>
          <w:tcPr>
            <w:tcW w:w="2057" w:type="dxa"/>
            <w:tcBorders/>
            <w:shd w:fill="auto" w:val="clear"/>
            <w:tcMar>
              <w:bottom w:w="0" w:type="dxa"/>
            </w:tcMar>
          </w:tcPr>
          <w:p>
            <w:pPr>
              <w:pStyle w:val="TableContents"/>
              <w:spacing w:before="0" w:after="283"/>
              <w:ind w:left="0" w:right="0" w:hanging="0"/>
              <w:rPr/>
            </w:pPr>
            <w:r>
              <w:rPr/>
              <w:t xml:space="preserve">  </w:t>
            </w:r>
          </w:p>
        </w:tc>
      </w:tr>
      <w:tr>
        <w:trPr/>
        <w:tc>
          <w:tcPr>
            <w:tcW w:w="3516"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Paul Finnegan*</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Director</w:t>
            </w:r>
          </w:p>
        </w:tc>
        <w:tc>
          <w:tcPr>
            <w:tcW w:w="354" w:type="dxa"/>
            <w:tcBorders/>
            <w:shd w:fill="auto" w:val="clear"/>
            <w:tcMar>
              <w:bottom w:w="0" w:type="dxa"/>
            </w:tcMar>
            <w:vAlign w:val="center"/>
          </w:tcPr>
          <w:p>
            <w:pPr>
              <w:pStyle w:val="TableContents"/>
              <w:spacing w:before="0" w:after="283"/>
              <w:rPr/>
            </w:pPr>
            <w:r>
              <w:rPr/>
              <w:t xml:space="preserve">  </w:t>
            </w:r>
          </w:p>
        </w:tc>
        <w:tc>
          <w:tcPr>
            <w:tcW w:w="2057" w:type="dxa"/>
            <w:tcBorders/>
            <w:shd w:fill="auto" w:val="clear"/>
            <w:tcMar>
              <w:bottom w:w="0" w:type="dxa"/>
            </w:tcMar>
            <w:vAlign w:val="bottom"/>
          </w:tcPr>
          <w:p>
            <w:pPr>
              <w:pStyle w:val="TableContents"/>
              <w:spacing w:before="0" w:after="0"/>
              <w:ind w:left="0" w:right="0" w:hanging="0"/>
              <w:jc w:val="center"/>
              <w:rPr/>
            </w:pPr>
            <w:r>
              <w:rPr>
                <w:rFonts w:ascii="helvetica" w:hAnsi="helvetica"/>
                <w:sz w:val="20"/>
              </w:rPr>
              <w:t>February 4, 2013</w:t>
            </w:r>
            <w:r>
              <w:rPr/>
              <w:t xml:space="preserve"> </w:t>
            </w:r>
          </w:p>
        </w:tc>
      </w:tr>
      <w:tr>
        <w:trPr/>
        <w:tc>
          <w:tcPr>
            <w:tcW w:w="3516"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Paul Finnegan, M.D., M.B.A.</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center"/>
          </w:tcPr>
          <w:p>
            <w:pPr>
              <w:pStyle w:val="TableContents"/>
              <w:spacing w:before="0" w:after="283"/>
              <w:rPr/>
            </w:pPr>
            <w:r>
              <w:rPr/>
              <w:t xml:space="preserve">  </w:t>
            </w:r>
          </w:p>
        </w:tc>
        <w:tc>
          <w:tcPr>
            <w:tcW w:w="2057" w:type="dxa"/>
            <w:tcBorders/>
            <w:shd w:fill="auto" w:val="clear"/>
            <w:tcMar>
              <w:bottom w:w="0" w:type="dxa"/>
            </w:tcMar>
            <w:vAlign w:val="center"/>
          </w:tcPr>
          <w:p>
            <w:pPr>
              <w:pStyle w:val="TableContents"/>
              <w:spacing w:before="0" w:after="283"/>
              <w:rPr/>
            </w:pPr>
            <w:r>
              <w:rPr/>
              <w:t xml:space="preserve">  </w:t>
            </w:r>
          </w:p>
        </w:tc>
      </w:tr>
      <w:tr>
        <w:trPr/>
        <w:tc>
          <w:tcPr>
            <w:tcW w:w="3516" w:type="dxa"/>
            <w:gridSpan w:val="2"/>
            <w:tcBorders/>
            <w:shd w:fill="auto" w:val="clear"/>
            <w:tcMar>
              <w:bottom w:w="0" w:type="dxa"/>
            </w:tcMar>
          </w:tcPr>
          <w:p>
            <w:pPr>
              <w:pStyle w:val="TableContents"/>
              <w:spacing w:before="0" w:after="283"/>
              <w:rPr/>
            </w:pPr>
            <w:r>
              <w:rPr/>
              <w:t xml:space="preserve">  </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center"/>
          </w:tcPr>
          <w:p>
            <w:pPr>
              <w:pStyle w:val="TableContents"/>
              <w:spacing w:before="0" w:after="283"/>
              <w:rPr/>
            </w:pPr>
            <w:r>
              <w:rPr/>
              <w:t xml:space="preserve">  </w:t>
            </w:r>
          </w:p>
        </w:tc>
        <w:tc>
          <w:tcPr>
            <w:tcW w:w="2057" w:type="dxa"/>
            <w:tcBorders/>
            <w:shd w:fill="auto" w:val="clear"/>
            <w:tcMar>
              <w:bottom w:w="0" w:type="dxa"/>
            </w:tcMar>
            <w:vAlign w:val="center"/>
          </w:tcPr>
          <w:p>
            <w:pPr>
              <w:pStyle w:val="TableContents"/>
              <w:spacing w:before="0" w:after="283"/>
              <w:ind w:left="0" w:right="0" w:hanging="0"/>
              <w:rPr/>
            </w:pPr>
            <w:r>
              <w:rPr/>
              <w:t xml:space="preserve">  </w:t>
            </w:r>
          </w:p>
        </w:tc>
      </w:tr>
      <w:tr>
        <w:trPr/>
        <w:tc>
          <w:tcPr>
            <w:tcW w:w="3516"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Robert J. Kammer*</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Chairman of the Board of Directors</w:t>
            </w:r>
          </w:p>
        </w:tc>
        <w:tc>
          <w:tcPr>
            <w:tcW w:w="354" w:type="dxa"/>
            <w:tcBorders/>
            <w:shd w:fill="auto" w:val="clear"/>
            <w:tcMar>
              <w:bottom w:w="0" w:type="dxa"/>
            </w:tcMar>
            <w:vAlign w:val="center"/>
          </w:tcPr>
          <w:p>
            <w:pPr>
              <w:pStyle w:val="TableContents"/>
              <w:spacing w:before="0" w:after="283"/>
              <w:rPr/>
            </w:pPr>
            <w:r>
              <w:rPr/>
              <w:t xml:space="preserve">  </w:t>
            </w:r>
          </w:p>
        </w:tc>
        <w:tc>
          <w:tcPr>
            <w:tcW w:w="2057" w:type="dxa"/>
            <w:tcBorders/>
            <w:shd w:fill="auto" w:val="clear"/>
            <w:tcMar>
              <w:bottom w:w="0" w:type="dxa"/>
            </w:tcMar>
            <w:vAlign w:val="bottom"/>
          </w:tcPr>
          <w:p>
            <w:pPr>
              <w:pStyle w:val="TableContents"/>
              <w:spacing w:before="0" w:after="0"/>
              <w:ind w:left="0" w:right="0" w:hanging="0"/>
              <w:jc w:val="center"/>
              <w:rPr/>
            </w:pPr>
            <w:r>
              <w:rPr>
                <w:rFonts w:ascii="helvetica" w:hAnsi="helvetica"/>
                <w:sz w:val="20"/>
              </w:rPr>
              <w:t>February 4, 2013</w:t>
            </w:r>
            <w:r>
              <w:rPr/>
              <w:t xml:space="preserve"> </w:t>
            </w:r>
          </w:p>
        </w:tc>
      </w:tr>
      <w:tr>
        <w:trPr/>
        <w:tc>
          <w:tcPr>
            <w:tcW w:w="3516"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434" w:type="dxa"/>
            <w:tcBorders/>
            <w:shd w:fill="auto" w:val="clear"/>
            <w:tcMar>
              <w:bottom w:w="0" w:type="dxa"/>
            </w:tcMar>
            <w:vAlign w:val="bottom"/>
          </w:tcPr>
          <w:p>
            <w:pPr>
              <w:pStyle w:val="TableContents"/>
              <w:spacing w:before="0" w:after="283"/>
              <w:rPr/>
            </w:pPr>
            <w:r>
              <w:rPr/>
              <w:t xml:space="preserve">  </w:t>
            </w:r>
          </w:p>
        </w:tc>
        <w:tc>
          <w:tcPr>
            <w:tcW w:w="3844" w:type="dxa"/>
            <w:tcBorders/>
            <w:shd w:fill="auto" w:val="clear"/>
            <w:tcMar>
              <w:bottom w:w="0" w:type="dxa"/>
            </w:tcMar>
          </w:tcPr>
          <w:p>
            <w:pPr>
              <w:pStyle w:val="TableContents"/>
              <w:spacing w:before="0" w:after="283"/>
              <w:rPr/>
            </w:pPr>
            <w:r>
              <w:rPr/>
              <w:t xml:space="preserve">  </w:t>
            </w:r>
          </w:p>
        </w:tc>
        <w:tc>
          <w:tcPr>
            <w:tcW w:w="354" w:type="dxa"/>
            <w:tcBorders/>
            <w:shd w:fill="auto" w:val="clear"/>
            <w:tcMar>
              <w:bottom w:w="0" w:type="dxa"/>
            </w:tcMar>
            <w:vAlign w:val="center"/>
          </w:tcPr>
          <w:p>
            <w:pPr>
              <w:pStyle w:val="TableContents"/>
              <w:spacing w:before="0" w:after="283"/>
              <w:rPr/>
            </w:pPr>
            <w:r>
              <w:rPr/>
              <w:t xml:space="preserve">  </w:t>
            </w:r>
          </w:p>
        </w:tc>
        <w:tc>
          <w:tcPr>
            <w:tcW w:w="2057" w:type="dxa"/>
            <w:tcBorders/>
            <w:shd w:fill="auto" w:val="clear"/>
            <w:tcMar>
              <w:bottom w:w="0" w:type="dxa"/>
            </w:tcMar>
            <w:vAlign w:val="center"/>
          </w:tcPr>
          <w:p>
            <w:pPr>
              <w:pStyle w:val="TableContents"/>
              <w:spacing w:before="0" w:after="283"/>
              <w:ind w:left="0" w:right="0" w:hanging="0"/>
              <w:rPr/>
            </w:pPr>
            <w:r>
              <w:rPr/>
              <w:t xml:space="preserve">  </w:t>
            </w:r>
          </w:p>
        </w:tc>
      </w:tr>
      <w:tr>
        <w:trPr/>
        <w:tc>
          <w:tcPr>
            <w:tcW w:w="3516" w:type="dxa"/>
            <w:gridSpan w:val="2"/>
            <w:tcBorders/>
            <w:shd w:fill="auto" w:val="clear"/>
            <w:tcMar>
              <w:bottom w:w="0" w:type="dxa"/>
            </w:tcMar>
          </w:tcPr>
          <w:p>
            <w:pPr>
              <w:pStyle w:val="TableContents"/>
              <w:spacing w:before="0" w:after="283"/>
              <w:jc w:val="left"/>
              <w:rPr/>
            </w:pPr>
            <w:r>
              <w:rPr/>
              <w:t> </w:t>
            </w:r>
          </w:p>
        </w:tc>
        <w:tc>
          <w:tcPr>
            <w:tcW w:w="434" w:type="dxa"/>
            <w:tcBorders/>
            <w:shd w:fill="auto" w:val="clear"/>
            <w:tcMar>
              <w:bottom w:w="0" w:type="dxa"/>
            </w:tcMar>
            <w:vAlign w:val="bottom"/>
          </w:tcPr>
          <w:p>
            <w:pPr>
              <w:pStyle w:val="TableContents"/>
              <w:spacing w:before="0" w:after="283"/>
              <w:rPr/>
            </w:pPr>
            <w:r>
              <w:rPr/>
              <w:t> </w:t>
            </w:r>
          </w:p>
        </w:tc>
        <w:tc>
          <w:tcPr>
            <w:tcW w:w="3844" w:type="dxa"/>
            <w:tcBorders/>
            <w:shd w:fill="auto" w:val="clear"/>
            <w:tcMar>
              <w:bottom w:w="0" w:type="dxa"/>
            </w:tcMar>
          </w:tcPr>
          <w:p>
            <w:pPr>
              <w:pStyle w:val="TableContents"/>
              <w:spacing w:before="0" w:after="283"/>
              <w:rPr/>
            </w:pPr>
            <w:r>
              <w:rPr/>
              <w:t> </w:t>
            </w:r>
          </w:p>
        </w:tc>
        <w:tc>
          <w:tcPr>
            <w:tcW w:w="354" w:type="dxa"/>
            <w:tcBorders/>
            <w:shd w:fill="auto" w:val="clear"/>
            <w:tcMar>
              <w:bottom w:w="0" w:type="dxa"/>
            </w:tcMar>
            <w:vAlign w:val="center"/>
          </w:tcPr>
          <w:p>
            <w:pPr>
              <w:pStyle w:val="TableContents"/>
              <w:spacing w:before="0" w:after="283"/>
              <w:rPr/>
            </w:pPr>
            <w:r>
              <w:rPr/>
              <w:t> </w:t>
            </w:r>
          </w:p>
        </w:tc>
        <w:tc>
          <w:tcPr>
            <w:tcW w:w="2057" w:type="dxa"/>
            <w:tcBorders/>
            <w:shd w:fill="auto" w:val="clear"/>
            <w:tcMar>
              <w:bottom w:w="0" w:type="dxa"/>
            </w:tcMar>
            <w:vAlign w:val="center"/>
          </w:tcPr>
          <w:p>
            <w:pPr>
              <w:pStyle w:val="TableContents"/>
              <w:spacing w:before="0" w:after="283"/>
              <w:ind w:left="0" w:right="0" w:hanging="0"/>
              <w:rPr/>
            </w:pPr>
            <w:r>
              <w:rPr/>
              <w:t> </w:t>
            </w:r>
          </w:p>
        </w:tc>
      </w:tr>
      <w:tr>
        <w:trPr/>
        <w:tc>
          <w:tcPr>
            <w:tcW w:w="543" w:type="dxa"/>
            <w:tcBorders/>
            <w:shd w:fill="auto" w:val="clear"/>
            <w:tcMar>
              <w:bottom w:w="0" w:type="dxa"/>
            </w:tcMar>
          </w:tcPr>
          <w:p>
            <w:pPr>
              <w:pStyle w:val="TableContents"/>
              <w:spacing w:before="0" w:after="283"/>
              <w:ind w:left="0" w:right="0" w:hanging="0"/>
              <w:jc w:val="left"/>
              <w:rPr>
                <w:rFonts w:ascii="helvetica" w:hAnsi="helvetica"/>
                <w:sz w:val="20"/>
              </w:rPr>
            </w:pPr>
            <w:r>
              <w:rPr>
                <w:rFonts w:ascii="helvetica" w:hAnsi="helvetica"/>
                <w:sz w:val="20"/>
              </w:rPr>
              <w:t>*By:</w:t>
            </w:r>
          </w:p>
        </w:tc>
        <w:tc>
          <w:tcPr>
            <w:tcW w:w="2973" w:type="dxa"/>
            <w:tcBorders>
              <w:bottom w:val="single" w:sz="12" w:space="0" w:color="000000"/>
            </w:tcBorders>
            <w:shd w:fill="auto" w:val="clear"/>
          </w:tcPr>
          <w:p>
            <w:pPr>
              <w:pStyle w:val="TableContents"/>
              <w:spacing w:before="0" w:after="283"/>
              <w:jc w:val="left"/>
              <w:rPr>
                <w:rFonts w:ascii="helvetica" w:hAnsi="helvetica"/>
                <w:sz w:val="20"/>
              </w:rPr>
            </w:pPr>
            <w:r>
              <w:rPr>
                <w:rFonts w:ascii="helvetica" w:hAnsi="helvetica"/>
                <w:sz w:val="20"/>
              </w:rPr>
              <w:t>/s/ Mark L. Baum</w:t>
            </w:r>
          </w:p>
        </w:tc>
        <w:tc>
          <w:tcPr>
            <w:tcW w:w="434" w:type="dxa"/>
            <w:tcBorders/>
            <w:shd w:fill="auto" w:val="clear"/>
            <w:tcMar>
              <w:bottom w:w="0" w:type="dxa"/>
            </w:tcMar>
            <w:vAlign w:val="bottom"/>
          </w:tcPr>
          <w:p>
            <w:pPr>
              <w:pStyle w:val="TableContents"/>
              <w:spacing w:before="0" w:after="283"/>
              <w:rPr/>
            </w:pPr>
            <w:r>
              <w:rPr/>
              <w:t> </w:t>
            </w:r>
          </w:p>
        </w:tc>
        <w:tc>
          <w:tcPr>
            <w:tcW w:w="3844" w:type="dxa"/>
            <w:tcBorders/>
            <w:shd w:fill="auto" w:val="clear"/>
            <w:tcMar>
              <w:bottom w:w="0" w:type="dxa"/>
            </w:tcMar>
          </w:tcPr>
          <w:p>
            <w:pPr>
              <w:pStyle w:val="TableContents"/>
              <w:spacing w:before="0" w:after="283"/>
              <w:rPr/>
            </w:pPr>
            <w:r>
              <w:rPr/>
              <w:t> </w:t>
            </w:r>
          </w:p>
        </w:tc>
        <w:tc>
          <w:tcPr>
            <w:tcW w:w="354" w:type="dxa"/>
            <w:tcBorders/>
            <w:shd w:fill="auto" w:val="clear"/>
            <w:tcMar>
              <w:bottom w:w="0" w:type="dxa"/>
            </w:tcMar>
            <w:vAlign w:val="center"/>
          </w:tcPr>
          <w:p>
            <w:pPr>
              <w:pStyle w:val="TableContents"/>
              <w:spacing w:before="0" w:after="283"/>
              <w:rPr/>
            </w:pPr>
            <w:r>
              <w:rPr/>
              <w:t> </w:t>
            </w:r>
          </w:p>
        </w:tc>
        <w:tc>
          <w:tcPr>
            <w:tcW w:w="2057" w:type="dxa"/>
            <w:tcBorders/>
            <w:shd w:fill="auto" w:val="clear"/>
            <w:tcMar>
              <w:bottom w:w="0" w:type="dxa"/>
            </w:tcMar>
            <w:vAlign w:val="center"/>
          </w:tcPr>
          <w:p>
            <w:pPr>
              <w:pStyle w:val="TableContents"/>
              <w:spacing w:before="0" w:after="283"/>
              <w:ind w:left="0" w:right="0" w:hanging="0"/>
              <w:rPr/>
            </w:pPr>
            <w:r>
              <w:rPr/>
              <w:t> </w:t>
            </w:r>
          </w:p>
        </w:tc>
      </w:tr>
      <w:tr>
        <w:trPr/>
        <w:tc>
          <w:tcPr>
            <w:tcW w:w="3516" w:type="dxa"/>
            <w:gridSpan w:val="2"/>
            <w:tcBorders/>
            <w:shd w:fill="auto" w:val="clear"/>
            <w:tcMar>
              <w:bottom w:w="0" w:type="dxa"/>
            </w:tcMar>
          </w:tcPr>
          <w:p>
            <w:pPr>
              <w:pStyle w:val="TableContents"/>
              <w:spacing w:before="0" w:after="283"/>
              <w:jc w:val="left"/>
              <w:rPr/>
            </w:pPr>
            <w:r>
              <w:rPr/>
              <w:t>         </w:t>
            </w:r>
            <w:r>
              <w:rPr>
                <w:rFonts w:ascii="helvetica" w:hAnsi="helvetica"/>
                <w:sz w:val="20"/>
              </w:rPr>
              <w:t>Mark L. Baum</w:t>
            </w:r>
          </w:p>
        </w:tc>
        <w:tc>
          <w:tcPr>
            <w:tcW w:w="434" w:type="dxa"/>
            <w:tcBorders/>
            <w:shd w:fill="auto" w:val="clear"/>
            <w:tcMar>
              <w:bottom w:w="0" w:type="dxa"/>
            </w:tcMar>
            <w:vAlign w:val="bottom"/>
          </w:tcPr>
          <w:p>
            <w:pPr>
              <w:pStyle w:val="TableContents"/>
              <w:spacing w:before="0" w:after="283"/>
              <w:rPr/>
            </w:pPr>
            <w:r>
              <w:rPr/>
              <w:t> </w:t>
            </w:r>
          </w:p>
        </w:tc>
        <w:tc>
          <w:tcPr>
            <w:tcW w:w="3844" w:type="dxa"/>
            <w:tcBorders/>
            <w:shd w:fill="auto" w:val="clear"/>
            <w:tcMar>
              <w:bottom w:w="0" w:type="dxa"/>
            </w:tcMar>
          </w:tcPr>
          <w:p>
            <w:pPr>
              <w:pStyle w:val="TableContents"/>
              <w:spacing w:before="0" w:after="283"/>
              <w:rPr/>
            </w:pPr>
            <w:r>
              <w:rPr/>
              <w:t> </w:t>
            </w:r>
          </w:p>
        </w:tc>
        <w:tc>
          <w:tcPr>
            <w:tcW w:w="354" w:type="dxa"/>
            <w:tcBorders/>
            <w:shd w:fill="auto" w:val="clear"/>
            <w:tcMar>
              <w:bottom w:w="0" w:type="dxa"/>
            </w:tcMar>
            <w:vAlign w:val="center"/>
          </w:tcPr>
          <w:p>
            <w:pPr>
              <w:pStyle w:val="TableContents"/>
              <w:spacing w:before="0" w:after="283"/>
              <w:rPr/>
            </w:pPr>
            <w:r>
              <w:rPr/>
              <w:t> </w:t>
            </w:r>
          </w:p>
        </w:tc>
        <w:tc>
          <w:tcPr>
            <w:tcW w:w="2057" w:type="dxa"/>
            <w:tcBorders/>
            <w:shd w:fill="auto" w:val="clear"/>
            <w:tcMar>
              <w:bottom w:w="0" w:type="dxa"/>
            </w:tcMar>
            <w:vAlign w:val="center"/>
          </w:tcPr>
          <w:p>
            <w:pPr>
              <w:pStyle w:val="TableContents"/>
              <w:spacing w:before="0" w:after="283"/>
              <w:ind w:left="0" w:right="0" w:hanging="0"/>
              <w:rPr/>
            </w:pPr>
            <w:r>
              <w:rPr/>
              <w:t> </w:t>
            </w:r>
          </w:p>
        </w:tc>
      </w:tr>
      <w:tr>
        <w:trPr/>
        <w:tc>
          <w:tcPr>
            <w:tcW w:w="3516" w:type="dxa"/>
            <w:gridSpan w:val="2"/>
            <w:tcBorders/>
            <w:shd w:fill="auto" w:val="clear"/>
            <w:tcMar>
              <w:bottom w:w="0" w:type="dxa"/>
            </w:tcMar>
          </w:tcPr>
          <w:p>
            <w:pPr>
              <w:pStyle w:val="TableContents"/>
              <w:spacing w:before="0" w:after="283"/>
              <w:jc w:val="left"/>
              <w:rPr/>
            </w:pPr>
            <w:r>
              <w:rPr/>
              <w:t>         </w:t>
            </w:r>
            <w:r>
              <w:rPr>
                <w:rFonts w:ascii="helvetica" w:hAnsi="helvetica"/>
                <w:sz w:val="20"/>
              </w:rPr>
              <w:t>Attorney-in-Fact</w:t>
            </w:r>
          </w:p>
        </w:tc>
        <w:tc>
          <w:tcPr>
            <w:tcW w:w="434" w:type="dxa"/>
            <w:tcBorders/>
            <w:shd w:fill="auto" w:val="clear"/>
            <w:tcMar>
              <w:bottom w:w="0" w:type="dxa"/>
            </w:tcMar>
            <w:vAlign w:val="bottom"/>
          </w:tcPr>
          <w:p>
            <w:pPr>
              <w:pStyle w:val="TableContents"/>
              <w:spacing w:before="0" w:after="283"/>
              <w:rPr/>
            </w:pPr>
            <w:r>
              <w:rPr/>
              <w:t> </w:t>
            </w:r>
          </w:p>
        </w:tc>
        <w:tc>
          <w:tcPr>
            <w:tcW w:w="3844" w:type="dxa"/>
            <w:tcBorders/>
            <w:shd w:fill="auto" w:val="clear"/>
            <w:tcMar>
              <w:bottom w:w="0" w:type="dxa"/>
            </w:tcMar>
          </w:tcPr>
          <w:p>
            <w:pPr>
              <w:pStyle w:val="TableContents"/>
              <w:spacing w:before="0" w:after="283"/>
              <w:rPr/>
            </w:pPr>
            <w:r>
              <w:rPr/>
              <w:t> </w:t>
            </w:r>
          </w:p>
        </w:tc>
        <w:tc>
          <w:tcPr>
            <w:tcW w:w="354" w:type="dxa"/>
            <w:tcBorders/>
            <w:shd w:fill="auto" w:val="clear"/>
            <w:tcMar>
              <w:bottom w:w="0" w:type="dxa"/>
            </w:tcMar>
            <w:vAlign w:val="center"/>
          </w:tcPr>
          <w:p>
            <w:pPr>
              <w:pStyle w:val="TableContents"/>
              <w:spacing w:before="0" w:after="283"/>
              <w:rPr/>
            </w:pPr>
            <w:r>
              <w:rPr/>
              <w:t> </w:t>
            </w:r>
          </w:p>
        </w:tc>
        <w:tc>
          <w:tcPr>
            <w:tcW w:w="2057"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58" w:name="PGBRK122"/>
      <w:bookmarkStart w:id="1359" w:name="PGBRK122"/>
      <w:bookmarkEnd w:id="1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0" w:name="FTR121"/>
      <w:bookmarkStart w:id="1361" w:name="FTR121"/>
      <w:bookmarkEnd w:id="1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2" w:name="GLFTR120"/>
      <w:bookmarkEnd w:id="13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63" w:name="PN120"/>
      <w:bookmarkEnd w:id="1363"/>
      <w:r>
        <w:rPr>
          <w:rFonts w:ascii="helvetica" w:hAnsi="helvetica"/>
          <w:sz w:val="20"/>
        </w:rPr>
        <w:t>II-9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4" w:name="HDR120"/>
      <w:bookmarkStart w:id="1365" w:name="HDR120"/>
      <w:bookmarkEnd w:id="1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6" w:name="GLHDR118"/>
      <w:bookmarkEnd w:id="13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EXHIBIT INDEX</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095"/>
        <w:gridCol w:w="205"/>
        <w:gridCol w:w="8905"/>
      </w:tblGrid>
      <w:tr>
        <w:trPr/>
        <w:tc>
          <w:tcPr>
            <w:tcW w:w="1095" w:type="dxa"/>
            <w:tcBorders>
              <w:bottom w:val="single" w:sz="12" w:space="0" w:color="000000"/>
            </w:tcBorders>
            <w:shd w:fill="auto" w:val="clear"/>
          </w:tcPr>
          <w:p>
            <w:pPr>
              <w:pStyle w:val="TableContents"/>
              <w:spacing w:before="0" w:after="0"/>
              <w:ind w:left="0" w:right="16" w:hanging="0"/>
              <w:jc w:val="both"/>
              <w:rPr>
                <w:rFonts w:ascii="helvetica" w:hAnsi="helvetica"/>
                <w:b/>
                <w:sz w:val="20"/>
              </w:rPr>
            </w:pPr>
            <w:r>
              <w:rPr>
                <w:rFonts w:ascii="helvetica" w:hAnsi="helvetica"/>
                <w:b/>
                <w:sz w:val="20"/>
              </w:rPr>
              <w:t>Exhibit No.</w:t>
            </w:r>
          </w:p>
        </w:tc>
        <w:tc>
          <w:tcPr>
            <w:tcW w:w="205" w:type="dxa"/>
            <w:tcBorders/>
            <w:shd w:fill="auto" w:val="clear"/>
            <w:tcMar>
              <w:bottom w:w="0" w:type="dxa"/>
            </w:tcMar>
          </w:tcPr>
          <w:p>
            <w:pPr>
              <w:pStyle w:val="TableContents"/>
              <w:spacing w:before="0" w:after="283"/>
              <w:jc w:val="both"/>
              <w:rPr/>
            </w:pPr>
            <w:r>
              <w:rPr/>
              <w:t xml:space="preserve">  </w:t>
            </w:r>
          </w:p>
        </w:tc>
        <w:tc>
          <w:tcPr>
            <w:tcW w:w="8905" w:type="dxa"/>
            <w:tcBorders>
              <w:bottom w:val="single" w:sz="12" w:space="0" w:color="000000"/>
            </w:tcBorders>
            <w:shd w:fill="auto" w:val="clear"/>
          </w:tcPr>
          <w:p>
            <w:pPr>
              <w:pStyle w:val="TableContents"/>
              <w:spacing w:before="0" w:after="0"/>
              <w:ind w:left="0" w:right="16" w:hanging="0"/>
              <w:jc w:val="both"/>
              <w:rPr>
                <w:rFonts w:ascii="helvetica" w:hAnsi="helvetica"/>
                <w:b/>
                <w:sz w:val="20"/>
              </w:rPr>
            </w:pPr>
            <w:r>
              <w:rPr>
                <w:rFonts w:ascii="helvetica" w:hAnsi="helvetica"/>
                <w:b/>
                <w:sz w:val="20"/>
              </w:rPr>
              <w:t>Description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4" w:hanging="0"/>
              <w:jc w:val="both"/>
              <w:rPr>
                <w:rFonts w:ascii="helvetica" w:hAnsi="helvetica"/>
                <w:sz w:val="20"/>
              </w:rPr>
            </w:pPr>
            <w:r>
              <w:rPr>
                <w:rFonts w:ascii="helvetica" w:hAnsi="helvetica"/>
                <w:sz w:val="20"/>
              </w:rPr>
              <w:t>Form of Underwriting Agreement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2.1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herein by reference to Exhibit 3.1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Bylaws (incorporated herein by reference to Exhibit 3.2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Amendment to Amended and Restated Certificate of Incorporation (incorporated by reference to Exhibit 3.1 to the Company’s Quarterly Report on 10-Q filed with the Securities and Exchange Commission on May 10,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5.1**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Opinion of Morrison &amp; Foerster LLP</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Directors and Officers Indemnification Agreement (incorporated herein by reference to Exhibit 10.8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(incorporated herein by reference to Exhibit 10.11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10.5#</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10.6#**</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3 to Imprimis Pharmaceuticals, Inc. 2007 Incentive Stock and Awards Plan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10.7#</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Incentive Stock Option Agreement (incorporated herein by reference to Exhibit 10.12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10.8#</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Non-Qualified Stock Option Agreement (incorporated herein by reference to Exhibit 10.13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10.9</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10.10 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67" w:name="PGBRK123"/>
      <w:bookmarkStart w:id="1368" w:name="PGBRK123"/>
      <w:bookmarkEnd w:id="1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9" w:name="FTR122"/>
      <w:bookmarkStart w:id="1370" w:name="FTR122"/>
      <w:bookmarkEnd w:id="1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1" w:name="GLFTR121"/>
      <w:bookmarkEnd w:id="13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72" w:name="PN121"/>
      <w:bookmarkEnd w:id="1372"/>
      <w:r>
        <w:rPr>
          <w:rFonts w:ascii="helvetica" w:hAnsi="helvetica"/>
          <w:sz w:val="20"/>
        </w:rPr>
        <w:t>II-10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3" w:name="HDR121"/>
      <w:bookmarkStart w:id="1374" w:name="HDR121"/>
      <w:bookmarkEnd w:id="1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5" w:name="GLHDR119"/>
      <w:bookmarkEnd w:id="1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Note Purchase Agreement (incorporated herein by reference to Exhibit 10.1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Promissory Note (incorporated herein by reference to Exhibit 10.2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First Amendment to Securities Purchase Agreement, effective as of December 31, 2011, by and between Transdel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76" w:name="PGBRK124"/>
      <w:bookmarkStart w:id="1377" w:name="PGBRK124"/>
      <w:bookmarkEnd w:id="1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8" w:name="FTR123"/>
      <w:bookmarkStart w:id="1379" w:name="FTR123"/>
      <w:bookmarkEnd w:id="1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0" w:name="GLFTR122"/>
      <w:bookmarkEnd w:id="13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81" w:name="PN122"/>
      <w:bookmarkEnd w:id="1381"/>
      <w:r>
        <w:rPr>
          <w:rFonts w:ascii="helvetica" w:hAnsi="helvetica"/>
          <w:sz w:val="20"/>
        </w:rPr>
        <w:t>II-11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2" w:name="HDR122"/>
      <w:bookmarkStart w:id="1383" w:name="HDR122"/>
      <w:bookmarkEnd w:id="1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84" w:name="GLHDR120"/>
      <w:bookmarkEnd w:id="13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 xml:space="preserve">Amended and Restated Employment Agreement, dated July 24, 2012, by and between Imprimis Pharmaceuticals, Inc. and Mark L. Baum, Esq.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Amendment to Advisory Agreement, dated July 24, 2012, by and between Imprimis Pharmaceuticals, Inc. and Dr. Robert Kammer (incorporated by reference to Exhibit 10.4 to the Company’s Current Report on 8-K filed with the Securities and Exchange Commission on July 24,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Termination Agreement, effective as of May 9, 2012, by and between Imprimis Pharmaceuticals, Inc. and Paul Finnegan, M.D.</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Conversion Agreement, dated June 29, 2012, by and between Imprimis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10.40#**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Stand-alone Restricted Stock Unit Agreement, dated July 18, 2012, granted by Imprimis Pharmaceuticals, Inc. to Mark L. Baum</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283"/>
              <w:jc w:val="both"/>
              <w:rPr>
                <w:rFonts w:ascii="helvetica" w:hAnsi="helvetica"/>
                <w:sz w:val="20"/>
              </w:rPr>
            </w:pPr>
            <w:r>
              <w:rPr>
                <w:rFonts w:ascii="helvetica" w:hAnsi="helvetica"/>
                <w:sz w:val="20"/>
              </w:rPr>
              <w:t>10.41#**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Stand-alone Restricted Stock Unit Agreement, dated July 18, 2012, granted by Imprimis Pharmaceuticals, Inc. to Robert J. Kammer</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bl>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283"/>
              <w:jc w:val="left"/>
              <w:rPr>
                <w:rFonts w:ascii="helvetica" w:hAnsi="helvetica"/>
                <w:sz w:val="20"/>
              </w:rPr>
            </w:pPr>
            <w:r>
              <w:rPr>
                <w:rFonts w:ascii="helvetica" w:hAnsi="helvetica"/>
                <w:sz w:val="20"/>
              </w:rPr>
              <w:t>10.42</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License Agreement, dated as of August 30, 2012, by and between Imprimis Pharmaceuticals, Inc. and Professional Compounding Centers of America, Inc. (incorporated herein by reference to Exhibit 10.1 to the Current Report on Form 8-K of Imprimis Pharmaceuticals, Inc. filed with the Securities and Exchange Commission on August 31, 2012)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283"/>
              <w:jc w:val="left"/>
              <w:rPr>
                <w:rFonts w:ascii="helvetica" w:hAnsi="helvetica"/>
                <w:sz w:val="20"/>
              </w:rPr>
            </w:pPr>
            <w:r>
              <w:rPr>
                <w:rFonts w:ascii="helvetica" w:hAnsi="helvetica"/>
                <w:sz w:val="20"/>
              </w:rPr>
              <w:t>10.43</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Stock Purchase Agreement, dated as of August 30, 2012, by and between Imprimis Pharmaceuticals, Inc. and Professional Compounding Centers of America, Inc. (incorporated herein by reference to Exhibit 10.2 to the Current Report on Form 8-K of Imprimis Pharmaceuticals, Inc. filed with the Securities and Exchange Commission on August 31, 2012)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283"/>
              <w:jc w:val="left"/>
              <w:rPr>
                <w:rFonts w:ascii="helvetica" w:hAnsi="helvetica"/>
                <w:sz w:val="20"/>
              </w:rPr>
            </w:pPr>
            <w:r>
              <w:rPr>
                <w:rFonts w:ascii="helvetica" w:hAnsi="helvetica"/>
                <w:sz w:val="20"/>
              </w:rPr>
              <w:t>10.44**</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Form of Underwriter’s Warrant</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23.1*</w:t>
            </w:r>
          </w:p>
        </w:tc>
        <w:tc>
          <w:tcPr>
            <w:tcW w:w="203" w:type="dxa"/>
            <w:tcBorders/>
            <w:shd w:fill="CCEEFF" w:val="clear"/>
          </w:tcPr>
          <w:p>
            <w:pPr>
              <w:pStyle w:val="TableContents"/>
              <w:spacing w:before="0" w:after="283"/>
              <w:jc w:val="both"/>
              <w:rPr/>
            </w:pPr>
            <w:r>
              <w:rPr/>
              <w:t> </w:t>
            </w:r>
          </w:p>
        </w:tc>
        <w:tc>
          <w:tcPr>
            <w:tcW w:w="9187"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Consent of KMJ Corbin &amp; Company LLP</w:t>
            </w:r>
          </w:p>
        </w:tc>
      </w:tr>
      <w:tr>
        <w:trPr/>
        <w:tc>
          <w:tcPr>
            <w:tcW w:w="815"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7" w:type="dxa"/>
            <w:tcBorders/>
            <w:shd w:fill="FFFFFF" w:val="clear"/>
          </w:tcPr>
          <w:p>
            <w:pPr>
              <w:pStyle w:val="TableContents"/>
              <w:spacing w:before="0" w:after="283"/>
              <w:jc w:val="both"/>
              <w:rPr/>
            </w:pPr>
            <w:r>
              <w:rPr/>
              <w:t> </w:t>
            </w:r>
          </w:p>
        </w:tc>
      </w:tr>
      <w:tr>
        <w:trPr/>
        <w:tc>
          <w:tcPr>
            <w:tcW w:w="815" w:type="dxa"/>
            <w:tcBorders/>
            <w:shd w:fill="CCEEFF" w:val="clear"/>
          </w:tcPr>
          <w:p>
            <w:pPr>
              <w:pStyle w:val="TableContents"/>
              <w:spacing w:before="0" w:after="0"/>
              <w:ind w:left="720" w:right="0" w:hanging="720"/>
              <w:jc w:val="both"/>
              <w:rPr>
                <w:rFonts w:ascii="helvetica" w:hAnsi="helvetica"/>
                <w:sz w:val="20"/>
              </w:rPr>
            </w:pPr>
            <w:r>
              <w:rPr>
                <w:rFonts w:ascii="helvetica" w:hAnsi="helvetica"/>
                <w:sz w:val="20"/>
              </w:rPr>
              <w:t>23.2**</w:t>
            </w:r>
          </w:p>
        </w:tc>
        <w:tc>
          <w:tcPr>
            <w:tcW w:w="203" w:type="dxa"/>
            <w:tcBorders/>
            <w:shd w:fill="CCEEFF" w:val="clear"/>
          </w:tcPr>
          <w:p>
            <w:pPr>
              <w:pStyle w:val="TableContents"/>
              <w:spacing w:before="0" w:after="283"/>
              <w:ind w:left="0" w:right="0" w:hanging="0"/>
              <w:jc w:val="both"/>
              <w:rPr/>
            </w:pPr>
            <w:r>
              <w:rPr/>
              <w:t> </w:t>
            </w:r>
          </w:p>
        </w:tc>
        <w:tc>
          <w:tcPr>
            <w:tcW w:w="9187"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Consent of Morrison &amp; Foerster LLP (contained in Exhibit 5.1)</w:t>
            </w:r>
          </w:p>
        </w:tc>
      </w:tr>
      <w:tr>
        <w:trPr/>
        <w:tc>
          <w:tcPr>
            <w:tcW w:w="815"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ind w:left="0" w:right="0" w:hanging="0"/>
              <w:jc w:val="both"/>
              <w:rPr/>
            </w:pPr>
            <w:r>
              <w:rPr/>
              <w:t> </w:t>
            </w:r>
          </w:p>
        </w:tc>
        <w:tc>
          <w:tcPr>
            <w:tcW w:w="9187" w:type="dxa"/>
            <w:tcBorders/>
            <w:shd w:fill="FFFFFF" w:val="clear"/>
          </w:tcPr>
          <w:p>
            <w:pPr>
              <w:pStyle w:val="TableContents"/>
              <w:spacing w:before="0" w:after="283"/>
              <w:ind w:left="0" w:right="0" w:hanging="0"/>
              <w:jc w:val="both"/>
              <w:rPr/>
            </w:pPr>
            <w:r>
              <w:rPr/>
              <w:t> </w:t>
            </w:r>
          </w:p>
        </w:tc>
      </w:tr>
      <w:tr>
        <w:trPr/>
        <w:tc>
          <w:tcPr>
            <w:tcW w:w="815"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24.1**</w:t>
            </w:r>
          </w:p>
        </w:tc>
        <w:tc>
          <w:tcPr>
            <w:tcW w:w="203" w:type="dxa"/>
            <w:tcBorders/>
            <w:shd w:fill="CCEEFF" w:val="clear"/>
          </w:tcPr>
          <w:p>
            <w:pPr>
              <w:pStyle w:val="TableContents"/>
              <w:spacing w:before="0" w:after="283"/>
              <w:ind w:left="0" w:right="0" w:hanging="0"/>
              <w:jc w:val="both"/>
              <w:rPr/>
            </w:pPr>
            <w:r>
              <w:rPr/>
              <w:t> </w:t>
            </w:r>
          </w:p>
        </w:tc>
        <w:tc>
          <w:tcPr>
            <w:tcW w:w="9187"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Power of Attorney (contained on the signature page)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101.INS++**</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Instant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101.SCH++**</w:t>
            </w:r>
          </w:p>
        </w:tc>
        <w:tc>
          <w:tcPr>
            <w:tcW w:w="203" w:type="dxa"/>
            <w:tcBorders/>
            <w:shd w:fill="CCEEFF" w:val="clear"/>
            <w:vAlign w:val="bottom"/>
          </w:tcPr>
          <w:p>
            <w:pPr>
              <w:pStyle w:val="TableContents"/>
              <w:spacing w:before="0" w:after="283"/>
              <w:ind w:left="0" w:right="0" w:hanging="0"/>
              <w:jc w:val="left"/>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Schema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101.CAL++**</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Calculation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101.DEF++**</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Definition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101.LAB++**</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Label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101.PRE++**</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10002"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Filed herewith.</w:t>
            </w:r>
          </w:p>
        </w:tc>
      </w:tr>
      <w:tr>
        <w:trPr/>
        <w:tc>
          <w:tcPr>
            <w:tcW w:w="203"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10002"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Management contract or compensatory plan or arrangement.</w:t>
            </w:r>
          </w:p>
        </w:tc>
      </w:tr>
      <w:tr>
        <w:trPr/>
        <w:tc>
          <w:tcPr>
            <w:tcW w:w="203"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10002" w:type="dxa"/>
            <w:tcBorders/>
            <w:shd w:fill="auto" w:val="clear"/>
          </w:tcPr>
          <w:p>
            <w:pPr>
              <w:pStyle w:val="TableContents"/>
              <w:spacing w:before="0" w:after="0"/>
              <w:ind w:left="180" w:right="0" w:hanging="0"/>
              <w:jc w:val="both"/>
              <w:rPr>
                <w:rFonts w:ascii="helvetica" w:hAnsi="helvetica"/>
                <w:sz w:val="20"/>
              </w:rPr>
            </w:pPr>
            <w:r>
              <w:rPr>
                <w:rFonts w:ascii="helvetica" w:hAnsi="helvetica"/>
                <w:sz w:val="20"/>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tc>
      </w:tr>
      <w:tr>
        <w:trPr/>
        <w:tc>
          <w:tcPr>
            <w:tcW w:w="203" w:type="dxa"/>
            <w:tcBorders/>
            <w:shd w:fill="auto" w:val="clear"/>
          </w:tcPr>
          <w:p>
            <w:pPr>
              <w:pStyle w:val="TableContents"/>
              <w:spacing w:before="0" w:after="283"/>
              <w:jc w:val="left"/>
              <w:rPr>
                <w:rFonts w:ascii="helvetica" w:hAnsi="helvetica"/>
                <w:sz w:val="20"/>
              </w:rPr>
            </w:pPr>
            <w:r>
              <w:rPr>
                <w:rFonts w:ascii="helvetica" w:hAnsi="helvetica"/>
                <w:sz w:val="20"/>
              </w:rPr>
              <w:t xml:space="preserve">** </w:t>
            </w:r>
          </w:p>
        </w:tc>
        <w:tc>
          <w:tcPr>
            <w:tcW w:w="10002" w:type="dxa"/>
            <w:tcBorders/>
            <w:shd w:fill="auto" w:val="clear"/>
          </w:tcPr>
          <w:p>
            <w:pPr>
              <w:pStyle w:val="TableContents"/>
              <w:spacing w:before="0" w:after="283"/>
              <w:jc w:val="both"/>
              <w:rPr/>
            </w:pPr>
            <w:r>
              <w:rPr/>
              <w:t>   </w:t>
            </w:r>
            <w:r>
              <w:rPr>
                <w:rFonts w:ascii="helvetica" w:hAnsi="helvetica"/>
                <w:sz w:val="20"/>
              </w:rPr>
              <w:t>Previously filed.</w:t>
            </w:r>
          </w:p>
        </w:tc>
      </w:tr>
    </w:tbl>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bookmarkStart w:id="1385" w:name="PGBRK125"/>
      <w:bookmarkEnd w:id="1385"/>
      <w:r>
        <w:rPr/>
        <w:t xml:space="preserve">  </w:t>
      </w:r>
    </w:p>
    <w:p>
      <w:pPr>
        <w:pStyle w:val="TextBody"/>
        <w:spacing w:before="0" w:after="0"/>
        <w:jc w:val="center"/>
        <w:rPr/>
      </w:pPr>
      <w:r>
        <w:rPr/>
        <w:t xml:space="preserve">II-12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2340" w:right="0" w:hanging="0"/>
        <w:jc w:val="right"/>
        <w:rPr>
          <w:rFonts w:ascii="Times New Roman" w:hAnsi="Times New Roman"/>
          <w:b/>
          <w:sz w:val="20"/>
        </w:rPr>
      </w:pPr>
      <w:bookmarkStart w:id="1386" w:name="immy_ex231.htm"/>
      <w:bookmarkStart w:id="1387" w:name="ksimmy_ex231"/>
      <w:bookmarkEnd w:id="1386"/>
      <w:bookmarkEnd w:id="1387"/>
      <w:r>
        <w:rPr>
          <w:rFonts w:ascii="Times New Roman" w:hAnsi="Times New Roman"/>
          <w:b/>
          <w:sz w:val="20"/>
        </w:rPr>
        <w:t>EXHIBIT 23.1</w:t>
      </w:r>
    </w:p>
    <w:p>
      <w:pPr>
        <w:pStyle w:val="TextBody"/>
        <w:spacing w:before="0" w:after="0"/>
        <w:ind w:left="0" w:right="0" w:hanging="0"/>
        <w:rPr/>
      </w:pPr>
      <w:r>
        <w:rPr/>
      </w:r>
    </w:p>
    <w:p>
      <w:pPr>
        <w:pStyle w:val="TextBody"/>
        <w:spacing w:before="0" w:after="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consent to the use in this Amendment No.  5 to Registration Statement (No. 333-182846) on Form S-1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relating to the substantial doubt about the Company’s ability to continue as a going concern) appearing in the Prospectus, which is part of this Registration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consent to the reference to us under the heading “Experts” in such Prospectus.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KMJ Corbin &amp; Company LLP</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Costa Mesa, California</w:t>
      </w:r>
    </w:p>
    <w:p>
      <w:pPr>
        <w:pStyle w:val="TextBody"/>
        <w:spacing w:before="0" w:after="0"/>
        <w:ind w:left="0" w:right="0" w:hanging="0"/>
        <w:jc w:val="left"/>
        <w:rPr/>
      </w:pPr>
      <w:r>
        <w:rPr>
          <w:rFonts w:ascii="times new roman" w:hAnsi="times new roman"/>
          <w:sz w:val="20"/>
        </w:rPr>
        <w:t>February 4, 2013</w:t>
      </w:r>
      <w:r>
        <w:rPr/>
        <w:t xml:space="preserve"> </w:t>
      </w:r>
    </w:p>
    <w:p>
      <w:pPr>
        <w:pStyle w:val="TextBody"/>
        <w:spacing w:before="0" w:after="283"/>
        <w:ind w:left="0" w:right="0" w:hanging="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wingdings">
    <w:charset w:val="00"/>
    <w:family w:val="auto"/>
    <w:pitch w:val="default"/>
  </w:font>
  <w:font w:name="times new roman">
    <w:charset w:val="00"/>
    <w:family w:val="auto"/>
    <w:pitch w:val="default"/>
  </w:font>
  <w:font w:name="Helvetica">
    <w:altName w:val="Arial"/>
    <w:charset w:val="00"/>
    <w:family w:val="auto"/>
    <w:pitch w:val="default"/>
  </w:font>
  <w:font w:name="effontselectio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81759</Words>
  <CharactersWithSpaces>529358</CharactersWithSpaces>
  <Paragraphs>13651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