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306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June 21,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3"/>
      <w:bookmarkEnd w:id="4"/>
      <w:r>
        <w:rPr>
          <w:rFonts w:ascii="Times New Roman;Times;Serif" w:hAnsi="Times New Roman;Times;Serif"/>
          <w:b/>
          <w:i w:val="false"/>
          <w:caps w:val="false"/>
          <w:smallCaps w:val="false"/>
          <w:sz w:val="36"/>
        </w:rPr>
        <w:t>HARROW HEALTH,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30621"/>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102 Woodmont Blvd., </w:t>
            </w:r>
            <w:bookmarkStart w:id="9" w:name="xdx_907_edei--EntityAddressAddressLine2_"/>
            <w:bookmarkEnd w:id="9"/>
            <w:r>
              <w:rPr>
                <w:rFonts w:ascii="Times New Roman;Times;Serif" w:hAnsi="Times New Roman;Times;Serif"/>
                <w:b/>
                <w:i w:val="false"/>
                <w:caps w:val="false"/>
                <w:smallCaps w:val="false"/>
                <w:sz w:val="20"/>
              </w:rPr>
              <w:t>Suite 610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Nashville, </w:t>
            </w:r>
            <w:bookmarkStart w:id="11" w:name="xdx_908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8_edei--EntityAddressPostalZipCode"/>
            <w:bookmarkEnd w:id="12"/>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7_edei--CityAreaCode_c20230621__20"/>
      <w:bookmarkEnd w:id="13"/>
      <w:r>
        <w:rPr>
          <w:rFonts w:ascii="Times New Roman;Times;Serif" w:hAnsi="Times New Roman;Times;Serif"/>
          <w:b/>
          <w:i w:val="false"/>
          <w:caps w:val="false"/>
          <w:smallCaps w:val="false"/>
          <w:sz w:val="20"/>
        </w:rPr>
        <w:t xml:space="preserve">(615) </w:t>
      </w:r>
      <w:bookmarkStart w:id="14" w:name="xdx_90B_edei--LocalPhoneNumber_c20230621"/>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F_edei--EntityInformationFormerLeg"/>
      <w:bookmarkEnd w:id="15"/>
      <w:r>
        <w:rPr>
          <w:rFonts w:ascii="Times New Roman;Times;Serif" w:hAnsi="Times New Roman;Times;Serif"/>
          <w:b/>
          <w:i w:val="false"/>
          <w:caps w:val="false"/>
          <w:smallCaps w:val="false"/>
          <w:sz w:val="20"/>
        </w:rPr>
        <w:t>Not Applicable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340" w:type="dxa"/>
        <w:jc w:val="left"/>
        <w:tblInd w:w="0" w:type="dxa"/>
        <w:tblLayout w:type="fixed"/>
        <w:tblCellMar>
          <w:top w:w="0" w:type="dxa"/>
          <w:left w:w="0" w:type="dxa"/>
          <w:bottom w:w="28" w:type="dxa"/>
          <w:right w:w="0" w:type="dxa"/>
        </w:tblCellMar>
      </w:tblPr>
      <w:tblGrid>
        <w:gridCol w:w="3515"/>
        <w:gridCol w:w="60"/>
        <w:gridCol w:w="1535"/>
        <w:gridCol w:w="60"/>
        <w:gridCol w:w="317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7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E_edei--Security12bTitle_c20230621"/>
            <w:bookmarkEnd w:id="16"/>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E_edei--TradingSymbol_c20230621__2"/>
            <w:bookmarkEnd w:id="17"/>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ExchangeName_c2023"/>
            <w:bookmarkEnd w:id="18"/>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30621"/>
            <w:bookmarkEnd w:id="19"/>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30621__2"/>
            <w:bookmarkEnd w:id="20"/>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Security12bTitle_c20230621"/>
            <w:bookmarkEnd w:id="22"/>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2_edei--TradingSymbol_c20230621__2"/>
            <w:bookmarkEnd w:id="23"/>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5" w:name="xdx_90A_edei--WrittenCommunications_c202"/>
            <w:bookmarkEnd w:id="2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9_edei--SolicitingMaterial_c202306"/>
            <w:bookmarkEnd w:id="2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0_edei--PreCommencementTenderOffer"/>
            <w:bookmarkEnd w:id="2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8" w:name="xdx_90A_edei--PreCommencementIssuerTende"/>
            <w:bookmarkEnd w:id="2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9" w:name="xdx_90B_edei--EntityEmergingGrowthCompan"/>
      <w:bookmarkEnd w:id="29"/>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2023, the Company held its 2023 Annual Meeting of Stockholders (the “Annual Meeting”). The number of shares of common stock entitled to vote at the Annual Meeting was 30,121,997. The number of shares of common stock present or represented by valid proxy at the Annual Meeting was 25,589,386. All matters submitted to a binding vote of stockholders at the Annual Meeting were approved. The number of votes cast for and against, and the number of abstentions and broker non-votes with respect to the matters voted upon at the Annual Meeting, are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voted to elect to the Board of Directors the five (5) director nominees named in the Company’s proxy statement to serve until the 2024 annual meeting of stockholders or until their successors are duly elected and qualified. The results of the voting were:</w:t>
      </w:r>
    </w:p>
    <w:p>
      <w:pPr>
        <w:pStyle w:val="TextBody"/>
        <w:bidi w:val="0"/>
        <w:spacing w:before="0" w:after="0"/>
        <w:ind w:left="0" w:right="0" w:firstLine="720"/>
        <w:jc w:val="both"/>
        <w:rPr>
          <w:caps w:val="false"/>
          <w:smallCaps w:val="false"/>
        </w:rPr>
      </w:pPr>
      <w:r>
        <w:rPr>
          <w:caps w:val="false"/>
          <w:smallCaps w:val="false"/>
        </w:rPr>
        <w:t> </w:t>
      </w:r>
    </w:p>
    <w:tbl>
      <w:tblPr>
        <w:tblW w:w="6829" w:type="dxa"/>
        <w:jc w:val="left"/>
        <w:tblInd w:w="0" w:type="dxa"/>
        <w:tblLayout w:type="fixed"/>
        <w:tblCellMar>
          <w:top w:w="0" w:type="dxa"/>
          <w:left w:w="0" w:type="dxa"/>
          <w:bottom w:w="28" w:type="dxa"/>
          <w:right w:w="0" w:type="dxa"/>
        </w:tblCellMar>
      </w:tblPr>
      <w:tblGrid>
        <w:gridCol w:w="2450"/>
        <w:gridCol w:w="60"/>
        <w:gridCol w:w="60"/>
        <w:gridCol w:w="1100"/>
        <w:gridCol w:w="60"/>
        <w:gridCol w:w="60"/>
        <w:gridCol w:w="60"/>
        <w:gridCol w:w="980"/>
        <w:gridCol w:w="60"/>
        <w:gridCol w:w="60"/>
        <w:gridCol w:w="104"/>
        <w:gridCol w:w="1700"/>
        <w:gridCol w:w="75"/>
      </w:tblGrid>
      <w:tr>
        <w:trPr/>
        <w:tc>
          <w:tcPr>
            <w:tcW w:w="2450" w:type="dxa"/>
            <w:tcBorders>
              <w:bottom w:val="single" w:sz="12" w:space="0" w:color="000000"/>
            </w:tcBorders>
            <w:vAlign w:val="center"/>
          </w:tcPr>
          <w:p>
            <w:pPr>
              <w:pStyle w:val="TableContents"/>
              <w:bidi w:val="0"/>
              <w:spacing w:before="0" w:after="283"/>
              <w:jc w:val="center"/>
              <w:rPr>
                <w:b/>
              </w:rPr>
            </w:pPr>
            <w:r>
              <w:rPr>
                <w:b/>
              </w:rPr>
              <w:t>Directors</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12" w:space="0" w:color="000000"/>
            </w:tcBorders>
            <w:vAlign w:val="center"/>
          </w:tcPr>
          <w:p>
            <w:pPr>
              <w:pStyle w:val="TableContents"/>
              <w:bidi w:val="0"/>
              <w:spacing w:before="0" w:after="283"/>
              <w:jc w:val="center"/>
              <w:rPr>
                <w:b/>
              </w:rPr>
            </w:pPr>
            <w:r>
              <w:rPr>
                <w:b/>
              </w:rPr>
              <w:t>Broker Non-Vote</w:t>
            </w:r>
          </w:p>
        </w:tc>
        <w:tc>
          <w:tcPr>
            <w:tcW w:w="75"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283"/>
              <w:jc w:val="both"/>
              <w:rPr>
                <w:b/>
              </w:rPr>
            </w:pPr>
            <w:r>
              <w:rPr>
                <w:b/>
              </w:rPr>
              <w:t>Mark L. Baum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b/>
              </w:rPr>
            </w:pPr>
            <w:r>
              <w:rPr>
                <w:b/>
              </w:rPr>
              <w:t>20,771,801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80" w:type="dxa"/>
            <w:tcBorders/>
            <w:shd w:fill="CCEEFF" w:val="clear"/>
            <w:tcMar>
              <w:bottom w:w="0" w:type="dxa"/>
            </w:tcMar>
            <w:vAlign w:val="center"/>
          </w:tcPr>
          <w:p>
            <w:pPr>
              <w:pStyle w:val="TableContents"/>
              <w:bidi w:val="0"/>
              <w:spacing w:before="0" w:after="283"/>
              <w:jc w:val="center"/>
              <w:rPr>
                <w:b/>
              </w:rPr>
            </w:pPr>
            <w:r>
              <w:rPr>
                <w:b/>
              </w:rPr>
              <w:t>99,638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b/>
              </w:rPr>
            </w:pPr>
            <w:r>
              <w:rPr>
                <w:b/>
              </w:rPr>
              <w:t>4,717,947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50" w:type="dxa"/>
            <w:tcBorders/>
            <w:shd w:fill="FFFFFF" w:val="clear"/>
            <w:tcMar>
              <w:bottom w:w="0" w:type="dxa"/>
            </w:tcMar>
            <w:vAlign w:val="center"/>
          </w:tcPr>
          <w:p>
            <w:pPr>
              <w:pStyle w:val="TableContents"/>
              <w:bidi w:val="0"/>
              <w:spacing w:before="0" w:after="283"/>
              <w:jc w:val="both"/>
              <w:rPr>
                <w:b/>
              </w:rPr>
            </w:pPr>
            <w:r>
              <w:rPr>
                <w:b/>
              </w:rPr>
              <w:t>Martin A. Makary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283"/>
              <w:jc w:val="center"/>
              <w:rPr>
                <w:b/>
              </w:rPr>
            </w:pPr>
            <w:r>
              <w:rPr>
                <w:b/>
              </w:rPr>
              <w:t>20,768,755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80" w:type="dxa"/>
            <w:tcBorders/>
            <w:shd w:fill="FFFFFF" w:val="clear"/>
            <w:tcMar>
              <w:bottom w:w="0" w:type="dxa"/>
            </w:tcMar>
            <w:vAlign w:val="center"/>
          </w:tcPr>
          <w:p>
            <w:pPr>
              <w:pStyle w:val="TableContents"/>
              <w:bidi w:val="0"/>
              <w:spacing w:before="0" w:after="283"/>
              <w:jc w:val="center"/>
              <w:rPr>
                <w:b/>
              </w:rPr>
            </w:pPr>
            <w:r>
              <w:rPr>
                <w:b/>
              </w:rPr>
              <w:t>102,684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b/>
              </w:rPr>
            </w:pPr>
            <w:r>
              <w:rPr>
                <w:b/>
              </w:rPr>
              <w:t>4,717,947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283"/>
              <w:jc w:val="both"/>
              <w:rPr>
                <w:b/>
              </w:rPr>
            </w:pPr>
            <w:r>
              <w:rPr>
                <w:b/>
              </w:rPr>
              <w:t>Teresa F. Sparks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b/>
              </w:rPr>
            </w:pPr>
            <w:r>
              <w:rPr>
                <w:b/>
              </w:rPr>
              <w:t>12,184,918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80" w:type="dxa"/>
            <w:tcBorders/>
            <w:shd w:fill="CCEEFF" w:val="clear"/>
            <w:tcMar>
              <w:bottom w:w="0" w:type="dxa"/>
            </w:tcMar>
            <w:vAlign w:val="center"/>
          </w:tcPr>
          <w:p>
            <w:pPr>
              <w:pStyle w:val="TableContents"/>
              <w:bidi w:val="0"/>
              <w:spacing w:before="0" w:after="283"/>
              <w:jc w:val="center"/>
              <w:rPr>
                <w:b/>
              </w:rPr>
            </w:pPr>
            <w:r>
              <w:rPr>
                <w:b/>
              </w:rPr>
              <w:t>8,686,521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b/>
              </w:rPr>
            </w:pPr>
            <w:r>
              <w:rPr>
                <w:b/>
              </w:rPr>
              <w:t>4,717,947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50" w:type="dxa"/>
            <w:tcBorders/>
            <w:shd w:fill="FFFFFF" w:val="clear"/>
            <w:tcMar>
              <w:bottom w:w="0" w:type="dxa"/>
            </w:tcMar>
            <w:vAlign w:val="center"/>
          </w:tcPr>
          <w:p>
            <w:pPr>
              <w:pStyle w:val="TableContents"/>
              <w:bidi w:val="0"/>
              <w:spacing w:before="0" w:after="283"/>
              <w:jc w:val="both"/>
              <w:rPr>
                <w:b/>
              </w:rPr>
            </w:pPr>
            <w:r>
              <w:rPr>
                <w:b/>
              </w:rPr>
              <w:t>Perry J. Sternberg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283"/>
              <w:jc w:val="center"/>
              <w:rPr>
                <w:b/>
              </w:rPr>
            </w:pPr>
            <w:r>
              <w:rPr>
                <w:b/>
              </w:rPr>
              <w:t>20,759,602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80" w:type="dxa"/>
            <w:tcBorders/>
            <w:shd w:fill="FFFFFF" w:val="clear"/>
            <w:tcMar>
              <w:bottom w:w="0" w:type="dxa"/>
            </w:tcMar>
            <w:vAlign w:val="center"/>
          </w:tcPr>
          <w:p>
            <w:pPr>
              <w:pStyle w:val="TableContents"/>
              <w:bidi w:val="0"/>
              <w:spacing w:before="0" w:after="283"/>
              <w:jc w:val="center"/>
              <w:rPr>
                <w:b/>
              </w:rPr>
            </w:pPr>
            <w:r>
              <w:rPr>
                <w:b/>
              </w:rPr>
              <w:t>111,837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b/>
              </w:rPr>
            </w:pPr>
            <w:r>
              <w:rPr>
                <w:b/>
              </w:rPr>
              <w:t>4,717,947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283"/>
              <w:jc w:val="both"/>
              <w:rPr>
                <w:b/>
              </w:rPr>
            </w:pPr>
            <w:r>
              <w:rPr>
                <w:b/>
              </w:rPr>
              <w:t>R. Lawrence Van Horn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b/>
              </w:rPr>
            </w:pPr>
            <w:r>
              <w:rPr>
                <w:b/>
              </w:rPr>
              <w:t>11,916,986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80" w:type="dxa"/>
            <w:tcBorders/>
            <w:shd w:fill="CCEEFF" w:val="clear"/>
            <w:tcMar>
              <w:bottom w:w="0" w:type="dxa"/>
            </w:tcMar>
            <w:vAlign w:val="center"/>
          </w:tcPr>
          <w:p>
            <w:pPr>
              <w:pStyle w:val="TableContents"/>
              <w:bidi w:val="0"/>
              <w:spacing w:before="0" w:after="283"/>
              <w:jc w:val="center"/>
              <w:rPr>
                <w:b/>
              </w:rPr>
            </w:pPr>
            <w:r>
              <w:rPr>
                <w:b/>
              </w:rPr>
              <w:t>8,954,453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b/>
              </w:rPr>
            </w:pPr>
            <w:r>
              <w:rPr>
                <w:b/>
              </w:rPr>
              <w:t>4,717,947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2: Ratification of Auditors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ratified the selection of KMJ Corbin and Company, LLP as the Company’s independent registered public accounting firm for the fiscal year ending December 31, 2023. The results of the voting were:</w:t>
      </w:r>
    </w:p>
    <w:p>
      <w:pPr>
        <w:pStyle w:val="TextBody"/>
        <w:bidi w:val="0"/>
        <w:spacing w:before="0" w:after="0"/>
        <w:ind w:left="0" w:right="0" w:firstLine="720"/>
        <w:jc w:val="both"/>
        <w:rPr>
          <w:caps w:val="false"/>
          <w:smallCaps w:val="false"/>
        </w:rPr>
      </w:pPr>
      <w:r>
        <w:rPr>
          <w:caps w:val="false"/>
          <w:smallCaps w:val="false"/>
        </w:rPr>
        <w:t> </w:t>
      </w:r>
    </w:p>
    <w:tbl>
      <w:tblPr>
        <w:tblW w:w="5029" w:type="dxa"/>
        <w:jc w:val="left"/>
        <w:tblInd w:w="0" w:type="dxa"/>
        <w:tblLayout w:type="fixed"/>
        <w:tblCellMar>
          <w:top w:w="0" w:type="dxa"/>
          <w:left w:w="0" w:type="dxa"/>
          <w:bottom w:w="28" w:type="dxa"/>
          <w:right w:w="0" w:type="dxa"/>
        </w:tblCellMar>
      </w:tblPr>
      <w:tblGrid>
        <w:gridCol w:w="1115"/>
        <w:gridCol w:w="60"/>
        <w:gridCol w:w="60"/>
        <w:gridCol w:w="60"/>
        <w:gridCol w:w="800"/>
        <w:gridCol w:w="60"/>
        <w:gridCol w:w="60"/>
        <w:gridCol w:w="66"/>
        <w:gridCol w:w="749"/>
        <w:gridCol w:w="60"/>
        <w:gridCol w:w="60"/>
        <w:gridCol w:w="696"/>
        <w:gridCol w:w="1108"/>
        <w:gridCol w:w="75"/>
      </w:tblGrid>
      <w:tr>
        <w:trPr/>
        <w:tc>
          <w:tcPr>
            <w:tcW w:w="111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04" w:type="dxa"/>
            <w:gridSpan w:val="2"/>
            <w:tcBorders>
              <w:bottom w:val="single" w:sz="12" w:space="0" w:color="000000"/>
            </w:tcBorders>
            <w:vAlign w:val="center"/>
          </w:tcPr>
          <w:p>
            <w:pPr>
              <w:pStyle w:val="TableContents"/>
              <w:bidi w:val="0"/>
              <w:spacing w:before="0" w:after="283"/>
              <w:jc w:val="center"/>
              <w:rPr>
                <w:b/>
              </w:rPr>
            </w:pPr>
            <w:r>
              <w:rPr>
                <w:b/>
              </w:rPr>
              <w:t>Broker Non-Vote</w:t>
            </w:r>
          </w:p>
        </w:tc>
        <w:tc>
          <w:tcPr>
            <w:tcW w:w="75" w:type="dxa"/>
            <w:tcBorders/>
            <w:tcMar>
              <w:bottom w:w="0" w:type="dxa"/>
            </w:tcMar>
            <w:vAlign w:val="center"/>
          </w:tcPr>
          <w:p>
            <w:pPr>
              <w:pStyle w:val="TableContents"/>
              <w:bidi w:val="0"/>
              <w:spacing w:before="0" w:after="283"/>
              <w:jc w:val="center"/>
              <w:rPr/>
            </w:pPr>
            <w:r>
              <w:rPr/>
              <w:t> </w:t>
            </w:r>
          </w:p>
        </w:tc>
      </w:tr>
      <w:tr>
        <w:trPr/>
        <w:tc>
          <w:tcPr>
            <w:tcW w:w="1115" w:type="dxa"/>
            <w:tcBorders/>
            <w:shd w:fill="CCEEFF" w:val="clear"/>
            <w:tcMar>
              <w:bottom w:w="0" w:type="dxa"/>
            </w:tcMar>
            <w:vAlign w:val="center"/>
          </w:tcPr>
          <w:p>
            <w:pPr>
              <w:pStyle w:val="TableContents"/>
              <w:bidi w:val="0"/>
              <w:spacing w:before="0" w:after="283"/>
              <w:jc w:val="center"/>
              <w:rPr>
                <w:b/>
              </w:rPr>
            </w:pPr>
            <w:r>
              <w:rPr>
                <w:b/>
              </w:rPr>
              <w:t>25,350,360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b/>
              </w:rPr>
            </w:pPr>
            <w:r>
              <w:rPr>
                <w:b/>
              </w:rPr>
              <w:t>210,383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 w:type="dxa"/>
            <w:tcBorders/>
            <w:shd w:fill="CCEEFF" w:val="clear"/>
            <w:tcMar>
              <w:bottom w:w="0" w:type="dxa"/>
            </w:tcMar>
            <w:vAlign w:val="center"/>
          </w:tcPr>
          <w:p>
            <w:pPr>
              <w:pStyle w:val="TableContents"/>
              <w:bidi w:val="0"/>
              <w:spacing w:before="0" w:after="283"/>
              <w:jc w:val="center"/>
              <w:rPr/>
            </w:pPr>
            <w:r>
              <w:rPr/>
              <w:t> </w:t>
            </w:r>
          </w:p>
        </w:tc>
        <w:tc>
          <w:tcPr>
            <w:tcW w:w="749" w:type="dxa"/>
            <w:tcBorders/>
            <w:shd w:fill="CCEEFF" w:val="clear"/>
            <w:tcMar>
              <w:bottom w:w="0" w:type="dxa"/>
            </w:tcMar>
            <w:vAlign w:val="center"/>
          </w:tcPr>
          <w:p>
            <w:pPr>
              <w:pStyle w:val="TableContents"/>
              <w:bidi w:val="0"/>
              <w:spacing w:before="0" w:after="283"/>
              <w:jc w:val="center"/>
              <w:rPr>
                <w:b/>
              </w:rPr>
            </w:pPr>
            <w:r>
              <w:rPr>
                <w:b/>
              </w:rPr>
              <w:t>28,643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6" w:type="dxa"/>
            <w:tcBorders/>
            <w:shd w:fill="CCEEFF" w:val="clear"/>
            <w:tcMar>
              <w:bottom w:w="0" w:type="dxa"/>
            </w:tcMar>
            <w:vAlign w:val="center"/>
          </w:tcPr>
          <w:p>
            <w:pPr>
              <w:pStyle w:val="TableContents"/>
              <w:bidi w:val="0"/>
              <w:spacing w:before="0" w:after="283"/>
              <w:jc w:val="center"/>
              <w:rPr/>
            </w:pPr>
            <w:r>
              <w:rPr/>
              <w:t> </w:t>
            </w:r>
          </w:p>
        </w:tc>
        <w:tc>
          <w:tcPr>
            <w:tcW w:w="1108" w:type="dxa"/>
            <w:tcBorders/>
            <w:shd w:fill="CCEEFF" w:val="clear"/>
            <w:tcMar>
              <w:bottom w:w="0" w:type="dxa"/>
            </w:tcMar>
            <w:vAlign w:val="center"/>
          </w:tcPr>
          <w:p>
            <w:pPr>
              <w:pStyle w:val="TableContents"/>
              <w:bidi w:val="0"/>
              <w:spacing w:before="0" w:after="283"/>
              <w:jc w:val="center"/>
              <w:rPr>
                <w:b/>
              </w:rPr>
            </w:pPr>
            <w:r>
              <w:rPr>
                <w:b/>
              </w:rPr>
              <w:t>-</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3: To approve on an advisory basis, the compensation of the Company’s named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approved, on an advisory basis, the compensation of the Company’s named executive officers. The results of the voting were:</w:t>
      </w:r>
    </w:p>
    <w:p>
      <w:pPr>
        <w:pStyle w:val="TextBody"/>
        <w:bidi w:val="0"/>
        <w:spacing w:before="0" w:after="0"/>
        <w:ind w:left="0" w:right="0" w:firstLine="720"/>
        <w:jc w:val="both"/>
        <w:rPr>
          <w:caps w:val="false"/>
          <w:smallCaps w:val="false"/>
        </w:rPr>
      </w:pPr>
      <w:r>
        <w:rPr>
          <w:caps w:val="false"/>
          <w:smallCaps w:val="false"/>
        </w:rPr>
        <w:t> </w:t>
      </w:r>
    </w:p>
    <w:tbl>
      <w:tblPr>
        <w:tblW w:w="5074" w:type="dxa"/>
        <w:jc w:val="left"/>
        <w:tblInd w:w="0" w:type="dxa"/>
        <w:tblLayout w:type="fixed"/>
        <w:tblCellMar>
          <w:top w:w="0" w:type="dxa"/>
          <w:left w:w="0" w:type="dxa"/>
          <w:bottom w:w="28" w:type="dxa"/>
          <w:right w:w="0" w:type="dxa"/>
        </w:tblCellMar>
      </w:tblPr>
      <w:tblGrid>
        <w:gridCol w:w="1115"/>
        <w:gridCol w:w="60"/>
        <w:gridCol w:w="60"/>
        <w:gridCol w:w="60"/>
        <w:gridCol w:w="800"/>
        <w:gridCol w:w="60"/>
        <w:gridCol w:w="60"/>
        <w:gridCol w:w="60"/>
        <w:gridCol w:w="800"/>
        <w:gridCol w:w="60"/>
        <w:gridCol w:w="60"/>
        <w:gridCol w:w="104"/>
        <w:gridCol w:w="1700"/>
        <w:gridCol w:w="75"/>
      </w:tblGrid>
      <w:tr>
        <w:trPr/>
        <w:tc>
          <w:tcPr>
            <w:tcW w:w="111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04" w:type="dxa"/>
            <w:gridSpan w:val="2"/>
            <w:tcBorders>
              <w:bottom w:val="single" w:sz="12" w:space="0" w:color="000000"/>
            </w:tcBorders>
            <w:vAlign w:val="center"/>
          </w:tcPr>
          <w:p>
            <w:pPr>
              <w:pStyle w:val="TableContents"/>
              <w:bidi w:val="0"/>
              <w:spacing w:before="0" w:after="283"/>
              <w:jc w:val="center"/>
              <w:rPr>
                <w:b/>
              </w:rPr>
            </w:pPr>
            <w:r>
              <w:rPr>
                <w:b/>
              </w:rPr>
              <w:t>Broker Non-Vote</w:t>
            </w:r>
          </w:p>
        </w:tc>
        <w:tc>
          <w:tcPr>
            <w:tcW w:w="75" w:type="dxa"/>
            <w:tcBorders/>
            <w:tcMar>
              <w:bottom w:w="0" w:type="dxa"/>
            </w:tcMar>
            <w:vAlign w:val="center"/>
          </w:tcPr>
          <w:p>
            <w:pPr>
              <w:pStyle w:val="TableContents"/>
              <w:bidi w:val="0"/>
              <w:spacing w:before="0" w:after="283"/>
              <w:jc w:val="center"/>
              <w:rPr/>
            </w:pPr>
            <w:r>
              <w:rPr/>
              <w:t> </w:t>
            </w:r>
          </w:p>
        </w:tc>
      </w:tr>
      <w:tr>
        <w:trPr/>
        <w:tc>
          <w:tcPr>
            <w:tcW w:w="1115" w:type="dxa"/>
            <w:tcBorders/>
            <w:shd w:fill="CCEEFF" w:val="clear"/>
            <w:tcMar>
              <w:bottom w:w="0" w:type="dxa"/>
            </w:tcMar>
            <w:vAlign w:val="center"/>
          </w:tcPr>
          <w:p>
            <w:pPr>
              <w:pStyle w:val="TableContents"/>
              <w:bidi w:val="0"/>
              <w:spacing w:before="0" w:after="283"/>
              <w:jc w:val="center"/>
              <w:rPr>
                <w:b/>
              </w:rPr>
            </w:pPr>
            <w:r>
              <w:rPr>
                <w:b/>
              </w:rPr>
              <w:t>19,733,427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b/>
              </w:rPr>
            </w:pPr>
            <w:r>
              <w:rPr>
                <w:b/>
              </w:rPr>
              <w:t>849,799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b/>
              </w:rPr>
            </w:pPr>
            <w:r>
              <w:rPr>
                <w:b/>
              </w:rPr>
              <w:t>288,213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4"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b/>
              </w:rPr>
            </w:pPr>
            <w:r>
              <w:rPr>
                <w:b/>
              </w:rPr>
              <w:t>4,717,947</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059" w:type="dxa"/>
        <w:jc w:val="left"/>
        <w:tblInd w:w="0" w:type="dxa"/>
        <w:tblLayout w:type="fixed"/>
        <w:tblCellMar>
          <w:top w:w="0" w:type="dxa"/>
          <w:left w:w="0" w:type="dxa"/>
          <w:bottom w:w="0" w:type="dxa"/>
          <w:right w:w="0" w:type="dxa"/>
        </w:tblCellMar>
      </w:tblPr>
      <w:tblGrid>
        <w:gridCol w:w="1760"/>
        <w:gridCol w:w="371"/>
        <w:gridCol w:w="1928"/>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2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23</w:t>
            </w:r>
            <w:r>
              <w:rPr>
                <w:rFonts w:ascii="Times New Roman;Times;Serif" w:hAnsi="Times New Roman;Times;Serif"/>
                <w:b w:val="false"/>
                <w:i w:val="false"/>
                <w:caps w:val="false"/>
                <w:smallCaps w:val="false"/>
                <w:sz w:val="20"/>
                <w:shd w:fill="FFFFFF" w:val="clear"/>
              </w:rPr>
              <w:t>, 2023</w:t>
            </w:r>
          </w:p>
        </w:tc>
        <w:tc>
          <w:tcPr>
            <w:tcW w:w="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2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71"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3529</Characters>
  <CharactersWithSpaces>4231</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