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333-218308</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June 16,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Up to $10,000,000</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33" w:lineRule="exact"/>
        <w:rPr>
          <w:sz w:val="24"/>
          <w:szCs w:val="24"/>
          <w:color w:val="auto"/>
        </w:rPr>
      </w:pPr>
    </w:p>
    <w:p>
      <w:pPr>
        <w:jc w:val="both"/>
        <w:ind w:firstLine="648"/>
        <w:spacing w:after="0" w:line="242" w:lineRule="auto"/>
        <w:rPr>
          <w:sz w:val="20"/>
          <w:szCs w:val="20"/>
          <w:color w:val="auto"/>
        </w:rPr>
      </w:pPr>
      <w:r>
        <w:rPr>
          <w:rFonts w:ascii="Arial" w:cs="Arial" w:eastAsia="Arial" w:hAnsi="Arial"/>
          <w:sz w:val="17"/>
          <w:szCs w:val="17"/>
          <w:color w:val="auto"/>
        </w:rPr>
        <w:t>In November 2015,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“Sales Agreement”) with Cantor Fitzgerald &amp; Co. (“Cantor Fitzgerald”) relating to the shares of our common stock offered by this prospectus supplement. This prospectus supplement updates and replaces in its entirety our prospectus supplement dated March 11, 2016 (Registration No. 333-198675), which updated and replaced in its entirety our prospectus supplement dated November 27, 2015 (Registration No. 333-198675), which also related to the Sales Agreement.</w:t>
      </w:r>
    </w:p>
    <w:p>
      <w:pPr>
        <w:spacing w:after="0" w:line="201"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Sales Agreement and this prospectus supplement, we may offer and sell shares of our common stock having an aggregate offering price of up to $10,000,000 from time to time through Cantor Fitzgerald, acting as sales agent (which amount excludes shares we have already sold pursuant to the Sales Agreement). As of the date of this prospectus supplement, we have sold an aggregate of 129,463 shares of our common stock pursuant to the Sales Agreement for gross proceeds of approximately $0.8 million and net proceeds, after deducting commission fees and other offering expenses payable by us, of approximately $0.6 million.</w:t>
      </w:r>
    </w:p>
    <w:p>
      <w:pPr>
        <w:spacing w:after="0" w:line="188"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common stock is listed on the NASDAQ Capital Market under the symbol “IMMY.” On August 24, 2017, the last reported sales price of our common stock on the NASDAQ Capital Market was $2.03 per share. Based on 20,065,415 shares of outstanding common stock as of August 24, 2017, of which 18,289,681 were held by non-affiliates as of such date, and a per share price of $3.37 as of June 26, 2017, the last reported sales price of our common stock on the NASDAQ Capital Market on such date, the aggregate market value of our outstanding common stock held by non-affiliates is approximately $61,636,225. The aggregate amount of all securities we have offered and sold and continue to offer for sale pursuant to General Instruction I.B.6 of Form S-3 during the twelve calendar month period that ends on, and includes, the date of this prospectus supplement is $9,200,000, inclusive of the shares offered hereby.</w:t>
      </w:r>
    </w:p>
    <w:p>
      <w:pPr>
        <w:spacing w:after="0" w:line="189"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6"/>
          <w:szCs w:val="16"/>
          <w:color w:val="auto"/>
        </w:rPr>
        <w:t>Sales of our common stock, if any, under this prospectus supplement and the accompanying prospectus may be made in sales deemed to be an “at the market offering” as defined in Rule 415(a)(4) promulgated under the Securities Act of 1933, as amended (the “Securities Act”), including sales made directly on or through the NASDAQ Capital Market or any other the existing trading market for our common stock. Cantor Fitzgerald is not required to sell any specific number or dollar amount of securities, but will act as a sales agent using commercially reasonable efforts to sell on our behalf all of the shares of common stock requested to be sold by us, consistent with its normal trading and sales practices, on mutually agreed terms between Cantor Fitzgerald and us as set forth in the Sales Agreement. There is no arrangement for funds to be received in any escrow, trust or similar arrangement.</w:t>
      </w:r>
    </w:p>
    <w:p>
      <w:pPr>
        <w:spacing w:after="0" w:line="165"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Cantor Fitzgerald will be entitled to compensation under the terms of the Sales Agreement at a fixed commission rate of 3.0% of the aggregate gross sales price per share sold. In connection with the sale of our common stock on our behalf, Cantor Fitzgerald will be deemed to be an “underwriter” within the meaning of the Securities Act and the compensation of Cantor Fitzgerald will be deemed to be underwriting commissions or discounts.</w:t>
      </w:r>
    </w:p>
    <w:p>
      <w:pPr>
        <w:spacing w:after="0" w:line="162"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 investment decision, you should carefully review and consider all of the information set forth in this prospectus supplement, the accompanying prospectus and the documents incorporated by reference herein and therein, including the risks and uncertainties described under “Risk Factors” beginning on page S-3 of this prospectus supplement and the risk factors incorporated by reference into this prospectus supplement and the accompanying prospectus.</w:t>
      </w:r>
    </w:p>
    <w:p>
      <w:pPr>
        <w:spacing w:after="0" w:line="165"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-13335</wp:posOffset>
            </wp:positionV>
            <wp:extent cx="2204085"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04085"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60" w:type="dxa"/>
            <w:vAlign w:val="bottom"/>
            <w:gridSpan w:val="3"/>
          </w:tcPr>
          <w:p>
            <w:pPr>
              <w:ind w:left="9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780" w:type="dxa"/>
            <w:vAlign w:val="bottom"/>
            <w:gridSpan w:val="19"/>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6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760" w:type="dxa"/>
            <w:vAlign w:val="bottom"/>
            <w:gridSpan w:val="18"/>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S-i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tcBorders>
              <w:top w:val="single" w:sz="8" w:color="0000EE"/>
            </w:tcBorders>
            <w:gridSpan w:val="13"/>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PROSPECTUS SUPPLEMENT SUMMARY</w:t>
              </w:r>
            </w:hyperlink>
          </w:p>
        </w:tc>
        <w:tc>
          <w:tcPr>
            <w:tcW w:w="734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RISK FACTORS</w:t>
              </w:r>
            </w:hyperlink>
          </w:p>
        </w:tc>
        <w:tc>
          <w:tcPr>
            <w:tcW w:w="95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DILUTION</w:t>
              </w:r>
            </w:hyperlink>
          </w:p>
        </w:tc>
        <w:tc>
          <w:tcPr>
            <w:tcW w:w="920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5"/>
              </w:rPr>
              <w:t>S-6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PLAN OF DISTRIBUTION</w:t>
              </w:r>
            </w:hyperlink>
          </w:p>
        </w:tc>
        <w:tc>
          <w:tcPr>
            <w:tcW w:w="872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LEGAL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EXPERTS</w:t>
              </w:r>
            </w:hyperlink>
          </w:p>
        </w:tc>
        <w:tc>
          <w:tcPr>
            <w:tcW w:w="100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INCORPORATION OF CERTAIN DOCUMENTS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780" w:type="dxa"/>
            <w:vAlign w:val="bottom"/>
            <w:gridSpan w:val="19"/>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6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PROSPECTUS SUMMARY</w:t>
              </w:r>
            </w:hyperlink>
          </w:p>
        </w:tc>
        <w:tc>
          <w:tcPr>
            <w:tcW w:w="8640" w:type="dxa"/>
            <w:vAlign w:val="bottom"/>
            <w:tcBorders>
              <w:bottom w:val="single" w:sz="8" w:color="CCEEFF"/>
            </w:tcBorders>
            <w:gridSpan w:val="9"/>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FORWARD-LOOKING STATEMENTS</w:t>
              </w:r>
            </w:hyperlink>
          </w:p>
        </w:tc>
        <w:tc>
          <w:tcPr>
            <w:tcW w:w="784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DILUTION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DIVIDEND POLICY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DESCRIPTION OF CAPITAL STOCK</w:t>
              </w:r>
            </w:hyperlink>
          </w:p>
        </w:tc>
        <w:tc>
          <w:tcPr>
            <w:tcW w:w="79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THE DEPOSITARY SHARES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WARRANTS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UNITS</w:t>
              </w:r>
            </w:hyperlink>
          </w:p>
        </w:tc>
        <w:tc>
          <w:tcPr>
            <w:tcW w:w="790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PLAN OF DISTRIBUTION</w:t>
              </w:r>
            </w:hyperlink>
          </w:p>
        </w:tc>
        <w:tc>
          <w:tcPr>
            <w:tcW w:w="736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932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572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supplement and the accompanying base prospectus is part of a registration statement that we filed with the Securities and Exchange Commission (the “SEC”) utilizing a “shelf” registration process. Each time we conduct an offering to sell securities under the accompanying base prospectus we will provide a prospectus supplement that will contain specific information about the terms of that offering, including the price, the amount of securities being offered and the plan of distribution. The shelf registration statement was initially filed with the SEC on March 26, 2017, and was declared effective by the SEC on June 16, 2017. This prospectus supplement, which updates and replaces in its entirety our prospectus supplement dated March 11, 2016 (Registration No. 333-198675), which updated and replaced in its entirety our prospectus supplement dated November 27, 2015 (Registration No. 333-198675), describes the specific details regarding this offering and may add, update or change information contained in the accompanying base prospectus. The accompanying base prospectus provides general information about us and our securities, some of which, such as the section entitled “Plan of Distribution,” may not apply to this offering. This prospectus supplement and the accompanying base prospectus are an offer to sell only the securities offered hereby, but only under circumstances and in jurisdictions where it is lawful to do so. We are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If information in this prospectus supplement is inconsistent with the accompanying base prospectus or the information incorporated by reference with an earlier date, you should rely on this prospectus supplement. This prospectus supplement, together with the base prospectus, the documents incorporated by reference into this prospectus supplement and the accompanying base prospectus and any free writing prospectus we have authorized for use in connection with this offering include all material information relating to this offering. We have not, and Cantor Fitzgerald has not, authorized anyone to provide you with different or additional information and you must not rely on any unauthorized information or representations. You should assume that the information appearing in this prospectus supplement, the accompanying base prospectus, the documents incorporated by reference in this prospectus supplement and the accompanying base prospectus and any free writing prospectus we have authorized for use in connection with this offering is accurate only as of the respective dates of those documents, regardless of the time of delivery of this prospectus supplement, the accompanying base prospectus or any free writing prospectus or the time of any sale of a security. Our business, financial condition, results of operations and prospects may have changed since those dates. </w:t>
      </w:r>
      <w:r>
        <w:rPr>
          <w:rFonts w:ascii="Arial" w:cs="Arial" w:eastAsia="Arial" w:hAnsi="Arial"/>
          <w:sz w:val="16"/>
          <w:szCs w:val="16"/>
          <w:b w:val="1"/>
          <w:bCs w:val="1"/>
          <w:color w:val="auto"/>
        </w:rPr>
        <w:t>You should carefully read this prospectus supplement, the accompanying base prospectus and the information and documents</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incorporated herein by reference herein and therein, as well as any free writing prospectus we have authorized for use in connection with this offering, before making an investment decision. See “Incorporation of Certain Documents by Reference” and “Where You Can Find More Information” in this prospectus supplement and in the accompanying base prospectus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and the accompanying base prospectus contain and incorporate by reference certain market data and industry statistics and forecasts that are based on Company-sponsored studies, independent industry publications and other publicly available information. Although we believe these sources are reliable, we do not guarantee the accuracy or completeness of this information and we have not verified any of this data. Further, many of these statements involve risks and uncertainties and are subject to change based on various factors, including those discussed under “Risk Factors” in this prospectus supplement and the accompanying base prospectus and under similar headings in the documents incorporated by reference herein and therein. Accordingly, investors should not place undue reliance on this information.</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Unless otherwise stated or the context requires otherwise, all references in this prospectus supplement to the “Company,” “we,” “us,” “our” and “Imprimis” refer to Imprimis Pharmaceuticals, Inc., a Delaware corporation, and its consolidated subsidiaries. We have registered trademarks, copyrights</w:t>
      </w:r>
    </w:p>
    <w:p>
      <w:pPr>
        <w:jc w:val="both"/>
        <w:spacing w:after="0" w:line="206" w:lineRule="auto"/>
        <w:rPr>
          <w:sz w:val="20"/>
          <w:szCs w:val="20"/>
          <w:color w:val="auto"/>
        </w:rPr>
      </w:pPr>
      <w:r>
        <w:rPr>
          <w:rFonts w:ascii="Arial" w:cs="Arial" w:eastAsia="Arial" w:hAnsi="Arial"/>
          <w:sz w:val="16"/>
          <w:szCs w:val="16"/>
          <w:color w:val="auto"/>
        </w:rPr>
        <w:t>and/or pending trademark and copyright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w:t>
      </w:r>
      <w:r>
        <w:rPr>
          <w:rFonts w:ascii="Arial" w:cs="Arial" w:eastAsia="Arial" w:hAnsi="Arial"/>
          <w:sz w:val="26"/>
          <w:szCs w:val="26"/>
          <w:color w:val="auto"/>
          <w:vertAlign w:val="superscript"/>
        </w:rPr>
        <w:t>®</w:t>
      </w:r>
      <w:r>
        <w:rPr>
          <w:rFonts w:ascii="Arial" w:cs="Arial" w:eastAsia="Arial" w:hAnsi="Arial"/>
          <w:sz w:val="16"/>
          <w:szCs w:val="16"/>
          <w:color w:val="auto"/>
        </w:rPr>
        <w:t>, Imprimis Cares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Imprimis Cares! </w:t>
      </w:r>
      <w:r>
        <w:rPr>
          <w:rFonts w:ascii="Arial" w:cs="Arial" w:eastAsia="Arial" w:hAnsi="Arial"/>
          <w:sz w:val="26"/>
          <w:szCs w:val="26"/>
          <w:color w:val="auto"/>
          <w:vertAlign w:val="superscript"/>
        </w:rPr>
        <w:t>®</w:t>
      </w:r>
      <w:r>
        <w:rPr>
          <w:rFonts w:ascii="Arial" w:cs="Arial" w:eastAsia="Arial" w:hAnsi="Arial"/>
          <w:sz w:val="16"/>
          <w:szCs w:val="16"/>
          <w:color w:val="auto"/>
        </w:rPr>
        <w:t>, SSP Technology</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Go Dropless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Go Dropless! </w:t>
      </w:r>
      <w:r>
        <w:rPr>
          <w:rFonts w:ascii="Arial" w:cs="Arial" w:eastAsia="Arial" w:hAnsi="Arial"/>
          <w:sz w:val="26"/>
          <w:szCs w:val="26"/>
          <w:color w:val="auto"/>
          <w:vertAlign w:val="superscript"/>
        </w:rPr>
        <w:t>®</w:t>
      </w:r>
      <w:r>
        <w:rPr>
          <w:rFonts w:ascii="Arial" w:cs="Arial" w:eastAsia="Arial" w:hAnsi="Arial"/>
          <w:sz w:val="16"/>
          <w:szCs w:val="16"/>
          <w:color w:val="auto"/>
        </w:rPr>
        <w:t>, GoDropless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Dropless Therapy</w:t>
      </w:r>
      <w:r>
        <w:rPr>
          <w:rFonts w:ascii="Arial" w:cs="Arial" w:eastAsia="Arial" w:hAnsi="Arial"/>
          <w:sz w:val="26"/>
          <w:szCs w:val="26"/>
          <w:color w:val="auto"/>
          <w:vertAlign w:val="superscript"/>
        </w:rPr>
        <w:t>®</w:t>
      </w:r>
      <w:r>
        <w:rPr>
          <w:rFonts w:ascii="Arial" w:cs="Arial" w:eastAsia="Arial" w:hAnsi="Arial"/>
          <w:sz w:val="16"/>
          <w:szCs w:val="16"/>
          <w:color w:val="auto"/>
        </w:rPr>
        <w:t>, Tri-Moxi</w:t>
      </w:r>
      <w:r>
        <w:rPr>
          <w:rFonts w:ascii="Arial" w:cs="Arial" w:eastAsia="Arial" w:hAnsi="Arial"/>
          <w:sz w:val="26"/>
          <w:szCs w:val="26"/>
          <w:color w:val="auto"/>
          <w:vertAlign w:val="superscript"/>
        </w:rPr>
        <w:t>®</w:t>
      </w:r>
      <w:r>
        <w:rPr>
          <w:rFonts w:ascii="Arial" w:cs="Arial" w:eastAsia="Arial" w:hAnsi="Arial"/>
          <w:sz w:val="16"/>
          <w:szCs w:val="16"/>
          <w:color w:val="auto"/>
        </w:rPr>
        <w:t>, Pred-Moxi</w:t>
      </w:r>
      <w:r>
        <w:rPr>
          <w:rFonts w:ascii="Arial" w:cs="Arial" w:eastAsia="Arial" w:hAnsi="Arial"/>
          <w:sz w:val="26"/>
          <w:szCs w:val="26"/>
          <w:color w:val="auto"/>
          <w:vertAlign w:val="superscript"/>
        </w:rPr>
        <w:t>®</w:t>
      </w:r>
      <w:r>
        <w:rPr>
          <w:rFonts w:ascii="Arial" w:cs="Arial" w:eastAsia="Arial" w:hAnsi="Arial"/>
          <w:sz w:val="16"/>
          <w:szCs w:val="16"/>
          <w:color w:val="auto"/>
        </w:rPr>
        <w:t>, HLA</w:t>
      </w:r>
      <w:r>
        <w:rPr>
          <w:rFonts w:ascii="Arial" w:cs="Arial" w:eastAsia="Arial" w:hAnsi="Arial"/>
          <w:sz w:val="26"/>
          <w:szCs w:val="26"/>
          <w:color w:val="auto"/>
          <w:vertAlign w:val="superscript"/>
        </w:rPr>
        <w:t>®</w:t>
      </w:r>
      <w:r>
        <w:rPr>
          <w:rFonts w:ascii="Arial" w:cs="Arial" w:eastAsia="Arial" w:hAnsi="Arial"/>
          <w:sz w:val="16"/>
          <w:szCs w:val="16"/>
          <w:color w:val="auto"/>
        </w:rPr>
        <w:t>, Triple Drop</w:t>
      </w:r>
      <w:r>
        <w:rPr>
          <w:rFonts w:ascii="Arial" w:cs="Arial" w:eastAsia="Arial" w:hAnsi="Arial"/>
          <w:sz w:val="26"/>
          <w:szCs w:val="26"/>
          <w:color w:val="auto"/>
          <w:vertAlign w:val="superscript"/>
        </w:rPr>
        <w:t>®</w:t>
      </w:r>
      <w:r>
        <w:rPr>
          <w:rFonts w:ascii="Arial" w:cs="Arial" w:eastAsia="Arial" w:hAnsi="Arial"/>
          <w:sz w:val="16"/>
          <w:szCs w:val="16"/>
          <w:color w:val="auto"/>
        </w:rPr>
        <w:t>, ED Free</w:t>
      </w:r>
      <w:r>
        <w:rPr>
          <w:rFonts w:ascii="Arial" w:cs="Arial" w:eastAsia="Arial" w:hAnsi="Arial"/>
          <w:sz w:val="26"/>
          <w:szCs w:val="26"/>
          <w:color w:val="auto"/>
          <w:vertAlign w:val="superscript"/>
        </w:rPr>
        <w:t>®</w:t>
      </w:r>
      <w:r>
        <w:rPr>
          <w:rFonts w:ascii="Arial" w:cs="Arial" w:eastAsia="Arial" w:hAnsi="Arial"/>
          <w:sz w:val="16"/>
          <w:szCs w:val="16"/>
          <w:color w:val="auto"/>
        </w:rPr>
        <w:t>, Defeat IC</w:t>
      </w:r>
      <w:r>
        <w:rPr>
          <w:rFonts w:ascii="Arial" w:cs="Arial" w:eastAsia="Arial" w:hAnsi="Arial"/>
          <w:sz w:val="26"/>
          <w:szCs w:val="26"/>
          <w:color w:val="auto"/>
          <w:vertAlign w:val="superscript"/>
        </w:rPr>
        <w:t>©</w:t>
      </w:r>
      <w:r>
        <w:rPr>
          <w:rFonts w:ascii="Arial" w:cs="Arial" w:eastAsia="Arial" w:hAnsi="Arial"/>
          <w:sz w:val="16"/>
          <w:szCs w:val="16"/>
          <w:color w:val="auto"/>
        </w:rPr>
        <w:t>, Say Goodbye</w:t>
      </w:r>
      <w:r>
        <w:rPr>
          <w:rFonts w:ascii="Arial" w:cs="Arial" w:eastAsia="Arial" w:hAnsi="Arial"/>
          <w:sz w:val="26"/>
          <w:szCs w:val="26"/>
          <w:color w:val="auto"/>
          <w:vertAlign w:val="superscript"/>
        </w:rPr>
        <w:t>©</w:t>
      </w:r>
      <w:r>
        <w:rPr>
          <w:rFonts w:ascii="Arial" w:cs="Arial" w:eastAsia="Arial" w:hAnsi="Arial"/>
          <w:sz w:val="16"/>
          <w:szCs w:val="16"/>
          <w:color w:val="auto"/>
        </w:rPr>
        <w:t>, PPS-DR</w:t>
      </w:r>
      <w:r>
        <w:rPr>
          <w:rFonts w:ascii="Arial" w:cs="Arial" w:eastAsia="Arial" w:hAnsi="Arial"/>
          <w:sz w:val="26"/>
          <w:szCs w:val="26"/>
          <w:color w:val="auto"/>
          <w:vertAlign w:val="superscript"/>
        </w:rPr>
        <w:t>®</w:t>
      </w:r>
      <w:r>
        <w:rPr>
          <w:rFonts w:ascii="Arial" w:cs="Arial" w:eastAsia="Arial" w:hAnsi="Arial"/>
          <w:sz w:val="16"/>
          <w:szCs w:val="16"/>
          <w:color w:val="auto"/>
        </w:rPr>
        <w:t>, Stericheck™, Pred-Moxi-Ketor™, Pred-Moxi-Brom™, Pred-Ketor</w:t>
      </w:r>
      <w:r>
        <w:rPr>
          <w:rFonts w:ascii="Arial" w:cs="Arial" w:eastAsia="Arial" w:hAnsi="Arial"/>
          <w:sz w:val="26"/>
          <w:szCs w:val="26"/>
          <w:color w:val="auto"/>
          <w:vertAlign w:val="superscript"/>
        </w:rPr>
        <w:t>®</w:t>
      </w:r>
      <w:r>
        <w:rPr>
          <w:rFonts w:ascii="Arial" w:cs="Arial" w:eastAsia="Arial" w:hAnsi="Arial"/>
          <w:sz w:val="16"/>
          <w:szCs w:val="16"/>
          <w:color w:val="auto"/>
        </w:rPr>
        <w:t>, Dex-Moxi</w:t>
      </w:r>
      <w:r>
        <w:rPr>
          <w:rFonts w:ascii="Arial" w:cs="Arial" w:eastAsia="Arial" w:hAnsi="Arial"/>
          <w:sz w:val="26"/>
          <w:szCs w:val="26"/>
          <w:color w:val="auto"/>
          <w:vertAlign w:val="superscript"/>
        </w:rPr>
        <w:t>®</w:t>
      </w:r>
      <w:r>
        <w:rPr>
          <w:rFonts w:ascii="Arial" w:cs="Arial" w:eastAsia="Arial" w:hAnsi="Arial"/>
          <w:sz w:val="16"/>
          <w:szCs w:val="16"/>
          <w:color w:val="auto"/>
        </w:rPr>
        <w:t>, Combination Drop Therapy™, Compounded Alternative™, Compounded Choice™, Custom Compounding™, Custom Compounding Choice</w:t>
      </w:r>
      <w:r>
        <w:rPr>
          <w:rFonts w:ascii="Arial" w:cs="Arial" w:eastAsia="Arial" w:hAnsi="Arial"/>
          <w:sz w:val="26"/>
          <w:szCs w:val="26"/>
          <w:color w:val="auto"/>
          <w:vertAlign w:val="superscript"/>
        </w:rPr>
        <w:t>TM</w:t>
      </w:r>
      <w:r>
        <w:rPr>
          <w:rFonts w:ascii="Arial" w:cs="Arial" w:eastAsia="Arial" w:hAnsi="Arial"/>
          <w:sz w:val="16"/>
          <w:szCs w:val="16"/>
          <w:color w:val="auto"/>
        </w:rPr>
        <w:t>, Pred-Gati™, Pred-Gati-Nepaf™, Pred-Nepaf™, Correct Compound™, Making Drugs Affordable Again™, Superbundle™, People-Focused™, MKO Melt™, IV Free™, Imprimis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(logo), Imprimis LessDrops</w:t>
      </w:r>
      <w:r>
        <w:rPr>
          <w:rFonts w:ascii="Arial" w:cs="Arial" w:eastAsia="Arial" w:hAnsi="Arial"/>
          <w:sz w:val="26"/>
          <w:szCs w:val="26"/>
          <w:color w:val="auto"/>
          <w:vertAlign w:val="superscript"/>
        </w:rPr>
        <w:t>®</w:t>
      </w:r>
      <w:r>
        <w:rPr>
          <w:rFonts w:ascii="Arial" w:cs="Arial" w:eastAsia="Arial" w:hAnsi="Arial"/>
          <w:sz w:val="16"/>
          <w:szCs w:val="16"/>
          <w:color w:val="auto"/>
        </w:rPr>
        <w:t>, Imprimis Dropless Cataract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Surgery</w:t>
      </w:r>
      <w:r>
        <w:rPr>
          <w:rFonts w:ascii="Arial" w:cs="Arial" w:eastAsia="Arial" w:hAnsi="Arial"/>
          <w:sz w:val="28"/>
          <w:szCs w:val="28"/>
          <w:color w:val="auto"/>
          <w:vertAlign w:val="superscript"/>
        </w:rPr>
        <w:t>®</w:t>
      </w:r>
      <w:r>
        <w:rPr>
          <w:rFonts w:ascii="Arial" w:cs="Arial" w:eastAsia="Arial" w:hAnsi="Arial"/>
          <w:sz w:val="17"/>
          <w:szCs w:val="17"/>
          <w:color w:val="auto"/>
        </w:rPr>
        <w:t>, Pred-Gati™, Pred-Gati-Nepaf™, Pred-Nepaf™, Pred-Gati-Brom™, Pred-Gati-Ketor™, Dex-Moxi-Ketor™, Moxi™, Dex-Gati™, Correct Compound™, Lat™, Lat-Ds™, Tim-Lat™, Tim-Dor-Lat™, Tim-Brim-Dor™, Tim-Brim-Dor-Lat™, Pred-Levo-Ketor™, Pred-Levo-Brom™, Pred-Levo-Nepaf™, Tri-Moxi-Vanc™, Smartdrops™, Smarteyedrops™, Serum Tears™, Plasma Tears™, PRP Tears™, Omegadoxy™, Double Drop™, Quad Drop™, Lower Drops™, Simple Drops™, and Glaucoma Care™. All other trademarks, service marks and trade names included or incorporated by reference into this prospectus supplement and the accompanying base prospectus, are the property of their respective owners.</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01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2175" cy="801370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This prospectus summary highlights information contained elsewhere in this prospectus supplement, the accompanying base prospectus and the documents incorporated by reference herein and therein. This summary does not contain all of the information that you should consider before deciding to invest in our securities. You should read this entire prospectus supplement and the accompanying base prospectus carefully, including the section entitled “Risk Factors” beginning on page S-3 and our consolidated financial statements and the related notes and the other information incorporated by reference into this prospectus supplement and the accompanying base prospectus, before making an investment decision.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specializing in the development, production and sale of innovative medications that offer unique competitive advantages and serve unmet needs in the marketplace. We are committed to our mission, vision and values to deliver high-quality novel medications to physicians and patients at affordable prices.</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ophthalmology offerings address three of the largest markets in the space, cataract surgery, glaucoma and dry eye disease. Our objective is to partner with ophthalmic professionals to address their patients’ pharmaceutical needs. The cornerstone of our ophthalmology program consists of our proprietary Dropless Therapy® injectable and LessDrops® topical formulations that compete in the multi-billion dollar U.S. eye drop market. These formulations have been uniquely designed to address patient compliance issues and provide other compelling medical and economic benefits. We also offer a conscious sedation medication, the IV Free MKO Melt®, a proprietary alternative to intravenous sedation. The MKO Melt is administered sublingually to sedate patients undergoing ocular and other surgeries. During 2017, we launched programs with innovative medications used for glaucoma and chronic dry eye disease (DED). Our Simple DropsTM campaign includes a series of preservative-free eye drops and combination eye drops for glaucoma patients. Within our DED platform, we have a portfolio of formulations that we began to roll out in the second half of 2017, including</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 patent-pending nutraceutical-antibiotic oral capsule formulation, Serum Tears</w:t>
      </w:r>
      <w:r>
        <w:rPr>
          <w:rFonts w:ascii="Arial" w:cs="Arial" w:eastAsia="Arial" w:hAnsi="Arial"/>
          <w:sz w:val="30"/>
          <w:szCs w:val="30"/>
          <w:color w:val="auto"/>
          <w:vertAlign w:val="superscript"/>
        </w:rPr>
        <w:t>TM</w:t>
      </w:r>
      <w:r>
        <w:rPr>
          <w:rFonts w:ascii="Arial" w:cs="Arial" w:eastAsia="Arial" w:hAnsi="Arial"/>
          <w:sz w:val="18"/>
          <w:szCs w:val="18"/>
          <w:color w:val="auto"/>
        </w:rPr>
        <w:t>, and Klarity</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based eye drop formulations. Our integrative medicine business includes medications used in several therapeutic areas including oncology, autoimmunity, chronic infectious diseases, and endocrine and metabolic diseases. Our urology business includes a series of injectable erectile dysfunction formulations for patients that are refractory to or are otherwise unable to take phosphodiesterase type 5 inhibitors such as sildenafil (Viagra®), tadalafil (Cialis®) and vardenafil (Levitra®). We also make and sell low-cost therapeutic alternatives to Daraprim®, Thiola®, Elmiron®, and Calcium Disodium Versenate, all FDA-approved drugs that have experienced significant price increases.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Approximately 90 percent of our revenue is derived from buy-and-bill customers as a cash pay business and as such, the majority of our commercial transactions do not involve distributors, wholesalers, insurance companies, pharmacy benefit managers or other middle parties. We do not operate using and are not dependent on discount cards, rebates, or other methods and programs that typically eliminate transparency to the consumer. By making ourselves generally independent of third party payments, we are not subject to insurance company formulary inclusion and pharmacy benefit manager payment clawbacks. In this regard, our transactions are simple, involving a patient-in-need, a physician’s diagnosis and a fair price and great service for a quality pharmaceutical product. The efficiency of our business model allows us to quickly innovate and safely deliver novel and clinically relevant products to the market with fewer complications and at lower costs for our customers than traditional pharmaceutical company competitors.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$80.4 million at June 30, 2017.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executive offices are located at 12264 El Camino Real, Suite 350, San Diego, California 92130 and our telephone number at such office is</w:t>
      </w:r>
    </w:p>
    <w:p>
      <w:pPr>
        <w:spacing w:after="0" w:line="46" w:lineRule="exact"/>
        <w:rPr>
          <w:sz w:val="20"/>
          <w:szCs w:val="20"/>
          <w:color w:val="auto"/>
        </w:rPr>
      </w:pPr>
    </w:p>
    <w:p>
      <w:pPr>
        <w:ind w:left="440" w:hanging="435"/>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704-4040. Our website address is imprimispharma.com. Information contained on our website is not deemed part of this prospectus supplement.</w:t>
      </w:r>
    </w:p>
    <w:p>
      <w:pPr>
        <w:spacing w:after="0" w:line="200" w:lineRule="exact"/>
        <w:rPr>
          <w:rFonts w:ascii="Arial" w:cs="Arial" w:eastAsia="Arial" w:hAnsi="Arial"/>
          <w:sz w:val="16"/>
          <w:szCs w:val="16"/>
          <w:color w:val="auto"/>
        </w:rPr>
      </w:pPr>
    </w:p>
    <w:p>
      <w:pPr>
        <w:spacing w:after="0" w:line="384" w:lineRule="exact"/>
        <w:rPr>
          <w:rFonts w:ascii="Arial" w:cs="Arial" w:eastAsia="Arial" w:hAnsi="Arial"/>
          <w:sz w:val="16"/>
          <w:szCs w:val="16"/>
          <w:color w:val="auto"/>
        </w:rPr>
      </w:pPr>
    </w:p>
    <w:p>
      <w:pPr>
        <w:ind w:left="5420"/>
        <w:spacing w:after="0"/>
        <w:rPr>
          <w:rFonts w:ascii="Arial" w:cs="Arial" w:eastAsia="Arial" w:hAnsi="Arial"/>
          <w:sz w:val="16"/>
          <w:szCs w:val="16"/>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647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2175" cy="6478905"/>
                    </a:xfrm>
                    <a:prstGeom prst="rect">
                      <a:avLst/>
                    </a:prstGeom>
                    <a:noFill/>
                  </pic:spPr>
                </pic:pic>
              </a:graphicData>
            </a:graphic>
          </wp:anchor>
        </w:drawing>
        <w:t>The Offering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base prospectus. For a more complete description of the terms of our common stock, see “Description of Our Capital Stock” in the accompanying base prospectus.</w:t>
      </w:r>
    </w:p>
    <w:p>
      <w:pPr>
        <w:sectPr>
          <w:pgSz w:w="11900" w:h="16838" w:orient="portrait"/>
          <w:cols w:equalWidth="0" w:num="1">
            <w:col w:w="11100"/>
          </w:cols>
          <w:pgMar w:left="400" w:top="904" w:right="399" w:bottom="1440" w:gutter="0" w:footer="0" w:header="0"/>
        </w:sectPr>
      </w:pP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of our common stock having an aggregate offering price of up to $10,000,000 of which approximately $800,000 (129,463 shares) were sold.</w:t>
      </w:r>
    </w:p>
    <w:p>
      <w:pPr>
        <w:spacing w:after="0" w:line="602" w:lineRule="exact"/>
        <w:rPr>
          <w:sz w:val="20"/>
          <w:szCs w:val="20"/>
          <w:color w:val="auto"/>
        </w:rPr>
      </w:pPr>
    </w:p>
    <w:p>
      <w:pPr>
        <w:sectPr>
          <w:pgSz w:w="11900" w:h="16838" w:orient="portrait"/>
          <w:cols w:equalWidth="0" w:num="2">
            <w:col w:w="740" w:space="400"/>
            <w:col w:w="9960"/>
          </w:cols>
          <w:pgMar w:left="400" w:top="904" w:right="399" w:bottom="1440" w:gutter="0" w:footer="0" w:header="0"/>
          <w:type w:val="continuous"/>
        </w:sectPr>
      </w:pPr>
    </w:p>
    <w:p>
      <w:pPr>
        <w:spacing w:after="0" w:line="297" w:lineRule="auto"/>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jc w:val="both"/>
        <w:spacing w:after="0" w:line="302" w:lineRule="auto"/>
        <w:rPr>
          <w:sz w:val="20"/>
          <w:szCs w:val="20"/>
          <w:color w:val="auto"/>
        </w:rPr>
      </w:pPr>
      <w:r>
        <w:rPr>
          <w:rFonts w:ascii="Arial" w:cs="Arial" w:eastAsia="Arial" w:hAnsi="Arial"/>
          <w:sz w:val="16"/>
          <w:szCs w:val="16"/>
          <w:color w:val="auto"/>
        </w:rPr>
        <w:t>Up to 24,597,435 shares of common stock (including 129,463 shares that we have sold under the Sales Agreement as of the date of this prospectus supplement for gross proceeds of $757,587), assuming sales of 4,532,020 shares of our common stock in this offering at an assumed offering price of $2.03 per share, which was the last reported sale price of our common stock on the NASDAQ Capital Market on August 24, 2017. The actual number of shares issued will vary depending on the sales prices under this offering.</w:t>
      </w:r>
    </w:p>
    <w:p>
      <w:pPr>
        <w:spacing w:after="0" w:line="370" w:lineRule="exact"/>
        <w:rPr>
          <w:sz w:val="20"/>
          <w:szCs w:val="20"/>
          <w:color w:val="auto"/>
        </w:rPr>
      </w:pPr>
    </w:p>
    <w:p>
      <w:pPr>
        <w:sectPr>
          <w:pgSz w:w="11900" w:h="16838" w:orient="portrait"/>
          <w:cols w:equalWidth="0" w:num="2">
            <w:col w:w="840" w:space="300"/>
            <w:col w:w="9960"/>
          </w:cols>
          <w:pgMar w:left="400" w:top="904" w:right="399" w:bottom="1440" w:gutter="0" w:footer="0" w:header="0"/>
          <w:type w:val="continuous"/>
        </w:sectPr>
      </w:pPr>
    </w:p>
    <w:p>
      <w:pPr>
        <w:spacing w:after="0" w:line="308" w:lineRule="auto"/>
        <w:rPr>
          <w:sz w:val="20"/>
          <w:szCs w:val="20"/>
          <w:color w:val="auto"/>
        </w:rPr>
      </w:pPr>
      <w:r>
        <w:rPr>
          <w:rFonts w:ascii="Arial" w:cs="Arial" w:eastAsia="Arial" w:hAnsi="Arial"/>
          <w:sz w:val="17"/>
          <w:szCs w:val="17"/>
          <w:color w:val="auto"/>
        </w:rPr>
        <w:t>Plan of Distribution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Cantor Fitzgerald. See “Plan of Distribution” on page S-7.</w:t>
      </w:r>
    </w:p>
    <w:p>
      <w:pPr>
        <w:spacing w:after="0" w:line="170" w:lineRule="exact"/>
        <w:rPr>
          <w:sz w:val="20"/>
          <w:szCs w:val="20"/>
          <w:color w:val="auto"/>
        </w:rPr>
      </w:pPr>
    </w:p>
    <w:p>
      <w:pPr>
        <w:sectPr>
          <w:pgSz w:w="11900" w:h="16838" w:orient="portrait"/>
          <w:cols w:equalWidth="0" w:num="2">
            <w:col w:w="880" w:space="260"/>
            <w:col w:w="9960"/>
          </w:cols>
          <w:pgMar w:left="400" w:top="904" w:right="399" w:bottom="1440" w:gutter="0" w:footer="0" w:header="0"/>
          <w:type w:val="continuous"/>
        </w:sectPr>
      </w:pPr>
    </w:p>
    <w:p>
      <w:pPr>
        <w:spacing w:after="0" w:line="381" w:lineRule="auto"/>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We expect to use the net proceeds from this offering for working capital and general corporate purposes. See “Use of Proceeds” on page S-5.</w:t>
      </w:r>
    </w:p>
    <w:p>
      <w:pPr>
        <w:spacing w:after="0" w:line="170" w:lineRule="exact"/>
        <w:rPr>
          <w:sz w:val="20"/>
          <w:szCs w:val="20"/>
          <w:color w:val="auto"/>
        </w:rPr>
      </w:pPr>
    </w:p>
    <w:p>
      <w:pPr>
        <w:sectPr>
          <w:pgSz w:w="11900" w:h="16838" w:orient="portrait"/>
          <w:cols w:equalWidth="0" w:num="2">
            <w:col w:w="660" w:space="480"/>
            <w:col w:w="9960"/>
          </w:cols>
          <w:pgMar w:left="400" w:top="904" w:right="399" w:bottom="1440" w:gutter="0" w:footer="0" w:header="0"/>
          <w:type w:val="continuous"/>
        </w:sectPr>
      </w:pPr>
    </w:p>
    <w:p>
      <w:pPr>
        <w:spacing w:after="0"/>
        <w:rPr>
          <w:sz w:val="20"/>
          <w:szCs w:val="20"/>
          <w:color w:val="auto"/>
        </w:rPr>
      </w:pPr>
      <w:r>
        <w:rPr>
          <w:rFonts w:ascii="Arial" w:cs="Arial" w:eastAsia="Arial" w:hAnsi="Arial"/>
          <w:sz w:val="18"/>
          <w:szCs w:val="18"/>
          <w:color w:val="auto"/>
        </w:rPr>
        <w:t>Risk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Factors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Investing in our common stock involves significant risks. See “Risk Factors” beginning on page S-3 and the other information included or incorporated by reference in this prospectus supplement and the accompanying base prospectus for a discussion of factors you should carefully consider before deciding to invest in our common stock.</w:t>
      </w:r>
    </w:p>
    <w:p>
      <w:pPr>
        <w:spacing w:after="0" w:line="181" w:lineRule="exact"/>
        <w:rPr>
          <w:sz w:val="20"/>
          <w:szCs w:val="20"/>
          <w:color w:val="auto"/>
        </w:rPr>
      </w:pPr>
    </w:p>
    <w:p>
      <w:pPr>
        <w:sectPr>
          <w:pgSz w:w="11900" w:h="16838" w:orient="portrait"/>
          <w:cols w:equalWidth="0" w:num="2">
            <w:col w:w="540" w:space="600"/>
            <w:col w:w="9960"/>
          </w:cols>
          <w:pgMar w:left="400" w:top="904" w:right="399" w:bottom="1440" w:gutter="0" w:footer="0" w:header="0"/>
          <w:type w:val="continuous"/>
        </w:sectPr>
      </w:pPr>
    </w:p>
    <w:p>
      <w:pPr>
        <w:spacing w:after="0" w:line="279" w:lineRule="auto"/>
        <w:rPr>
          <w:sz w:val="20"/>
          <w:szCs w:val="20"/>
          <w:color w:val="auto"/>
        </w:rPr>
      </w:pPr>
      <w:r>
        <w:rPr>
          <w:rFonts w:ascii="Arial" w:cs="Arial" w:eastAsia="Arial" w:hAnsi="Arial"/>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“IMMY”</w:t>
      </w:r>
    </w:p>
    <w:p>
      <w:pPr>
        <w:spacing w:after="0" w:line="872" w:lineRule="exact"/>
        <w:rPr>
          <w:sz w:val="20"/>
          <w:szCs w:val="20"/>
          <w:color w:val="auto"/>
        </w:rPr>
      </w:pPr>
    </w:p>
    <w:p>
      <w:pPr>
        <w:sectPr>
          <w:pgSz w:w="11900" w:h="16838" w:orient="portrait"/>
          <w:cols w:equalWidth="0" w:num="2">
            <w:col w:w="760" w:space="380"/>
            <w:col w:w="9960"/>
          </w:cols>
          <w:pgMar w:left="400" w:top="904" w:right="3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The above discussion and table are based on 20,065,415 shares of common stock issued and outstanding as of June 30, 2017 and exclude:</w:t>
      </w:r>
    </w:p>
    <w:p>
      <w:pPr>
        <w:spacing w:after="0" w:line="248" w:lineRule="exact"/>
        <w:rPr>
          <w:sz w:val="20"/>
          <w:szCs w:val="20"/>
          <w:color w:val="auto"/>
        </w:rPr>
      </w:pPr>
    </w:p>
    <w:p>
      <w:pPr>
        <w:ind w:left="1500" w:hanging="591"/>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2,299,666 shares of common stock issuable upon exercise of options outstanding as of June 30, 2017, which have a weighted average exercise price of $5.63 per share, of which 854,582 shares were exercisable as of June 30, 2017;</w:t>
      </w:r>
    </w:p>
    <w:p>
      <w:pPr>
        <w:spacing w:after="0" w:line="170" w:lineRule="exact"/>
        <w:rPr>
          <w:rFonts w:ascii="Arial" w:cs="Arial" w:eastAsia="Arial" w:hAnsi="Arial"/>
          <w:sz w:val="18"/>
          <w:szCs w:val="18"/>
          <w:color w:val="auto"/>
        </w:rPr>
      </w:pPr>
    </w:p>
    <w:p>
      <w:pPr>
        <w:ind w:left="1500" w:hanging="591"/>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1,436,013 shares of common stock issuable upon the vesting (or otherwise vested and shares not yet delivered) of restricted stock units as of June 30, 2017;</w:t>
      </w:r>
    </w:p>
    <w:p>
      <w:pPr>
        <w:spacing w:after="0" w:line="170" w:lineRule="exact"/>
        <w:rPr>
          <w:rFonts w:ascii="Arial" w:cs="Arial" w:eastAsia="Arial" w:hAnsi="Arial"/>
          <w:sz w:val="18"/>
          <w:szCs w:val="18"/>
          <w:color w:val="auto"/>
        </w:rPr>
      </w:pPr>
    </w:p>
    <w:p>
      <w:pPr>
        <w:ind w:left="1500" w:hanging="591"/>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2,465,914 shares of common stock reserved for issuance and available for future grant under our equity incentive plans as of June 30, 2017; and</w:t>
      </w:r>
    </w:p>
    <w:p>
      <w:pPr>
        <w:spacing w:after="0" w:line="170" w:lineRule="exact"/>
        <w:rPr>
          <w:rFonts w:ascii="Arial" w:cs="Arial" w:eastAsia="Arial" w:hAnsi="Arial"/>
          <w:sz w:val="18"/>
          <w:szCs w:val="18"/>
          <w:color w:val="auto"/>
        </w:rPr>
      </w:pPr>
    </w:p>
    <w:p>
      <w:pPr>
        <w:ind w:left="1500" w:hanging="591"/>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5,648,829 shares of common stock issuable upon exercise of warrants outstanding as of June 30, 2017, which have a weighted average exercise price of $1.91 per share, of which 5,648,829 shares were exercisable as of June 30, 2017.</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Before purchasing our common stock, you should read and consider carefully the following risk factors as well as all other information contained and incorporated by reference in this prospectus supplement and the accompanying base prospectus, including our consolidated financial statements and the related notes. Each of these risk factors, either alone or taken together, could adversely affect our business, operating results and financial condition, as well as adversely affect the value of an investment in our common stock. There may be additional risks that we do not presently know of or that we currently believe are immaterial, which could also impair our business and financial position. If any of the events described below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 offering, you will suffer immediate and substantial dilution of $1.57 per share in the net tangible book value of the common stock you purchase in this offering. See “Dilution” on page S-6 for a more detailed discussion of the dilution you will incur if you purchase shares of our common stock in this offering.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 and we may not use these proceeds effectively or in a manner with which you agree.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anticipate using the net proceeds from this offering for working capital and general corporate purposes. We have not reserved or allocated amounts for specific purposes, and we cannot specify with certainty how or when we will use any of the net proceeds. Our management will have broad discretion in the application of the net proceeds we receive from this offering, and you will not have the opportunity, as part of your investment decision, to assess whether the proceeds are being used effectively or in a manner with which you agree. The net proceeds may be used for corporate purposes that do not increase our operating results or market value. Until the net proceeds are used, they may be placed in investments that do not produce income or that lose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in the past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loan and security agreement with SWK Funding LLC,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their stock ownership, some of our existing stockholders are able to exert control over us and our significant corporate decisions.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August 24, 2017, approximately 13%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base prospectus and the documents we have filed with the SEC that are incorporated by reference herein and therein contain forward-looking statements within the meaning of Section 27A of the Securities Act and Section 21E of the Securities Exchange Act of 1934, as amended (the “Exchange Act”). In addition, from time to time we or our representatives have made or will make forward-looking statements in various other filings that we make with the SEC or in other documents, including press releases or other similar announcements. Forward-looking statements concern our current plans, intentions, beliefs, expectations and statements of future economic performance. Statements containing terms such as “will,” “may,” “believe,” “do not believe,” “plan,” “expect,” “intend,” “estimate,” “anticipate” and other phrases of similar meaning are considered to be forward-looking statements.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Forward-looking statements are based on our assumptions and are subject to known and unknown risks and uncertainties that could cause actual results to differ materially from those reflected in or implied by these forward-looking statements. Factors that might cause actual results to differ include, among others, those set forth under “Risk Factors” in this prospectus supplement and those discussed in “Management’s Discussion and Analysis of Financial Condition and Results of Operation” in our most recent Annual Report on Form 10-K and subsequent Quarterly Reports on Form 10-Q and in our future periodic reports filed with the SEC, all of which are incorporated by reference herein. Readers are cautioned not to place undue reliance on any forward-looking statements contained in this prospectus supplement, the accompanying base prospectus or the documents we have filed with the SEC that are incorporated by reference herein and therein, which reflect management’s views and opinions only as of their respective dates. We assume no obligation to update forward-looking statements to reflect actual results, changes in assumptions or changes in other factors affecting such forward-looking statements, except to the extent required by applicable securities laws. You are advised, however, to consult any additional disclosures we have made or will make in the filings we make with the SEC, including reports on Forms 10-K, 10-Q and 8-K. All subsequent forward-looking statements attributable to us or persons acting on our behalf are expressly qualified in their entirety by the cautionary statements contained in this prospectus supplement, the accompanying base prospectus or any related issuer free writing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amount of net proceeds we receive from this offering will depend upon the number of shares of our common stock sold and the market price at which they are sold. As of the date of this prospectus supplement, we have sold an aggregate of 129,463 shares of our common stock pursuant to the Sales Agreement for gross proceeds of approximately $0.8 million and net proceeds, after deducting commission fees and other offering expenses payable by us, of approximately $0.6 million. However, we may not be able to sell any additional shares under or fully utilize the Sales Agreement with Cantor Fitzgerald as a source of additional financing.</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expect to use the net proceeds we may receive from this offering in the future for working capital and general corporate purposes. We may also decide to use a portion of any net proceeds for other purposes, including the potential acquisition of, or investment in, product candidates, technologies, formulations or companies that complement our business, although we have no current understandings, commitments, or agreements to do so. This represents our best estimate of the manner in which we will use any net proceeds we receive from this offering based upon the current status of our business, but we have not reserved or allocated amounts for specific purposes and we cannot specify with certainty how or when we will use any net proceeds. Amounts and timing of our actual expenditures will depend on numerous factors, including our pharmacy development and formulation commercialization efforts, as well as the amount of cash we use in our operations. Our management has significant flexibility in applying the net proceeds we have received and any additional net proceeds we may receive from this offering.</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Until the funds are used, we intend to invest any net proceeds we may receive from this offering in interest-bearing money market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common stock, you will experience immediate dilution to the extent of the difference between the price per share you pay in this offering and the net tangible book value per share of our common stock after this offering.</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net tangible book value as of June 30, 2017 was approximately $2,485,000 or approximately $0.12 per share. Net tangible book value is determined by subtracting our total liabilities from our total tangible assets, and net tangible book value per share is determined by dividing our net tangible book value by the number of outstanding shares of our common stock. After giving effect to the proposed sale of $9,200,000 of our common stock currently available in this offering at an assumed offering price of $2.03 per share, which was the last reported sales price of our common stock on the NASDAQ Capital Market on August 24, 2017, and after deducting offering commissions and estimated expenses payable by us, our adjusted net tangible book value as of June 30, 2017 would have been approximately $11,329,000 or approximately $0.46 per share. This represents an immediate increase in net tangible book value of approximately $0.34 per share to our existing stockholders and an immediate dilution in net tangible book value of approximately $1.57 per share to investors participating in this offering. The following table illustrates this calculation on a per share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 of common stock</w:t>
            </w:r>
          </w:p>
        </w:tc>
        <w:tc>
          <w:tcPr>
            <w:tcW w:w="640" w:type="dxa"/>
            <w:vAlign w:val="bottom"/>
            <w:shd w:val="clear" w:color="auto" w:fill="CCEEFF"/>
          </w:tcPr>
          <w:p>
            <w:pPr>
              <w:spacing w:after="0"/>
              <w:rPr>
                <w:sz w:val="21"/>
                <w:szCs w:val="21"/>
                <w:color w:val="auto"/>
              </w:rPr>
            </w:pP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Net tangible book value per share as of June 30, 2017</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0.12</w:t>
            </w: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investors participating in this offering</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0.34</w:t>
            </w:r>
          </w:p>
        </w:tc>
        <w:tc>
          <w:tcPr>
            <w:tcW w:w="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Adjusted net tangible book value per share after giving effect to this offering</w:t>
            </w:r>
          </w:p>
        </w:tc>
        <w:tc>
          <w:tcPr>
            <w:tcW w:w="6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96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7"/>
        </w:trPr>
        <w:tc>
          <w:tcPr>
            <w:tcW w:w="8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6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00" w:type="dxa"/>
            <w:vAlign w:val="bottom"/>
            <w:vMerge w:val="continue"/>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above discussion and table are based on 20,065,415 shares of common stock issued and outstanding as of June 30, 2017 and exclude:</w:t>
      </w:r>
    </w:p>
    <w:p>
      <w:pPr>
        <w:spacing w:after="0" w:line="237"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2,299,666 shares of common stock issuable upon exercise of options outstanding as of June 30, 2017, which have a weighted average exercise price of $5.63 per share, of which 854,582 shares were exercisable as of June 30, 2017;</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1,436,013 shares of common stock issuable upon the vesting (or otherwise vested and shares not yet delivered) of restricted stock units as of June 30,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2,465,914 shares of common stock reserved for issuance and available for future grant under our equity incentive plans as of June 30, 2017;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5,648,829 shares of common stock issuable upon exercise of warrants outstanding as of June 30, 2017, which have a weighted average exercise price of $1.91 per share, of which 5,648,829 shares were exercisable as of June 30, 2017.</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above illustration of dilution per share to investors participating in this offering assumes no exercise of outstanding options or warrants to purchase our common stock and no vesting of outstanding restricted stock units. The exercise of outstanding options or warrants having an exercise price less than the offering price and the vesting of restricted stock units would increase dilution to investors participating in this offering. In addition, we may choose to raise additional capital depending on market conditions, our capital requirements and strategic considerations, even if we believe we have sufficient funds for our current or future operating plans. To the extent that additional capital is raised through our sale of equity or convertible debt securities, the issuance of these securities could result in further dilution to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entered into the Sales Agreement with Cantor Fitzgerald, under which we may offer and sell shares of our common stock from time to time through Cantor Fitzgerald, acting as agent. Pursuant to this prospectus supplement, we may offer and sell shares of our common stock having an aggregate offering price of up to $10,000,000. As of the date of this prospectus supplement, we have sold an aggregate of 129,463 shares of our common stock pursuant to the Sales Agreement for gross proceeds of approximately $0.8 million and net proceeds, after deducting commission fees and other offering expenses payable by us, of approximately $0.6 million. The Sales Agreement has been filed as an exhibit to our Current Report on Form 8-K filed with the SEC on November 27, 2015, which is incorporated by reference in this prospectus supplement. This prospectus supplement updates and replaces in its entirety our prospectus supplement dated March 11, 2016 (Registration No. 333-198675), which updated and replaced in its entirety our prospectus supplement dated November 27, 2015 (Registration No. 333-198675), which also related to the Sales Agreement.</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delivery of a placement notice and subject to the terms and conditions of the Sales Agreement, Cantor Fitzgerald may sell shares of our common stock by any method permitted by law deemed to be an “at the market offering” as defined in Rule 415(a)(4) promulgated under the Securities Act, including sales made directly on the NASDAQ Capital Market or any other existing trading market for our common stock. Subject to our prior written consent, Cantor Fitzgerald may also sell shares of our common stock by any other method permitted by law, including in privately negotiated transactions. We may instruct Cantor Fitzgerald not to sell shares of our common stock if the sales cannot be effected at or above the price designated by us from time to time. We or Cantor Fitzgerald may suspend the offering of common stock upon notice and subject to other conditions.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will pay Cantor Fitzgerald cash commissions for its services in acting as agent in the sale of our common stock. Cantor Fitzgerald will be entitled to compensation at a commission rate of 3.0% of the aggregate gross sales price per share sold. Because there is no minimum offering amount required as a condition to close this offering, the actual total public offering amount, commissions and proceeds to us, if any, are not determinable at this time.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Settlement for sales of common stock will occur on the third trading day following the date on which any sales are made, or on some other date that is agreed upon by us and Cantor Fitzgerald in connection with a particular transaction, in return for payment of the net proceeds to us. Sales of shares of our common stock as contemplated in this prospectus supplement will be settled through the facilities of The Depository Trust Company or by such other means as we and Cantor Fitzgerald may agree upon. There is no arrangement for funds to be received in an escrow, trust or similar arrangement.</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Cantor Fitzgerald will use its commercially reasonable efforts, consistent with its normal trading and sales practices, to solicit offers to purchase shares of our common stock under the terms and subject to the conditions set forth in the Sales Agreement. In connection with the sale of shares of our common stock on our behalf, Cantor Fitzgerald will be deemed to be an “underwriter” within the meaning of the Securities Act and the compensation of Cantor Fitzgerald will be deemed to be underwriting commissions or discounts. We have agreed to provide indemnification and contribution to Cantor Fitzgerald against certain civil liabilities, including liabilities under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offering of our common stock pursuant to the Sales Agreement will terminate upon the termination of the Sales Agreement as permitted therein.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Cantor Fitzgerald may each terminate the Sales Agreement at any time upon ten days’ prior notice.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Cantor Fitzgerald and its affiliates may in the future provide various investment banking, commercial banking and other financial services for us and our affiliates, for which services they may in the future receive customary fees. To the extent required by Regulation M promulgated under the Exchange Act, Cantor Fitzgerald will not engage in any market making activities involving our common stock while the offering is ongoing under this prospectus supplement.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prospectus supplement and the accompanying base prospectus in electronic format may be made available on a website maintained by Cantor Fitzgerald, and Cantor Fitzgerald may distribute this prospectus supplement and the accompanying base prospectus electronically.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validity of the securities offered by this prospectus supplement has been passed upon for us by Golenbock Eiseman Assor Bell &amp; Peskoe LLP, New York, New York. Cantor Fitzgerald &amp; Co. is being represented in connection with this offering by Cooley LLP, New York, New York.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Imprimis Pharmaceuticals, Inc. appearing in the Company’s Annual Report on Form 10-K for the fiscal year ended December 31, 2016, filed with the SEC on March 21, 2017,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it. This means that we can disclose important information to you in this prospectus by referring you to another document. The information incorporated by reference herein is considered to be a part of this prospectus supplement. We incorporate by reference the documents listed below that we have previously filed with the SEC (excluding any portions of any document that are not deemed “filed” pursuant to the General Instructions of Form 8-K):</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21, 2017;</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2017, filed with the SEC on May 10, 2017; our Quarterly Report on Form 10-Q for our quarter ended June 30, 2017, filed with the SEC on August 10,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November 27, 2015, February 17, 2017, March 22, 2017, April 6, 2017, April 17, 2017, May 2, 2017, June 16, 2017, June 20, 2017, June 29, 2017 and July 20, 2017;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including any amendments or reports filed for the purpose of updating such description.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 contained in a previously filed document is deemed to be modified or superseded for purposes of this prospectus supplement to the extent that a statement contained in this prospectus supplement or in a subsequently filed document incorporated by reference herein modifies or supersedes the statement.</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prospectus supplement is delivered, upon written or oral request of that person, a copy of any or all of the documents we are incorporating by reference into this prospectus supplement, other than exhibits to those documents unless such exhibits are specifically incorporated by reference into those documents. Such written requests should be addressed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filed with the SEC a registration statement under the Securities Act (SEC File No. 333-198675) that registers the securities offered hereby. The registration statement, including the exhibits and schedules attached thereto and the information incorporated by reference therein, contains additional relevant information about the securities and our Company, which we are allowed to omit from this prospectus supplement pursuant to the rules and regulations of the SEC. In addition, 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website at www.sec.gov. Copies of certain information filed by us with the SEC are also available on our website at www.imprimispharma.com. We have not incorporated by reference into this prospectus supplement the information on our website and it is not a part of this document.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920" w:hanging="144"/>
        <w:spacing w:after="0"/>
        <w:tabs>
          <w:tab w:leader="none" w:pos="3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920" w:hanging="144"/>
        <w:spacing w:after="0"/>
        <w:tabs>
          <w:tab w:leader="none" w:pos="3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June 6, 2017, the closing price of our common stock on the NASDAQCM was $3.50 per share.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for information you should consider before investing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June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6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PROSPECTUS SUMMARY</w:t>
              </w:r>
            </w:hyperlink>
          </w:p>
        </w:tc>
        <w:tc>
          <w:tcPr>
            <w:tcW w:w="8640" w:type="dxa"/>
            <w:vAlign w:val="bottom"/>
            <w:tcBorders>
              <w:bottom w:val="single" w:sz="8" w:color="CCEEFF"/>
            </w:tcBorders>
            <w:gridSpan w:val="7"/>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5"/>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FORWARD-LOOKING STATEMENTS</w:t>
              </w:r>
            </w:hyperlink>
          </w:p>
        </w:tc>
        <w:tc>
          <w:tcPr>
            <w:tcW w:w="7800" w:type="dxa"/>
            <w:vAlign w:val="bottom"/>
            <w:tcBorders>
              <w:bottom w:val="single" w:sz="8" w:color="CCEEFF"/>
            </w:tcBorders>
            <w:gridSpan w:val="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5"/>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DILUTION</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5"/>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DIVIDEND POLICY</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DESCRIPTION OF CAPITAL STOCK</w:t>
              </w:r>
            </w:hyperlink>
          </w:p>
        </w:tc>
        <w:tc>
          <w:tcPr>
            <w:tcW w:w="78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5"/>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THE DEPOSITARY SHARES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WARRANTS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UNITS</w:t>
              </w:r>
            </w:hyperlink>
          </w:p>
        </w:tc>
        <w:tc>
          <w:tcPr>
            <w:tcW w:w="7860" w:type="dxa"/>
            <w:vAlign w:val="bottom"/>
            <w:tcBorders>
              <w:top w:val="single" w:sz="8" w:color="CCEEFF"/>
            </w:tcBorders>
            <w:gridSpan w:val="6"/>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THE DEBT SECURITIES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PLAN OF DISTRIBUTION</w:t>
              </w:r>
            </w:hyperlink>
          </w:p>
        </w:tc>
        <w:tc>
          <w:tcPr>
            <w:tcW w:w="7320" w:type="dxa"/>
            <w:vAlign w:val="bottom"/>
            <w:tcBorders>
              <w:top w:val="single" w:sz="8" w:color="CCEEFF"/>
            </w:tcBorders>
            <w:gridSpan w:val="4"/>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9280" w:type="dxa"/>
            <w:vAlign w:val="bottom"/>
            <w:tcBorders>
              <w:top w:val="single" w:sz="8" w:color="CCEEFF"/>
            </w:tcBorders>
            <w:gridSpan w:val="11"/>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56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specialized in the development, production and sale of innovative medications that offer unique competitive advantages and serve unmet needs in the marketplace. We are committed to our company’s mission, vision and values to deliver high-quality novel medications to physicians and patients at affordable prices.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cornerstone of our ophthalmology program consists of our 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w:t>
      </w:r>
    </w:p>
    <w:p>
      <w:pPr>
        <w:jc w:val="both"/>
        <w:spacing w:after="0" w:line="259" w:lineRule="auto"/>
        <w:rPr>
          <w:sz w:val="20"/>
          <w:szCs w:val="20"/>
          <w:color w:val="auto"/>
        </w:rPr>
      </w:pPr>
      <w:r>
        <w:rPr>
          <w:rFonts w:ascii="Arial" w:cs="Arial" w:eastAsia="Arial" w:hAnsi="Arial"/>
          <w:sz w:val="16"/>
          <w:szCs w:val="16"/>
          <w:color w:val="auto"/>
        </w:rPr>
        <w:t>other compelling medical and economic benefits. We also offer a conscious sedation medication, the IV Free MKO Melt</w:t>
      </w:r>
      <w:r>
        <w:rPr>
          <w:rFonts w:ascii="Arial" w:cs="Arial" w:eastAsia="Arial" w:hAnsi="Arial"/>
          <w:sz w:val="26"/>
          <w:szCs w:val="26"/>
          <w:color w:val="auto"/>
          <w:vertAlign w:val="superscript"/>
        </w:rPr>
        <w:t>™</w:t>
      </w:r>
      <w:r>
        <w:rPr>
          <w:rFonts w:ascii="Arial" w:cs="Arial" w:eastAsia="Arial" w:hAnsi="Arial"/>
          <w:sz w:val="16"/>
          <w:szCs w:val="16"/>
          <w:color w:val="auto"/>
        </w:rPr>
        <w:t>, a proprietary alternative to intravenous sedation. The MKO Melt is administered sublingually to sedate patients undergoing ocular and other surgeries. We plan to expand our ophthalmology program and introduce additional innovative medications for glaucoma, wet age-related macular degeneration (wet AMD), diabetic macular edema (DME) and chronic dry eye disease (DED). Our integrative medicine business includes medications used in several therapeutic areas including oncology, autoimmunity, chronic infectious diseases, and endocrine and metabolic diseases. Our urology business includes a series of injectable erectile</w:t>
      </w:r>
    </w:p>
    <w:p>
      <w:pPr>
        <w:spacing w:after="0" w:line="4"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dysfunction formulations for patients that are refractory to or are otherwise unable to take phosphodiesterase type 5 inhibitors such as sildenafil (Viagra</w:t>
      </w:r>
      <w:r>
        <w:rPr>
          <w:rFonts w:ascii="Arial" w:cs="Arial" w:eastAsia="Arial" w:hAnsi="Arial"/>
          <w:sz w:val="26"/>
          <w:szCs w:val="26"/>
          <w:color w:val="auto"/>
          <w:vertAlign w:val="superscript"/>
        </w:rPr>
        <w:t>®</w:t>
      </w:r>
      <w:r>
        <w:rPr>
          <w:rFonts w:ascii="Arial" w:cs="Arial" w:eastAsia="Arial" w:hAnsi="Arial"/>
          <w:sz w:val="16"/>
          <w:szCs w:val="16"/>
          <w:color w:val="auto"/>
        </w:rPr>
        <w:t>), tadalafil (Cialis</w:t>
      </w:r>
      <w:r>
        <w:rPr>
          <w:rFonts w:ascii="Arial" w:cs="Arial" w:eastAsia="Arial" w:hAnsi="Arial"/>
          <w:sz w:val="26"/>
          <w:szCs w:val="26"/>
          <w:color w:val="auto"/>
          <w:vertAlign w:val="superscript"/>
        </w:rPr>
        <w:t>®</w:t>
      </w:r>
      <w:r>
        <w:rPr>
          <w:rFonts w:ascii="Arial" w:cs="Arial" w:eastAsia="Arial" w:hAnsi="Arial"/>
          <w:sz w:val="16"/>
          <w:szCs w:val="16"/>
          <w:color w:val="auto"/>
        </w:rPr>
        <w:t>), and vardenafil (Levitra</w:t>
      </w:r>
      <w:r>
        <w:rPr>
          <w:rFonts w:ascii="Arial" w:cs="Arial" w:eastAsia="Arial" w:hAnsi="Arial"/>
          <w:sz w:val="26"/>
          <w:szCs w:val="26"/>
          <w:color w:val="auto"/>
          <w:vertAlign w:val="superscript"/>
        </w:rPr>
        <w:t>®</w:t>
      </w:r>
      <w:r>
        <w:rPr>
          <w:rFonts w:ascii="Arial" w:cs="Arial" w:eastAsia="Arial" w:hAnsi="Arial"/>
          <w:sz w:val="16"/>
          <w:szCs w:val="16"/>
          <w:color w:val="auto"/>
        </w:rPr>
        <w:t>). We also make PPS-DR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(pentosan polysulfate sodium delayed-release) formulations as lower-cost alternatives</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to Elmiron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patients diagnosed with interstitial cystitis. We also make and sell low-cost therapeutic alternatives to Daraprim</w:t>
      </w:r>
      <w:r>
        <w:rPr>
          <w:rFonts w:ascii="Arial" w:cs="Arial" w:eastAsia="Arial" w:hAnsi="Arial"/>
          <w:sz w:val="30"/>
          <w:szCs w:val="30"/>
          <w:color w:val="auto"/>
          <w:vertAlign w:val="superscript"/>
        </w:rPr>
        <w:t>®</w:t>
      </w:r>
      <w:r>
        <w:rPr>
          <w:rFonts w:ascii="Arial" w:cs="Arial" w:eastAsia="Arial" w:hAnsi="Arial"/>
          <w:sz w:val="18"/>
          <w:szCs w:val="18"/>
          <w:color w:val="auto"/>
        </w:rPr>
        <w:t>,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Calcium Disodium Versenate, all FDA-approved drugs that have experienced significant price increases.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produce and dispense our medications directly to customers through our ImprimisRx facilities located in Ledgewood, New Jersey, Irvine, California and Folcroft, Pennsylvania. Our New Jersey facility is comprised of two separate facilities, with one facility registered with the FDA as an outsourcing facility under Section 503B of the Federal Food, Drug &amp; Cosmetic Act (FDCA). The other New Jersey facility, and our California and Pennsylvania facilities, are all licensed pharmacies operating under Sections 503A of the FDCA. All products that we sell, produce and dispense are made in the United States.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$81.9 million at March 31, 2017.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executive offices are located at 12264 El Camino Real, Suite 350, San Diego, California 92130 and our telephone number at such office is (858) 704-4040. Our website address is imprimispharma.com. Information contained on our website is not deemed part of this prospectus supplement.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periodic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95,000,000 shares, 90,000,000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15, 2017 there were approximately 261 stockholders of record (excluding an indeterminable number of stockholders whose shares are held in street or “nominee” name) of our common stock. In addition, as of March 31, 2017, there are outstanding (i) options to acquire 2,230,510 shares of our common stock with a weighted average exercise price of $5.69 per share, (ii) warrants to purchase 5,748,829 shares of common stock with a weighted average exercise price of $1.91 per share, and (iii) 1,280,188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01" w:lineRule="auto"/>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describe the following terms of the units in respect of which this prospectus is being delivered:</w:t>
      </w:r>
    </w:p>
    <w:p>
      <w:pPr>
        <w:spacing w:after="0" w:line="237" w:lineRule="exact"/>
        <w:rPr>
          <w:sz w:val="20"/>
          <w:szCs w:val="20"/>
          <w:color w:val="auto"/>
        </w:rPr>
      </w:pPr>
    </w:p>
    <w:p>
      <w:pPr>
        <w:ind w:firstLine="656"/>
        <w:spacing w:after="0" w:line="277" w:lineRule="auto"/>
        <w:tabs>
          <w:tab w:leader="none" w:pos="8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material provisions relating to the issuance, payment, settlement, transfer or exchange of the units or the securities comprising the units;</w:t>
      </w:r>
    </w:p>
    <w:p>
      <w:pPr>
        <w:spacing w:after="0" w:line="236" w:lineRule="exact"/>
        <w:rPr>
          <w:rFonts w:ascii="Arial" w:cs="Arial" w:eastAsia="Arial" w:hAnsi="Arial"/>
          <w:sz w:val="17"/>
          <w:szCs w:val="17"/>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5640" w:right="180" w:hanging="4984"/>
        <w:spacing w:after="0" w:line="528" w:lineRule="auto"/>
        <w:tabs>
          <w:tab w:leader="none" w:pos="9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certificates. Each global certificate will:</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left="98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6" w:lineRule="exact"/>
        <w:rPr>
          <w:sz w:val="20"/>
          <w:szCs w:val="20"/>
          <w:color w:val="auto"/>
        </w:rPr>
      </w:pPr>
    </w:p>
    <w:p>
      <w:pPr>
        <w:jc w:val="both"/>
        <w:ind w:left="98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The validity of the securities being offered hereby has been passed upon by Golenbock Eiseman Assor Bell &amp; Peskoe LLP, New York, New York.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Imprimis Pharmaceuticals, Inc. appearing in the Company’s Annual Report on Form 10-K for the fiscal year ended December 31, 2016, filed with the SEC on March 21, 2017,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4"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21,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2017, filed with the SEC on May 10, 2017;</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17, 2017, March 22, 2017, April 6, 2017, April 17, 2017, May 2, 2017 and May 16, 2017;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and any amendments or reports filed for the purpose of updating such description.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2172970</wp:posOffset>
            </wp:positionH>
            <wp:positionV relativeFrom="page">
              <wp:posOffset>431800</wp:posOffset>
            </wp:positionV>
            <wp:extent cx="3181350" cy="1346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18135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 to $10,000,000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1764665</wp:posOffset>
            </wp:positionH>
            <wp:positionV relativeFrom="paragraph">
              <wp:posOffset>316230</wp:posOffset>
            </wp:positionV>
            <wp:extent cx="2178050" cy="797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7805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858"/>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lvl w:ilvl="1">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2020-01-18T03:37:25Z</dcterms:created>
  <dcterms:modified xsi:type="dcterms:W3CDTF">2020-01-18T03:37:25Z</dcterms:modified>
</cp:coreProperties>
</file>