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xdx_90C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5_edei--DocumentPeriodEndDate_c202"/>
      <w:bookmarkEnd w:id="4"/>
      <w:r>
        <w:rPr>
          <w:rFonts w:ascii="Times New Roman;Times;Serif" w:hAnsi="Times New Roman;Times;Serif"/>
          <w:b/>
          <w:i w:val="false"/>
          <w:caps w:val="false"/>
          <w:smallCaps w:val="false"/>
          <w:sz w:val="20"/>
        </w:rPr>
        <w:t xml:space="preserve">September 30, </w:t>
      </w:r>
      <w:bookmarkStart w:id="5" w:name="xdx_906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xdx_90D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2_edei--EntityFileNumber_c20250101"/>
      <w:bookmarkEnd w:id="7"/>
      <w:r>
        <w:rPr>
          <w:rFonts w:ascii="Times New Roman;Times;Serif" w:hAnsi="Times New Roman;Times;Serif"/>
          <w:b/>
          <w:i w:val="false"/>
          <w:caps w:val="false"/>
          <w:smallCaps w:val="false"/>
          <w:sz w:val="20"/>
        </w:rPr>
        <w:t>001-35814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F_edei--EntityRegistrantName_c2025"/>
      <w:bookmarkEnd w:id="8"/>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E_edei--EntityTaxIdentificationNum"/>
            <w:bookmarkEnd w:id="10"/>
            <w:r>
              <w:rPr>
                <w:rFonts w:ascii="Times New Roman;Times;Serif" w:hAnsi="Times New Roman;Times;Serif"/>
                <w:b/>
                <w:i w:val="false"/>
                <w:caps w:val="false"/>
                <w:smallCaps w:val="false"/>
                <w:sz w:val="20"/>
              </w:rPr>
              <w:t>45-0567010</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7_edei--EntityAddressAddressLine1_"/>
            <w:bookmarkEnd w:id="11"/>
            <w:r>
              <w:rPr>
                <w:rFonts w:ascii="Times New Roman;Times;Serif" w:hAnsi="Times New Roman;Times;Serif"/>
                <w:b/>
                <w:i w:val="false"/>
                <w:caps w:val="false"/>
                <w:smallCaps w:val="false"/>
                <w:sz w:val="20"/>
              </w:rPr>
              <w:t xml:space="preserve">1A Burton Hills Blvd., </w:t>
            </w:r>
            <w:bookmarkStart w:id="12" w:name="xdx_900_edei--EntityAddressAddressLine2_"/>
            <w:bookmarkEnd w:id="12"/>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B_edei--EntityAddressCityOrTown_c2"/>
            <w:bookmarkEnd w:id="13"/>
            <w:r>
              <w:rPr>
                <w:rFonts w:ascii="Times New Roman;Times;Serif" w:hAnsi="Times New Roman;Times;Serif"/>
                <w:b/>
                <w:i w:val="false"/>
                <w:caps w:val="false"/>
                <w:smallCaps w:val="false"/>
                <w:sz w:val="20"/>
              </w:rPr>
              <w:t xml:space="preserve">Nashville, </w:t>
            </w:r>
            <w:bookmarkStart w:id="14" w:name="xdx_909_edei--EntityAddressStateOrProvin"/>
            <w:bookmarkEnd w:id="14"/>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A_edei--EntityAddressPostalZipCode"/>
            <w:bookmarkEnd w:id="15"/>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9_edei--CityAreaCode_c20250101__20"/>
      <w:bookmarkEnd w:id="16"/>
      <w:r>
        <w:rPr>
          <w:rFonts w:ascii="Times New Roman;Times;Serif" w:hAnsi="Times New Roman;Times;Serif"/>
          <w:b/>
          <w:i w:val="false"/>
          <w:caps w:val="false"/>
          <w:smallCaps w:val="false"/>
          <w:sz w:val="20"/>
        </w:rPr>
        <w:t xml:space="preserve">(615) </w:t>
      </w:r>
      <w:bookmarkStart w:id="17" w:name="xdx_90B_edei--LocalPhoneNumber_c20250101"/>
      <w:bookmarkEnd w:id="17"/>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Security12bTitle_c20250101"/>
            <w:bookmarkEnd w:id="18"/>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50101__2"/>
            <w:bookmarkEnd w:id="19"/>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5"/>
            <w:bookmarkEnd w:id="20"/>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0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F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B_edei--EntityFilerCategory_c20250"/>
            <w:bookmarkEnd w:id="23"/>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A_edei--EntitySmallBusiness_c20250"/>
            <w:bookmarkEnd w:id="24"/>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5" w:name="xdx_90B_edei--EntityEmergingGrowthCompan"/>
            <w:bookmarkEnd w:id="25"/>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a check mark whether the registrant is a shell company (as defined in Rule 12b-2 of the Exchange Act). Yes ☐ No </w:t>
      </w:r>
      <w:bookmarkStart w:id="26" w:name="xdx_90C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November 10, 2025, there were </w:t>
      </w:r>
      <w:bookmarkStart w:id="27" w:name="xdx_901_edei--EntityCommonStockSharesOut"/>
      <w:bookmarkEnd w:id="27"/>
      <w:r>
        <w:rPr>
          <w:rFonts w:ascii="Times New Roman;Times;Serif" w:hAnsi="Times New Roman;Times;Serif"/>
          <w:b w:val="false"/>
          <w:i w:val="false"/>
          <w:caps w:val="false"/>
          <w:smallCaps w:val="false"/>
          <w:sz w:val="20"/>
        </w:rPr>
        <w:t>37,037,453 shares of the registrant’s common stock, $</w:t>
      </w:r>
      <w:bookmarkStart w:id="28" w:name="xdx_909_edei--EntityListingParValuePerSh"/>
      <w:bookmarkEnd w:id="28"/>
      <w:r>
        <w:rPr>
          <w:rFonts w:ascii="Times New Roman;Times;Serif" w:hAnsi="Times New Roman;Times;Serif"/>
          <w:b w:val="false"/>
          <w:i w:val="false"/>
          <w:caps w:val="false"/>
          <w:smallCaps w:val="false"/>
          <w:sz w:val="20"/>
        </w:rPr>
        <w:t>0.001 par value,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both"/>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725"/>
        <w:gridCol w:w="60"/>
        <w:gridCol w:w="7280"/>
        <w:gridCol w:w="6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8">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09">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10">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11">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m_012">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Y-001"/>
      <w:bookmarkEnd w:id="29"/>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Y-002"/>
      <w:bookmarkEnd w:id="30"/>
      <w:r>
        <w:rPr>
          <w:rFonts w:ascii="Times New Roman;Times;Serif" w:hAnsi="Times New Roman;Times;Serif"/>
          <w:b/>
          <w:i w:val="false"/>
          <w:caps w:val="false"/>
          <w:smallCaps w:val="false"/>
          <w:sz w:val="20"/>
        </w:rPr>
        <w:t>Item 1. Financial Statements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C_111_zQ6QGC9nJnr"/>
      <w:bookmarkStart w:id="32" w:name="xdx_30C_111_zQ6QGC9nJnr"/>
      <w:bookmarkEnd w:id="32"/>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B_20250930_zcc86fWLglJ1"/>
            <w:bookmarkEnd w:id="33"/>
          </w:p>
        </w:tc>
        <w:tc>
          <w:tcPr>
            <w:tcW w:w="1435" w:type="dxa"/>
            <w:gridSpan w:val="2"/>
            <w:tcBorders/>
            <w:vAlign w:val="center"/>
          </w:tcPr>
          <w:p>
            <w:pPr>
              <w:pStyle w:val="TableContents"/>
              <w:bidi w:val="0"/>
              <w:spacing w:before="0" w:after="283"/>
              <w:jc w:val="center"/>
              <w:rPr/>
            </w:pPr>
            <w:r>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9_20241231_zFOexn5bruXh"/>
            <w:bookmarkEnd w:id="34"/>
          </w:p>
        </w:tc>
        <w:tc>
          <w:tcPr>
            <w:tcW w:w="1435" w:type="dxa"/>
            <w:gridSpan w:val="2"/>
            <w:tcBorders/>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5" w:name="xdx_40B_eus-gaap--AssetsAbstract_iB_zlxE"/>
            <w:bookmarkEnd w:id="35"/>
          </w:p>
        </w:tc>
      </w:tr>
      <w:tr>
        <w:trPr/>
        <w:tc>
          <w:tcPr>
            <w:tcW w:w="7010"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 w:name="xdx_40C_eus-gaap--AssetsCurrentAbstract_"/>
            <w:bookmarkEnd w:id="36"/>
          </w:p>
        </w:tc>
      </w:tr>
      <w:tr>
        <w:trPr/>
        <w:tc>
          <w:tcPr>
            <w:tcW w:w="701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7" w:name="xdx_400_eus-gaap--CashAndCashEquivalents"/>
            <w:bookmarkEnd w:id="37"/>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74,290,000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47,247,000</w:t>
            </w:r>
          </w:p>
        </w:tc>
        <w:tc>
          <w:tcPr>
            <w:tcW w:w="110" w:type="dxa"/>
            <w:tcBorders/>
            <w:shd w:fill="CCEEFF" w:val="clear"/>
            <w:vAlign w:val="center"/>
          </w:tcPr>
          <w:p>
            <w:pPr>
              <w:pStyle w:val="TableContents"/>
              <w:bidi w:val="0"/>
              <w:spacing w:before="0" w:after="283"/>
              <w:jc w:val="left"/>
              <w:rPr/>
            </w:pPr>
            <w:r>
              <w:rPr/>
              <w:t> </w:t>
            </w:r>
            <w:bookmarkStart w:id="38" w:name="xdx_40F_eus-gaap--AccountsReceivableNetC"/>
            <w:bookmarkEnd w:id="38"/>
          </w:p>
        </w:tc>
      </w:tr>
      <w:tr>
        <w:trPr/>
        <w:tc>
          <w:tcPr>
            <w:tcW w:w="701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77,600,000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116,373,000</w:t>
            </w:r>
          </w:p>
        </w:tc>
        <w:tc>
          <w:tcPr>
            <w:tcW w:w="110" w:type="dxa"/>
            <w:tcBorders/>
            <w:shd w:fill="FFFFFF" w:val="clear"/>
            <w:vAlign w:val="center"/>
          </w:tcPr>
          <w:p>
            <w:pPr>
              <w:pStyle w:val="TableContents"/>
              <w:bidi w:val="0"/>
              <w:spacing w:before="0" w:after="283"/>
              <w:jc w:val="left"/>
              <w:rPr/>
            </w:pPr>
            <w:r>
              <w:rPr/>
              <w:t> </w:t>
            </w:r>
            <w:bookmarkStart w:id="39" w:name="xdx_408_eus-gaap--InventoryNet_i02I_maAC"/>
            <w:bookmarkEnd w:id="39"/>
          </w:p>
        </w:tc>
      </w:tr>
      <w:tr>
        <w:trPr/>
        <w:tc>
          <w:tcPr>
            <w:tcW w:w="701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12,834,000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10,702,000</w:t>
            </w:r>
          </w:p>
        </w:tc>
        <w:tc>
          <w:tcPr>
            <w:tcW w:w="110" w:type="dxa"/>
            <w:tcBorders/>
            <w:shd w:fill="CCEEFF" w:val="clear"/>
            <w:vAlign w:val="center"/>
          </w:tcPr>
          <w:p>
            <w:pPr>
              <w:pStyle w:val="TableContents"/>
              <w:bidi w:val="0"/>
              <w:spacing w:before="0" w:after="283"/>
              <w:jc w:val="left"/>
              <w:rPr/>
            </w:pPr>
            <w:r>
              <w:rPr/>
              <w:t> </w:t>
            </w:r>
            <w:bookmarkStart w:id="40" w:name="xdx_400_eus-gaap--PrepaidExpenseAndOther"/>
            <w:bookmarkEnd w:id="40"/>
          </w:p>
        </w:tc>
      </w:tr>
      <w:tr>
        <w:trPr/>
        <w:tc>
          <w:tcPr>
            <w:tcW w:w="701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12,880,000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15,329,000</w:t>
            </w:r>
          </w:p>
        </w:tc>
        <w:tc>
          <w:tcPr>
            <w:tcW w:w="110" w:type="dxa"/>
            <w:tcBorders/>
            <w:shd w:fill="FFFFFF" w:val="clear"/>
            <w:vAlign w:val="center"/>
          </w:tcPr>
          <w:p>
            <w:pPr>
              <w:pStyle w:val="TableContents"/>
              <w:bidi w:val="0"/>
              <w:spacing w:before="0" w:after="283"/>
              <w:jc w:val="left"/>
              <w:rPr/>
            </w:pPr>
            <w:r>
              <w:rPr/>
              <w:t> </w:t>
            </w:r>
            <w:bookmarkStart w:id="41" w:name="xdx_40E_eus-gaap--AssetsCurrent_i02TI_mt"/>
            <w:bookmarkEnd w:id="41"/>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177,604,000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189,651,000</w:t>
            </w:r>
          </w:p>
        </w:tc>
        <w:tc>
          <w:tcPr>
            <w:tcW w:w="110" w:type="dxa"/>
            <w:tcBorders/>
            <w:shd w:fill="CCEEFF" w:val="clear"/>
            <w:vAlign w:val="center"/>
          </w:tcPr>
          <w:p>
            <w:pPr>
              <w:pStyle w:val="TableContents"/>
              <w:bidi w:val="0"/>
              <w:spacing w:before="0" w:after="283"/>
              <w:jc w:val="left"/>
              <w:rPr/>
            </w:pPr>
            <w:r>
              <w:rPr/>
              <w:t> </w:t>
            </w:r>
            <w:bookmarkStart w:id="42" w:name="xdx_403_eus-gaap--PropertyPlantAndEquipm"/>
            <w:bookmarkEnd w:id="42"/>
          </w:p>
        </w:tc>
      </w:tr>
      <w:tr>
        <w:trPr/>
        <w:tc>
          <w:tcPr>
            <w:tcW w:w="701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3,734,000</w:t>
            </w:r>
          </w:p>
        </w:tc>
        <w:tc>
          <w:tcPr>
            <w:tcW w:w="110" w:type="dxa"/>
            <w:tcBorders/>
            <w:shd w:fill="FFFFFF" w:val="clear"/>
            <w:vAlign w:val="center"/>
          </w:tcPr>
          <w:p>
            <w:pPr>
              <w:pStyle w:val="TableContents"/>
              <w:bidi w:val="0"/>
              <w:spacing w:before="0" w:after="283"/>
              <w:jc w:val="left"/>
              <w:rPr/>
            </w:pPr>
            <w:r>
              <w:rPr/>
              <w:t> </w:t>
            </w:r>
            <w:bookmarkStart w:id="43" w:name="xdx_40F_eus-gaap--CapitalizedComputerSof"/>
            <w:bookmarkEnd w:id="43"/>
          </w:p>
        </w:tc>
      </w:tr>
      <w:tr>
        <w:trPr/>
        <w:tc>
          <w:tcPr>
            <w:tcW w:w="7010" w:type="dxa"/>
            <w:tcBorders/>
            <w:shd w:fill="CCEEFF" w:val="clear"/>
            <w:vAlign w:val="center"/>
          </w:tcPr>
          <w:p>
            <w:pPr>
              <w:pStyle w:val="TableContents"/>
              <w:bidi w:val="0"/>
              <w:spacing w:before="0" w:after="283"/>
              <w:jc w:val="left"/>
              <w:rPr/>
            </w:pPr>
            <w:r>
              <w:rPr/>
              <w:t>Capitalized software costs,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1,751,000</w:t>
            </w:r>
          </w:p>
        </w:tc>
        <w:tc>
          <w:tcPr>
            <w:tcW w:w="110" w:type="dxa"/>
            <w:tcBorders/>
            <w:shd w:fill="CCEEFF" w:val="clear"/>
            <w:vAlign w:val="center"/>
          </w:tcPr>
          <w:p>
            <w:pPr>
              <w:pStyle w:val="TableContents"/>
              <w:bidi w:val="0"/>
              <w:spacing w:before="0" w:after="283"/>
              <w:jc w:val="left"/>
              <w:rPr/>
            </w:pPr>
            <w:r>
              <w:rPr/>
              <w:t> </w:t>
            </w:r>
            <w:bookmarkStart w:id="44" w:name="xdx_401_eus-gaap--OperatingLeaseRightOfU"/>
            <w:bookmarkEnd w:id="44"/>
          </w:p>
        </w:tc>
      </w:tr>
      <w:tr>
        <w:trPr/>
        <w:tc>
          <w:tcPr>
            <w:tcW w:w="7010"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7,971,000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8,554,000</w:t>
            </w:r>
          </w:p>
        </w:tc>
        <w:tc>
          <w:tcPr>
            <w:tcW w:w="110" w:type="dxa"/>
            <w:tcBorders/>
            <w:shd w:fill="FFFFFF" w:val="clear"/>
            <w:vAlign w:val="center"/>
          </w:tcPr>
          <w:p>
            <w:pPr>
              <w:pStyle w:val="TableContents"/>
              <w:bidi w:val="0"/>
              <w:spacing w:before="0" w:after="283"/>
              <w:jc w:val="left"/>
              <w:rPr/>
            </w:pPr>
            <w:r>
              <w:rPr/>
              <w:t> </w:t>
            </w:r>
            <w:bookmarkStart w:id="45" w:name="xdx_40D_eus-gaap--IntangibleAssetsNetExc"/>
            <w:bookmarkEnd w:id="45"/>
          </w:p>
        </w:tc>
      </w:tr>
      <w:tr>
        <w:trPr/>
        <w:tc>
          <w:tcPr>
            <w:tcW w:w="701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172,457,000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184,949,000</w:t>
            </w:r>
          </w:p>
        </w:tc>
        <w:tc>
          <w:tcPr>
            <w:tcW w:w="110" w:type="dxa"/>
            <w:tcBorders/>
            <w:shd w:fill="CCEEFF" w:val="clear"/>
            <w:vAlign w:val="center"/>
          </w:tcPr>
          <w:p>
            <w:pPr>
              <w:pStyle w:val="TableContents"/>
              <w:bidi w:val="0"/>
              <w:spacing w:before="0" w:after="283"/>
              <w:jc w:val="left"/>
              <w:rPr/>
            </w:pPr>
            <w:r>
              <w:rPr/>
              <w:t> </w:t>
            </w:r>
            <w:bookmarkStart w:id="46" w:name="xdx_40E_eus-gaap--Goodwill_i01I_maAz3Tg_"/>
            <w:bookmarkEnd w:id="46"/>
          </w:p>
        </w:tc>
      </w:tr>
      <w:tr>
        <w:trPr/>
        <w:tc>
          <w:tcPr>
            <w:tcW w:w="701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332,000</w:t>
            </w:r>
          </w:p>
        </w:tc>
        <w:tc>
          <w:tcPr>
            <w:tcW w:w="110" w:type="dxa"/>
            <w:tcBorders/>
            <w:shd w:fill="FFFFFF" w:val="clear"/>
            <w:vAlign w:val="center"/>
          </w:tcPr>
          <w:p>
            <w:pPr>
              <w:pStyle w:val="TableContents"/>
              <w:bidi w:val="0"/>
              <w:spacing w:before="0" w:after="283"/>
              <w:jc w:val="left"/>
              <w:rPr/>
            </w:pPr>
            <w:r>
              <w:rPr/>
              <w:t> </w:t>
            </w:r>
            <w:bookmarkStart w:id="47" w:name="xdx_404_eus-gaap--Assets_i01TI_mtAz3Tg_z"/>
            <w:bookmarkEnd w:id="47"/>
          </w:p>
        </w:tc>
      </w:tr>
      <w:tr>
        <w:trPr/>
        <w:tc>
          <w:tcPr>
            <w:tcW w:w="70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363,074,000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388,971,000</w:t>
            </w:r>
          </w:p>
        </w:tc>
        <w:tc>
          <w:tcPr>
            <w:tcW w:w="110" w:type="dxa"/>
            <w:tcBorders/>
            <w:shd w:fill="CCEEFF" w:val="clear"/>
            <w:vAlign w:val="center"/>
          </w:tcPr>
          <w:p>
            <w:pPr>
              <w:pStyle w:val="TableContents"/>
              <w:bidi w:val="0"/>
              <w:spacing w:before="0" w:after="283"/>
              <w:jc w:val="left"/>
              <w:rPr/>
            </w:pPr>
            <w:r>
              <w:rPr/>
              <w:t> </w:t>
            </w:r>
            <w:bookmarkStart w:id="48" w:name="xdx_404_eus-gaap--LiabilitiesAndStockhol"/>
            <w:bookmarkEnd w:id="48"/>
          </w:p>
        </w:tc>
      </w:tr>
      <w:tr>
        <w:trPr/>
        <w:tc>
          <w:tcPr>
            <w:tcW w:w="7010" w:type="dxa"/>
            <w:tcBorders/>
            <w:shd w:fill="FFFFFF" w:val="clear"/>
            <w:vAlign w:val="center"/>
          </w:tcPr>
          <w:p>
            <w:pPr>
              <w:pStyle w:val="TableContents"/>
              <w:bidi w:val="0"/>
              <w:spacing w:before="0" w:after="283"/>
              <w:jc w:val="center"/>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 w:name="xdx_40F_eus-gaap--LiabilitiesCurrentAbst"/>
            <w:bookmarkEnd w:id="49"/>
          </w:p>
        </w:tc>
      </w:tr>
      <w:tr>
        <w:trPr/>
        <w:tc>
          <w:tcPr>
            <w:tcW w:w="70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 w:name="xdx_409_eus-gaap--AccountsPayableAndAccr"/>
            <w:bookmarkEnd w:id="50"/>
          </w:p>
        </w:tc>
      </w:tr>
      <w:tr>
        <w:trPr/>
        <w:tc>
          <w:tcPr>
            <w:tcW w:w="701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20,162,000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41,406,000</w:t>
            </w:r>
          </w:p>
        </w:tc>
        <w:tc>
          <w:tcPr>
            <w:tcW w:w="110" w:type="dxa"/>
            <w:tcBorders/>
            <w:shd w:fill="FFFFFF" w:val="clear"/>
            <w:vAlign w:val="center"/>
          </w:tcPr>
          <w:p>
            <w:pPr>
              <w:pStyle w:val="TableContents"/>
              <w:bidi w:val="0"/>
              <w:spacing w:before="0" w:after="283"/>
              <w:jc w:val="left"/>
              <w:rPr/>
            </w:pPr>
            <w:r>
              <w:rPr/>
              <w:t> </w:t>
            </w:r>
            <w:bookmarkStart w:id="51" w:name="xdx_40F_ecustom--AccruedRebatesAndCopayA"/>
            <w:bookmarkEnd w:id="51"/>
          </w:p>
        </w:tc>
      </w:tr>
      <w:tr>
        <w:trPr/>
        <w:tc>
          <w:tcPr>
            <w:tcW w:w="7010" w:type="dxa"/>
            <w:tcBorders/>
            <w:shd w:fill="CCEEFF" w:val="clear"/>
            <w:vAlign w:val="center"/>
          </w:tcPr>
          <w:p>
            <w:pPr>
              <w:pStyle w:val="TableContents"/>
              <w:bidi w:val="0"/>
              <w:spacing w:before="0" w:after="283"/>
              <w:jc w:val="left"/>
              <w:rPr/>
            </w:pPr>
            <w:r>
              <w:rPr/>
              <w:t>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34,516,000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39,900,000</w:t>
            </w:r>
          </w:p>
        </w:tc>
        <w:tc>
          <w:tcPr>
            <w:tcW w:w="110" w:type="dxa"/>
            <w:tcBorders/>
            <w:shd w:fill="CCEEFF" w:val="clear"/>
            <w:vAlign w:val="center"/>
          </w:tcPr>
          <w:p>
            <w:pPr>
              <w:pStyle w:val="TableContents"/>
              <w:bidi w:val="0"/>
              <w:spacing w:before="0" w:after="283"/>
              <w:jc w:val="left"/>
              <w:rPr/>
            </w:pPr>
            <w:r>
              <w:rPr/>
              <w:t> </w:t>
            </w:r>
            <w:bookmarkStart w:id="52" w:name="xdx_40E_eus-gaap--EmployeeRelatedLiabili"/>
            <w:bookmarkEnd w:id="52"/>
          </w:p>
        </w:tc>
      </w:tr>
      <w:tr>
        <w:trPr/>
        <w:tc>
          <w:tcPr>
            <w:tcW w:w="7010"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9,518,000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9,496,000</w:t>
            </w:r>
          </w:p>
        </w:tc>
        <w:tc>
          <w:tcPr>
            <w:tcW w:w="110" w:type="dxa"/>
            <w:tcBorders/>
            <w:shd w:fill="FFFFFF" w:val="clear"/>
            <w:vAlign w:val="center"/>
          </w:tcPr>
          <w:p>
            <w:pPr>
              <w:pStyle w:val="TableContents"/>
              <w:bidi w:val="0"/>
              <w:spacing w:before="0" w:after="283"/>
              <w:jc w:val="left"/>
              <w:rPr/>
            </w:pPr>
            <w:r>
              <w:rPr/>
              <w:t> </w:t>
            </w:r>
            <w:bookmarkStart w:id="53" w:name="xdx_40D_eus-gaap--ContractWithCustomerLi"/>
            <w:bookmarkEnd w:id="53"/>
          </w:p>
        </w:tc>
      </w:tr>
      <w:tr>
        <w:trPr/>
        <w:tc>
          <w:tcPr>
            <w:tcW w:w="7010"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44,000</w:t>
            </w:r>
          </w:p>
        </w:tc>
        <w:tc>
          <w:tcPr>
            <w:tcW w:w="110" w:type="dxa"/>
            <w:tcBorders/>
            <w:shd w:fill="CCEEFF" w:val="clear"/>
            <w:vAlign w:val="center"/>
          </w:tcPr>
          <w:p>
            <w:pPr>
              <w:pStyle w:val="TableContents"/>
              <w:bidi w:val="0"/>
              <w:spacing w:before="0" w:after="283"/>
              <w:jc w:val="left"/>
              <w:rPr/>
            </w:pPr>
            <w:r>
              <w:rPr/>
              <w:t> </w:t>
            </w:r>
            <w:bookmarkStart w:id="54" w:name="xdx_402_eus-gaap--OperatingLeaseLiabilit"/>
            <w:bookmarkEnd w:id="54"/>
          </w:p>
        </w:tc>
      </w:tr>
      <w:tr>
        <w:trPr/>
        <w:tc>
          <w:tcPr>
            <w:tcW w:w="7010" w:type="dxa"/>
            <w:tcBorders/>
            <w:shd w:fill="FFFFFF" w:val="clear"/>
            <w:vAlign w:val="center"/>
          </w:tcPr>
          <w:p>
            <w:pPr>
              <w:pStyle w:val="TableContents"/>
              <w:bidi w:val="0"/>
              <w:spacing w:before="0" w:after="283"/>
              <w:jc w:val="left"/>
              <w:rPr/>
            </w:pPr>
            <w:r>
              <w:rPr/>
              <w:t>Current portion of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859,000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497,000</w:t>
            </w:r>
          </w:p>
        </w:tc>
        <w:tc>
          <w:tcPr>
            <w:tcW w:w="110" w:type="dxa"/>
            <w:tcBorders/>
            <w:shd w:fill="FFFFFF" w:val="clear"/>
            <w:vAlign w:val="center"/>
          </w:tcPr>
          <w:p>
            <w:pPr>
              <w:pStyle w:val="TableContents"/>
              <w:bidi w:val="0"/>
              <w:spacing w:before="0" w:after="283"/>
              <w:jc w:val="left"/>
              <w:rPr/>
            </w:pPr>
            <w:r>
              <w:rPr/>
              <w:t> </w:t>
            </w:r>
            <w:bookmarkStart w:id="55" w:name="xdx_40D_eus-gaap--LiabilitiesCurrent_i02"/>
            <w:bookmarkEnd w:id="55"/>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65,400,000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91,343,000</w:t>
            </w:r>
          </w:p>
        </w:tc>
        <w:tc>
          <w:tcPr>
            <w:tcW w:w="110" w:type="dxa"/>
            <w:tcBorders/>
            <w:shd w:fill="CCEEFF" w:val="clear"/>
            <w:vAlign w:val="center"/>
          </w:tcPr>
          <w:p>
            <w:pPr>
              <w:pStyle w:val="TableContents"/>
              <w:bidi w:val="0"/>
              <w:spacing w:before="0" w:after="283"/>
              <w:jc w:val="left"/>
              <w:rPr/>
            </w:pPr>
            <w:r>
              <w:rPr/>
              <w:t> </w:t>
            </w:r>
            <w:bookmarkStart w:id="56" w:name="xdx_409_eus-gaap--OperatingLeaseLiabilit"/>
            <w:bookmarkEnd w:id="56"/>
          </w:p>
        </w:tc>
      </w:tr>
      <w:tr>
        <w:trPr/>
        <w:tc>
          <w:tcPr>
            <w:tcW w:w="7010" w:type="dxa"/>
            <w:tcBorders/>
            <w:shd w:fill="FFFFFF" w:val="clear"/>
            <w:vAlign w:val="center"/>
          </w:tcPr>
          <w:p>
            <w:pPr>
              <w:pStyle w:val="TableContents"/>
              <w:bidi w:val="0"/>
              <w:spacing w:before="0" w:after="283"/>
              <w:jc w:val="left"/>
              <w:rPr/>
            </w:pPr>
            <w:r>
              <w:rPr/>
              <w:t>Operating lease obligations,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8,139,000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8,792,000</w:t>
            </w:r>
          </w:p>
        </w:tc>
        <w:tc>
          <w:tcPr>
            <w:tcW w:w="110" w:type="dxa"/>
            <w:tcBorders/>
            <w:shd w:fill="FFFFFF" w:val="clear"/>
            <w:vAlign w:val="center"/>
          </w:tcPr>
          <w:p>
            <w:pPr>
              <w:pStyle w:val="TableContents"/>
              <w:bidi w:val="0"/>
              <w:spacing w:before="0" w:after="283"/>
              <w:jc w:val="left"/>
              <w:rPr/>
            </w:pPr>
            <w:r>
              <w:rPr/>
              <w:t> </w:t>
            </w:r>
            <w:bookmarkStart w:id="57" w:name="xdx_40A_eus-gaap--LongTermNotesPayable_i"/>
            <w:bookmarkEnd w:id="57"/>
          </w:p>
        </w:tc>
      </w:tr>
      <w:tr>
        <w:trPr/>
        <w:tc>
          <w:tcPr>
            <w:tcW w:w="7010" w:type="dxa"/>
            <w:tcBorders/>
            <w:shd w:fill="CCEEFF" w:val="clear"/>
            <w:vAlign w:val="center"/>
          </w:tcPr>
          <w:p>
            <w:pPr>
              <w:pStyle w:val="TableContents"/>
              <w:bidi w:val="0"/>
              <w:spacing w:before="0" w:after="283"/>
              <w:jc w:val="left"/>
              <w:rPr/>
            </w:pPr>
            <w:r>
              <w:rPr/>
              <w:t>Notes payable, net of unamortized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242,874,000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219,539,000</w:t>
            </w:r>
          </w:p>
        </w:tc>
        <w:tc>
          <w:tcPr>
            <w:tcW w:w="110" w:type="dxa"/>
            <w:tcBorders/>
            <w:shd w:fill="CCEEFF" w:val="clear"/>
            <w:vAlign w:val="center"/>
          </w:tcPr>
          <w:p>
            <w:pPr>
              <w:pStyle w:val="TableContents"/>
              <w:bidi w:val="0"/>
              <w:spacing w:before="0" w:after="283"/>
              <w:jc w:val="left"/>
              <w:rPr/>
            </w:pPr>
            <w:r>
              <w:rPr/>
              <w:t> </w:t>
            </w:r>
            <w:bookmarkStart w:id="58" w:name="xdx_400_eus-gaap--Liabilities_i01TI_mtLz"/>
            <w:bookmarkEnd w:id="58"/>
          </w:p>
        </w:tc>
      </w:tr>
      <w:tr>
        <w:trPr/>
        <w:tc>
          <w:tcPr>
            <w:tcW w:w="701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316,413,000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319,674,000</w:t>
            </w:r>
          </w:p>
        </w:tc>
        <w:tc>
          <w:tcPr>
            <w:tcW w:w="110" w:type="dxa"/>
            <w:tcBorders/>
            <w:shd w:fill="FFFFFF" w:val="clear"/>
            <w:vAlign w:val="center"/>
          </w:tcPr>
          <w:p>
            <w:pPr>
              <w:pStyle w:val="TableContents"/>
              <w:bidi w:val="0"/>
              <w:spacing w:before="0" w:after="283"/>
              <w:jc w:val="left"/>
              <w:rPr/>
            </w:pPr>
            <w:r>
              <w:rPr/>
              <w:t> </w:t>
            </w:r>
            <w:bookmarkStart w:id="59" w:name="xdx_402_eus-gaap--CommitmentsAndContinge"/>
            <w:bookmarkEnd w:id="59"/>
          </w:p>
        </w:tc>
      </w:tr>
      <w:tr>
        <w:trPr/>
        <w:tc>
          <w:tcPr>
            <w:tcW w:w="7010"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0" w:name="xdx_402_eus-gaap--StockholdersEquityAbst"/>
            <w:bookmarkEnd w:id="60"/>
          </w:p>
        </w:tc>
      </w:tr>
      <w:tr>
        <w:trPr/>
        <w:tc>
          <w:tcPr>
            <w:tcW w:w="701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1" w:name="xdx_403_eus-gaap--CommonStockValue_i02I_"/>
            <w:bookmarkEnd w:id="61"/>
          </w:p>
        </w:tc>
      </w:tr>
      <w:tr>
        <w:trPr/>
        <w:tc>
          <w:tcPr>
            <w:tcW w:w="7010" w:type="dxa"/>
            <w:tcBorders/>
            <w:shd w:fill="CCEEFF" w:val="clear"/>
            <w:vAlign w:val="center"/>
          </w:tcPr>
          <w:p>
            <w:pPr>
              <w:pStyle w:val="TableContents"/>
              <w:bidi w:val="0"/>
              <w:spacing w:before="0" w:after="283"/>
              <w:jc w:val="left"/>
              <w:rPr/>
            </w:pPr>
            <w:r>
              <w:rPr/>
              <w:t>Common stock, $</w:t>
            </w:r>
            <w:bookmarkStart w:id="62" w:name="xdx_908_eus-gaap--CommonStockParOrStated"/>
            <w:bookmarkStart w:id="63" w:name="xdx_90F_eus-gaap--CommonStockParOrStated"/>
            <w:bookmarkEnd w:id="62"/>
            <w:bookmarkEnd w:id="63"/>
            <w:r>
              <w:rPr/>
              <w:t xml:space="preserve">0.001 par value, </w:t>
            </w:r>
            <w:bookmarkStart w:id="64" w:name="xdx_90A_eus-gaap--CommonStockSharesAutho"/>
            <w:bookmarkStart w:id="65" w:name="xdx_902_eus-gaap--CommonStockSharesAutho"/>
            <w:bookmarkEnd w:id="64"/>
            <w:bookmarkEnd w:id="65"/>
            <w:r>
              <w:rPr/>
              <w:t xml:space="preserve">50,000,000 shares authorized, </w:t>
            </w:r>
            <w:bookmarkStart w:id="66" w:name="xdx_90B_eus-gaap--CommonStockSharesOutst"/>
            <w:bookmarkStart w:id="67" w:name="xdx_90D_eus-gaap--CommonStockSharesIssue"/>
            <w:bookmarkEnd w:id="66"/>
            <w:bookmarkEnd w:id="67"/>
            <w:r>
              <w:rPr/>
              <w:t xml:space="preserve">37,034,582 and </w:t>
            </w:r>
            <w:bookmarkStart w:id="68" w:name="xdx_904_eus-gaap--CommonStockSharesOutst"/>
            <w:bookmarkStart w:id="69" w:name="xdx_90D_eus-gaap--CommonStockSharesIssue"/>
            <w:bookmarkEnd w:id="68"/>
            <w:bookmarkEnd w:id="69"/>
            <w:r>
              <w:rPr/>
              <w:t>35,622,214 shares issued and outstanding at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35,000</w:t>
            </w:r>
          </w:p>
        </w:tc>
        <w:tc>
          <w:tcPr>
            <w:tcW w:w="110" w:type="dxa"/>
            <w:tcBorders/>
            <w:shd w:fill="CCEEFF" w:val="clear"/>
            <w:vAlign w:val="center"/>
          </w:tcPr>
          <w:p>
            <w:pPr>
              <w:pStyle w:val="TableContents"/>
              <w:bidi w:val="0"/>
              <w:spacing w:before="0" w:after="283"/>
              <w:jc w:val="left"/>
              <w:rPr/>
            </w:pPr>
            <w:r>
              <w:rPr/>
              <w:t> </w:t>
            </w:r>
            <w:bookmarkStart w:id="70" w:name="xdx_401_eus-gaap--AdditionalPaidInCapita"/>
            <w:bookmarkEnd w:id="70"/>
          </w:p>
        </w:tc>
      </w:tr>
      <w:tr>
        <w:trPr/>
        <w:tc>
          <w:tcPr>
            <w:tcW w:w="701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210,129,000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221,002,000</w:t>
            </w:r>
          </w:p>
        </w:tc>
        <w:tc>
          <w:tcPr>
            <w:tcW w:w="110" w:type="dxa"/>
            <w:tcBorders/>
            <w:shd w:fill="FFFFFF" w:val="clear"/>
            <w:vAlign w:val="center"/>
          </w:tcPr>
          <w:p>
            <w:pPr>
              <w:pStyle w:val="TableContents"/>
              <w:bidi w:val="0"/>
              <w:spacing w:before="0" w:after="283"/>
              <w:jc w:val="left"/>
              <w:rPr/>
            </w:pPr>
            <w:r>
              <w:rPr/>
              <w:t> </w:t>
            </w:r>
            <w:bookmarkStart w:id="71" w:name="xdx_40B_eus-gaap--RetainedEarningsAccumu"/>
            <w:bookmarkEnd w:id="71"/>
          </w:p>
        </w:tc>
      </w:tr>
      <w:tr>
        <w:trPr/>
        <w:tc>
          <w:tcPr>
            <w:tcW w:w="70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(163,150,000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(151,385,000</w:t>
            </w:r>
          </w:p>
        </w:tc>
        <w:tc>
          <w:tcPr>
            <w:tcW w:w="110" w:type="dxa"/>
            <w:tcBorders/>
            <w:shd w:fill="CCEEFF" w:val="clear"/>
            <w:vAlign w:val="center"/>
          </w:tcPr>
          <w:p>
            <w:pPr>
              <w:pStyle w:val="TableContents"/>
              <w:bidi w:val="0"/>
              <w:spacing w:before="0" w:after="283"/>
              <w:jc w:val="left"/>
              <w:rPr/>
            </w:pPr>
            <w:r>
              <w:rPr/>
              <w:t>)</w:t>
            </w:r>
            <w:bookmarkStart w:id="72" w:name="xdx_401_eus-gaap--StockholdersEquity_i02"/>
            <w:bookmarkEnd w:id="72"/>
          </w:p>
        </w:tc>
      </w:tr>
      <w:tr>
        <w:trPr/>
        <w:tc>
          <w:tcPr>
            <w:tcW w:w="7010" w:type="dxa"/>
            <w:tcBorders/>
            <w:shd w:fill="FFFFFF" w:val="clear"/>
            <w:vAlign w:val="center"/>
          </w:tcPr>
          <w:p>
            <w:pPr>
              <w:pStyle w:val="TableContents"/>
              <w:bidi w:val="0"/>
              <w:spacing w:before="0" w:after="283"/>
              <w:jc w:val="left"/>
              <w:rPr/>
            </w:pPr>
            <w:r>
              <w:rPr/>
              <w:t>TOTAL HARROW, INC.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47,016,000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69,652,000</w:t>
            </w:r>
          </w:p>
        </w:tc>
        <w:tc>
          <w:tcPr>
            <w:tcW w:w="110" w:type="dxa"/>
            <w:tcBorders/>
            <w:shd w:fill="FFFFFF" w:val="clear"/>
            <w:vAlign w:val="center"/>
          </w:tcPr>
          <w:p>
            <w:pPr>
              <w:pStyle w:val="TableContents"/>
              <w:bidi w:val="0"/>
              <w:spacing w:before="0" w:after="283"/>
              <w:jc w:val="left"/>
              <w:rPr/>
            </w:pPr>
            <w:r>
              <w:rPr/>
              <w:t> </w:t>
            </w:r>
            <w:bookmarkStart w:id="73" w:name="xdx_408_eus-gaap--MinorityInterest_i02I_"/>
            <w:bookmarkEnd w:id="73"/>
          </w:p>
        </w:tc>
      </w:tr>
      <w:tr>
        <w:trPr/>
        <w:tc>
          <w:tcPr>
            <w:tcW w:w="7010"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(355,000</w:t>
            </w:r>
          </w:p>
        </w:tc>
        <w:tc>
          <w:tcPr>
            <w:tcW w:w="110" w:type="dxa"/>
            <w:tcBorders/>
            <w:shd w:fill="CCEEFF" w:val="clear"/>
            <w:vAlign w:val="center"/>
          </w:tcPr>
          <w:p>
            <w:pPr>
              <w:pStyle w:val="TableContents"/>
              <w:bidi w:val="0"/>
              <w:spacing w:before="0" w:after="283"/>
              <w:jc w:val="left"/>
              <w:rPr/>
            </w:pPr>
            <w:r>
              <w:rPr/>
              <w:t>)</w:t>
            </w:r>
            <w:bookmarkStart w:id="74" w:name="xdx_402_eus-gaap--StockholdersEquityIncl"/>
            <w:bookmarkEnd w:id="74"/>
          </w:p>
        </w:tc>
      </w:tr>
      <w:tr>
        <w:trPr/>
        <w:tc>
          <w:tcPr>
            <w:tcW w:w="701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46,661,000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69,297,000</w:t>
            </w:r>
          </w:p>
        </w:tc>
        <w:tc>
          <w:tcPr>
            <w:tcW w:w="110" w:type="dxa"/>
            <w:tcBorders/>
            <w:shd w:fill="FFFFFF" w:val="clear"/>
            <w:vAlign w:val="center"/>
          </w:tcPr>
          <w:p>
            <w:pPr>
              <w:pStyle w:val="TableContents"/>
              <w:bidi w:val="0"/>
              <w:spacing w:before="0" w:after="283"/>
              <w:jc w:val="left"/>
              <w:rPr/>
            </w:pPr>
            <w:r>
              <w:rPr/>
              <w:t> </w:t>
            </w:r>
            <w:bookmarkStart w:id="75" w:name="xdx_408_eus-gaap--LiabilitiesAndStockhol"/>
            <w:bookmarkEnd w:id="75"/>
          </w:p>
        </w:tc>
      </w:tr>
      <w:tr>
        <w:trPr/>
        <w:tc>
          <w:tcPr>
            <w:tcW w:w="701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363,074,000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388,971,000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108"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6" w:name="xdx_30D_113_zE0h1ugb73ui"/>
      <w:bookmarkStart w:id="77" w:name="xdx_30D_113_zE0h1ugb73ui"/>
      <w:bookmarkEnd w:id="77"/>
    </w:p>
    <w:tbl>
      <w:tblPr>
        <w:tblW w:w="10205" w:type="dxa"/>
        <w:jc w:val="left"/>
        <w:tblInd w:w="0" w:type="dxa"/>
        <w:tblLayout w:type="fixed"/>
        <w:tblCellMar>
          <w:top w:w="0" w:type="dxa"/>
          <w:left w:w="0" w:type="dxa"/>
          <w:bottom w:w="0" w:type="dxa"/>
          <w:right w:w="0" w:type="dxa"/>
        </w:tblCellMar>
      </w:tblPr>
      <w:tblGrid>
        <w:gridCol w:w="4261"/>
        <w:gridCol w:w="60"/>
        <w:gridCol w:w="140"/>
        <w:gridCol w:w="1183"/>
        <w:gridCol w:w="95"/>
        <w:gridCol w:w="60"/>
        <w:gridCol w:w="140"/>
        <w:gridCol w:w="1122"/>
        <w:gridCol w:w="95"/>
        <w:gridCol w:w="60"/>
        <w:gridCol w:w="140"/>
        <w:gridCol w:w="1220"/>
        <w:gridCol w:w="95"/>
        <w:gridCol w:w="60"/>
        <w:gridCol w:w="140"/>
        <w:gridCol w:w="1220"/>
        <w:gridCol w:w="114"/>
      </w:tblGrid>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 w:name="xdx_49F_20250701__20250930_zN0wD9njKcx8"/>
            <w:bookmarkEnd w:id="78"/>
          </w:p>
        </w:tc>
        <w:tc>
          <w:tcPr>
            <w:tcW w:w="132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6_20240701__20240930_zaopS14wxpA5"/>
            <w:bookmarkEnd w:id="79"/>
          </w:p>
        </w:tc>
        <w:tc>
          <w:tcPr>
            <w:tcW w:w="126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 w:name="xdx_495_20250101__20250930_zHOntE1MEtj7"/>
            <w:bookmarkEnd w:id="80"/>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 w:name="xdx_499_20240101__20240930_zzRY1sldY4W5"/>
            <w:bookmarkEnd w:id="81"/>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4" w:type="dxa"/>
            <w:tcBorders/>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6"/>
            <w:tcBorders/>
            <w:vAlign w:val="center"/>
          </w:tcPr>
          <w:p>
            <w:pPr>
              <w:pStyle w:val="TableContents"/>
              <w:bidi w:val="0"/>
              <w:spacing w:before="0" w:after="283"/>
              <w:jc w:val="center"/>
              <w:rPr/>
            </w:pPr>
            <w:r>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pPr>
            <w:r>
              <w:rPr/>
              <w:t>For the Nine Months Ended</w:t>
            </w:r>
          </w:p>
        </w:tc>
        <w:tc>
          <w:tcPr>
            <w:tcW w:w="114" w:type="dxa"/>
            <w:tcBorders/>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114" w:type="dxa"/>
            <w:tcBorders/>
            <w:vAlign w:val="center"/>
          </w:tcPr>
          <w:p>
            <w:pPr>
              <w:pStyle w:val="TableContents"/>
              <w:bidi w:val="0"/>
              <w:spacing w:before="0" w:after="283"/>
              <w:jc w:val="left"/>
              <w:rPr/>
            </w:pPr>
            <w:r>
              <w:rPr/>
              <w:t> </w:t>
            </w:r>
          </w:p>
        </w:tc>
      </w:tr>
      <w:tr>
        <w:trPr/>
        <w:tc>
          <w:tcPr>
            <w:tcW w:w="4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4" w:type="dxa"/>
            <w:tcBorders/>
            <w:vAlign w:val="center"/>
          </w:tcPr>
          <w:p>
            <w:pPr>
              <w:pStyle w:val="TableContents"/>
              <w:bidi w:val="0"/>
              <w:spacing w:before="0" w:after="283"/>
              <w:jc w:val="left"/>
              <w:rPr/>
            </w:pPr>
            <w:r>
              <w:rPr/>
              <w:t> </w:t>
            </w:r>
            <w:bookmarkStart w:id="82" w:name="xdx_401_eus-gaap--RevenuesAbstract_iB_zO"/>
            <w:bookmarkEnd w:id="82"/>
          </w:p>
        </w:tc>
      </w:tr>
      <w:tr>
        <w:trPr/>
        <w:tc>
          <w:tcPr>
            <w:tcW w:w="4261"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323"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2"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0" w:type="dxa"/>
            <w:gridSpan w:val="2"/>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bookmarkStart w:id="83" w:name="xdx_40B_eus-gaap--RevenueFromContractWit"/>
            <w:bookmarkEnd w:id="83"/>
          </w:p>
        </w:tc>
      </w:tr>
      <w:tr>
        <w:trPr/>
        <w:tc>
          <w:tcPr>
            <w:tcW w:w="4261" w:type="dxa"/>
            <w:tcBorders/>
            <w:shd w:fill="FFFFFF" w:val="clear"/>
            <w:vAlign w:val="center"/>
          </w:tcPr>
          <w:p>
            <w:pPr>
              <w:pStyle w:val="TableContents"/>
              <w:bidi w:val="0"/>
              <w:spacing w:before="0" w:after="283"/>
              <w:jc w:val="left"/>
              <w:rPr/>
            </w:pPr>
            <w:r>
              <w:rPr/>
              <w:t>Product sales,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83" w:type="dxa"/>
            <w:tcBorders/>
            <w:shd w:fill="FFFFFF" w:val="clear"/>
            <w:vAlign w:val="center"/>
          </w:tcPr>
          <w:p>
            <w:pPr>
              <w:pStyle w:val="TableContents"/>
              <w:bidi w:val="0"/>
              <w:spacing w:before="0" w:after="283"/>
              <w:jc w:val="right"/>
              <w:rPr/>
            </w:pPr>
            <w:r>
              <w:rPr/>
              <w:t>71,497,000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22" w:type="dxa"/>
            <w:tcBorders/>
            <w:shd w:fill="FFFFFF" w:val="clear"/>
            <w:vAlign w:val="center"/>
          </w:tcPr>
          <w:p>
            <w:pPr>
              <w:pStyle w:val="TableContents"/>
              <w:bidi w:val="0"/>
              <w:spacing w:before="0" w:after="283"/>
              <w:jc w:val="right"/>
              <w:rPr/>
            </w:pPr>
            <w:r>
              <w:rPr/>
              <w:t>49,019,000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182,899,000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132,398,000</w:t>
            </w:r>
          </w:p>
        </w:tc>
        <w:tc>
          <w:tcPr>
            <w:tcW w:w="114" w:type="dxa"/>
            <w:tcBorders/>
            <w:shd w:fill="FFFFFF" w:val="clear"/>
            <w:vAlign w:val="center"/>
          </w:tcPr>
          <w:p>
            <w:pPr>
              <w:pStyle w:val="TableContents"/>
              <w:bidi w:val="0"/>
              <w:spacing w:before="0" w:after="283"/>
              <w:jc w:val="left"/>
              <w:rPr/>
            </w:pPr>
            <w:r>
              <w:rPr/>
              <w:t> </w:t>
            </w:r>
            <w:bookmarkStart w:id="84" w:name="xdx_401_eus-gaap--RevenueFromContractWit"/>
            <w:bookmarkEnd w:id="84"/>
          </w:p>
        </w:tc>
      </w:tr>
      <w:tr>
        <w:trPr/>
        <w:tc>
          <w:tcPr>
            <w:tcW w:w="4261" w:type="dxa"/>
            <w:tcBorders/>
            <w:shd w:fill="CCEEFF" w:val="clear"/>
            <w:vAlign w:val="center"/>
          </w:tcPr>
          <w:p>
            <w:pPr>
              <w:pStyle w:val="TableContents"/>
              <w:bidi w:val="0"/>
              <w:spacing w:before="0" w:after="283"/>
              <w:jc w:val="left"/>
              <w:rPr/>
            </w:pPr>
            <w:r>
              <w:rPr/>
              <w:t>Other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141,000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238,000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312,000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385,000</w:t>
            </w:r>
          </w:p>
        </w:tc>
        <w:tc>
          <w:tcPr>
            <w:tcW w:w="114" w:type="dxa"/>
            <w:tcBorders/>
            <w:shd w:fill="CCEEFF" w:val="clear"/>
            <w:vAlign w:val="center"/>
          </w:tcPr>
          <w:p>
            <w:pPr>
              <w:pStyle w:val="TableContents"/>
              <w:bidi w:val="0"/>
              <w:spacing w:before="0" w:after="283"/>
              <w:jc w:val="left"/>
              <w:rPr/>
            </w:pPr>
            <w:r>
              <w:rPr/>
              <w:t> </w:t>
            </w:r>
            <w:bookmarkStart w:id="85" w:name="xdx_405_eus-gaap--RevenueFromContractWit"/>
            <w:bookmarkEnd w:id="85"/>
          </w:p>
        </w:tc>
      </w:tr>
      <w:tr>
        <w:trPr/>
        <w:tc>
          <w:tcPr>
            <w:tcW w:w="4261"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71,638,000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49,257,000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183,211,000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132,783,000</w:t>
            </w:r>
          </w:p>
        </w:tc>
        <w:tc>
          <w:tcPr>
            <w:tcW w:w="114" w:type="dxa"/>
            <w:tcBorders/>
            <w:shd w:fill="FFFFFF" w:val="clear"/>
            <w:vAlign w:val="center"/>
          </w:tcPr>
          <w:p>
            <w:pPr>
              <w:pStyle w:val="TableContents"/>
              <w:bidi w:val="0"/>
              <w:spacing w:before="0" w:after="283"/>
              <w:jc w:val="left"/>
              <w:rPr/>
            </w:pPr>
            <w:r>
              <w:rPr/>
              <w:t> </w:t>
            </w:r>
            <w:bookmarkStart w:id="86" w:name="xdx_409_eus-gaap--CostOfGoodsAndServices"/>
            <w:bookmarkEnd w:id="86"/>
          </w:p>
        </w:tc>
      </w:tr>
      <w:tr>
        <w:trPr/>
        <w:tc>
          <w:tcPr>
            <w:tcW w:w="4261"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(17,712,000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(12,018000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(49,466,000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(35,110,000</w:t>
            </w:r>
          </w:p>
        </w:tc>
        <w:tc>
          <w:tcPr>
            <w:tcW w:w="114" w:type="dxa"/>
            <w:tcBorders/>
            <w:shd w:fill="CCEEFF" w:val="clear"/>
            <w:vAlign w:val="center"/>
          </w:tcPr>
          <w:p>
            <w:pPr>
              <w:pStyle w:val="TableContents"/>
              <w:bidi w:val="0"/>
              <w:spacing w:before="0" w:after="283"/>
              <w:jc w:val="left"/>
              <w:rPr/>
            </w:pPr>
            <w:r>
              <w:rPr/>
              <w:t>)</w:t>
            </w:r>
            <w:bookmarkStart w:id="87" w:name="xdx_403_eus-gaap--GrossProfit_iT_mtGPzVp"/>
            <w:bookmarkEnd w:id="87"/>
          </w:p>
        </w:tc>
      </w:tr>
      <w:tr>
        <w:trPr/>
        <w:tc>
          <w:tcPr>
            <w:tcW w:w="4261"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53,926,000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FFFFFF" w:val="clear"/>
            <w:tcMar>
              <w:bottom w:w="28" w:type="dxa"/>
            </w:tcMar>
            <w:vAlign w:val="center"/>
          </w:tcPr>
          <w:p>
            <w:pPr>
              <w:pStyle w:val="TableContents"/>
              <w:bidi w:val="0"/>
              <w:spacing w:before="0" w:after="283"/>
              <w:jc w:val="right"/>
              <w:rPr/>
            </w:pPr>
            <w:r>
              <w:rPr/>
              <w:t>37,239,000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133,745,000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97,673,000</w:t>
            </w:r>
          </w:p>
        </w:tc>
        <w:tc>
          <w:tcPr>
            <w:tcW w:w="114" w:type="dxa"/>
            <w:tcBorders/>
            <w:shd w:fill="FFFFFF" w:val="clear"/>
            <w:vAlign w:val="center"/>
          </w:tcPr>
          <w:p>
            <w:pPr>
              <w:pStyle w:val="TableContents"/>
              <w:bidi w:val="0"/>
              <w:spacing w:before="0" w:after="283"/>
              <w:jc w:val="left"/>
              <w:rPr/>
            </w:pPr>
            <w:r>
              <w:rPr/>
              <w:t> </w:t>
            </w:r>
            <w:bookmarkStart w:id="88" w:name="xdx_400_eus-gaap--OperatingExpensesAbstr"/>
            <w:bookmarkEnd w:id="88"/>
          </w:p>
        </w:tc>
      </w:tr>
      <w:tr>
        <w:trPr/>
        <w:tc>
          <w:tcPr>
            <w:tcW w:w="4261"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9" w:name="xdx_406_eus-gaap--SellingGeneralAndAdmin"/>
            <w:bookmarkEnd w:id="89"/>
          </w:p>
        </w:tc>
      </w:tr>
      <w:tr>
        <w:trPr/>
        <w:tc>
          <w:tcPr>
            <w:tcW w:w="4261"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35,856,000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33,645,000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109,604,000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94,275,000</w:t>
            </w:r>
          </w:p>
        </w:tc>
        <w:tc>
          <w:tcPr>
            <w:tcW w:w="114" w:type="dxa"/>
            <w:tcBorders/>
            <w:shd w:fill="FFFFFF" w:val="clear"/>
            <w:vAlign w:val="center"/>
          </w:tcPr>
          <w:p>
            <w:pPr>
              <w:pStyle w:val="TableContents"/>
              <w:bidi w:val="0"/>
              <w:spacing w:before="0" w:after="283"/>
              <w:jc w:val="left"/>
              <w:rPr/>
            </w:pPr>
            <w:r>
              <w:rPr/>
              <w:t> </w:t>
            </w:r>
            <w:bookmarkStart w:id="90" w:name="xdx_406_eus-gaap--ResearchAndDevelopment"/>
            <w:bookmarkEnd w:id="90"/>
          </w:p>
        </w:tc>
      </w:tr>
      <w:tr>
        <w:trPr/>
        <w:tc>
          <w:tcPr>
            <w:tcW w:w="4261"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3,323,000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2,273,000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9,217,000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7,475,000</w:t>
            </w:r>
          </w:p>
        </w:tc>
        <w:tc>
          <w:tcPr>
            <w:tcW w:w="114" w:type="dxa"/>
            <w:tcBorders/>
            <w:shd w:fill="CCEEFF" w:val="clear"/>
            <w:vAlign w:val="center"/>
          </w:tcPr>
          <w:p>
            <w:pPr>
              <w:pStyle w:val="TableContents"/>
              <w:bidi w:val="0"/>
              <w:spacing w:before="0" w:after="283"/>
              <w:jc w:val="left"/>
              <w:rPr/>
            </w:pPr>
            <w:r>
              <w:rPr/>
              <w:t> </w:t>
            </w:r>
            <w:bookmarkStart w:id="91" w:name="xdx_400_eus-gaap--OperatingExpenses_i01T"/>
            <w:bookmarkEnd w:id="91"/>
          </w:p>
        </w:tc>
      </w:tr>
      <w:tr>
        <w:trPr/>
        <w:tc>
          <w:tcPr>
            <w:tcW w:w="426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39,179,000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FFFFFF" w:val="clear"/>
            <w:tcMar>
              <w:bottom w:w="28" w:type="dxa"/>
            </w:tcMar>
            <w:vAlign w:val="center"/>
          </w:tcPr>
          <w:p>
            <w:pPr>
              <w:pStyle w:val="TableContents"/>
              <w:bidi w:val="0"/>
              <w:spacing w:before="0" w:after="283"/>
              <w:jc w:val="right"/>
              <w:rPr/>
            </w:pPr>
            <w:r>
              <w:rPr/>
              <w:t>35,918,000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118,821,000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101,750,000</w:t>
            </w:r>
          </w:p>
        </w:tc>
        <w:tc>
          <w:tcPr>
            <w:tcW w:w="114" w:type="dxa"/>
            <w:tcBorders/>
            <w:shd w:fill="FFFFFF" w:val="clear"/>
            <w:vAlign w:val="center"/>
          </w:tcPr>
          <w:p>
            <w:pPr>
              <w:pStyle w:val="TableContents"/>
              <w:bidi w:val="0"/>
              <w:spacing w:before="0" w:after="283"/>
              <w:jc w:val="left"/>
              <w:rPr/>
            </w:pPr>
            <w:r>
              <w:rPr/>
              <w:t> </w:t>
            </w:r>
            <w:bookmarkStart w:id="92" w:name="xdx_40F_eus-gaap--OperatingIncomeLoss_iT"/>
            <w:bookmarkEnd w:id="92"/>
          </w:p>
        </w:tc>
      </w:tr>
      <w:tr>
        <w:trPr/>
        <w:tc>
          <w:tcPr>
            <w:tcW w:w="4261"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14,747,000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1,321,000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14,924,000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(4,077,000</w:t>
            </w:r>
          </w:p>
        </w:tc>
        <w:tc>
          <w:tcPr>
            <w:tcW w:w="114" w:type="dxa"/>
            <w:tcBorders/>
            <w:shd w:fill="CCEEFF" w:val="clear"/>
            <w:vAlign w:val="center"/>
          </w:tcPr>
          <w:p>
            <w:pPr>
              <w:pStyle w:val="TableContents"/>
              <w:bidi w:val="0"/>
              <w:spacing w:before="0" w:after="283"/>
              <w:jc w:val="left"/>
              <w:rPr/>
            </w:pPr>
            <w:r>
              <w:rPr/>
              <w:t>)</w:t>
            </w:r>
            <w:bookmarkStart w:id="93" w:name="xdx_404_eus-gaap--NonoperatingIncomeExpe"/>
            <w:bookmarkEnd w:id="93"/>
          </w:p>
        </w:tc>
      </w:tr>
      <w:tr>
        <w:trPr/>
        <w:tc>
          <w:tcPr>
            <w:tcW w:w="4261"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94" w:name="xdx_408_eus-gaap--InterestExpenseNonoper"/>
            <w:bookmarkEnd w:id="94"/>
          </w:p>
        </w:tc>
      </w:tr>
      <w:tr>
        <w:trPr/>
        <w:tc>
          <w:tcPr>
            <w:tcW w:w="4261"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(6,038,000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(5,525,000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(18,994,000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(16,411,000</w:t>
            </w:r>
          </w:p>
        </w:tc>
        <w:tc>
          <w:tcPr>
            <w:tcW w:w="114" w:type="dxa"/>
            <w:tcBorders/>
            <w:shd w:fill="CCEEFF" w:val="clear"/>
            <w:vAlign w:val="center"/>
          </w:tcPr>
          <w:p>
            <w:pPr>
              <w:pStyle w:val="TableContents"/>
              <w:bidi w:val="0"/>
              <w:spacing w:before="0" w:after="283"/>
              <w:jc w:val="left"/>
              <w:rPr/>
            </w:pPr>
            <w:r>
              <w:rPr/>
              <w:t>)</w:t>
            </w:r>
            <w:bookmarkStart w:id="95" w:name="xdx_400_eus-gaap--GainLossOnInvestments_"/>
            <w:bookmarkEnd w:id="95"/>
          </w:p>
        </w:tc>
      </w:tr>
      <w:tr>
        <w:trPr/>
        <w:tc>
          <w:tcPr>
            <w:tcW w:w="4261" w:type="dxa"/>
            <w:tcBorders/>
            <w:shd w:fill="FFFFFF" w:val="clear"/>
            <w:vAlign w:val="center"/>
          </w:tcPr>
          <w:p>
            <w:pPr>
              <w:pStyle w:val="TableContents"/>
              <w:bidi w:val="0"/>
              <w:spacing w:before="0" w:after="283"/>
              <w:jc w:val="left"/>
              <w:rPr/>
            </w:pPr>
            <w:r>
              <w:rPr/>
              <w:t>Investment loss from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(3,171,000</w:t>
            </w:r>
          </w:p>
        </w:tc>
        <w:tc>
          <w:tcPr>
            <w:tcW w:w="114" w:type="dxa"/>
            <w:tcBorders/>
            <w:shd w:fill="FFFFFF" w:val="clear"/>
            <w:vAlign w:val="center"/>
          </w:tcPr>
          <w:p>
            <w:pPr>
              <w:pStyle w:val="TableContents"/>
              <w:bidi w:val="0"/>
              <w:spacing w:before="0" w:after="283"/>
              <w:jc w:val="left"/>
              <w:rPr/>
            </w:pPr>
            <w:r>
              <w:rPr/>
              <w:t>)</w:t>
            </w:r>
            <w:bookmarkStart w:id="96" w:name="xdx_404_eus-gaap--GainsLossesOnExtinguis"/>
            <w:bookmarkEnd w:id="96"/>
          </w:p>
        </w:tc>
      </w:tr>
      <w:tr>
        <w:trPr/>
        <w:tc>
          <w:tcPr>
            <w:tcW w:w="4261"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(7,750,000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7" w:name="xdx_408_eus-gaap--OtherNonoperatingIncom"/>
            <w:bookmarkEnd w:id="97"/>
          </w:p>
        </w:tc>
      </w:tr>
      <w:tr>
        <w:trPr/>
        <w:tc>
          <w:tcPr>
            <w:tcW w:w="4261"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FFFFFF" w:val="clear"/>
            <w:tcMar>
              <w:bottom w:w="28" w:type="dxa"/>
            </w:tcM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76,000</w:t>
            </w:r>
          </w:p>
        </w:tc>
        <w:tc>
          <w:tcPr>
            <w:tcW w:w="114" w:type="dxa"/>
            <w:tcBorders/>
            <w:shd w:fill="FFFFFF" w:val="clear"/>
            <w:vAlign w:val="center"/>
          </w:tcPr>
          <w:p>
            <w:pPr>
              <w:pStyle w:val="TableContents"/>
              <w:bidi w:val="0"/>
              <w:spacing w:before="0" w:after="283"/>
              <w:jc w:val="left"/>
              <w:rPr/>
            </w:pPr>
            <w:r>
              <w:rPr/>
              <w:t> </w:t>
            </w:r>
            <w:bookmarkStart w:id="98" w:name="xdx_406_eus-gaap--NonoperatingIncomeExpe"/>
            <w:bookmarkEnd w:id="98"/>
          </w:p>
        </w:tc>
      </w:tr>
      <w:tr>
        <w:trPr/>
        <w:tc>
          <w:tcPr>
            <w:tcW w:w="4261"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(13,727,000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(5,521,000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(26,689,000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(19,506,000</w:t>
            </w:r>
          </w:p>
        </w:tc>
        <w:tc>
          <w:tcPr>
            <w:tcW w:w="114" w:type="dxa"/>
            <w:tcBorders/>
            <w:shd w:fill="CCEEFF" w:val="clear"/>
            <w:vAlign w:val="center"/>
          </w:tcPr>
          <w:p>
            <w:pPr>
              <w:pStyle w:val="TableContents"/>
              <w:bidi w:val="0"/>
              <w:spacing w:before="0" w:after="283"/>
              <w:jc w:val="left"/>
              <w:rPr/>
            </w:pPr>
            <w:r>
              <w:rPr/>
              <w:t>)</w:t>
            </w:r>
            <w:bookmarkStart w:id="99" w:name="xdx_405_eus-gaap--IncomeLossFromContinui"/>
            <w:bookmarkEnd w:id="99"/>
          </w:p>
        </w:tc>
      </w:tr>
      <w:tr>
        <w:trPr/>
        <w:tc>
          <w:tcPr>
            <w:tcW w:w="4261" w:type="dxa"/>
            <w:tcBorders/>
            <w:shd w:fill="FFFFFF" w:val="clear"/>
            <w:vAlign w:val="center"/>
          </w:tcPr>
          <w:p>
            <w:pPr>
              <w:pStyle w:val="TableContents"/>
              <w:bidi w:val="0"/>
              <w:spacing w:before="0" w:after="283"/>
              <w:jc w:val="left"/>
              <w:rPr/>
            </w:pPr>
            <w:r>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1,020,000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(4,200,000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(11,765,000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(23,583,000</w:t>
            </w:r>
          </w:p>
        </w:tc>
        <w:tc>
          <w:tcPr>
            <w:tcW w:w="114" w:type="dxa"/>
            <w:tcBorders/>
            <w:shd w:fill="FFFFFF" w:val="clear"/>
            <w:vAlign w:val="center"/>
          </w:tcPr>
          <w:p>
            <w:pPr>
              <w:pStyle w:val="TableContents"/>
              <w:bidi w:val="0"/>
              <w:spacing w:before="0" w:after="283"/>
              <w:jc w:val="left"/>
              <w:rPr/>
            </w:pPr>
            <w:r>
              <w:rPr/>
              <w:t>)</w:t>
            </w:r>
            <w:bookmarkStart w:id="100" w:name="xdx_401_eus-gaap--IncomeTaxExpenseBenefi"/>
            <w:bookmarkEnd w:id="100"/>
          </w:p>
        </w:tc>
      </w:tr>
      <w:tr>
        <w:trPr/>
        <w:tc>
          <w:tcPr>
            <w:tcW w:w="4261"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(675,000</w:t>
            </w:r>
          </w:p>
        </w:tc>
        <w:tc>
          <w:tcPr>
            <w:tcW w:w="114" w:type="dxa"/>
            <w:tcBorders/>
            <w:shd w:fill="CCEEFF" w:val="clear"/>
            <w:vAlign w:val="center"/>
          </w:tcPr>
          <w:p>
            <w:pPr>
              <w:pStyle w:val="TableContents"/>
              <w:bidi w:val="0"/>
              <w:spacing w:before="0" w:after="283"/>
              <w:jc w:val="left"/>
              <w:rPr/>
            </w:pPr>
            <w:r>
              <w:rPr/>
              <w:t>)</w:t>
            </w:r>
            <w:bookmarkStart w:id="101" w:name="xdx_40F_eus-gaap--NetIncomeLoss_i01T_mtN"/>
            <w:bookmarkEnd w:id="101"/>
          </w:p>
        </w:tc>
      </w:tr>
      <w:tr>
        <w:trPr/>
        <w:tc>
          <w:tcPr>
            <w:tcW w:w="4261"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r>
              <w:rPr/>
              <w:t>1,020,000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pPr>
            <w:r>
              <w:rPr/>
              <w:t>(4,220,000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(11,765,000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(24,258,000</w:t>
            </w:r>
          </w:p>
        </w:tc>
        <w:tc>
          <w:tcPr>
            <w:tcW w:w="114" w:type="dxa"/>
            <w:tcBorders/>
            <w:shd w:fill="FFFFFF" w:val="clear"/>
            <w:vAlign w:val="center"/>
          </w:tcPr>
          <w:p>
            <w:pPr>
              <w:pStyle w:val="TableContents"/>
              <w:bidi w:val="0"/>
              <w:spacing w:before="0" w:after="283"/>
              <w:jc w:val="left"/>
              <w:rPr/>
            </w:pPr>
            <w:r>
              <w:rPr/>
              <w:t>)</w:t>
            </w:r>
            <w:bookmarkStart w:id="102" w:name="xdx_401_eus-gaap--EarningsPerShareBasic_"/>
            <w:bookmarkEnd w:id="102"/>
          </w:p>
        </w:tc>
      </w:tr>
      <w:tr>
        <w:trPr/>
        <w:tc>
          <w:tcPr>
            <w:tcW w:w="4261" w:type="dxa"/>
            <w:tcBorders/>
            <w:shd w:fill="CCEEFF" w:val="clear"/>
            <w:vAlign w:val="center"/>
          </w:tcPr>
          <w:p>
            <w:pPr>
              <w:pStyle w:val="TableContents"/>
              <w:bidi w:val="0"/>
              <w:spacing w:before="0" w:after="283"/>
              <w:jc w:val="left"/>
              <w:rPr/>
            </w:pPr>
            <w:r>
              <w:rPr/>
              <w:t>Basic net income (loss)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6" w:space="0" w:color="000000"/>
            </w:tcBorders>
            <w:shd w:fill="CCEEFF" w:val="clear"/>
            <w:tcMar>
              <w:bottom w:w="28" w:type="dxa"/>
            </w:tcM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(0.68</w:t>
            </w:r>
          </w:p>
        </w:tc>
        <w:tc>
          <w:tcPr>
            <w:tcW w:w="114" w:type="dxa"/>
            <w:tcBorders/>
            <w:shd w:fill="CCEEFF" w:val="clear"/>
            <w:vAlign w:val="center"/>
          </w:tcPr>
          <w:p>
            <w:pPr>
              <w:pStyle w:val="TableContents"/>
              <w:bidi w:val="0"/>
              <w:spacing w:before="0" w:after="283"/>
              <w:jc w:val="left"/>
              <w:rPr/>
            </w:pPr>
            <w:r>
              <w:rPr/>
              <w:t>)</w:t>
            </w:r>
            <w:bookmarkStart w:id="103" w:name="xdx_401_eus-gaap--EarningsPerShareDilute"/>
            <w:bookmarkEnd w:id="103"/>
          </w:p>
        </w:tc>
      </w:tr>
      <w:tr>
        <w:trPr/>
        <w:tc>
          <w:tcPr>
            <w:tcW w:w="4261" w:type="dxa"/>
            <w:tcBorders/>
            <w:shd w:fill="FFFFFF" w:val="clear"/>
            <w:vAlign w:val="center"/>
          </w:tcPr>
          <w:p>
            <w:pPr>
              <w:pStyle w:val="TableContents"/>
              <w:bidi w:val="0"/>
              <w:spacing w:before="0" w:after="283"/>
              <w:jc w:val="left"/>
              <w:rPr/>
            </w:pPr>
            <w:r>
              <w:rPr/>
              <w:t>Diluted net income (loss)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(0.68</w:t>
            </w:r>
          </w:p>
        </w:tc>
        <w:tc>
          <w:tcPr>
            <w:tcW w:w="114" w:type="dxa"/>
            <w:tcBorders/>
            <w:shd w:fill="FFFFFF" w:val="clear"/>
            <w:vAlign w:val="center"/>
          </w:tcPr>
          <w:p>
            <w:pPr>
              <w:pStyle w:val="TableContents"/>
              <w:bidi w:val="0"/>
              <w:spacing w:before="0" w:after="283"/>
              <w:jc w:val="left"/>
              <w:rPr/>
            </w:pPr>
            <w:r>
              <w:rPr/>
              <w:t>)</w:t>
            </w:r>
            <w:bookmarkStart w:id="104" w:name="xdx_40E_eus-gaap--WeightedAverageNumberO"/>
            <w:bookmarkEnd w:id="104"/>
          </w:p>
        </w:tc>
      </w:tr>
      <w:tr>
        <w:trPr/>
        <w:tc>
          <w:tcPr>
            <w:tcW w:w="4261" w:type="dxa"/>
            <w:tcBorders/>
            <w:shd w:fill="CCEEFF" w:val="clear"/>
            <w:vAlign w:val="center"/>
          </w:tcPr>
          <w:p>
            <w:pPr>
              <w:pStyle w:val="TableContents"/>
              <w:bidi w:val="0"/>
              <w:spacing w:before="0" w:after="283"/>
              <w:jc w:val="left"/>
              <w:rPr/>
            </w:pPr>
            <w:r>
              <w:rPr/>
              <w:t>Weighted average number of shares of common stock outstanding,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37,145,440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double" w:sz="6" w:space="0" w:color="000000"/>
            </w:tcBorders>
            <w:shd w:fill="CCEEFF" w:val="clear"/>
            <w:tcMar>
              <w:bottom w:w="28" w:type="dxa"/>
            </w:tcMar>
            <w:vAlign w:val="center"/>
          </w:tcPr>
          <w:p>
            <w:pPr>
              <w:pStyle w:val="TableContents"/>
              <w:bidi w:val="0"/>
              <w:spacing w:before="0" w:after="283"/>
              <w:jc w:val="right"/>
              <w:rPr/>
            </w:pPr>
            <w:r>
              <w:rPr/>
              <w:t>35,702,200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36,588,163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35,597,409</w:t>
            </w:r>
          </w:p>
        </w:tc>
        <w:tc>
          <w:tcPr>
            <w:tcW w:w="114" w:type="dxa"/>
            <w:tcBorders/>
            <w:shd w:fill="CCEEFF" w:val="clear"/>
            <w:vAlign w:val="center"/>
          </w:tcPr>
          <w:p>
            <w:pPr>
              <w:pStyle w:val="TableContents"/>
              <w:bidi w:val="0"/>
              <w:spacing w:before="0" w:after="283"/>
              <w:jc w:val="left"/>
              <w:rPr/>
            </w:pPr>
            <w:r>
              <w:rPr/>
              <w:t> </w:t>
            </w:r>
            <w:bookmarkStart w:id="105" w:name="xdx_404_eus-gaap--WeightedAverageNumberO"/>
            <w:bookmarkEnd w:id="105"/>
          </w:p>
        </w:tc>
      </w:tr>
      <w:tr>
        <w:trPr/>
        <w:tc>
          <w:tcPr>
            <w:tcW w:w="4261" w:type="dxa"/>
            <w:tcBorders/>
            <w:shd w:fill="FFFFFF" w:val="clear"/>
            <w:vAlign w:val="center"/>
          </w:tcPr>
          <w:p>
            <w:pPr>
              <w:pStyle w:val="TableContents"/>
              <w:bidi w:val="0"/>
              <w:spacing w:before="0" w:after="283"/>
              <w:jc w:val="left"/>
              <w:rPr/>
            </w:pPr>
            <w:r>
              <w:rPr/>
              <w:t>Weighted average number of shares of common stock outstanding,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r>
              <w:rPr/>
              <w:t>38,875,005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pPr>
            <w:r>
              <w:rPr/>
              <w:t>35,702,200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36,588,163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35,597,409</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periods ended September 30, 2025 and 2024</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 w:name="xdx_305_114_zr10l790rTGk"/>
      <w:bookmarkStart w:id="107" w:name="xdx_305_114_zr10l790rTGk"/>
      <w:bookmarkEnd w:id="107"/>
    </w:p>
    <w:tbl>
      <w:tblPr>
        <w:tblW w:w="1151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40"/>
        <w:gridCol w:w="1280"/>
        <w:gridCol w:w="95"/>
        <w:gridCol w:w="60"/>
        <w:gridCol w:w="201"/>
        <w:gridCol w:w="1259"/>
        <w:gridCol w:w="95"/>
        <w:gridCol w:w="60"/>
        <w:gridCol w:w="140"/>
        <w:gridCol w:w="128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B7_us-gaap--StatementEquityComponen"/>
            <w:bookmarkEnd w:id="108"/>
          </w:p>
        </w:tc>
        <w:tc>
          <w:tcPr>
            <w:tcW w:w="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B7_us-gaap--StatementEquityComponen"/>
            <w:bookmarkEnd w:id="109"/>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BE_us-gaap--StatementEquityComponen"/>
            <w:bookmarkEnd w:id="110"/>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B9_us-gaap--StatementEquityComponen"/>
            <w:bookmarkEnd w:id="111"/>
          </w:p>
        </w:tc>
        <w:tc>
          <w:tcPr>
            <w:tcW w:w="142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B2_us-gaap--StatementEquityComponen"/>
            <w:bookmarkEnd w:id="112"/>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B9_zs0uwpMTzQkk"/>
            <w:bookmarkEnd w:id="113"/>
          </w:p>
        </w:tc>
        <w:tc>
          <w:tcPr>
            <w:tcW w:w="14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Par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left"/>
              <w:rPr/>
            </w:pPr>
            <w:r>
              <w:rPr/>
              <w:t> </w:t>
            </w:r>
            <w:bookmarkStart w:id="114" w:name="xdx_439_c20240101__20240930_eus-gaap--St"/>
            <w:bookmarkEnd w:id="114"/>
          </w:p>
        </w:tc>
      </w:tr>
      <w:tr>
        <w:trPr/>
        <w:tc>
          <w:tcPr>
            <w:tcW w:w="134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5" w:name="xdx_984_eus-gaap--SharesOutstanding_iS_c"/>
            <w:bookmarkEnd w:id="115"/>
          </w:p>
        </w:tc>
        <w:tc>
          <w:tcPr>
            <w:tcW w:w="1100" w:type="dxa"/>
            <w:tcBorders/>
            <w:shd w:fill="CCEEFF" w:val="clear"/>
            <w:vAlign w:val="center"/>
          </w:tcPr>
          <w:p>
            <w:pPr>
              <w:pStyle w:val="TableContents"/>
              <w:bidi w:val="0"/>
              <w:spacing w:before="0" w:after="283"/>
              <w:jc w:val="right"/>
              <w:rPr/>
            </w:pPr>
            <w:r>
              <w:rPr/>
              <w:t>35,168,260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204,635,000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(133,904,000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70,766,000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70,411,000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6" w:name="xdx_40E_eus-gaap--StockIssuedDuringPerio"/>
            <w:bookmarkEnd w:id="116"/>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7" w:name="xdx_982_eus-gaap--StockIssuedDuringPerio"/>
            <w:bookmarkEnd w:id="117"/>
          </w:p>
        </w:tc>
        <w:tc>
          <w:tcPr>
            <w:tcW w:w="1100" w:type="dxa"/>
            <w:tcBorders/>
            <w:shd w:fill="FFFFFF" w:val="clear"/>
            <w:vAlign w:val="center"/>
          </w:tcPr>
          <w:p>
            <w:pPr>
              <w:pStyle w:val="TableContents"/>
              <w:bidi w:val="0"/>
              <w:spacing w:before="0" w:after="283"/>
              <w:jc w:val="right"/>
              <w:rPr/>
            </w:pPr>
            <w:r>
              <w:rPr/>
              <w:t>248,175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1,005,000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1,005,000</w:t>
            </w:r>
          </w:p>
        </w:tc>
        <w:tc>
          <w:tcPr>
            <w:tcW w:w="110" w:type="dxa"/>
            <w:tcBorders/>
            <w:shd w:fill="FFFFFF" w:val="clear"/>
            <w:vAlign w:val="center"/>
          </w:tcPr>
          <w:p>
            <w:pPr>
              <w:pStyle w:val="TableContents"/>
              <w:bidi w:val="0"/>
              <w:spacing w:before="0" w:after="283"/>
              <w:jc w:val="left"/>
              <w:rPr/>
            </w:pPr>
            <w:r>
              <w:rPr/>
              <w:t> </w:t>
            </w:r>
            <w:bookmarkStart w:id="118" w:name="xdx_408_eus-gaap--StockIssuedDuringPerio"/>
            <w:bookmarkEnd w:id="118"/>
          </w:p>
        </w:tc>
      </w:tr>
      <w:tr>
        <w:trPr/>
        <w:tc>
          <w:tcPr>
            <w:tcW w:w="1340" w:type="dxa"/>
            <w:tcBorders/>
            <w:shd w:fill="CCEEFF" w:val="clear"/>
            <w:vAlign w:val="center"/>
          </w:tcPr>
          <w:p>
            <w:pPr>
              <w:pStyle w:val="TableContents"/>
              <w:bidi w:val="0"/>
              <w:spacing w:before="0" w:after="283"/>
              <w:jc w:val="left"/>
              <w:rPr/>
            </w:pPr>
            <w:r>
              <w:rPr/>
              <w:t>Vesting of RSUs and PSUs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 w:name="xdx_98A_eus-gaap--StockIssuedDuringPerio"/>
            <w:bookmarkEnd w:id="119"/>
          </w:p>
        </w:tc>
        <w:tc>
          <w:tcPr>
            <w:tcW w:w="1100" w:type="dxa"/>
            <w:tcBorders/>
            <w:shd w:fill="CCEEFF" w:val="clear"/>
            <w:vAlign w:val="center"/>
          </w:tcPr>
          <w:p>
            <w:pPr>
              <w:pStyle w:val="TableContents"/>
              <w:bidi w:val="0"/>
              <w:spacing w:before="0" w:after="283"/>
              <w:jc w:val="right"/>
              <w:rPr/>
            </w:pPr>
            <w:r>
              <w:rPr/>
              <w:t>332,517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0" w:name="xdx_40E_eus-gaap--StockIssuedDuringPerio"/>
            <w:bookmarkEnd w:id="120"/>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 w:name="xdx_985_eus-gaap--StockIssuedDuringPerio"/>
            <w:bookmarkEnd w:id="121"/>
          </w:p>
        </w:tc>
        <w:tc>
          <w:tcPr>
            <w:tcW w:w="1100" w:type="dxa"/>
            <w:tcBorders/>
            <w:shd w:fill="FFFFFF" w:val="clear"/>
            <w:vAlign w:val="center"/>
          </w:tcPr>
          <w:p>
            <w:pPr>
              <w:pStyle w:val="TableContents"/>
              <w:bidi w:val="0"/>
              <w:spacing w:before="0" w:after="283"/>
              <w:jc w:val="right"/>
              <w:rPr/>
            </w:pPr>
            <w:r>
              <w:rPr/>
              <w:t>(137,587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(2,362,000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(2,362,000</w:t>
            </w:r>
          </w:p>
        </w:tc>
        <w:tc>
          <w:tcPr>
            <w:tcW w:w="110" w:type="dxa"/>
            <w:tcBorders/>
            <w:shd w:fill="FFFFFF" w:val="clear"/>
            <w:vAlign w:val="center"/>
          </w:tcPr>
          <w:p>
            <w:pPr>
              <w:pStyle w:val="TableContents"/>
              <w:bidi w:val="0"/>
              <w:spacing w:before="0" w:after="283"/>
              <w:jc w:val="left"/>
              <w:rPr/>
            </w:pPr>
            <w:r>
              <w:rPr/>
              <w:t>)</w:t>
            </w:r>
            <w:bookmarkStart w:id="122" w:name="xdx_40E_eus-gaap--AdjustmentsToAdditiona"/>
            <w:bookmarkEnd w:id="122"/>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12,825,000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12,825,000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12,825,000</w:t>
            </w:r>
          </w:p>
        </w:tc>
        <w:tc>
          <w:tcPr>
            <w:tcW w:w="110" w:type="dxa"/>
            <w:tcBorders/>
            <w:shd w:fill="CCEEFF" w:val="clear"/>
            <w:vAlign w:val="center"/>
          </w:tcPr>
          <w:p>
            <w:pPr>
              <w:pStyle w:val="TableContents"/>
              <w:bidi w:val="0"/>
              <w:spacing w:before="0" w:after="283"/>
              <w:jc w:val="left"/>
              <w:rPr/>
            </w:pPr>
            <w:r>
              <w:rPr/>
              <w:t> </w:t>
            </w:r>
            <w:bookmarkStart w:id="123" w:name="xdx_40C_eus-gaap--NetIncomeLoss_zNqsgpCt"/>
            <w:bookmarkEnd w:id="123"/>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(24,258,000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(24,258,000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(24,258,000</w:t>
            </w:r>
          </w:p>
        </w:tc>
        <w:tc>
          <w:tcPr>
            <w:tcW w:w="110" w:type="dxa"/>
            <w:tcBorders/>
            <w:shd w:fill="FFFFFF" w:val="clear"/>
            <w:vAlign w:val="center"/>
          </w:tcPr>
          <w:p>
            <w:pPr>
              <w:pStyle w:val="TableContents"/>
              <w:bidi w:val="0"/>
              <w:spacing w:before="0" w:after="283"/>
              <w:jc w:val="left"/>
              <w:rPr/>
            </w:pPr>
            <w:r>
              <w:rPr/>
              <w:t>)</w:t>
            </w:r>
            <w:bookmarkStart w:id="124" w:name="xdx_439_c20240101__20240930_eus-gaap--St"/>
            <w:bookmarkEnd w:id="124"/>
          </w:p>
        </w:tc>
      </w:tr>
      <w:tr>
        <w:trPr/>
        <w:tc>
          <w:tcPr>
            <w:tcW w:w="1340" w:type="dxa"/>
            <w:tcBorders/>
            <w:shd w:fill="CCEEFF" w:val="clear"/>
            <w:vAlign w:val="center"/>
          </w:tcPr>
          <w:p>
            <w:pPr>
              <w:pStyle w:val="TableContents"/>
              <w:bidi w:val="0"/>
              <w:spacing w:before="0" w:after="283"/>
              <w:jc w:val="left"/>
              <w:rPr/>
            </w:pPr>
            <w:r>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5" w:name="xdx_987_eus-gaap--SharesOutstanding_iE_c"/>
            <w:bookmarkEnd w:id="12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35,611,365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216,103,000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(158,162,000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57,976,000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57,621,000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6" w:name="xdx_43E_c20250101__20250930_eus-gaap--St"/>
            <w:bookmarkEnd w:id="126"/>
          </w:p>
        </w:tc>
      </w:tr>
      <w:tr>
        <w:trPr/>
        <w:tc>
          <w:tcPr>
            <w:tcW w:w="134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7" w:name="xdx_982_eus-gaap--SharesOutstanding_iS_c"/>
            <w:bookmarkEnd w:id="127"/>
          </w:p>
        </w:tc>
        <w:tc>
          <w:tcPr>
            <w:tcW w:w="1100" w:type="dxa"/>
            <w:tcBorders/>
            <w:shd w:fill="CCEEFF" w:val="clear"/>
            <w:vAlign w:val="center"/>
          </w:tcPr>
          <w:p>
            <w:pPr>
              <w:pStyle w:val="TableContents"/>
              <w:bidi w:val="0"/>
              <w:spacing w:before="0" w:after="283"/>
              <w:jc w:val="right"/>
              <w:rPr/>
            </w:pPr>
            <w:r>
              <w:rPr/>
              <w:t>35,622,214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221,002,000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(151,385,000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69,652,000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69,297,000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8" w:name="xdx_405_eus-gaap--StockIssuedDuringPerio"/>
            <w:bookmarkEnd w:id="128"/>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9" w:name="xdx_988_eus-gaap--StockIssuedDuringPerio"/>
            <w:bookmarkEnd w:id="129"/>
          </w:p>
        </w:tc>
        <w:tc>
          <w:tcPr>
            <w:tcW w:w="1100" w:type="dxa"/>
            <w:tcBorders/>
            <w:shd w:fill="FFFFFF" w:val="clear"/>
            <w:vAlign w:val="center"/>
          </w:tcPr>
          <w:p>
            <w:pPr>
              <w:pStyle w:val="TableContents"/>
              <w:bidi w:val="0"/>
              <w:spacing w:before="0" w:after="283"/>
              <w:jc w:val="right"/>
              <w:rPr/>
            </w:pPr>
            <w:r>
              <w:rPr/>
              <w:t>628,146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287,000</w:t>
            </w:r>
          </w:p>
        </w:tc>
        <w:tc>
          <w:tcPr>
            <w:tcW w:w="110" w:type="dxa"/>
            <w:tcBorders/>
            <w:shd w:fill="FFFFFF" w:val="clear"/>
            <w:vAlign w:val="center"/>
          </w:tcPr>
          <w:p>
            <w:pPr>
              <w:pStyle w:val="TableContents"/>
              <w:bidi w:val="0"/>
              <w:spacing w:before="0" w:after="283"/>
              <w:jc w:val="left"/>
              <w:rPr/>
            </w:pPr>
            <w:r>
              <w:rPr/>
              <w:t> </w:t>
            </w:r>
            <w:bookmarkStart w:id="130" w:name="xdx_408_eus-gaap--StockIssuedDuringPerio"/>
            <w:bookmarkEnd w:id="130"/>
          </w:p>
        </w:tc>
      </w:tr>
      <w:tr>
        <w:trPr/>
        <w:tc>
          <w:tcPr>
            <w:tcW w:w="1340" w:type="dxa"/>
            <w:tcBorders/>
            <w:shd w:fill="CCEEFF" w:val="clear"/>
            <w:vAlign w:val="center"/>
          </w:tcPr>
          <w:p>
            <w:pPr>
              <w:pStyle w:val="TableContents"/>
              <w:bidi w:val="0"/>
              <w:spacing w:before="0" w:after="283"/>
              <w:jc w:val="left"/>
              <w:rPr/>
            </w:pPr>
            <w:r>
              <w:rPr/>
              <w:t>Vesting of PSUs and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3_eus-gaap--StockIssuedDuringPerio"/>
            <w:bookmarkEnd w:id="131"/>
          </w:p>
        </w:tc>
        <w:tc>
          <w:tcPr>
            <w:tcW w:w="1100" w:type="dxa"/>
            <w:tcBorders/>
            <w:shd w:fill="CCEEFF" w:val="clear"/>
            <w:vAlign w:val="center"/>
          </w:tcPr>
          <w:p>
            <w:pPr>
              <w:pStyle w:val="TableContents"/>
              <w:bidi w:val="0"/>
              <w:spacing w:before="0" w:after="283"/>
              <w:jc w:val="right"/>
              <w:rPr/>
            </w:pPr>
            <w:r>
              <w:rPr/>
              <w:t>1,654,009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2" w:name="xdx_40C_eus-gaap--StockIssuedDuringPerio"/>
            <w:bookmarkEnd w:id="132"/>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3" w:name="xdx_98B_eus-gaap--StockIssuedDuringPerio"/>
            <w:bookmarkEnd w:id="133"/>
          </w:p>
        </w:tc>
        <w:tc>
          <w:tcPr>
            <w:tcW w:w="1100" w:type="dxa"/>
            <w:tcBorders/>
            <w:shd w:fill="FFFFFF" w:val="clear"/>
            <w:vAlign w:val="center"/>
          </w:tcPr>
          <w:p>
            <w:pPr>
              <w:pStyle w:val="TableContents"/>
              <w:bidi w:val="0"/>
              <w:spacing w:before="0" w:after="283"/>
              <w:jc w:val="right"/>
              <w:rPr/>
            </w:pPr>
            <w:r>
              <w:rPr/>
              <w:t>(869,787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(19,859,000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(19,860,000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(19,860,000</w:t>
            </w:r>
          </w:p>
        </w:tc>
        <w:tc>
          <w:tcPr>
            <w:tcW w:w="110" w:type="dxa"/>
            <w:tcBorders/>
            <w:shd w:fill="FFFFFF" w:val="clear"/>
            <w:vAlign w:val="center"/>
          </w:tcPr>
          <w:p>
            <w:pPr>
              <w:pStyle w:val="TableContents"/>
              <w:bidi w:val="0"/>
              <w:spacing w:before="0" w:after="283"/>
              <w:jc w:val="left"/>
              <w:rPr/>
            </w:pPr>
            <w:r>
              <w:rPr/>
              <w:t>)</w:t>
            </w:r>
            <w:bookmarkStart w:id="134" w:name="xdx_40E_eus-gaap--AdjustmentsToAdditiona"/>
            <w:bookmarkEnd w:id="134"/>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8,702,000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8,702,000</w:t>
            </w:r>
          </w:p>
        </w:tc>
        <w:tc>
          <w:tcPr>
            <w:tcW w:w="110" w:type="dxa"/>
            <w:tcBorders/>
            <w:shd w:fill="CCEEFF" w:val="clear"/>
            <w:vAlign w:val="center"/>
          </w:tcPr>
          <w:p>
            <w:pPr>
              <w:pStyle w:val="TableContents"/>
              <w:bidi w:val="0"/>
              <w:spacing w:before="0" w:after="283"/>
              <w:jc w:val="left"/>
              <w:rPr/>
            </w:pPr>
            <w:r>
              <w:rPr/>
              <w:t> </w:t>
            </w:r>
            <w:bookmarkStart w:id="135" w:name="xdx_40C_eus-gaap--NetIncomeLoss_zfdQ7q1S"/>
            <w:bookmarkEnd w:id="135"/>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(11,765,000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(11,765,000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(11,765,000</w:t>
            </w:r>
          </w:p>
        </w:tc>
        <w:tc>
          <w:tcPr>
            <w:tcW w:w="110" w:type="dxa"/>
            <w:tcBorders/>
            <w:shd w:fill="FFFFFF" w:val="clear"/>
            <w:vAlign w:val="center"/>
          </w:tcPr>
          <w:p>
            <w:pPr>
              <w:pStyle w:val="TableContents"/>
              <w:bidi w:val="0"/>
              <w:spacing w:before="0" w:after="283"/>
              <w:jc w:val="left"/>
              <w:rPr/>
            </w:pPr>
            <w:r>
              <w:rPr/>
              <w:t>)</w:t>
            </w:r>
            <w:bookmarkStart w:id="136" w:name="xdx_432_c20250101__20250930_eus-gaap--St"/>
            <w:bookmarkEnd w:id="136"/>
          </w:p>
        </w:tc>
      </w:tr>
      <w:tr>
        <w:trPr/>
        <w:tc>
          <w:tcPr>
            <w:tcW w:w="1340" w:type="dxa"/>
            <w:tcBorders/>
            <w:shd w:fill="CCEEFF" w:val="clear"/>
            <w:vAlign w:val="center"/>
          </w:tcPr>
          <w:p>
            <w:pPr>
              <w:pStyle w:val="TableContents"/>
              <w:bidi w:val="0"/>
              <w:spacing w:before="0" w:after="283"/>
              <w:jc w:val="left"/>
              <w:rPr/>
            </w:pPr>
            <w:r>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7" w:name="xdx_98F_eus-gaap--SharesOutstanding_iE_c"/>
            <w:bookmarkEnd w:id="13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37,034,582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210,129,000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(163,150,000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47,016,000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46,661,000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14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60"/>
        <w:gridCol w:w="60"/>
        <w:gridCol w:w="140"/>
        <w:gridCol w:w="1220"/>
        <w:gridCol w:w="95"/>
        <w:gridCol w:w="60"/>
        <w:gridCol w:w="140"/>
        <w:gridCol w:w="1295"/>
        <w:gridCol w:w="95"/>
        <w:gridCol w:w="60"/>
        <w:gridCol w:w="141"/>
        <w:gridCol w:w="1109"/>
        <w:gridCol w:w="95"/>
        <w:gridCol w:w="60"/>
        <w:gridCol w:w="201"/>
        <w:gridCol w:w="1259"/>
        <w:gridCol w:w="95"/>
        <w:gridCol w:w="60"/>
        <w:gridCol w:w="141"/>
        <w:gridCol w:w="1109"/>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left"/>
              <w:rPr/>
            </w:pPr>
            <w:r>
              <w:rPr/>
              <w:t> </w:t>
            </w:r>
            <w:bookmarkStart w:id="138" w:name="xdx_433_c20240701__20240930_eus-gaap--St"/>
            <w:bookmarkEnd w:id="138"/>
          </w:p>
        </w:tc>
      </w:tr>
      <w:tr>
        <w:trPr/>
        <w:tc>
          <w:tcPr>
            <w:tcW w:w="1340" w:type="dxa"/>
            <w:tcBorders/>
            <w:shd w:fill="CCEEFF" w:val="clear"/>
            <w:vAlign w:val="center"/>
          </w:tcPr>
          <w:p>
            <w:pPr>
              <w:pStyle w:val="TableContents"/>
              <w:bidi w:val="0"/>
              <w:spacing w:before="0" w:after="283"/>
              <w:jc w:val="left"/>
              <w:rPr/>
            </w:pPr>
            <w:r>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7_eus-gaap--SharesOutstanding_iS_c"/>
            <w:bookmarkEnd w:id="139"/>
          </w:p>
        </w:tc>
        <w:tc>
          <w:tcPr>
            <w:tcW w:w="1100" w:type="dxa"/>
            <w:tcBorders/>
            <w:shd w:fill="CCEEFF" w:val="clear"/>
            <w:vAlign w:val="center"/>
          </w:tcPr>
          <w:p>
            <w:pPr>
              <w:pStyle w:val="TableContents"/>
              <w:bidi w:val="0"/>
              <w:spacing w:before="0" w:after="283"/>
              <w:jc w:val="right"/>
              <w:rPr/>
            </w:pPr>
            <w:r>
              <w:rPr/>
              <w:t>35,479,492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212,439,000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(153,942,000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58,532,000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58,177,000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 w:name="xdx_405_eus-gaap--StockIssuedDuringPerio"/>
            <w:bookmarkEnd w:id="140"/>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1" w:name="xdx_989_eus-gaap--StockIssuedDuringPerio"/>
            <w:bookmarkEnd w:id="141"/>
          </w:p>
        </w:tc>
        <w:tc>
          <w:tcPr>
            <w:tcW w:w="1100" w:type="dxa"/>
            <w:tcBorders/>
            <w:shd w:fill="FFFFFF" w:val="clear"/>
            <w:vAlign w:val="center"/>
          </w:tcPr>
          <w:p>
            <w:pPr>
              <w:pStyle w:val="TableContents"/>
              <w:bidi w:val="0"/>
              <w:spacing w:before="0" w:after="283"/>
              <w:jc w:val="right"/>
              <w:rPr/>
            </w:pPr>
            <w:r>
              <w:rPr/>
              <w:t>160,980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484,000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484,000</w:t>
            </w:r>
          </w:p>
        </w:tc>
        <w:tc>
          <w:tcPr>
            <w:tcW w:w="110" w:type="dxa"/>
            <w:tcBorders/>
            <w:shd w:fill="FFFFFF" w:val="clear"/>
            <w:vAlign w:val="center"/>
          </w:tcPr>
          <w:p>
            <w:pPr>
              <w:pStyle w:val="TableContents"/>
              <w:bidi w:val="0"/>
              <w:spacing w:before="0" w:after="283"/>
              <w:jc w:val="left"/>
              <w:rPr/>
            </w:pPr>
            <w:r>
              <w:rPr/>
              <w:t> </w:t>
            </w:r>
            <w:bookmarkStart w:id="142" w:name="xdx_40E_eus-gaap--StockIssuedDuringPerio"/>
            <w:bookmarkEnd w:id="142"/>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3" w:name="xdx_982_eus-gaap--StockIssuedDuringPerio"/>
            <w:bookmarkEnd w:id="143"/>
          </w:p>
        </w:tc>
        <w:tc>
          <w:tcPr>
            <w:tcW w:w="1100" w:type="dxa"/>
            <w:tcBorders/>
            <w:shd w:fill="CCEEFF" w:val="clear"/>
            <w:vAlign w:val="center"/>
          </w:tcPr>
          <w:p>
            <w:pPr>
              <w:pStyle w:val="TableContents"/>
              <w:bidi w:val="0"/>
              <w:spacing w:before="0" w:after="283"/>
              <w:jc w:val="right"/>
              <w:rPr/>
            </w:pPr>
            <w:r>
              <w:rPr/>
              <w:t>(29,107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(1,205,000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(1,205,000</w:t>
            </w:r>
          </w:p>
        </w:tc>
        <w:tc>
          <w:tcPr>
            <w:tcW w:w="110" w:type="dxa"/>
            <w:tcBorders/>
            <w:shd w:fill="CCEEFF" w:val="clear"/>
            <w:vAlign w:val="center"/>
          </w:tcPr>
          <w:p>
            <w:pPr>
              <w:pStyle w:val="TableContents"/>
              <w:bidi w:val="0"/>
              <w:spacing w:before="0" w:after="283"/>
              <w:jc w:val="left"/>
              <w:rPr/>
            </w:pPr>
            <w:r>
              <w:rPr/>
              <w:t>)</w:t>
            </w:r>
            <w:bookmarkStart w:id="144" w:name="xdx_409_eus-gaap--AdjustmentsToAdditiona"/>
            <w:bookmarkEnd w:id="144"/>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4,385,000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4,385,000</w:t>
            </w:r>
          </w:p>
        </w:tc>
        <w:tc>
          <w:tcPr>
            <w:tcW w:w="110" w:type="dxa"/>
            <w:tcBorders/>
            <w:shd w:fill="FFFFFF" w:val="clear"/>
            <w:vAlign w:val="center"/>
          </w:tcPr>
          <w:p>
            <w:pPr>
              <w:pStyle w:val="TableContents"/>
              <w:bidi w:val="0"/>
              <w:spacing w:before="0" w:after="283"/>
              <w:jc w:val="left"/>
              <w:rPr/>
            </w:pPr>
            <w:r>
              <w:rPr/>
              <w:t> </w:t>
            </w:r>
            <w:bookmarkStart w:id="145" w:name="xdx_401_eus-gaap--NetIncomeLoss_zLRLqvyJ"/>
            <w:bookmarkEnd w:id="145"/>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(4,220,000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pPr>
            <w:r>
              <w:rPr/>
              <w:t>(4,220,000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pPr>
            <w:r>
              <w:rPr/>
              <w:t>(4,220,000</w:t>
            </w:r>
          </w:p>
        </w:tc>
        <w:tc>
          <w:tcPr>
            <w:tcW w:w="110" w:type="dxa"/>
            <w:tcBorders/>
            <w:shd w:fill="CCEEFF" w:val="clear"/>
            <w:vAlign w:val="center"/>
          </w:tcPr>
          <w:p>
            <w:pPr>
              <w:pStyle w:val="TableContents"/>
              <w:bidi w:val="0"/>
              <w:spacing w:before="0" w:after="283"/>
              <w:jc w:val="left"/>
              <w:rPr/>
            </w:pPr>
            <w:r>
              <w:rPr/>
              <w:t>)</w:t>
            </w:r>
            <w:bookmarkStart w:id="146" w:name="xdx_43F_c20240701__20240930_eus-gaap--St"/>
            <w:bookmarkEnd w:id="146"/>
          </w:p>
        </w:tc>
      </w:tr>
      <w:tr>
        <w:trPr/>
        <w:tc>
          <w:tcPr>
            <w:tcW w:w="1340" w:type="dxa"/>
            <w:tcBorders/>
            <w:shd w:fill="FFFFFF" w:val="clear"/>
            <w:vAlign w:val="center"/>
          </w:tcPr>
          <w:p>
            <w:pPr>
              <w:pStyle w:val="TableContents"/>
              <w:bidi w:val="0"/>
              <w:spacing w:before="0" w:after="283"/>
              <w:jc w:val="left"/>
              <w:rPr/>
            </w:pPr>
            <w:r>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7" w:name="xdx_98A_eus-gaap--SharesOutstanding_iE_c"/>
            <w:bookmarkEnd w:id="14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35,611,365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(158,162,000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pPr>
            <w:r>
              <w:rPr/>
              <w:t>57,976,000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pPr>
            <w:r>
              <w:rPr/>
              <w:t>57,621,000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 w:name="xdx_43E_c20250701__20250930_eus-gaap--St"/>
            <w:bookmarkEnd w:id="148"/>
          </w:p>
        </w:tc>
      </w:tr>
      <w:tr>
        <w:trPr/>
        <w:tc>
          <w:tcPr>
            <w:tcW w:w="1340"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9" w:name="xdx_986_eus-gaap--SharesOutstanding_iS_c"/>
            <w:bookmarkEnd w:id="149"/>
          </w:p>
        </w:tc>
        <w:tc>
          <w:tcPr>
            <w:tcW w:w="1100" w:type="dxa"/>
            <w:tcBorders/>
            <w:shd w:fill="FFFFFF" w:val="clear"/>
            <w:vAlign w:val="center"/>
          </w:tcPr>
          <w:p>
            <w:pPr>
              <w:pStyle w:val="TableContents"/>
              <w:bidi w:val="0"/>
              <w:spacing w:before="0" w:after="283"/>
              <w:jc w:val="right"/>
              <w:rPr/>
            </w:pPr>
            <w:r>
              <w:rPr/>
              <w:t>36,714,679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213,788,000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(164,170,000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09" w:type="dxa"/>
            <w:tcBorders/>
            <w:shd w:fill="FFFFFF" w:val="clear"/>
            <w:vAlign w:val="center"/>
          </w:tcPr>
          <w:p>
            <w:pPr>
              <w:pStyle w:val="TableContents"/>
              <w:bidi w:val="0"/>
              <w:spacing w:before="0" w:after="283"/>
              <w:jc w:val="right"/>
              <w:rPr/>
            </w:pPr>
            <w:r>
              <w:rPr/>
              <w:t>49,654,000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259"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09" w:type="dxa"/>
            <w:tcBorders/>
            <w:shd w:fill="FFFFFF" w:val="clear"/>
            <w:vAlign w:val="center"/>
          </w:tcPr>
          <w:p>
            <w:pPr>
              <w:pStyle w:val="TableContents"/>
              <w:bidi w:val="0"/>
              <w:spacing w:before="0" w:after="283"/>
              <w:jc w:val="right"/>
              <w:rPr/>
            </w:pPr>
            <w:r>
              <w:rPr/>
              <w:t>49,299,000</w:t>
            </w:r>
          </w:p>
        </w:tc>
        <w:tc>
          <w:tcPr>
            <w:tcW w:w="110" w:type="dxa"/>
            <w:tcBorders/>
            <w:shd w:fill="FFFFFF" w:val="clear"/>
            <w:vAlign w:val="center"/>
          </w:tcPr>
          <w:p>
            <w:pPr>
              <w:pStyle w:val="TableContents"/>
              <w:bidi w:val="0"/>
              <w:spacing w:before="0" w:after="283"/>
              <w:jc w:val="left"/>
              <w:rPr/>
            </w:pPr>
            <w:r>
              <w:rPr/>
              <w:t> </w:t>
            </w:r>
            <w:bookmarkStart w:id="150" w:name="xdx_43A_c20250701__20250930_eus-gaap--St"/>
            <w:bookmarkEnd w:id="150"/>
          </w:p>
        </w:tc>
      </w:tr>
      <w:tr>
        <w:trPr/>
        <w:tc>
          <w:tcPr>
            <w:tcW w:w="1340"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1" w:name="xdx_987_eus-gaap--SharesOutstanding_iS_c"/>
            <w:bookmarkEnd w:id="151"/>
          </w:p>
        </w:tc>
        <w:tc>
          <w:tcPr>
            <w:tcW w:w="1100" w:type="dxa"/>
            <w:tcBorders/>
            <w:shd w:fill="FFFFFF" w:val="clear"/>
            <w:vAlign w:val="center"/>
          </w:tcPr>
          <w:p>
            <w:pPr>
              <w:pStyle w:val="TableContents"/>
              <w:bidi w:val="0"/>
              <w:spacing w:before="0" w:after="283"/>
              <w:jc w:val="right"/>
              <w:rPr/>
            </w:pPr>
            <w:r>
              <w:rPr/>
              <w:t>36,714,679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213,788,000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(164,170,000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09" w:type="dxa"/>
            <w:tcBorders/>
            <w:shd w:fill="FFFFFF" w:val="clear"/>
            <w:vAlign w:val="center"/>
          </w:tcPr>
          <w:p>
            <w:pPr>
              <w:pStyle w:val="TableContents"/>
              <w:bidi w:val="0"/>
              <w:spacing w:before="0" w:after="283"/>
              <w:jc w:val="right"/>
              <w:rPr/>
            </w:pPr>
            <w:r>
              <w:rPr/>
              <w:t>49,654,000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259"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09" w:type="dxa"/>
            <w:tcBorders/>
            <w:shd w:fill="FFFFFF" w:val="clear"/>
            <w:vAlign w:val="center"/>
          </w:tcPr>
          <w:p>
            <w:pPr>
              <w:pStyle w:val="TableContents"/>
              <w:bidi w:val="0"/>
              <w:spacing w:before="0" w:after="283"/>
              <w:jc w:val="right"/>
              <w:rPr/>
            </w:pPr>
            <w:r>
              <w:rPr/>
              <w:t>49,299,000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Issuance of common stock in connection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2" w:name="xdx_405_eus-gaap--StockIssuedDuringPerio"/>
            <w:bookmarkEnd w:id="152"/>
          </w:p>
        </w:tc>
      </w:tr>
      <w:tr>
        <w:trPr/>
        <w:tc>
          <w:tcPr>
            <w:tcW w:w="1340" w:type="dxa"/>
            <w:tcBorders/>
            <w:shd w:fill="CCEEFF" w:val="clear"/>
            <w:vAlign w:val="center"/>
          </w:tcPr>
          <w:p>
            <w:pPr>
              <w:pStyle w:val="TableContents"/>
              <w:bidi w:val="0"/>
              <w:spacing w:before="0" w:after="283"/>
              <w:jc w:val="left"/>
              <w:rPr/>
            </w:pPr>
            <w:r>
              <w:rPr/>
              <w:t>Exercise of employee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8_eus-gaap--StockIssuedDuringPerio"/>
            <w:bookmarkEnd w:id="153"/>
          </w:p>
        </w:tc>
        <w:tc>
          <w:tcPr>
            <w:tcW w:w="1100" w:type="dxa"/>
            <w:tcBorders/>
            <w:shd w:fill="CCEEFF" w:val="clear"/>
            <w:vAlign w:val="center"/>
          </w:tcPr>
          <w:p>
            <w:pPr>
              <w:pStyle w:val="TableContents"/>
              <w:bidi w:val="0"/>
              <w:spacing w:before="0" w:after="283"/>
              <w:jc w:val="right"/>
              <w:rPr/>
            </w:pPr>
            <w:r>
              <w:rPr/>
              <w:t>617,528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162,000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162,000</w:t>
            </w:r>
          </w:p>
        </w:tc>
        <w:tc>
          <w:tcPr>
            <w:tcW w:w="110" w:type="dxa"/>
            <w:tcBorders/>
            <w:shd w:fill="CCEEFF" w:val="clear"/>
            <w:vAlign w:val="center"/>
          </w:tcPr>
          <w:p>
            <w:pPr>
              <w:pStyle w:val="TableContents"/>
              <w:bidi w:val="0"/>
              <w:spacing w:before="0" w:after="283"/>
              <w:jc w:val="left"/>
              <w:rPr/>
            </w:pPr>
            <w:r>
              <w:rPr/>
              <w:t> </w:t>
            </w:r>
            <w:bookmarkStart w:id="154" w:name="xdx_408_eus-gaap--StockIssuedDuringPerio"/>
            <w:bookmarkEnd w:id="154"/>
          </w:p>
        </w:tc>
      </w:tr>
      <w:tr>
        <w:trPr/>
        <w:tc>
          <w:tcPr>
            <w:tcW w:w="1340" w:type="dxa"/>
            <w:tcBorders/>
            <w:shd w:fill="FFFFFF" w:val="clear"/>
            <w:vAlign w:val="center"/>
          </w:tcPr>
          <w:p>
            <w:pPr>
              <w:pStyle w:val="TableContents"/>
              <w:bidi w:val="0"/>
              <w:spacing w:before="0" w:after="283"/>
              <w:jc w:val="left"/>
              <w:rPr/>
            </w:pPr>
            <w:r>
              <w:rPr/>
              <w:t>Vesting of PSUs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5_eus-gaap--StockIssuedDuringPerio"/>
            <w:bookmarkEnd w:id="155"/>
          </w:p>
        </w:tc>
        <w:tc>
          <w:tcPr>
            <w:tcW w:w="1100" w:type="dxa"/>
            <w:tcBorders/>
            <w:shd w:fill="FFFFFF" w:val="clear"/>
            <w:vAlign w:val="center"/>
          </w:tcPr>
          <w:p>
            <w:pPr>
              <w:pStyle w:val="TableContents"/>
              <w:bidi w:val="0"/>
              <w:spacing w:before="0" w:after="283"/>
              <w:jc w:val="right"/>
              <w:rPr/>
            </w:pPr>
            <w:r>
              <w:rPr/>
              <w:t>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6" w:name="xdx_40E_eus-gaap--StockIssuedDuringPerio"/>
            <w:bookmarkEnd w:id="156"/>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B_eus-gaap--StockIssuedDuringPerio"/>
            <w:bookmarkEnd w:id="157"/>
          </w:p>
        </w:tc>
        <w:tc>
          <w:tcPr>
            <w:tcW w:w="1100" w:type="dxa"/>
            <w:tcBorders/>
            <w:shd w:fill="CCEEFF" w:val="clear"/>
            <w:vAlign w:val="center"/>
          </w:tcPr>
          <w:p>
            <w:pPr>
              <w:pStyle w:val="TableContents"/>
              <w:bidi w:val="0"/>
              <w:spacing w:before="0" w:after="283"/>
              <w:jc w:val="right"/>
              <w:rPr/>
            </w:pPr>
            <w:r>
              <w:rPr/>
              <w:t>(317,625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(7,091,000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(7,091,000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(7,091,000</w:t>
            </w:r>
          </w:p>
        </w:tc>
        <w:tc>
          <w:tcPr>
            <w:tcW w:w="110" w:type="dxa"/>
            <w:tcBorders/>
            <w:shd w:fill="CCEEFF" w:val="clear"/>
            <w:vAlign w:val="center"/>
          </w:tcPr>
          <w:p>
            <w:pPr>
              <w:pStyle w:val="TableContents"/>
              <w:bidi w:val="0"/>
              <w:spacing w:before="0" w:after="283"/>
              <w:jc w:val="left"/>
              <w:rPr/>
            </w:pPr>
            <w:r>
              <w:rPr/>
              <w:t>)</w:t>
            </w:r>
            <w:bookmarkStart w:id="158" w:name="xdx_40E_eus-gaap--AdjustmentsToAdditiona"/>
            <w:bookmarkEnd w:id="158"/>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3,271,000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3,271,000</w:t>
            </w:r>
          </w:p>
        </w:tc>
        <w:tc>
          <w:tcPr>
            <w:tcW w:w="110" w:type="dxa"/>
            <w:tcBorders/>
            <w:shd w:fill="FFFFFF" w:val="clear"/>
            <w:vAlign w:val="center"/>
          </w:tcPr>
          <w:p>
            <w:pPr>
              <w:pStyle w:val="TableContents"/>
              <w:bidi w:val="0"/>
              <w:spacing w:before="0" w:after="283"/>
              <w:jc w:val="left"/>
              <w:rPr/>
            </w:pPr>
            <w:r>
              <w:rPr/>
              <w:t> </w:t>
            </w:r>
            <w:bookmarkStart w:id="159" w:name="xdx_40C_eus-gaap--NetIncomeLoss_zNf5kQFI"/>
            <w:bookmarkEnd w:id="159"/>
          </w:p>
        </w:tc>
      </w:tr>
      <w:tr>
        <w:trPr/>
        <w:tc>
          <w:tcPr>
            <w:tcW w:w="13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pPr>
            <w:r>
              <w:rPr/>
              <w:t>1,020,000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pPr>
            <w:r>
              <w:rPr/>
              <w:t>1,020,000</w:t>
            </w:r>
          </w:p>
        </w:tc>
        <w:tc>
          <w:tcPr>
            <w:tcW w:w="110" w:type="dxa"/>
            <w:tcBorders/>
            <w:shd w:fill="CCEEFF" w:val="clear"/>
            <w:vAlign w:val="center"/>
          </w:tcPr>
          <w:p>
            <w:pPr>
              <w:pStyle w:val="TableContents"/>
              <w:bidi w:val="0"/>
              <w:spacing w:before="0" w:after="283"/>
              <w:jc w:val="left"/>
              <w:rPr/>
            </w:pPr>
            <w:r>
              <w:rPr/>
              <w:t> </w:t>
            </w:r>
            <w:bookmarkStart w:id="160" w:name="xdx_404_eus-gaap--NetIncomeLoss_zuwJpnnl"/>
            <w:bookmarkEnd w:id="160"/>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pPr>
            <w:r>
              <w:rPr/>
              <w:t>1,020,000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pPr>
            <w:r>
              <w:rPr/>
              <w:t>1,020,000</w:t>
            </w:r>
          </w:p>
        </w:tc>
        <w:tc>
          <w:tcPr>
            <w:tcW w:w="110" w:type="dxa"/>
            <w:tcBorders/>
            <w:shd w:fill="CCEEFF" w:val="clear"/>
            <w:vAlign w:val="center"/>
          </w:tcPr>
          <w:p>
            <w:pPr>
              <w:pStyle w:val="TableContents"/>
              <w:bidi w:val="0"/>
              <w:spacing w:before="0" w:after="283"/>
              <w:jc w:val="left"/>
              <w:rPr/>
            </w:pPr>
            <w:r>
              <w:rPr/>
              <w:t> </w:t>
            </w:r>
            <w:bookmarkStart w:id="161" w:name="xdx_43C_c20250701__20250930_eus-gaap--St"/>
            <w:bookmarkEnd w:id="161"/>
          </w:p>
        </w:tc>
      </w:tr>
      <w:tr>
        <w:trPr/>
        <w:tc>
          <w:tcPr>
            <w:tcW w:w="1340" w:type="dxa"/>
            <w:tcBorders/>
            <w:shd w:fill="FFFFFF" w:val="clear"/>
            <w:vAlign w:val="center"/>
          </w:tcPr>
          <w:p>
            <w:pPr>
              <w:pStyle w:val="TableContents"/>
              <w:bidi w:val="0"/>
              <w:spacing w:before="0" w:after="283"/>
              <w:jc w:val="left"/>
              <w:rPr/>
            </w:pPr>
            <w:r>
              <w:rPr/>
              <w:t>Balance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2" w:name="xdx_982_eus-gaap--SharesOutstanding_iE_c"/>
            <w:bookmarkEnd w:id="16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37,034,582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210,129,000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(163,150,000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pPr>
            <w:r>
              <w:rPr/>
              <w:t>47,016,000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pPr>
            <w:r>
              <w:rPr/>
              <w:t>46,661,000</w:t>
            </w:r>
          </w:p>
        </w:tc>
        <w:tc>
          <w:tcPr>
            <w:tcW w:w="110" w:type="dxa"/>
            <w:tcBorders/>
            <w:shd w:fill="FFFFFF" w:val="clear"/>
            <w:vAlign w:val="center"/>
          </w:tcPr>
          <w:p>
            <w:pPr>
              <w:pStyle w:val="TableContents"/>
              <w:bidi w:val="0"/>
              <w:spacing w:before="0" w:after="283"/>
              <w:jc w:val="left"/>
              <w:rPr/>
            </w:pPr>
            <w:r>
              <w:rPr/>
              <w:t> </w:t>
            </w:r>
            <w:bookmarkStart w:id="163" w:name="xdx_43F_c20250701__20250930_eus-gaap--St"/>
            <w:bookmarkEnd w:id="163"/>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4" w:name="xdx_986_eus-gaap--SharesOutstanding_iE_c"/>
            <w:bookmarkEnd w:id="16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37,034,582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210,129,000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(163,150,000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pPr>
            <w:r>
              <w:rPr/>
              <w:t>47,016,000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pPr>
            <w:r>
              <w:rPr/>
              <w:t>46,661,000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 w:name="xdx_30E_112_zsSy85hoHg31"/>
      <w:bookmarkStart w:id="166" w:name="xdx_30E_112_zsSy85hoHg31"/>
      <w:bookmarkEnd w:id="166"/>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67" w:name="xdx_49D_20250101__20250930_zOyhRGDZeGr8"/>
            <w:bookmarkEnd w:id="167"/>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92_20240101__20240930_z5W3aFdB15mf"/>
            <w:bookmarkEnd w:id="168"/>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vAlign w:val="center"/>
          </w:tcPr>
          <w:p>
            <w:pPr>
              <w:pStyle w:val="TableContents"/>
              <w:bidi w:val="0"/>
              <w:spacing w:before="0" w:after="283"/>
              <w:jc w:val="center"/>
              <w:rPr/>
            </w:pPr>
            <w:r>
              <w:rPr/>
              <w:t>For the Nine Months Ended</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69" w:name="xdx_400_eus-gaap--NetCashProvidedByUsedI"/>
            <w:bookmarkEnd w:id="169"/>
          </w:p>
        </w:tc>
      </w:tr>
      <w:tr>
        <w:trPr/>
        <w:tc>
          <w:tcPr>
            <w:tcW w:w="713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0" w:name="xdx_40E_eus-gaap--NetIncomeLoss_i01_pp0p"/>
            <w:bookmarkEnd w:id="170"/>
          </w:p>
        </w:tc>
      </w:tr>
      <w:tr>
        <w:trPr/>
        <w:tc>
          <w:tcPr>
            <w:tcW w:w="71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(11,765,000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(24,258,000</w:t>
            </w:r>
          </w:p>
        </w:tc>
        <w:tc>
          <w:tcPr>
            <w:tcW w:w="110" w:type="dxa"/>
            <w:tcBorders/>
            <w:shd w:fill="FFFFFF" w:val="clear"/>
            <w:vAlign w:val="center"/>
          </w:tcPr>
          <w:p>
            <w:pPr>
              <w:pStyle w:val="TableContents"/>
              <w:bidi w:val="0"/>
              <w:spacing w:before="0" w:after="283"/>
              <w:jc w:val="left"/>
              <w:rPr/>
            </w:pPr>
            <w:r>
              <w:rPr/>
              <w:t>)</w:t>
            </w:r>
            <w:bookmarkStart w:id="171" w:name="xdx_403_eus-gaap--AdjustmentsToReconcile"/>
            <w:bookmarkEnd w:id="171"/>
          </w:p>
        </w:tc>
      </w:tr>
      <w:tr>
        <w:trPr/>
        <w:tc>
          <w:tcPr>
            <w:tcW w:w="7130" w:type="dxa"/>
            <w:tcBorders/>
            <w:shd w:fill="CCEE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 w:name="xdx_40E_eus-gaap--DepreciationAndAmortiz"/>
            <w:bookmarkEnd w:id="172"/>
          </w:p>
        </w:tc>
      </w:tr>
      <w:tr>
        <w:trPr/>
        <w:tc>
          <w:tcPr>
            <w:tcW w:w="7130" w:type="dxa"/>
            <w:tcBorders/>
            <w:shd w:fill="FFFFFF" w:val="clear"/>
            <w:vAlign w:val="center"/>
          </w:tcPr>
          <w:p>
            <w:pPr>
              <w:pStyle w:val="TableContents"/>
              <w:bidi w:val="0"/>
              <w:spacing w:before="0" w:after="283"/>
              <w:jc w:val="left"/>
              <w:rPr/>
            </w:pPr>
            <w:r>
              <w:rPr/>
              <w:t>Depreciation and amortization of property, plant and equipment and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1,382,000</w:t>
            </w:r>
          </w:p>
        </w:tc>
        <w:tc>
          <w:tcPr>
            <w:tcW w:w="110" w:type="dxa"/>
            <w:tcBorders/>
            <w:shd w:fill="FFFFFF" w:val="clear"/>
            <w:vAlign w:val="center"/>
          </w:tcPr>
          <w:p>
            <w:pPr>
              <w:pStyle w:val="TableContents"/>
              <w:bidi w:val="0"/>
              <w:spacing w:before="0" w:after="283"/>
              <w:jc w:val="left"/>
              <w:rPr/>
            </w:pPr>
            <w:r>
              <w:rPr/>
              <w:t> </w:t>
            </w:r>
            <w:bookmarkStart w:id="173" w:name="xdx_402_eus-gaap--AmortizationOfIntangib"/>
            <w:bookmarkEnd w:id="173"/>
          </w:p>
        </w:tc>
      </w:tr>
      <w:tr>
        <w:trPr/>
        <w:tc>
          <w:tcPr>
            <w:tcW w:w="713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12,676,000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7,708,000</w:t>
            </w:r>
          </w:p>
        </w:tc>
        <w:tc>
          <w:tcPr>
            <w:tcW w:w="110" w:type="dxa"/>
            <w:tcBorders/>
            <w:shd w:fill="CCEEFF" w:val="clear"/>
            <w:vAlign w:val="center"/>
          </w:tcPr>
          <w:p>
            <w:pPr>
              <w:pStyle w:val="TableContents"/>
              <w:bidi w:val="0"/>
              <w:spacing w:before="0" w:after="283"/>
              <w:jc w:val="left"/>
              <w:rPr/>
            </w:pPr>
            <w:r>
              <w:rPr/>
              <w:t> </w:t>
            </w:r>
            <w:bookmarkStart w:id="174" w:name="xdx_40A_ecustom--NoncashLeaseExpense_i02"/>
            <w:bookmarkEnd w:id="174"/>
          </w:p>
        </w:tc>
      </w:tr>
      <w:tr>
        <w:trPr/>
        <w:tc>
          <w:tcPr>
            <w:tcW w:w="713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583,000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636,000</w:t>
            </w:r>
          </w:p>
        </w:tc>
        <w:tc>
          <w:tcPr>
            <w:tcW w:w="110" w:type="dxa"/>
            <w:tcBorders/>
            <w:shd w:fill="FFFFFF" w:val="clear"/>
            <w:vAlign w:val="center"/>
          </w:tcPr>
          <w:p>
            <w:pPr>
              <w:pStyle w:val="TableContents"/>
              <w:bidi w:val="0"/>
              <w:spacing w:before="0" w:after="283"/>
              <w:jc w:val="left"/>
              <w:rPr/>
            </w:pPr>
            <w:r>
              <w:rPr/>
              <w:t> </w:t>
            </w:r>
            <w:bookmarkStart w:id="175" w:name="xdx_400_eus-gaap--ProvisionForDoubtfulAc"/>
            <w:bookmarkEnd w:id="175"/>
          </w:p>
        </w:tc>
      </w:tr>
      <w:tr>
        <w:trPr/>
        <w:tc>
          <w:tcPr>
            <w:tcW w:w="7130" w:type="dxa"/>
            <w:tcBorders/>
            <w:shd w:fill="CCEEFF" w:val="clear"/>
            <w:vAlign w:val="center"/>
          </w:tcPr>
          <w:p>
            <w:pPr>
              <w:pStyle w:val="TableContents"/>
              <w:bidi w:val="0"/>
              <w:spacing w:before="0" w:after="283"/>
              <w:jc w:val="left"/>
              <w:rPr/>
            </w:pPr>
            <w:r>
              <w:rPr/>
              <w:t>Provision for (recovery of)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548,000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(20,000</w:t>
            </w:r>
          </w:p>
        </w:tc>
        <w:tc>
          <w:tcPr>
            <w:tcW w:w="110" w:type="dxa"/>
            <w:tcBorders/>
            <w:shd w:fill="CCEEFF" w:val="clear"/>
            <w:vAlign w:val="center"/>
          </w:tcPr>
          <w:p>
            <w:pPr>
              <w:pStyle w:val="TableContents"/>
              <w:bidi w:val="0"/>
              <w:spacing w:before="0" w:after="283"/>
              <w:jc w:val="left"/>
              <w:rPr/>
            </w:pPr>
            <w:r>
              <w:rPr/>
              <w:t>)</w:t>
            </w:r>
            <w:bookmarkStart w:id="176" w:name="xdx_409_eus-gaap--AmortizationOfFinancin"/>
            <w:bookmarkEnd w:id="176"/>
          </w:p>
        </w:tc>
      </w:tr>
      <w:tr>
        <w:trPr/>
        <w:tc>
          <w:tcPr>
            <w:tcW w:w="7130" w:type="dxa"/>
            <w:tcBorders/>
            <w:shd w:fill="FFFFFF" w:val="clear"/>
            <w:vAlign w:val="center"/>
          </w:tcPr>
          <w:p>
            <w:pPr>
              <w:pStyle w:val="TableContents"/>
              <w:bidi w:val="0"/>
              <w:spacing w:before="0" w:after="283"/>
              <w:jc w:val="left"/>
              <w:rPr/>
            </w:pPr>
            <w:r>
              <w:rPr/>
              <w:t>Amortization of debt issuance costs and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3,692,000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2,985,000</w:t>
            </w:r>
          </w:p>
        </w:tc>
        <w:tc>
          <w:tcPr>
            <w:tcW w:w="110" w:type="dxa"/>
            <w:tcBorders/>
            <w:shd w:fill="FFFFFF" w:val="clear"/>
            <w:vAlign w:val="center"/>
          </w:tcPr>
          <w:p>
            <w:pPr>
              <w:pStyle w:val="TableContents"/>
              <w:bidi w:val="0"/>
              <w:spacing w:before="0" w:after="283"/>
              <w:jc w:val="left"/>
              <w:rPr/>
            </w:pPr>
            <w:r>
              <w:rPr/>
              <w:t> </w:t>
            </w:r>
            <w:bookmarkStart w:id="177" w:name="xdx_408_eus-gaap--GainLossOnInvestments_"/>
            <w:bookmarkEnd w:id="177"/>
          </w:p>
        </w:tc>
      </w:tr>
      <w:tr>
        <w:trPr/>
        <w:tc>
          <w:tcPr>
            <w:tcW w:w="7130" w:type="dxa"/>
            <w:tcBorders/>
            <w:shd w:fill="CCEEFF" w:val="clear"/>
            <w:vAlign w:val="center"/>
          </w:tcPr>
          <w:p>
            <w:pPr>
              <w:pStyle w:val="TableContents"/>
              <w:bidi w:val="0"/>
              <w:spacing w:before="0" w:after="283"/>
              <w:jc w:val="left"/>
              <w:rPr/>
            </w:pPr>
            <w:r>
              <w:rPr/>
              <w:t>Investment loss from investment in Eton Pharmaceuticals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3,171,000</w:t>
            </w:r>
          </w:p>
        </w:tc>
        <w:tc>
          <w:tcPr>
            <w:tcW w:w="110" w:type="dxa"/>
            <w:tcBorders/>
            <w:shd w:fill="CCEEFF" w:val="clear"/>
            <w:vAlign w:val="center"/>
          </w:tcPr>
          <w:p>
            <w:pPr>
              <w:pStyle w:val="TableContents"/>
              <w:bidi w:val="0"/>
              <w:spacing w:before="0" w:after="283"/>
              <w:jc w:val="left"/>
              <w:rPr/>
            </w:pPr>
            <w:r>
              <w:rPr/>
              <w:t> </w:t>
            </w:r>
            <w:bookmarkStart w:id="178" w:name="xdx_40E_eus-gaap--GainsLossesOnExtinguis"/>
            <w:bookmarkEnd w:id="178"/>
          </w:p>
        </w:tc>
      </w:tr>
      <w:tr>
        <w:trPr/>
        <w:tc>
          <w:tcPr>
            <w:tcW w:w="7130"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9" w:name="xdx_40C_eus-gaap--ShareBasedCompensation"/>
            <w:bookmarkEnd w:id="179"/>
          </w:p>
        </w:tc>
      </w:tr>
      <w:tr>
        <w:trPr/>
        <w:tc>
          <w:tcPr>
            <w:tcW w:w="71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8,702,000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12,825,000</w:t>
            </w:r>
          </w:p>
        </w:tc>
        <w:tc>
          <w:tcPr>
            <w:tcW w:w="110" w:type="dxa"/>
            <w:tcBorders/>
            <w:shd w:fill="CCEEFF" w:val="clear"/>
            <w:vAlign w:val="center"/>
          </w:tcPr>
          <w:p>
            <w:pPr>
              <w:pStyle w:val="TableContents"/>
              <w:bidi w:val="0"/>
              <w:spacing w:before="0" w:after="283"/>
              <w:jc w:val="left"/>
              <w:rPr/>
            </w:pPr>
            <w:r>
              <w:rPr/>
              <w:t> </w:t>
            </w:r>
            <w:bookmarkStart w:id="180" w:name="xdx_409_eus-gaap--DeferredIncomeTaxExpen"/>
            <w:bookmarkEnd w:id="180"/>
          </w:p>
        </w:tc>
      </w:tr>
      <w:tr>
        <w:trPr/>
        <w:tc>
          <w:tcPr>
            <w:tcW w:w="7130"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643,000</w:t>
            </w:r>
          </w:p>
        </w:tc>
        <w:tc>
          <w:tcPr>
            <w:tcW w:w="110" w:type="dxa"/>
            <w:tcBorders/>
            <w:shd w:fill="FFFFFF" w:val="clear"/>
            <w:vAlign w:val="center"/>
          </w:tcPr>
          <w:p>
            <w:pPr>
              <w:pStyle w:val="TableContents"/>
              <w:bidi w:val="0"/>
              <w:spacing w:before="0" w:after="283"/>
              <w:jc w:val="left"/>
              <w:rPr/>
            </w:pPr>
            <w:r>
              <w:rPr/>
              <w:t> </w:t>
            </w:r>
            <w:bookmarkStart w:id="181" w:name="xdx_404_eus-gaap--IncreaseDecreaseInOper"/>
            <w:bookmarkEnd w:id="181"/>
          </w:p>
        </w:tc>
      </w:tr>
      <w:tr>
        <w:trPr/>
        <w:tc>
          <w:tcPr>
            <w:tcW w:w="713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2" w:name="xdx_409_eus-gaap--IncreaseDecreaseInAcco"/>
            <w:bookmarkEnd w:id="182"/>
          </w:p>
        </w:tc>
      </w:tr>
      <w:tr>
        <w:trPr/>
        <w:tc>
          <w:tcPr>
            <w:tcW w:w="71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38,225,000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(17,453,000</w:t>
            </w:r>
          </w:p>
        </w:tc>
        <w:tc>
          <w:tcPr>
            <w:tcW w:w="110" w:type="dxa"/>
            <w:tcBorders/>
            <w:shd w:fill="FFFFFF" w:val="clear"/>
            <w:vAlign w:val="center"/>
          </w:tcPr>
          <w:p>
            <w:pPr>
              <w:pStyle w:val="TableContents"/>
              <w:bidi w:val="0"/>
              <w:spacing w:before="0" w:after="283"/>
              <w:jc w:val="left"/>
              <w:rPr/>
            </w:pPr>
            <w:r>
              <w:rPr/>
              <w:t>)</w:t>
            </w:r>
            <w:bookmarkStart w:id="183" w:name="xdx_400_eus-gaap--IncreaseDecreaseInInve"/>
            <w:bookmarkEnd w:id="183"/>
          </w:p>
        </w:tc>
      </w:tr>
      <w:tr>
        <w:trPr/>
        <w:tc>
          <w:tcPr>
            <w:tcW w:w="713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(2,132,000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711,000</w:t>
            </w:r>
          </w:p>
        </w:tc>
        <w:tc>
          <w:tcPr>
            <w:tcW w:w="110" w:type="dxa"/>
            <w:tcBorders/>
            <w:shd w:fill="CCEEFF" w:val="clear"/>
            <w:vAlign w:val="center"/>
          </w:tcPr>
          <w:p>
            <w:pPr>
              <w:pStyle w:val="TableContents"/>
              <w:bidi w:val="0"/>
              <w:spacing w:before="0" w:after="283"/>
              <w:jc w:val="left"/>
              <w:rPr/>
            </w:pPr>
            <w:r>
              <w:rPr/>
              <w:t> </w:t>
            </w:r>
            <w:bookmarkStart w:id="184" w:name="xdx_404_eus-gaap--IncreaseDecreaseInPrep"/>
            <w:bookmarkEnd w:id="184"/>
          </w:p>
        </w:tc>
      </w:tr>
      <w:tr>
        <w:trPr/>
        <w:tc>
          <w:tcPr>
            <w:tcW w:w="71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(983,000</w:t>
            </w:r>
          </w:p>
        </w:tc>
        <w:tc>
          <w:tcPr>
            <w:tcW w:w="110" w:type="dxa"/>
            <w:tcBorders/>
            <w:shd w:fill="FFFFFF" w:val="clear"/>
            <w:vAlign w:val="center"/>
          </w:tcPr>
          <w:p>
            <w:pPr>
              <w:pStyle w:val="TableContents"/>
              <w:bidi w:val="0"/>
              <w:spacing w:before="0" w:after="283"/>
              <w:jc w:val="left"/>
              <w:rPr/>
            </w:pPr>
            <w:r>
              <w:rPr/>
              <w:t>)</w:t>
            </w:r>
            <w:bookmarkStart w:id="185" w:name="xdx_407_eus-gaap--IncreaseDecreaseInAcco"/>
            <w:bookmarkEnd w:id="185"/>
          </w:p>
        </w:tc>
      </w:tr>
      <w:tr>
        <w:trPr/>
        <w:tc>
          <w:tcPr>
            <w:tcW w:w="7130" w:type="dxa"/>
            <w:tcBorders/>
            <w:shd w:fill="CCEEFF" w:val="clear"/>
            <w:vAlign w:val="center"/>
          </w:tcPr>
          <w:p>
            <w:pPr>
              <w:pStyle w:val="TableContents"/>
              <w:bidi w:val="0"/>
              <w:spacing w:before="0" w:after="283"/>
              <w:jc w:val="left"/>
              <w:rPr/>
            </w:pPr>
            <w:r>
              <w:rPr/>
              <w:t>Accounts payable, accrued expenses, 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(27,049,000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6,433,000</w:t>
            </w:r>
          </w:p>
        </w:tc>
        <w:tc>
          <w:tcPr>
            <w:tcW w:w="110" w:type="dxa"/>
            <w:tcBorders/>
            <w:shd w:fill="CCEEFF" w:val="clear"/>
            <w:vAlign w:val="center"/>
          </w:tcPr>
          <w:p>
            <w:pPr>
              <w:pStyle w:val="TableContents"/>
              <w:bidi w:val="0"/>
              <w:spacing w:before="0" w:after="283"/>
              <w:jc w:val="left"/>
              <w:rPr/>
            </w:pPr>
            <w:r>
              <w:rPr/>
              <w:t> </w:t>
            </w:r>
            <w:bookmarkStart w:id="186" w:name="xdx_40D_eus-gaap--IncreaseDecreaseInEmpl"/>
            <w:bookmarkEnd w:id="186"/>
          </w:p>
        </w:tc>
      </w:tr>
      <w:tr>
        <w:trPr/>
        <w:tc>
          <w:tcPr>
            <w:tcW w:w="7130"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1,735,000</w:t>
            </w:r>
          </w:p>
        </w:tc>
        <w:tc>
          <w:tcPr>
            <w:tcW w:w="110" w:type="dxa"/>
            <w:tcBorders/>
            <w:shd w:fill="FFFFFF" w:val="clear"/>
            <w:vAlign w:val="center"/>
          </w:tcPr>
          <w:p>
            <w:pPr>
              <w:pStyle w:val="TableContents"/>
              <w:bidi w:val="0"/>
              <w:spacing w:before="0" w:after="283"/>
              <w:jc w:val="left"/>
              <w:rPr/>
            </w:pPr>
            <w:r>
              <w:rPr/>
              <w:t> </w:t>
            </w:r>
            <w:bookmarkStart w:id="187" w:name="xdx_408_eus-gaap--IncreaseDecreaseInDefe"/>
            <w:bookmarkEnd w:id="187"/>
          </w:p>
        </w:tc>
      </w:tr>
      <w:tr>
        <w:trPr/>
        <w:tc>
          <w:tcPr>
            <w:tcW w:w="7130"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62,000</w:t>
            </w:r>
          </w:p>
        </w:tc>
        <w:tc>
          <w:tcPr>
            <w:tcW w:w="110" w:type="dxa"/>
            <w:tcBorders/>
            <w:shd w:fill="CCEEFF" w:val="clear"/>
            <w:vAlign w:val="center"/>
          </w:tcPr>
          <w:p>
            <w:pPr>
              <w:pStyle w:val="TableContents"/>
              <w:bidi w:val="0"/>
              <w:spacing w:before="0" w:after="283"/>
              <w:jc w:val="left"/>
              <w:rPr/>
            </w:pPr>
            <w:r>
              <w:rPr/>
              <w:t> </w:t>
            </w:r>
            <w:bookmarkStart w:id="188" w:name="xdx_404_eus-gaap--NetCashProvidedByUsedI"/>
            <w:bookmarkEnd w:id="188"/>
          </w:p>
        </w:tc>
      </w:tr>
      <w:tr>
        <w:trPr/>
        <w:tc>
          <w:tcPr>
            <w:tcW w:w="7130"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35,453,000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(4,423,000</w:t>
            </w:r>
          </w:p>
        </w:tc>
        <w:tc>
          <w:tcPr>
            <w:tcW w:w="110" w:type="dxa"/>
            <w:tcBorders/>
            <w:shd w:fill="FFFFFF" w:val="clear"/>
            <w:vAlign w:val="center"/>
          </w:tcPr>
          <w:p>
            <w:pPr>
              <w:pStyle w:val="TableContents"/>
              <w:bidi w:val="0"/>
              <w:spacing w:before="0" w:after="283"/>
              <w:jc w:val="left"/>
              <w:rPr/>
            </w:pPr>
            <w:r>
              <w:rPr/>
              <w:t>)</w:t>
            </w:r>
            <w:bookmarkStart w:id="189" w:name="xdx_406_eus-gaap--NetCashProvidedByUsedI"/>
            <w:bookmarkEnd w:id="189"/>
          </w:p>
        </w:tc>
      </w:tr>
      <w:tr>
        <w:trPr/>
        <w:tc>
          <w:tcPr>
            <w:tcW w:w="7130"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0" w:name="xdx_40E_eus-gaap--ProceedsFromSaleMaturi"/>
            <w:bookmarkEnd w:id="190"/>
          </w:p>
        </w:tc>
      </w:tr>
      <w:tr>
        <w:trPr/>
        <w:tc>
          <w:tcPr>
            <w:tcW w:w="7130" w:type="dxa"/>
            <w:tcBorders/>
            <w:shd w:fill="FFFFFF" w:val="clear"/>
            <w:vAlign w:val="center"/>
          </w:tcPr>
          <w:p>
            <w:pPr>
              <w:pStyle w:val="TableContents"/>
              <w:bidi w:val="0"/>
              <w:spacing w:before="0" w:after="283"/>
              <w:jc w:val="left"/>
              <w:rPr/>
            </w:pPr>
            <w:r>
              <w:rPr/>
              <w:t>Net proceeds on sale of investment in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5,510,000</w:t>
            </w:r>
          </w:p>
        </w:tc>
        <w:tc>
          <w:tcPr>
            <w:tcW w:w="110" w:type="dxa"/>
            <w:tcBorders/>
            <w:shd w:fill="FFFFFF" w:val="clear"/>
            <w:vAlign w:val="center"/>
          </w:tcPr>
          <w:p>
            <w:pPr>
              <w:pStyle w:val="TableContents"/>
              <w:bidi w:val="0"/>
              <w:spacing w:before="0" w:after="283"/>
              <w:jc w:val="left"/>
              <w:rPr/>
            </w:pPr>
            <w:r>
              <w:rPr/>
              <w:t> </w:t>
            </w:r>
            <w:bookmarkStart w:id="191" w:name="xdx_40D_eus-gaap--PaymentsToAcquireIntan"/>
            <w:bookmarkEnd w:id="191"/>
          </w:p>
        </w:tc>
      </w:tr>
      <w:tr>
        <w:trPr/>
        <w:tc>
          <w:tcPr>
            <w:tcW w:w="7130" w:type="dxa"/>
            <w:tcBorders/>
            <w:shd w:fill="CCEEFF" w:val="clear"/>
            <w:vAlign w:val="center"/>
          </w:tcPr>
          <w:p>
            <w:pPr>
              <w:pStyle w:val="TableContents"/>
              <w:bidi w:val="0"/>
              <w:spacing w:before="0" w:after="283"/>
              <w:jc w:val="left"/>
              <w:rPr/>
            </w:pPr>
            <w:r>
              <w:rPr/>
              <w:t>Investment in patent and trademark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(74,000</w:t>
            </w:r>
          </w:p>
        </w:tc>
        <w:tc>
          <w:tcPr>
            <w:tcW w:w="110" w:type="dxa"/>
            <w:tcBorders/>
            <w:shd w:fill="CCEEFF" w:val="clear"/>
            <w:vAlign w:val="center"/>
          </w:tcPr>
          <w:p>
            <w:pPr>
              <w:pStyle w:val="TableContents"/>
              <w:bidi w:val="0"/>
              <w:spacing w:before="0" w:after="283"/>
              <w:jc w:val="left"/>
              <w:rPr/>
            </w:pPr>
            <w:r>
              <w:rPr/>
              <w:t>)</w:t>
            </w:r>
            <w:bookmarkStart w:id="192" w:name="xdx_401_ecustom--PurchaseOfProductRights"/>
            <w:bookmarkEnd w:id="192"/>
          </w:p>
        </w:tc>
      </w:tr>
      <w:tr>
        <w:trPr/>
        <w:tc>
          <w:tcPr>
            <w:tcW w:w="7130" w:type="dxa"/>
            <w:tcBorders/>
            <w:shd w:fill="FFFFFF" w:val="clear"/>
            <w:vAlign w:val="center"/>
          </w:tcPr>
          <w:p>
            <w:pPr>
              <w:pStyle w:val="TableContents"/>
              <w:bidi w:val="0"/>
              <w:spacing w:before="0" w:after="283"/>
              <w:jc w:val="left"/>
              <w:rPr/>
            </w:pPr>
            <w:r>
              <w:rPr/>
              <w:t>Purchase of product rights and related patents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3" w:name="xdx_408_eus-gaap--PaymentsToAcquirePrope"/>
            <w:bookmarkEnd w:id="193"/>
          </w:p>
        </w:tc>
      </w:tr>
      <w:tr>
        <w:trPr/>
        <w:tc>
          <w:tcPr>
            <w:tcW w:w="7130"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(546,000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(1,040,000</w:t>
            </w:r>
          </w:p>
        </w:tc>
        <w:tc>
          <w:tcPr>
            <w:tcW w:w="110" w:type="dxa"/>
            <w:tcBorders/>
            <w:shd w:fill="CCEEFF" w:val="clear"/>
            <w:vAlign w:val="center"/>
          </w:tcPr>
          <w:p>
            <w:pPr>
              <w:pStyle w:val="TableContents"/>
              <w:bidi w:val="0"/>
              <w:spacing w:before="0" w:after="283"/>
              <w:jc w:val="left"/>
              <w:rPr/>
            </w:pPr>
            <w:r>
              <w:rPr/>
              <w:t>)</w:t>
            </w:r>
            <w:bookmarkStart w:id="194" w:name="xdx_40B_eus-gaap--NetCashProvidedByUsedI"/>
            <w:bookmarkEnd w:id="194"/>
          </w:p>
        </w:tc>
      </w:tr>
      <w:tr>
        <w:trPr/>
        <w:tc>
          <w:tcPr>
            <w:tcW w:w="7130"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4,396,000</w:t>
            </w:r>
          </w:p>
        </w:tc>
        <w:tc>
          <w:tcPr>
            <w:tcW w:w="110" w:type="dxa"/>
            <w:tcBorders/>
            <w:shd w:fill="FFFFFF" w:val="clear"/>
            <w:vAlign w:val="center"/>
          </w:tcPr>
          <w:p>
            <w:pPr>
              <w:pStyle w:val="TableContents"/>
              <w:bidi w:val="0"/>
              <w:spacing w:before="0" w:after="283"/>
              <w:jc w:val="left"/>
              <w:rPr/>
            </w:pPr>
            <w:r>
              <w:rPr/>
              <w:t> </w:t>
            </w:r>
            <w:bookmarkStart w:id="195" w:name="xdx_403_eus-gaap--NetCashProvidedByUsedI"/>
            <w:bookmarkEnd w:id="195"/>
          </w:p>
        </w:tc>
      </w:tr>
      <w:tr>
        <w:trPr/>
        <w:tc>
          <w:tcPr>
            <w:tcW w:w="713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6" w:name="xdx_400_eus-gaap--ProceedsFromDebtNetOfI"/>
            <w:bookmarkEnd w:id="196"/>
          </w:p>
        </w:tc>
      </w:tr>
      <w:tr>
        <w:trPr/>
        <w:tc>
          <w:tcPr>
            <w:tcW w:w="7130" w:type="dxa"/>
            <w:tcBorders/>
            <w:shd w:fill="FFFFFF" w:val="clear"/>
            <w:vAlign w:val="center"/>
          </w:tcPr>
          <w:p>
            <w:pPr>
              <w:pStyle w:val="TableContents"/>
              <w:bidi w:val="0"/>
              <w:spacing w:before="0" w:after="283"/>
              <w:jc w:val="left"/>
              <w:rPr/>
            </w:pPr>
            <w:r>
              <w:rPr/>
              <w:t>Proceeds from new debt, net of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244,375,000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7" w:name="xdx_404_eus-gaap--PaymentsOfDebtIssuance"/>
            <w:bookmarkEnd w:id="197"/>
          </w:p>
        </w:tc>
      </w:tr>
      <w:tr>
        <w:trPr/>
        <w:tc>
          <w:tcPr>
            <w:tcW w:w="7130" w:type="dxa"/>
            <w:tcBorders/>
            <w:shd w:fill="CCEEFF" w:val="clear"/>
            <w:vAlign w:val="center"/>
          </w:tcPr>
          <w:p>
            <w:pPr>
              <w:pStyle w:val="TableContents"/>
              <w:bidi w:val="0"/>
              <w:spacing w:before="0" w:after="283"/>
              <w:jc w:val="left"/>
              <w:rPr/>
            </w:pPr>
            <w:r>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(1,581,000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w:t>
            </w:r>
          </w:p>
        </w:tc>
        <w:tc>
          <w:tcPr>
            <w:tcW w:w="110" w:type="dxa"/>
            <w:tcBorders/>
            <w:shd w:fill="CCEEFF" w:val="clear"/>
            <w:vAlign w:val="center"/>
          </w:tcPr>
          <w:p>
            <w:pPr>
              <w:pStyle w:val="TableContents"/>
              <w:bidi w:val="0"/>
              <w:spacing w:before="0" w:after="283"/>
              <w:jc w:val="left"/>
              <w:rPr/>
            </w:pPr>
            <w:r>
              <w:rPr/>
              <w:t>)</w:t>
            </w:r>
            <w:bookmarkStart w:id="198" w:name="xdx_402_eus-gaap--RepaymentsOfNotesPayab"/>
            <w:bookmarkEnd w:id="198"/>
          </w:p>
        </w:tc>
      </w:tr>
      <w:tr>
        <w:trPr/>
        <w:tc>
          <w:tcPr>
            <w:tcW w:w="7130" w:type="dxa"/>
            <w:tcBorders/>
            <w:shd w:fill="FFFFFF" w:val="clear"/>
            <w:vAlign w:val="center"/>
          </w:tcPr>
          <w:p>
            <w:pPr>
              <w:pStyle w:val="TableContents"/>
              <w:bidi w:val="0"/>
              <w:spacing w:before="0" w:after="283"/>
              <w:jc w:val="left"/>
              <w:rPr/>
            </w:pPr>
            <w:r>
              <w:rPr/>
              <w:t>Repayment of notes payable, including exit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(230,901,000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9" w:name="xdx_40B_ecustom--PaymentOfPayrollTaxesUp"/>
            <w:bookmarkEnd w:id="199"/>
          </w:p>
        </w:tc>
      </w:tr>
      <w:tr>
        <w:trPr/>
        <w:tc>
          <w:tcPr>
            <w:tcW w:w="7130" w:type="dxa"/>
            <w:tcBorders/>
            <w:shd w:fill="CCEEFF" w:val="clear"/>
            <w:vAlign w:val="center"/>
          </w:tcPr>
          <w:p>
            <w:pPr>
              <w:pStyle w:val="TableContents"/>
              <w:bidi w:val="0"/>
              <w:spacing w:before="0" w:after="283"/>
              <w:jc w:val="left"/>
              <w:rPr/>
            </w:pPr>
            <w:r>
              <w:rPr/>
              <w:t>Payment of payroll taxes upon vesting of PSUs, RSUs and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(19,860,000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(2,362,000</w:t>
            </w:r>
          </w:p>
        </w:tc>
        <w:tc>
          <w:tcPr>
            <w:tcW w:w="110" w:type="dxa"/>
            <w:tcBorders/>
            <w:shd w:fill="CCEEFF" w:val="clear"/>
            <w:vAlign w:val="center"/>
          </w:tcPr>
          <w:p>
            <w:pPr>
              <w:pStyle w:val="TableContents"/>
              <w:bidi w:val="0"/>
              <w:spacing w:before="0" w:after="283"/>
              <w:jc w:val="left"/>
              <w:rPr/>
            </w:pPr>
            <w:r>
              <w:rPr/>
              <w:t>)</w:t>
            </w:r>
            <w:bookmarkStart w:id="200" w:name="xdx_404_eus-gaap--ProceedsFromStockOptio"/>
            <w:bookmarkEnd w:id="200"/>
          </w:p>
        </w:tc>
      </w:tr>
      <w:tr>
        <w:trPr/>
        <w:tc>
          <w:tcPr>
            <w:tcW w:w="713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287,000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1,005,000</w:t>
            </w:r>
          </w:p>
        </w:tc>
        <w:tc>
          <w:tcPr>
            <w:tcW w:w="110" w:type="dxa"/>
            <w:tcBorders/>
            <w:shd w:fill="FFFFFF" w:val="clear"/>
            <w:vAlign w:val="center"/>
          </w:tcPr>
          <w:p>
            <w:pPr>
              <w:pStyle w:val="TableContents"/>
              <w:bidi w:val="0"/>
              <w:spacing w:before="0" w:after="283"/>
              <w:jc w:val="left"/>
              <w:rPr/>
            </w:pPr>
            <w:r>
              <w:rPr/>
              <w:t> </w:t>
            </w:r>
            <w:bookmarkStart w:id="201" w:name="xdx_408_eus-gaap--NetCashProvidedByUsedI"/>
            <w:bookmarkEnd w:id="201"/>
          </w:p>
        </w:tc>
      </w:tr>
      <w:tr>
        <w:trPr/>
        <w:tc>
          <w:tcPr>
            <w:tcW w:w="7130"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(7,680,000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(1,457,000</w:t>
            </w:r>
          </w:p>
        </w:tc>
        <w:tc>
          <w:tcPr>
            <w:tcW w:w="110" w:type="dxa"/>
            <w:tcBorders/>
            <w:shd w:fill="CCEEFF" w:val="clear"/>
            <w:vAlign w:val="center"/>
          </w:tcPr>
          <w:p>
            <w:pPr>
              <w:pStyle w:val="TableContents"/>
              <w:bidi w:val="0"/>
              <w:spacing w:before="0" w:after="283"/>
              <w:jc w:val="left"/>
              <w:rPr/>
            </w:pPr>
            <w:r>
              <w:rPr/>
              <w:t>)</w:t>
            </w:r>
            <w:bookmarkStart w:id="202" w:name="xdx_400_eus-gaap--CashCashEquivalentsRes"/>
            <w:bookmarkEnd w:id="202"/>
          </w:p>
        </w:tc>
      </w:tr>
      <w:tr>
        <w:trPr/>
        <w:tc>
          <w:tcPr>
            <w:tcW w:w="7130"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27,043,000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(1,484,000</w:t>
            </w:r>
          </w:p>
        </w:tc>
        <w:tc>
          <w:tcPr>
            <w:tcW w:w="110" w:type="dxa"/>
            <w:tcBorders/>
            <w:shd w:fill="FFFFFF" w:val="clear"/>
            <w:vAlign w:val="center"/>
          </w:tcPr>
          <w:p>
            <w:pPr>
              <w:pStyle w:val="TableContents"/>
              <w:bidi w:val="0"/>
              <w:spacing w:before="0" w:after="283"/>
              <w:jc w:val="left"/>
              <w:rPr/>
            </w:pPr>
            <w:r>
              <w:rPr/>
              <w:t>)</w:t>
            </w:r>
            <w:bookmarkStart w:id="203" w:name="xdx_40F_eus-gaap--CashCashEquivalentsRes"/>
            <w:bookmarkEnd w:id="203"/>
          </w:p>
        </w:tc>
      </w:tr>
      <w:tr>
        <w:trPr/>
        <w:tc>
          <w:tcPr>
            <w:tcW w:w="7130"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47,247,000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74,085,000</w:t>
            </w:r>
          </w:p>
        </w:tc>
        <w:tc>
          <w:tcPr>
            <w:tcW w:w="110" w:type="dxa"/>
            <w:tcBorders/>
            <w:shd w:fill="CCEEFF" w:val="clear"/>
            <w:vAlign w:val="center"/>
          </w:tcPr>
          <w:p>
            <w:pPr>
              <w:pStyle w:val="TableContents"/>
              <w:bidi w:val="0"/>
              <w:spacing w:before="0" w:after="283"/>
              <w:jc w:val="left"/>
              <w:rPr/>
            </w:pPr>
            <w:r>
              <w:rPr/>
              <w:t> </w:t>
            </w:r>
            <w:bookmarkStart w:id="204" w:name="xdx_40B_eus-gaap--CashCashEquivalentsRes"/>
            <w:bookmarkEnd w:id="204"/>
          </w:p>
        </w:tc>
      </w:tr>
      <w:tr>
        <w:trPr/>
        <w:tc>
          <w:tcPr>
            <w:tcW w:w="7130" w:type="dxa"/>
            <w:tcBorders/>
            <w:shd w:fill="FFFFFF" w:val="clear"/>
            <w:vAlign w:val="center"/>
          </w:tcPr>
          <w:p>
            <w:pPr>
              <w:pStyle w:val="TableContents"/>
              <w:bidi w:val="0"/>
              <w:spacing w:before="0" w:after="283"/>
              <w:jc w:val="left"/>
              <w:rPr/>
            </w:pPr>
            <w:r>
              <w:rPr/>
              <w:t>CASH,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74,290,000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72,601,000</w:t>
            </w:r>
          </w:p>
        </w:tc>
        <w:tc>
          <w:tcPr>
            <w:tcW w:w="110" w:type="dxa"/>
            <w:tcBorders/>
            <w:shd w:fill="FFFFFF" w:val="clear"/>
            <w:vAlign w:val="center"/>
          </w:tcPr>
          <w:p>
            <w:pPr>
              <w:pStyle w:val="TableContents"/>
              <w:bidi w:val="0"/>
              <w:spacing w:before="0" w:after="283"/>
              <w:jc w:val="left"/>
              <w:rPr/>
            </w:pPr>
            <w:r>
              <w:rPr/>
              <w:t> </w:t>
            </w:r>
            <w:bookmarkStart w:id="205" w:name="xdx_402_eus-gaap--SupplementalCashFlowIn"/>
            <w:bookmarkEnd w:id="205"/>
          </w:p>
        </w:tc>
      </w:tr>
      <w:tr>
        <w:trPr/>
        <w:tc>
          <w:tcPr>
            <w:tcW w:w="7130"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9_eus-gaap--IncomeTaxesPaidNet_i01"/>
            <w:bookmarkEnd w:id="206"/>
          </w:p>
        </w:tc>
      </w:tr>
      <w:tr>
        <w:trPr/>
        <w:tc>
          <w:tcPr>
            <w:tcW w:w="713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7" w:name="xdx_401_eus-gaap--InterestPaidNet_i01_zt"/>
            <w:bookmarkEnd w:id="207"/>
          </w:p>
        </w:tc>
      </w:tr>
      <w:tr>
        <w:trPr/>
        <w:tc>
          <w:tcPr>
            <w:tcW w:w="71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18,718,000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15,553,000</w:t>
            </w:r>
          </w:p>
        </w:tc>
        <w:tc>
          <w:tcPr>
            <w:tcW w:w="110" w:type="dxa"/>
            <w:tcBorders/>
            <w:shd w:fill="CCEEFF" w:val="clear"/>
            <w:vAlign w:val="center"/>
          </w:tcPr>
          <w:p>
            <w:pPr>
              <w:pStyle w:val="TableContents"/>
              <w:bidi w:val="0"/>
              <w:spacing w:before="0" w:after="283"/>
              <w:jc w:val="left"/>
              <w:rPr/>
            </w:pPr>
            <w:r>
              <w:rPr/>
              <w:t> </w:t>
            </w:r>
            <w:bookmarkStart w:id="208" w:name="xdx_400_eus-gaap--CashFlowNoncashInvesti"/>
            <w:bookmarkEnd w:id="208"/>
          </w:p>
        </w:tc>
      </w:tr>
      <w:tr>
        <w:trPr/>
        <w:tc>
          <w:tcPr>
            <w:tcW w:w="7130" w:type="dxa"/>
            <w:tcBorders/>
            <w:shd w:fill="FFFFFF" w:val="clear"/>
            <w:vAlign w:val="center"/>
          </w:tcPr>
          <w:p>
            <w:pPr>
              <w:pStyle w:val="TableContents"/>
              <w:bidi w:val="0"/>
              <w:spacing w:before="0" w:after="283"/>
              <w:jc w:val="left"/>
              <w:rPr/>
            </w:pPr>
            <w:r>
              <w:rPr/>
              <w:t>SUPPLEMENTAL DISCLOSURES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 w:name="xdx_40A_eus-gaap--CapitalExpendituresInc"/>
            <w:bookmarkEnd w:id="209"/>
          </w:p>
        </w:tc>
      </w:tr>
      <w:tr>
        <w:trPr/>
        <w:tc>
          <w:tcPr>
            <w:tcW w:w="7130" w:type="dxa"/>
            <w:tcBorders/>
            <w:shd w:fill="CCEEFF" w:val="clear"/>
            <w:vAlign w:val="center"/>
          </w:tcPr>
          <w:p>
            <w:pPr>
              <w:pStyle w:val="TableContents"/>
              <w:bidi w:val="0"/>
              <w:spacing w:before="0" w:after="283"/>
              <w:jc w:val="left"/>
              <w:rPr/>
            </w:pPr>
            <w:r>
              <w:rPr/>
              <w:t>Purchase of property, plant and equipment included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177,000</w:t>
            </w:r>
          </w:p>
        </w:tc>
        <w:tc>
          <w:tcPr>
            <w:tcW w:w="110" w:type="dxa"/>
            <w:tcBorders/>
            <w:shd w:fill="CCEEFF" w:val="clear"/>
            <w:vAlign w:val="center"/>
          </w:tcPr>
          <w:p>
            <w:pPr>
              <w:pStyle w:val="TableContents"/>
              <w:bidi w:val="0"/>
              <w:spacing w:before="0" w:after="283"/>
              <w:jc w:val="left"/>
              <w:rPr/>
            </w:pPr>
            <w:r>
              <w:rPr/>
              <w:t> </w:t>
            </w:r>
            <w:bookmarkStart w:id="210" w:name="xdx_402_eus-gaap--RightOfUseAssetObtaine"/>
            <w:bookmarkEnd w:id="210"/>
          </w:p>
        </w:tc>
      </w:tr>
      <w:tr>
        <w:trPr/>
        <w:tc>
          <w:tcPr>
            <w:tcW w:w="7130" w:type="dxa"/>
            <w:tcBorders/>
            <w:shd w:fill="FFFFFF" w:val="clear"/>
            <w:vAlign w:val="center"/>
          </w:tcPr>
          <w:p>
            <w:pPr>
              <w:pStyle w:val="TableContents"/>
              <w:bidi w:val="0"/>
              <w:spacing w:before="0" w:after="283"/>
              <w:jc w:val="left"/>
              <w:rPr/>
            </w:pPr>
            <w:r>
              <w:rPr/>
              <w:t>Right-of-use assets obtained in exchange for new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3,230,000</w:t>
            </w:r>
          </w:p>
        </w:tc>
        <w:tc>
          <w:tcPr>
            <w:tcW w:w="110" w:type="dxa"/>
            <w:tcBorders/>
            <w:shd w:fill="FFFFFF" w:val="clear"/>
            <w:vAlign w:val="center"/>
          </w:tcPr>
          <w:p>
            <w:pPr>
              <w:pStyle w:val="TableContents"/>
              <w:bidi w:val="0"/>
              <w:spacing w:before="0" w:after="283"/>
              <w:jc w:val="left"/>
              <w:rPr/>
            </w:pPr>
            <w:r>
              <w:rPr/>
              <w:t> </w:t>
            </w:r>
            <w:bookmarkStart w:id="211" w:name="xdx_40F_ecustom--PurchaseOfProductAssoci"/>
            <w:bookmarkEnd w:id="211"/>
          </w:p>
        </w:tc>
      </w:tr>
      <w:tr>
        <w:trPr/>
        <w:tc>
          <w:tcPr>
            <w:tcW w:w="7130" w:type="dxa"/>
            <w:tcBorders/>
            <w:shd w:fill="CCEEFF" w:val="clear"/>
            <w:vAlign w:val="center"/>
          </w:tcPr>
          <w:p>
            <w:pPr>
              <w:pStyle w:val="TableContents"/>
              <w:bidi w:val="0"/>
              <w:spacing w:before="0" w:after="283"/>
              <w:jc w:val="left"/>
              <w:rPr/>
            </w:pPr>
            <w:r>
              <w:rPr/>
              <w:t>Purchase of product rights associated with contingent consideration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37,000,000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2" w:name="xdx_806_eus-gaap--BusinessDescriptionAnd"/>
      <w:bookmarkEnd w:id="212"/>
      <w:r>
        <w:rPr>
          <w:rFonts w:ascii="Times New Roman;Times;Serif" w:hAnsi="Times New Roman;Times;Serif"/>
          <w:b/>
          <w:i w:val="false"/>
          <w:caps w:val="false"/>
          <w:smallCaps w:val="false"/>
          <w:sz w:val="20"/>
        </w:rPr>
        <w:t xml:space="preserve">NOTE 1. </w:t>
      </w:r>
      <w:bookmarkStart w:id="213" w:name="xdx_82D_zPJKJtfPWUY8"/>
      <w:bookmarkEnd w:id="213"/>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and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Harrow, Inc. (together with its consolidated subsidiaries, unless the context indicates or otherwise requires, the “Company” or “Harrow”)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2025 are not necessarily indicative of the results that may be expected for the year ending December 31, 2025 or for any other period. For further information, refer to the Company’s audited consolidated financial statements and notes thereto included in the Company’s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 owned and majority-owned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consolidates entities in which it has a controlling financial interest. The Company assesses control under the variable interest entity (“VIE”) model to determine whether the Company is the primary beneficiary of that entity. The Company consolidates </w:t>
      </w:r>
      <w:bookmarkStart w:id="214" w:name="xdx_904_ecustom--ConsolidationBasisDescr"/>
      <w:bookmarkEnd w:id="214"/>
      <w:r>
        <w:rPr>
          <w:rFonts w:ascii="Times New Roman;Times;Serif" w:hAnsi="Times New Roman;Times;Serif"/>
          <w:b w:val="false"/>
          <w:i w:val="false"/>
          <w:caps w:val="false"/>
          <w:smallCaps w:val="false"/>
          <w:sz w:val="20"/>
        </w:rPr>
        <w:t>(i) entities in which it holds and/or controls, directly or indirectly, more than 50% of the voting rights, and (ii) VIEs for which the Company is deemed to be the primary beneficiary.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5" w:name="xdx_808_eus-gaap--SignificantAccountingP"/>
      <w:bookmarkEnd w:id="215"/>
      <w:r>
        <w:rPr>
          <w:rFonts w:ascii="Times New Roman;Times;Serif" w:hAnsi="Times New Roman;Times;Serif"/>
          <w:b/>
          <w:i w:val="false"/>
          <w:caps w:val="false"/>
          <w:smallCaps w:val="false"/>
          <w:sz w:val="20"/>
        </w:rPr>
        <w:t xml:space="preserve">NOTE 2. </w:t>
      </w:r>
      <w:bookmarkStart w:id="216" w:name="xdx_820_zCSM60fBXsni"/>
      <w:bookmarkEnd w:id="216"/>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an update for the nine months ended September 30, 2025 to the significant accounting policies described in the Company’s Annual Report on Form 10-K for the year ended December 31, 2024.</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217" w:name="xdx_847_ecustom--RisksUncertaintiesAndLi"/>
      <w:bookmarkEnd w:id="217"/>
      <w:r>
        <w:rPr>
          <w:rFonts w:ascii="Times New Roman;Times;Serif" w:hAnsi="Times New Roman;Times;Serif"/>
          <w:b/>
          <w:i w:val="false"/>
          <w:caps w:val="false"/>
          <w:smallCaps w:val="false"/>
          <w:sz w:val="20"/>
        </w:rPr>
        <w:t>Risks, Uncertainties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 w:name="xdx_849_eus-gaap--CreditLossFinancialIns"/>
      <w:bookmarkEnd w:id="218"/>
      <w:r>
        <w:rPr>
          <w:rFonts w:ascii="Times New Roman;Times;Serif" w:hAnsi="Times New Roman;Times;Serif"/>
          <w:b/>
          <w:i w:val="false"/>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provision for credit losses for accounts receivable, the Company has disaggregated its accounts receivable by class of customer at the business component level, as management determined that the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9" w:name="xdx_89D_eus-gaap--AccountsReceivableAllo"/>
      <w:bookmarkEnd w:id="219"/>
      <w:r>
        <w:rPr>
          <w:rFonts w:ascii="Times New Roman;Times;Serif" w:hAnsi="Times New Roman;Times;Serif"/>
          <w:b w:val="false"/>
          <w:i w:val="false"/>
          <w:caps w:val="false"/>
          <w:smallCaps w:val="false"/>
          <w:sz w:val="20"/>
        </w:rPr>
        <w:t>The following table provides a roll-forward of the allowance for credit losses that is deducted from the amortized cost basis of accounts receivable to present the net amount expected to be collected at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20" w:name="xdx_8B2_zBhTKfhr18Le"/>
      <w:bookmarkEnd w:id="220"/>
      <w:r>
        <w:rPr>
          <w:rFonts w:ascii="Times New Roman;Times;Serif" w:hAnsi="Times New Roman;Times;Serif"/>
          <w:b/>
          <w:i w:val="false"/>
          <w:caps w:val="false"/>
          <w:smallCaps w:val="false"/>
          <w:sz w:val="20"/>
        </w:rPr>
        <w:t>SCHEDULE OF ACCOUNTS RECEIVABLE ALLOWANCE OF CREDIT LOSS </w:t>
      </w:r>
      <w:r>
        <w:rPr>
          <w:rFonts w:ascii="Times New Roman;Times;Serif" w:hAnsi="Times New Roman;Times;Serif"/>
          <w:b w:val="false"/>
          <w:i w:val="false"/>
          <w:caps w:val="false"/>
          <w:smallCaps w:val="false"/>
          <w:sz w:val="20"/>
        </w:rPr>
        <w:t> </w:t>
      </w:r>
    </w:p>
    <w:tbl>
      <w:tblPr>
        <w:tblW w:w="4295" w:type="dxa"/>
        <w:jc w:val="left"/>
        <w:tblInd w:w="0" w:type="dxa"/>
        <w:tblLayout w:type="fixed"/>
        <w:tblCellMar>
          <w:top w:w="0" w:type="dxa"/>
          <w:left w:w="0" w:type="dxa"/>
          <w:bottom w:w="0" w:type="dxa"/>
          <w:right w:w="0" w:type="dxa"/>
        </w:tblCellMar>
      </w:tblPr>
      <w:tblGrid>
        <w:gridCol w:w="3110"/>
        <w:gridCol w:w="60"/>
        <w:gridCol w:w="140"/>
        <w:gridCol w:w="875"/>
        <w:gridCol w:w="110"/>
      </w:tblGrid>
      <w:tr>
        <w:trPr/>
        <w:tc>
          <w:tcPr>
            <w:tcW w:w="3110"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21" w:name="xdx_980_eus-gaap--AllowanceForDoubtfulAc"/>
            <w:bookmarkEnd w:id="221"/>
          </w:p>
        </w:tc>
        <w:tc>
          <w:tcPr>
            <w:tcW w:w="875" w:type="dxa"/>
            <w:tcBorders/>
            <w:shd w:fill="CCEEFF" w:val="clear"/>
            <w:vAlign w:val="center"/>
          </w:tcPr>
          <w:p>
            <w:pPr>
              <w:pStyle w:val="TableContents"/>
              <w:bidi w:val="0"/>
              <w:spacing w:before="0" w:after="283"/>
              <w:jc w:val="right"/>
              <w:rPr/>
            </w:pPr>
            <w:r>
              <w:rPr/>
              <w:t>416,000</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Change in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2" w:name="xdx_98D_eus-gaap--AllowanceForDoubtfulAc"/>
            <w:bookmarkEnd w:id="222"/>
          </w:p>
        </w:tc>
        <w:tc>
          <w:tcPr>
            <w:tcW w:w="875" w:type="dxa"/>
            <w:tcBorders/>
            <w:shd w:fill="FFFFFF" w:val="clear"/>
            <w:vAlign w:val="center"/>
          </w:tcPr>
          <w:p>
            <w:pPr>
              <w:pStyle w:val="TableContents"/>
              <w:bidi w:val="0"/>
              <w:spacing w:before="0" w:after="283"/>
              <w:jc w:val="right"/>
              <w:rPr/>
            </w:pPr>
            <w:r>
              <w:rPr/>
              <w:t>548,000</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Write-offs, net of recoveries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3" w:name="xdx_980_eus-gaap--AllowanceForDoubtfulAc"/>
            <w:bookmarkEnd w:id="223"/>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(110,000</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Balance at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24" w:name="xdx_986_eus-gaap--AllowanceForDoubtfulAc"/>
            <w:bookmarkEnd w:id="224"/>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854,000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5" w:name="xdx_8A5_zC0PuW6Q72Pf"/>
      <w:bookmarkEnd w:id="22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6" w:name="xdx_841_eus-gaap--FairValueMeasurementPo"/>
      <w:bookmarkEnd w:id="226"/>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2030 Notes (as defined in Note 10) are carried at face value less unamortized debt issuance costs. The Company fully repaid principal balances under the Oaktree Loan and the 2026 and 2027 Notes in September. The Company’s 2026 Notes (as defined in Note 10) were carried at face value, including the unamortized premium, less unamortized debt issuance costs, the 2027 Notes (as defined in Note 10) were carried at face value less unamortized debt issuance costs, and the Oaktree Loan (as defined in Note 10) was carried at face value less the original issue discount and unamortized debt issuance costs on the condensed consolidated balance sheets and the Company presents fair value for disclosure purposes only. The 2026 Notes and the 2027 Notes were classified as Level 1 instruments as the fair value is determined using quoted market prices in active markets for the same securities. The 2030 Notes are classified, and the Oaktree Loan was classified as Level 2 instruments and the fair value is determined through an income approach that considers collateral coverage, yield calibration, yield analysis and any adjustments to implied yield associated with the Company’s fundamental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7" w:name="xdx_891_eus-gaap--ScheduleOfCarryingValu"/>
      <w:bookmarkEnd w:id="227"/>
      <w:r>
        <w:rPr>
          <w:rFonts w:ascii="Times New Roman;Times;Serif" w:hAnsi="Times New Roman;Times;Serif"/>
          <w:b w:val="false"/>
          <w:i w:val="false"/>
          <w:caps w:val="false"/>
          <w:smallCaps w:val="false"/>
          <w:sz w:val="20"/>
        </w:rPr>
        <w:t>The following table presents the estimated fair values and the carrying values:</w:t>
      </w:r>
    </w:p>
    <w:p>
      <w:pPr>
        <w:pStyle w:val="TextBody"/>
        <w:bidi w:val="0"/>
        <w:spacing w:before="0" w:after="0"/>
        <w:ind w:left="0" w:right="0" w:hanging="0"/>
        <w:jc w:val="both"/>
        <w:rPr>
          <w:caps w:val="false"/>
          <w:smallCaps w:val="false"/>
        </w:rPr>
      </w:pPr>
      <w:r>
        <w:rPr>
          <w:caps w:val="false"/>
          <w:smallCaps w:val="false"/>
        </w:rPr>
        <w:t> </w:t>
      </w:r>
      <w:bookmarkStart w:id="228" w:name="xdx_8B0_zz5dWnuPecV1"/>
      <w:bookmarkEnd w:id="228"/>
      <w:r>
        <w:rPr>
          <w:rFonts w:ascii="Times New Roman;Times;Serif" w:hAnsi="Times New Roman;Times;Serif"/>
          <w:b w:val="false"/>
          <w:i w:val="false"/>
          <w:caps w:val="false"/>
          <w:smallCaps w:val="false"/>
          <w:sz w:val="20"/>
        </w:rPr>
        <w:t>SCHEDULE OF ESTIMATED FAIR VALUE </w:t>
      </w:r>
    </w:p>
    <w:tbl>
      <w:tblPr>
        <w:tblW w:w="7275" w:type="dxa"/>
        <w:jc w:val="left"/>
        <w:tblInd w:w="0" w:type="dxa"/>
        <w:tblLayout w:type="fixed"/>
        <w:tblCellMar>
          <w:top w:w="0" w:type="dxa"/>
          <w:left w:w="0" w:type="dxa"/>
          <w:bottom w:w="0" w:type="dxa"/>
          <w:right w:w="0" w:type="dxa"/>
        </w:tblCellMar>
      </w:tblPr>
      <w:tblGrid>
        <w:gridCol w:w="1340"/>
        <w:gridCol w:w="60"/>
        <w:gridCol w:w="140"/>
        <w:gridCol w:w="1220"/>
        <w:gridCol w:w="60"/>
        <w:gridCol w:w="60"/>
        <w:gridCol w:w="140"/>
        <w:gridCol w:w="1220"/>
        <w:gridCol w:w="60"/>
        <w:gridCol w:w="60"/>
        <w:gridCol w:w="140"/>
        <w:gridCol w:w="1220"/>
        <w:gridCol w:w="60"/>
        <w:gridCol w:w="60"/>
        <w:gridCol w:w="140"/>
        <w:gridCol w:w="122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2026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29" w:name="xdx_987_eus-gaap--DebtInstrumentCarrying"/>
            <w:bookmarkEnd w:id="229"/>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0" w:name="xdx_98B_eus-gaap--DebtInstrumentFairValu"/>
            <w:bookmarkEnd w:id="230"/>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1" w:name="xdx_98B_eus-gaap--DebtInstrumentCarrying"/>
            <w:bookmarkEnd w:id="231"/>
          </w:p>
        </w:tc>
        <w:tc>
          <w:tcPr>
            <w:tcW w:w="1220" w:type="dxa"/>
            <w:tcBorders/>
            <w:shd w:fill="CCEEFF" w:val="clear"/>
            <w:vAlign w:val="center"/>
          </w:tcPr>
          <w:p>
            <w:pPr>
              <w:pStyle w:val="TableContents"/>
              <w:bidi w:val="0"/>
              <w:spacing w:before="0" w:after="283"/>
              <w:jc w:val="right"/>
              <w:rPr/>
            </w:pPr>
            <w:r>
              <w:rPr/>
              <w:t>74,002,000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2" w:name="xdx_98F_eus-gaap--DebtInstrumentFairValu"/>
            <w:bookmarkEnd w:id="232"/>
          </w:p>
        </w:tc>
        <w:tc>
          <w:tcPr>
            <w:tcW w:w="1220" w:type="dxa"/>
            <w:tcBorders/>
            <w:shd w:fill="CCEEFF" w:val="clear"/>
            <w:vAlign w:val="center"/>
          </w:tcPr>
          <w:p>
            <w:pPr>
              <w:pStyle w:val="TableContents"/>
              <w:bidi w:val="0"/>
              <w:spacing w:before="0" w:after="283"/>
              <w:jc w:val="right"/>
              <w:rPr/>
            </w:pPr>
            <w:r>
              <w:rPr/>
              <w:t>75,840,000</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2027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33" w:name="xdx_988_eus-gaap--DebtInstrumentCarrying"/>
            <w:bookmarkEnd w:id="233"/>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34" w:name="xdx_98B_eus-gaap--DebtInstrumentFairValu"/>
            <w:bookmarkEnd w:id="234"/>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35" w:name="xdx_98B_eus-gaap--DebtInstrumentCarrying"/>
            <w:bookmarkEnd w:id="235"/>
          </w:p>
        </w:tc>
        <w:tc>
          <w:tcPr>
            <w:tcW w:w="1220" w:type="dxa"/>
            <w:tcBorders/>
            <w:shd w:fill="FFFFFF" w:val="clear"/>
            <w:vAlign w:val="center"/>
          </w:tcPr>
          <w:p>
            <w:pPr>
              <w:pStyle w:val="TableContents"/>
              <w:bidi w:val="0"/>
              <w:spacing w:before="0" w:after="283"/>
              <w:jc w:val="right"/>
              <w:rPr/>
            </w:pPr>
            <w:r>
              <w:rPr/>
              <w:t>38,130,000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36" w:name="xdx_98B_eus-gaap--DebtInstrumentFairValu"/>
            <w:bookmarkEnd w:id="236"/>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42,198,000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Oaktree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7" w:name="xdx_981_eus-gaap--DebtInstrumentCarrying"/>
            <w:bookmarkEnd w:id="237"/>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8" w:name="xdx_98B_eus-gaap--DebtInstrumentFairValu"/>
            <w:bookmarkEnd w:id="238"/>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9" w:name="xdx_98A_eus-gaap--DebtInstrumentCarrying"/>
            <w:bookmarkEnd w:id="239"/>
          </w:p>
        </w:tc>
        <w:tc>
          <w:tcPr>
            <w:tcW w:w="1220" w:type="dxa"/>
            <w:tcBorders/>
            <w:shd w:fill="CCEEFF" w:val="clear"/>
            <w:vAlign w:val="center"/>
          </w:tcPr>
          <w:p>
            <w:pPr>
              <w:pStyle w:val="TableContents"/>
              <w:bidi w:val="0"/>
              <w:spacing w:before="0" w:after="283"/>
              <w:jc w:val="right"/>
              <w:rPr/>
            </w:pPr>
            <w:r>
              <w:rPr/>
              <w:t>107,407,000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40" w:name="xdx_98B_eus-gaap--DebtInstrumentFairValu"/>
            <w:bookmarkEnd w:id="240"/>
          </w:p>
        </w:tc>
        <w:tc>
          <w:tcPr>
            <w:tcW w:w="1220" w:type="dxa"/>
            <w:tcBorders/>
            <w:shd w:fill="CCEEFF" w:val="clear"/>
            <w:vAlign w:val="center"/>
          </w:tcPr>
          <w:p>
            <w:pPr>
              <w:pStyle w:val="TableContents"/>
              <w:bidi w:val="0"/>
              <w:spacing w:before="0" w:after="283"/>
              <w:jc w:val="right"/>
              <w:rPr/>
            </w:pPr>
            <w:r>
              <w:rPr/>
              <w:t>112,932,000</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2030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41" w:name="xdx_98B_eus-gaap--DebtInstrumentCarrying"/>
            <w:bookmarkEnd w:id="241"/>
          </w:p>
        </w:tc>
        <w:tc>
          <w:tcPr>
            <w:tcW w:w="1220" w:type="dxa"/>
            <w:tcBorders/>
            <w:shd w:fill="FFFFFF" w:val="clear"/>
            <w:vAlign w:val="center"/>
          </w:tcPr>
          <w:p>
            <w:pPr>
              <w:pStyle w:val="TableContents"/>
              <w:bidi w:val="0"/>
              <w:spacing w:before="0" w:after="283"/>
              <w:jc w:val="right"/>
              <w:rPr/>
            </w:pPr>
            <w:r>
              <w:rPr/>
              <w:t>242,874,000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42" w:name="xdx_98F_eus-gaap--DebtInstrumentFairValu"/>
            <w:bookmarkEnd w:id="242"/>
          </w:p>
        </w:tc>
        <w:tc>
          <w:tcPr>
            <w:tcW w:w="1220" w:type="dxa"/>
            <w:tcBorders/>
            <w:shd w:fill="FFFFFF" w:val="clear"/>
            <w:vAlign w:val="center"/>
          </w:tcPr>
          <w:p>
            <w:pPr>
              <w:pStyle w:val="TableContents"/>
              <w:bidi w:val="0"/>
              <w:spacing w:before="0" w:after="283"/>
              <w:jc w:val="right"/>
              <w:rPr/>
            </w:pPr>
            <w:r>
              <w:rPr/>
              <w:t>260,625,000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43" w:name="xdx_985_eus-gaap--DebtInstrumentCarrying"/>
            <w:bookmarkEnd w:id="243"/>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44" w:name="xdx_987_eus-gaap--DebtInstrumentFairValu"/>
            <w:bookmarkEnd w:id="244"/>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45" w:name="xdx_8A2_zKBCfE76ePf9"/>
      <w:bookmarkEnd w:id="2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6" w:name="xdx_849_eus-gaap--EarningsPerSharePolicy"/>
      <w:bookmarkEnd w:id="246"/>
      <w:r>
        <w:rPr>
          <w:rFonts w:ascii="Times New Roman;Times;Serif" w:hAnsi="Times New Roman;Times;Serif"/>
          <w:b/>
          <w:i w:val="false"/>
          <w:caps w:val="false"/>
          <w:smallCaps w:val="false"/>
          <w:sz w:val="20"/>
        </w:rPr>
        <w:t>Basic and Diluted Net Income (Loss) per Common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income (loss) per common share is computed by dividing net income (loss) attributable to common stockholders for the period by the weighted average number of common shares outstanding during the period. Diluted net income (loss) per share is computed by dividing the net income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method) from stock options, unvested RSUs, unvested PSUs and warrants were </w:t>
      </w:r>
      <w:bookmarkStart w:id="247" w:name="xdx_906_eus-gaap--AntidilutiveSecurities"/>
      <w:bookmarkEnd w:id="247"/>
      <w:r>
        <w:rPr>
          <w:rFonts w:ascii="Times New Roman;Times;Serif" w:hAnsi="Times New Roman;Times;Serif"/>
          <w:b w:val="false"/>
          <w:i w:val="false"/>
          <w:caps w:val="false"/>
          <w:smallCaps w:val="false"/>
          <w:sz w:val="20"/>
        </w:rPr>
        <w:t xml:space="preserve">1,911,979 and </w:t>
      </w:r>
      <w:bookmarkStart w:id="248" w:name="xdx_90C_eus-gaap--AntidilutiveSecurities"/>
      <w:bookmarkEnd w:id="248"/>
      <w:r>
        <w:rPr>
          <w:rFonts w:ascii="Times New Roman;Times;Serif" w:hAnsi="Times New Roman;Times;Serif"/>
          <w:b w:val="false"/>
          <w:i w:val="false"/>
          <w:caps w:val="false"/>
          <w:smallCaps w:val="false"/>
          <w:sz w:val="20"/>
        </w:rPr>
        <w:t xml:space="preserve">4,411,488 at September 30, 2025 and 2024, respectively, and are excluded in the calculation of diluted net loss per common share for the periods presented, because the effect is anti-dilutive. Included in the basic and diluted net income (loss) per share calculation were RSUs awarded to directors that had vested, but the issuance and delivery of the shares are deferred until the director ceases providing services to the Company. The number of shares underlying vested RSUs at September 30, 2025 and 2024 was </w:t>
      </w:r>
      <w:bookmarkStart w:id="249" w:name="xdx_902_eus-gaap--StockIssuedDuringPerio"/>
      <w:bookmarkEnd w:id="249"/>
      <w:r>
        <w:rPr>
          <w:rFonts w:ascii="Times New Roman;Times;Serif" w:hAnsi="Times New Roman;Times;Serif"/>
          <w:b w:val="false"/>
          <w:i w:val="false"/>
          <w:caps w:val="false"/>
          <w:smallCaps w:val="false"/>
          <w:sz w:val="20"/>
        </w:rPr>
        <w:t xml:space="preserve">216,483 and </w:t>
      </w:r>
      <w:bookmarkStart w:id="250" w:name="xdx_900_eus-gaap--StockIssuedDuringPerio"/>
      <w:bookmarkEnd w:id="250"/>
      <w:r>
        <w:rPr>
          <w:rFonts w:ascii="Times New Roman;Times;Serif" w:hAnsi="Times New Roman;Times;Serif"/>
          <w:b w:val="false"/>
          <w:i w:val="false"/>
          <w:caps w:val="false"/>
          <w:smallCaps w:val="false"/>
          <w:sz w:val="20"/>
        </w:rPr>
        <w:t>195,696,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1" w:name="xdx_895_eus-gaap--ScheduleOfEarningsPerS"/>
      <w:bookmarkEnd w:id="251"/>
      <w:r>
        <w:rPr>
          <w:rFonts w:ascii="Times New Roman;Times;Serif" w:hAnsi="Times New Roman;Times;Serif"/>
          <w:b w:val="false"/>
          <w:i w:val="false"/>
          <w:caps w:val="false"/>
          <w:smallCaps w:val="false"/>
          <w:sz w:val="20"/>
        </w:rPr>
        <w:t>The following table shows the computation of basic net income (loss) per share of common stock:</w:t>
      </w:r>
    </w:p>
    <w:p>
      <w:pPr>
        <w:pStyle w:val="TextBody"/>
        <w:bidi w:val="0"/>
        <w:spacing w:before="0" w:after="0"/>
        <w:ind w:left="0" w:right="0" w:hanging="0"/>
        <w:jc w:val="both"/>
        <w:rPr>
          <w:caps w:val="false"/>
          <w:smallCaps w:val="false"/>
        </w:rPr>
      </w:pPr>
      <w:r>
        <w:rPr>
          <w:caps w:val="false"/>
          <w:smallCaps w:val="false"/>
        </w:rPr>
        <w:t> </w:t>
      </w:r>
      <w:bookmarkStart w:id="252" w:name="xdx_8BE_zSEMznpvicDk"/>
      <w:bookmarkEnd w:id="252"/>
      <w:r>
        <w:rPr>
          <w:rFonts w:ascii="Times New Roman;Times;Serif" w:hAnsi="Times New Roman;Times;Serif"/>
          <w:b w:val="false"/>
          <w:i w:val="false"/>
          <w:caps w:val="false"/>
          <w:smallCaps w:val="false"/>
          <w:sz w:val="20"/>
        </w:rPr>
        <w:t>SCHEDULE OF BASIC EARNINGS PER COMMON SHARE </w:t>
      </w:r>
    </w:p>
    <w:tbl>
      <w:tblPr>
        <w:tblW w:w="10205" w:type="dxa"/>
        <w:jc w:val="left"/>
        <w:tblInd w:w="0" w:type="dxa"/>
        <w:tblLayout w:type="fixed"/>
        <w:tblCellMar>
          <w:top w:w="0" w:type="dxa"/>
          <w:left w:w="0" w:type="dxa"/>
          <w:bottom w:w="0" w:type="dxa"/>
          <w:right w:w="0" w:type="dxa"/>
        </w:tblCellMar>
      </w:tblPr>
      <w:tblGrid>
        <w:gridCol w:w="4152"/>
        <w:gridCol w:w="60"/>
        <w:gridCol w:w="153"/>
        <w:gridCol w:w="1209"/>
        <w:gridCol w:w="65"/>
        <w:gridCol w:w="65"/>
        <w:gridCol w:w="153"/>
        <w:gridCol w:w="1209"/>
        <w:gridCol w:w="95"/>
        <w:gridCol w:w="60"/>
        <w:gridCol w:w="144"/>
        <w:gridCol w:w="1211"/>
        <w:gridCol w:w="97"/>
        <w:gridCol w:w="61"/>
        <w:gridCol w:w="144"/>
        <w:gridCol w:w="1211"/>
        <w:gridCol w:w="116"/>
      </w:tblGrid>
      <w:tr>
        <w:trPr/>
        <w:tc>
          <w:tcPr>
            <w:tcW w:w="4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116" w:type="dxa"/>
            <w:tcBorders/>
            <w:vAlign w:val="center"/>
          </w:tcPr>
          <w:p>
            <w:pPr>
              <w:pStyle w:val="TableContents"/>
              <w:bidi w:val="0"/>
              <w:spacing w:before="0" w:after="283"/>
              <w:jc w:val="left"/>
              <w:rPr/>
            </w:pPr>
            <w:r>
              <w:rPr/>
              <w:t> </w:t>
            </w:r>
          </w:p>
        </w:tc>
      </w:tr>
      <w:tr>
        <w:trPr/>
        <w:tc>
          <w:tcPr>
            <w:tcW w:w="4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r>
      <w:tr>
        <w:trPr/>
        <w:tc>
          <w:tcPr>
            <w:tcW w:w="415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r>
        <w:trPr/>
        <w:tc>
          <w:tcPr>
            <w:tcW w:w="4152" w:type="dxa"/>
            <w:tcBorders/>
            <w:shd w:fill="CCEEFF" w:val="clear"/>
            <w:vAlign w:val="center"/>
          </w:tcPr>
          <w:p>
            <w:pPr>
              <w:pStyle w:val="TableContents"/>
              <w:bidi w:val="0"/>
              <w:spacing w:before="0" w:after="283"/>
              <w:jc w:val="left"/>
              <w:rPr/>
            </w:pPr>
            <w:r>
              <w:rPr/>
              <w:t>Numerator – net income (loss)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3" w:name="xdx_909_eus-gaap--NetIncomeLossAvailable"/>
            <w:bookmarkEnd w:id="253"/>
            <w:r>
              <w:rPr/>
              <w:t>1,020,000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4" w:name="xdx_90E_eus-gaap--NetIncomeLossAvailable"/>
            <w:bookmarkEnd w:id="254"/>
            <w:r>
              <w:rPr/>
              <w:t>(4,220,000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5" w:name="xdx_905_eus-gaap--NetIncomeLossAvailable"/>
            <w:bookmarkEnd w:id="255"/>
            <w:r>
              <w:rPr/>
              <w:t>(11,765,000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6" w:name="xdx_90D_eus-gaap--NetIncomeLossAvailable"/>
            <w:bookmarkEnd w:id="256"/>
            <w:r>
              <w:rPr/>
              <w:t>(24,258,000</w:t>
            </w:r>
          </w:p>
        </w:tc>
        <w:tc>
          <w:tcPr>
            <w:tcW w:w="116" w:type="dxa"/>
            <w:tcBorders/>
            <w:shd w:fill="CCEEFF" w:val="clear"/>
            <w:vAlign w:val="center"/>
          </w:tcPr>
          <w:p>
            <w:pPr>
              <w:pStyle w:val="TableContents"/>
              <w:bidi w:val="0"/>
              <w:spacing w:before="0" w:after="283"/>
              <w:jc w:val="left"/>
              <w:rPr/>
            </w:pPr>
            <w:r>
              <w:rPr/>
              <w:t>)</w:t>
            </w:r>
          </w:p>
        </w:tc>
      </w:tr>
      <w:tr>
        <w:trPr/>
        <w:tc>
          <w:tcPr>
            <w:tcW w:w="4152" w:type="dxa"/>
            <w:tcBorders/>
            <w:shd w:fill="FFFFFF" w:val="clear"/>
            <w:vAlign w:val="center"/>
          </w:tcPr>
          <w:p>
            <w:pPr>
              <w:pStyle w:val="TableContents"/>
              <w:bidi w:val="0"/>
              <w:spacing w:before="0" w:after="283"/>
              <w:jc w:val="left"/>
              <w:rPr/>
            </w:pPr>
            <w:r>
              <w:rPr/>
              <w:t>Denominator – weighted average number of shares outstanding, basic</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57" w:name="xdx_90E_eus-gaap--WeightedAverageNumberO"/>
            <w:bookmarkEnd w:id="257"/>
            <w:r>
              <w:rPr/>
              <w:t>37,145,440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58" w:name="xdx_900_eus-gaap--WeightedAverageNumberO"/>
            <w:bookmarkEnd w:id="258"/>
            <w:r>
              <w:rPr/>
              <w:t>35,702,200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59" w:name="xdx_904_eus-gaap--WeightedAverageNumberO"/>
            <w:bookmarkEnd w:id="259"/>
            <w:r>
              <w:rPr/>
              <w:t>36,588,163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60" w:name="xdx_909_eus-gaap--WeightedAverageNumberO"/>
            <w:bookmarkEnd w:id="260"/>
            <w:r>
              <w:rPr/>
              <w:t>35,597,409</w:t>
            </w:r>
          </w:p>
        </w:tc>
        <w:tc>
          <w:tcPr>
            <w:tcW w:w="116" w:type="dxa"/>
            <w:tcBorders/>
            <w:shd w:fill="FFFFFF" w:val="clear"/>
            <w:vAlign w:val="center"/>
          </w:tcPr>
          <w:p>
            <w:pPr>
              <w:pStyle w:val="TableContents"/>
              <w:bidi w:val="0"/>
              <w:spacing w:before="0" w:after="283"/>
              <w:jc w:val="left"/>
              <w:rPr/>
            </w:pPr>
            <w:r>
              <w:rPr/>
              <w:t> </w:t>
            </w:r>
          </w:p>
        </w:tc>
      </w:tr>
      <w:tr>
        <w:trPr/>
        <w:tc>
          <w:tcPr>
            <w:tcW w:w="4152" w:type="dxa"/>
            <w:tcBorders/>
            <w:shd w:fill="CCEEFF" w:val="clear"/>
            <w:vAlign w:val="center"/>
          </w:tcPr>
          <w:p>
            <w:pPr>
              <w:pStyle w:val="TableContents"/>
              <w:bidi w:val="0"/>
              <w:spacing w:before="0" w:after="283"/>
              <w:jc w:val="left"/>
              <w:rPr>
                <w:b/>
              </w:rPr>
            </w:pPr>
            <w:r>
              <w:rPr>
                <w:b/>
              </w:rPr>
              <w:t>Net income (loss) per share, basic</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1" w:name="xdx_900_eus-gaap--EarningsPerShareBasic_"/>
            <w:bookmarkEnd w:id="261"/>
            <w:r>
              <w:rPr/>
              <w:t>0.03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2" w:name="xdx_905_eus-gaap--EarningsPerShareBasic_"/>
            <w:bookmarkEnd w:id="262"/>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3" w:name="xdx_90C_eus-gaap--EarningsPerShareBasic_"/>
            <w:bookmarkEnd w:id="263"/>
            <w:r>
              <w:rPr/>
              <w:t>(0.32</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4" w:name="xdx_900_eus-gaap--EarningsPerShareBasic_"/>
            <w:bookmarkEnd w:id="264"/>
            <w:r>
              <w:rPr/>
              <w:t>(0.68</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265" w:name="xdx_8A5_zOYJEx1ngAgf"/>
      <w:bookmarkEnd w:id="265"/>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6" w:name="xdx_89D_eus-gaap--ScheduleOfAntidilutive"/>
      <w:bookmarkEnd w:id="266"/>
      <w:r>
        <w:rPr>
          <w:rFonts w:ascii="Times New Roman;Times;Serif" w:hAnsi="Times New Roman;Times;Serif"/>
          <w:b w:val="false"/>
          <w:i w:val="false"/>
          <w:caps w:val="false"/>
          <w:smallCaps w:val="false"/>
          <w:sz w:val="20"/>
        </w:rPr>
        <w:t>For the three months ended September 30, 2025, the Company computed diluted net income per share using the weighted-average number of common shares and dilutive common equivalent shares outstanding during that period. Diluted common equivalent shares for the three months ended September 30, 2025 consisted of the following:</w:t>
      </w:r>
    </w:p>
    <w:p>
      <w:pPr>
        <w:pStyle w:val="TextBody"/>
        <w:bidi w:val="0"/>
        <w:spacing w:before="0" w:after="0"/>
        <w:ind w:left="0" w:right="0" w:hanging="0"/>
        <w:jc w:val="left"/>
        <w:rPr>
          <w:caps w:val="false"/>
          <w:smallCaps w:val="false"/>
        </w:rPr>
      </w:pPr>
      <w:r>
        <w:rPr>
          <w:caps w:val="false"/>
          <w:smallCaps w:val="false"/>
        </w:rPr>
        <w:t> </w:t>
      </w:r>
      <w:bookmarkStart w:id="267" w:name="xdx_8BB_zXfT9MUS0kUi"/>
      <w:bookmarkEnd w:id="267"/>
      <w:r>
        <w:rPr>
          <w:rFonts w:ascii="Times New Roman;Times;Serif" w:hAnsi="Times New Roman;Times;Serif"/>
          <w:b/>
          <w:i w:val="false"/>
          <w:caps w:val="false"/>
          <w:smallCaps w:val="false"/>
          <w:sz w:val="20"/>
        </w:rPr>
        <w:t>SCHEDULE OF DILUTED NET INCOME PER SHARE</w:t>
      </w:r>
    </w:p>
    <w:tbl>
      <w:tblPr>
        <w:tblW w:w="5034" w:type="dxa"/>
        <w:jc w:val="left"/>
        <w:tblInd w:w="0" w:type="dxa"/>
        <w:tblLayout w:type="fixed"/>
        <w:tblCellMar>
          <w:top w:w="0" w:type="dxa"/>
          <w:left w:w="0" w:type="dxa"/>
          <w:bottom w:w="0" w:type="dxa"/>
          <w:right w:w="0" w:type="dxa"/>
        </w:tblCellMar>
      </w:tblPr>
      <w:tblGrid>
        <w:gridCol w:w="3365"/>
        <w:gridCol w:w="60"/>
        <w:gridCol w:w="88"/>
        <w:gridCol w:w="144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8" w:name="xdx_49A_20250701__20250930_zFYJJKAfoYtl"/>
            <w:bookmarkEnd w:id="268"/>
          </w:p>
        </w:tc>
        <w:tc>
          <w:tcPr>
            <w:tcW w:w="1534" w:type="dxa"/>
            <w:gridSpan w:val="2"/>
            <w:tcBorders/>
            <w:vAlign w:val="center"/>
          </w:tcPr>
          <w:p>
            <w:pPr>
              <w:pStyle w:val="TableContents"/>
              <w:bidi w:val="0"/>
              <w:spacing w:before="0" w:after="283"/>
              <w:jc w:val="center"/>
              <w:rPr>
                <w:b/>
              </w:rPr>
            </w:pPr>
            <w:r>
              <w:rPr>
                <w:b/>
              </w:rPr>
              <w:t xml:space="preserve">Three </w:t>
              <w:br/>
              <w:t>Months Ended</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Diluted shares related to:</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69" w:name="xdx_40C_eus-gaap--AntidilutiveSecurities"/>
            <w:bookmarkEnd w:id="269"/>
          </w:p>
        </w:tc>
      </w:tr>
      <w:tr>
        <w:trPr/>
        <w:tc>
          <w:tcPr>
            <w:tcW w:w="33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121,280</w:t>
            </w:r>
          </w:p>
        </w:tc>
        <w:tc>
          <w:tcPr>
            <w:tcW w:w="75" w:type="dxa"/>
            <w:tcBorders/>
            <w:shd w:fill="FFFFFF" w:val="clear"/>
            <w:vAlign w:val="center"/>
          </w:tcPr>
          <w:p>
            <w:pPr>
              <w:pStyle w:val="TableContents"/>
              <w:bidi w:val="0"/>
              <w:spacing w:before="0" w:after="283"/>
              <w:jc w:val="left"/>
              <w:rPr/>
            </w:pPr>
            <w:r>
              <w:rPr/>
              <w:t> </w:t>
            </w:r>
            <w:bookmarkStart w:id="270" w:name="xdx_40B_eus-gaap--AntidilutiveSecurities"/>
            <w:bookmarkEnd w:id="270"/>
          </w:p>
        </w:tc>
      </w:tr>
      <w:tr>
        <w:trPr/>
        <w:tc>
          <w:tcPr>
            <w:tcW w:w="336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1,608,285</w:t>
            </w:r>
          </w:p>
        </w:tc>
        <w:tc>
          <w:tcPr>
            <w:tcW w:w="75" w:type="dxa"/>
            <w:tcBorders/>
            <w:shd w:fill="CCEEFF" w:val="clear"/>
            <w:vAlign w:val="center"/>
          </w:tcPr>
          <w:p>
            <w:pPr>
              <w:pStyle w:val="TableContents"/>
              <w:bidi w:val="0"/>
              <w:spacing w:before="0" w:after="283"/>
              <w:jc w:val="left"/>
              <w:rPr/>
            </w:pPr>
            <w:r>
              <w:rPr/>
              <w:t> </w:t>
            </w:r>
            <w:bookmarkStart w:id="271" w:name="xdx_406_eus-gaap--AntidilutiveSecurities"/>
            <w:bookmarkEnd w:id="271"/>
          </w:p>
        </w:tc>
      </w:tr>
      <w:tr>
        <w:trPr/>
        <w:tc>
          <w:tcPr>
            <w:tcW w:w="3365" w:type="dxa"/>
            <w:tcBorders/>
            <w:shd w:fill="FFFFFF" w:val="clear"/>
            <w:vAlign w:val="center"/>
          </w:tcPr>
          <w:p>
            <w:pPr>
              <w:pStyle w:val="TableContents"/>
              <w:bidi w:val="0"/>
              <w:spacing w:before="0" w:after="283"/>
              <w:jc w:val="left"/>
              <w:rPr/>
            </w:pPr>
            <w:r>
              <w:rPr/>
              <w:t>Dilutive common equivalent shares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FFFFFF" w:val="clear"/>
            <w:tcMar>
              <w:bottom w:w="28" w:type="dxa"/>
            </w:tcMar>
            <w:vAlign w:val="center"/>
          </w:tcPr>
          <w:p>
            <w:pPr>
              <w:pStyle w:val="TableContents"/>
              <w:bidi w:val="0"/>
              <w:spacing w:before="0" w:after="283"/>
              <w:jc w:val="right"/>
              <w:rPr/>
            </w:pPr>
            <w:r>
              <w:rPr/>
              <w:t>1,729,565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hd w:fill="FFFFFF" w:val="clear"/>
        </w:rPr>
      </w:pPr>
      <w:bookmarkStart w:id="272" w:name="xdx_8A8_zXVicI8ELYD4"/>
      <w:bookmarkEnd w:id="272"/>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273" w:name="xdx_893_eus-gaap--ScheduleOfEarningsPerS"/>
      <w:bookmarkEnd w:id="273"/>
      <w:r>
        <w:rPr>
          <w:rFonts w:ascii="Times New Roman;Times;Serif" w:hAnsi="Times New Roman;Times;Serif"/>
          <w:b w:val="false"/>
          <w:i w:val="false"/>
          <w:caps w:val="false"/>
          <w:smallCaps w:val="false"/>
          <w:sz w:val="20"/>
          <w:shd w:fill="FFFFFF" w:val="clear"/>
        </w:rPr>
        <w:t>The following table shows the computation of diluted net income per share using the weighted-average number of common shares and dilutive common equivalent shares outstanding for the three months ended September 30, 2025:</w:t>
      </w:r>
    </w:p>
    <w:p>
      <w:pPr>
        <w:pStyle w:val="TextBody"/>
        <w:bidi w:val="0"/>
        <w:spacing w:before="0" w:after="0"/>
        <w:ind w:left="0" w:right="0" w:hanging="0"/>
        <w:jc w:val="both"/>
        <w:rPr>
          <w:caps w:val="false"/>
          <w:smallCaps w:val="false"/>
        </w:rPr>
      </w:pPr>
      <w:r>
        <w:rPr>
          <w:caps w:val="false"/>
          <w:smallCaps w:val="false"/>
        </w:rPr>
        <w:t> </w:t>
      </w:r>
      <w:bookmarkStart w:id="274" w:name="xdx_8BF_z0yMwUYpRyA1"/>
      <w:bookmarkEnd w:id="274"/>
      <w:r>
        <w:rPr>
          <w:rFonts w:ascii="Times New Roman;Times;Serif" w:hAnsi="Times New Roman;Times;Serif"/>
          <w:b w:val="false"/>
          <w:i w:val="false"/>
          <w:caps w:val="false"/>
          <w:smallCaps w:val="false"/>
          <w:sz w:val="20"/>
        </w:rPr>
        <w:t>SCHEDULE OF BASIC AND DILUTED EARNINGS PER COMMON SHARE </w:t>
      </w:r>
    </w:p>
    <w:tbl>
      <w:tblPr>
        <w:tblW w:w="7014" w:type="dxa"/>
        <w:jc w:val="left"/>
        <w:tblInd w:w="0" w:type="dxa"/>
        <w:tblLayout w:type="fixed"/>
        <w:tblCellMar>
          <w:top w:w="0" w:type="dxa"/>
          <w:left w:w="0" w:type="dxa"/>
          <w:bottom w:w="0" w:type="dxa"/>
          <w:right w:w="0" w:type="dxa"/>
        </w:tblCellMar>
      </w:tblPr>
      <w:tblGrid>
        <w:gridCol w:w="5345"/>
        <w:gridCol w:w="60"/>
        <w:gridCol w:w="173"/>
        <w:gridCol w:w="1361"/>
        <w:gridCol w:w="75"/>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5" w:name="xdx_499_20250701__20250930_zPz8mkrgalx7"/>
            <w:bookmarkEnd w:id="275"/>
          </w:p>
        </w:tc>
        <w:tc>
          <w:tcPr>
            <w:tcW w:w="1534" w:type="dxa"/>
            <w:gridSpan w:val="2"/>
            <w:tcBorders/>
            <w:vAlign w:val="center"/>
          </w:tcPr>
          <w:p>
            <w:pPr>
              <w:pStyle w:val="TableContents"/>
              <w:bidi w:val="0"/>
              <w:spacing w:before="0" w:after="283"/>
              <w:jc w:val="center"/>
              <w:rPr>
                <w:b/>
              </w:rPr>
            </w:pPr>
            <w:r>
              <w:rPr>
                <w:b/>
              </w:rPr>
              <w:t xml:space="preserve">Three </w:t>
              <w:br/>
              <w:t>Months Ended</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276" w:name="xdx_404_eus-gaap--NetIncomeLossAvailable"/>
            <w:bookmarkEnd w:id="276"/>
          </w:p>
        </w:tc>
      </w:tr>
      <w:tr>
        <w:trPr/>
        <w:tc>
          <w:tcPr>
            <w:tcW w:w="5345" w:type="dxa"/>
            <w:tcBorders/>
            <w:shd w:fill="CCEEFF" w:val="clear"/>
            <w:vAlign w:val="center"/>
          </w:tcPr>
          <w:p>
            <w:pPr>
              <w:pStyle w:val="TableContents"/>
              <w:bidi w:val="0"/>
              <w:spacing w:before="0" w:after="283"/>
              <w:jc w:val="left"/>
              <w:rPr>
                <w:color w:val="000000"/>
              </w:rPr>
            </w:pPr>
            <w:r>
              <w:rPr>
                <w:color w:val="000000"/>
              </w:rPr>
              <w:t>Numerator - net income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1,020,000</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277" w:name="xdx_406_eus-gaap--WeightedAverageNumberO"/>
            <w:bookmarkEnd w:id="277"/>
          </w:p>
        </w:tc>
      </w:tr>
      <w:tr>
        <w:trPr/>
        <w:tc>
          <w:tcPr>
            <w:tcW w:w="5345" w:type="dxa"/>
            <w:tcBorders/>
            <w:shd w:fill="FFFFFF" w:val="clear"/>
            <w:vAlign w:val="center"/>
          </w:tcPr>
          <w:p>
            <w:pPr>
              <w:pStyle w:val="TableContents"/>
              <w:bidi w:val="0"/>
              <w:spacing w:before="0" w:after="283"/>
              <w:jc w:val="left"/>
              <w:rPr/>
            </w:pPr>
            <w:r>
              <w:rPr/>
              <w:t>Weighted average number of shares outstanding, basic</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37,145,440</w:t>
            </w:r>
          </w:p>
        </w:tc>
        <w:tc>
          <w:tcPr>
            <w:tcW w:w="75" w:type="dxa"/>
            <w:tcBorders/>
            <w:shd w:fill="FFFFFF" w:val="clear"/>
            <w:vAlign w:val="center"/>
          </w:tcPr>
          <w:p>
            <w:pPr>
              <w:pStyle w:val="TableContents"/>
              <w:bidi w:val="0"/>
              <w:spacing w:before="0" w:after="283"/>
              <w:jc w:val="left"/>
              <w:rPr/>
            </w:pPr>
            <w:r>
              <w:rPr/>
              <w:t> </w:t>
            </w:r>
            <w:bookmarkStart w:id="278" w:name="xdx_400_eus-gaap--AntidilutiveSecurities"/>
            <w:bookmarkEnd w:id="278"/>
          </w:p>
        </w:tc>
      </w:tr>
      <w:tr>
        <w:trPr/>
        <w:tc>
          <w:tcPr>
            <w:tcW w:w="5345" w:type="dxa"/>
            <w:tcBorders/>
            <w:shd w:fill="CCEEFF" w:val="clear"/>
            <w:vAlign w:val="center"/>
          </w:tcPr>
          <w:p>
            <w:pPr>
              <w:pStyle w:val="TableContents"/>
              <w:bidi w:val="0"/>
              <w:spacing w:before="0" w:after="283"/>
              <w:jc w:val="left"/>
              <w:rPr>
                <w:color w:val="000000"/>
              </w:rPr>
            </w:pPr>
            <w:r>
              <w:rPr>
                <w:color w:val="000000"/>
              </w:rPr>
              <w:t>Dilutive common equivalents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1,729,565</w:t>
            </w:r>
          </w:p>
        </w:tc>
        <w:tc>
          <w:tcPr>
            <w:tcW w:w="75" w:type="dxa"/>
            <w:tcBorders/>
            <w:shd w:fill="CCEEFF" w:val="clear"/>
            <w:vAlign w:val="center"/>
          </w:tcPr>
          <w:p>
            <w:pPr>
              <w:pStyle w:val="TableContents"/>
              <w:bidi w:val="0"/>
              <w:spacing w:before="0" w:after="283"/>
              <w:jc w:val="left"/>
              <w:rPr>
                <w:color w:val="000000"/>
              </w:rPr>
            </w:pPr>
            <w:r>
              <w:rPr>
                <w:color w:val="000000"/>
              </w:rPr>
              <w:t> </w:t>
            </w:r>
            <w:bookmarkStart w:id="279" w:name="xdx_40A_eus-gaap--WeightedAverageNumberO"/>
            <w:bookmarkEnd w:id="279"/>
          </w:p>
        </w:tc>
      </w:tr>
      <w:tr>
        <w:trPr/>
        <w:tc>
          <w:tcPr>
            <w:tcW w:w="5345" w:type="dxa"/>
            <w:tcBorders/>
            <w:shd w:fill="FFFFFF" w:val="clear"/>
            <w:vAlign w:val="center"/>
          </w:tcPr>
          <w:p>
            <w:pPr>
              <w:pStyle w:val="TableContents"/>
              <w:bidi w:val="0"/>
              <w:spacing w:before="0" w:after="283"/>
              <w:jc w:val="left"/>
              <w:rPr/>
            </w:pPr>
            <w:r>
              <w:rPr/>
              <w:t>Weighted average number of shares outstanding, diluted</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38,875,005</w:t>
            </w:r>
          </w:p>
        </w:tc>
        <w:tc>
          <w:tcPr>
            <w:tcW w:w="75" w:type="dxa"/>
            <w:tcBorders/>
            <w:shd w:fill="FFFFFF" w:val="clear"/>
            <w:vAlign w:val="center"/>
          </w:tcPr>
          <w:p>
            <w:pPr>
              <w:pStyle w:val="TableContents"/>
              <w:bidi w:val="0"/>
              <w:spacing w:before="0" w:after="283"/>
              <w:jc w:val="left"/>
              <w:rPr/>
            </w:pPr>
            <w:r>
              <w:rPr/>
              <w:t> </w:t>
            </w:r>
            <w:bookmarkStart w:id="280" w:name="xdx_406_eus-gaap--EarningsPerShareDilute"/>
            <w:bookmarkEnd w:id="280"/>
          </w:p>
        </w:tc>
      </w:tr>
      <w:tr>
        <w:trPr/>
        <w:tc>
          <w:tcPr>
            <w:tcW w:w="5345" w:type="dxa"/>
            <w:tcBorders/>
            <w:shd w:fill="CCEEFF" w:val="clear"/>
            <w:vAlign w:val="center"/>
          </w:tcPr>
          <w:p>
            <w:pPr>
              <w:pStyle w:val="TableContents"/>
              <w:bidi w:val="0"/>
              <w:spacing w:before="0" w:after="283"/>
              <w:jc w:val="left"/>
              <w:rPr>
                <w:b/>
                <w:color w:val="000000"/>
              </w:rPr>
            </w:pPr>
            <w:r>
              <w:rPr>
                <w:b/>
                <w:color w:val="000000"/>
              </w:rPr>
              <w:t>Net income per share, diluted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color w:val="000000"/>
              </w:rPr>
            </w:pPr>
            <w:r>
              <w:rPr>
                <w:color w:val="000000"/>
              </w:rPr>
              <w:t>0.03</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rPr>
      </w:pPr>
      <w:bookmarkStart w:id="281" w:name="xdx_8A2_zmJxdEVqVTA4"/>
      <w:bookmarkEnd w:id="28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2" w:name="xdx_84A_eus-gaap--IncomeTaxPolicyTextBlo"/>
      <w:bookmarkEnd w:id="282"/>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w:t>
      </w:r>
      <w:bookmarkStart w:id="283" w:name="xdx_909_eus-gaap--EffectiveIncomeTaxRate"/>
      <w:bookmarkEnd w:id="283"/>
      <w:r>
        <w:rPr>
          <w:rFonts w:ascii="Times New Roman;Times;Serif" w:hAnsi="Times New Roman;Times;Serif"/>
          <w:b w:val="false"/>
          <w:i w:val="false"/>
          <w:caps w:val="false"/>
          <w:smallCaps w:val="false"/>
          <w:sz w:val="20"/>
        </w:rPr>
        <w:t>3.66)% and (</w:t>
      </w:r>
      <w:bookmarkStart w:id="284" w:name="xdx_90D_eus-gaap--EffectiveIncomeTaxRate"/>
      <w:bookmarkEnd w:id="284"/>
      <w:r>
        <w:rPr>
          <w:rFonts w:ascii="Times New Roman;Times;Serif" w:hAnsi="Times New Roman;Times;Serif"/>
          <w:b w:val="false"/>
          <w:i w:val="false"/>
          <w:caps w:val="false"/>
          <w:smallCaps w:val="false"/>
          <w:sz w:val="20"/>
        </w:rPr>
        <w:t xml:space="preserve">2.95)% for the nine months ended September 30, 2025 and 2024, respectively. The Company’s effective tax rate for the nine months ended September 30, 2025 and 2024 differs from the U.S. federal statutory tax rate of </w:t>
      </w:r>
      <w:bookmarkStart w:id="285" w:name="xdx_90E_eus-gaap--EffectiveIncomeTaxRate"/>
      <w:bookmarkStart w:id="286" w:name="xdx_907_eus-gaap--EffectiveIncomeTaxRate"/>
      <w:bookmarkEnd w:id="285"/>
      <w:bookmarkEnd w:id="286"/>
      <w:r>
        <w:rPr>
          <w:rFonts w:ascii="Times New Roman;Times;Serif" w:hAnsi="Times New Roman;Times;Serif"/>
          <w:b w:val="false"/>
          <w:i w:val="false"/>
          <w:caps w:val="false"/>
          <w:smallCaps w:val="false"/>
          <w:sz w:val="20"/>
        </w:rPr>
        <w:t>21% due to state taxes, permanent book-tax differences related to Internal Revenue Code of 1986, as amended (“IRC”), Section 162(m) excess officer compensation limitation and share-based compensation and the change in valuation allowance.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there were $</w:t>
      </w:r>
      <w:bookmarkStart w:id="287" w:name="xdx_90F_eus-gaap--UnrecognizedTaxBenefit"/>
      <w:bookmarkEnd w:id="287"/>
      <w:r>
        <w:rPr>
          <w:rFonts w:ascii="Times New Roman;Times;Serif" w:hAnsi="Times New Roman;Times;Serif"/>
          <w:b w:val="false"/>
          <w:i w:val="false"/>
          <w:caps w:val="false"/>
          <w:smallCaps w:val="false"/>
          <w:sz w:val="20"/>
        </w:rPr>
        <w:t>2,860,000 and $</w:t>
      </w:r>
      <w:bookmarkStart w:id="288" w:name="xdx_90A_eus-gaap--UnrecognizedTaxBenefit"/>
      <w:bookmarkEnd w:id="288"/>
      <w:r>
        <w:rPr>
          <w:rFonts w:ascii="Times New Roman;Times;Serif" w:hAnsi="Times New Roman;Times;Serif"/>
          <w:b w:val="false"/>
          <w:i w:val="false"/>
          <w:caps w:val="false"/>
          <w:smallCaps w:val="false"/>
          <w:sz w:val="20"/>
        </w:rPr>
        <w:t>2,858,000, respectively, of unrecognized tax benefits included in the condensed consolidated balance sheets that would, if recognized, affect the effective tax 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United States enacted the One Big Beautiful Bill Act (“OBBBA”), which, among other provisions, permanently restores 100% bonus depreciation and modifies the limitation on business-interest expense under §163(j) to be based on taxable income before interest, amortization, and depreciation. Based on preliminary analysis, management expects OBBBA to reduce U.S. cash income-tax payments. There is not expected to be any impact on the effective tax rate. The Company is continuing to evaluate OBBA’s impacts, including potential effects on deferred-tax balances, and will refine these estimates as additional guidance becomes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9" w:name="xdx_842_eus-gaap--NewAccountingPronounce"/>
      <w:bookmarkEnd w:id="289"/>
      <w:r>
        <w:rPr>
          <w:rFonts w:ascii="Times New Roman;Times;Serif" w:hAnsi="Times New Roman;Times;Serif"/>
          <w:b/>
          <w:i w:val="false"/>
          <w:caps w:val="false"/>
          <w:smallCaps w:val="false"/>
          <w:sz w:val="20"/>
        </w:rPr>
        <w:t>Accounting Guidance Issued but Not Adopted at September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FASB issued ASU 2023-06, </w:t>
      </w:r>
      <w:r>
        <w:rPr>
          <w:rFonts w:ascii="Times New Roman;Times;Serif" w:hAnsi="Times New Roman;Times;Serif"/>
          <w:b w:val="false"/>
          <w:i/>
          <w:caps w:val="false"/>
          <w:smallCaps w:val="false"/>
          <w:sz w:val="20"/>
        </w:rPr>
        <w:t>Disclosure Improvements—Codification Amendments in Response to the SEC’s Disclosure Update and Simplification Initiative</w:t>
      </w:r>
      <w:r>
        <w:rPr>
          <w:rFonts w:ascii="Times New Roman;Times;Serif" w:hAnsi="Times New Roman;Times;Serif"/>
          <w:b w:val="false"/>
          <w:i w:val="false"/>
          <w:caps w:val="false"/>
          <w:smallCaps w:val="false"/>
          <w:sz w:val="20"/>
        </w:rPr>
        <w:t>. This ASU modifies the disclosure or presentation 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year 2025 on a prospective basis. Early adoption and retrospective reporting are permitted. The Company is currently evaluating the impact of ASU 2023-09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to improve the disclosures by a public business entity about the types of expenses in commonly presented expense captions. This ASU is effective for annual reporting periods beginning after December 15, 2026, and interim reporting periods beginning after December 15, 2027, with early adoption permitted. The Company is currently evaluating the impact of ASU 2024-03 on its consolidated financial statements.</w:t>
      </w:r>
    </w:p>
    <w:p>
      <w:pPr>
        <w:pStyle w:val="TextBody"/>
        <w:shd w:fill="FFFFFF" w:val="clear"/>
        <w:bidi w:val="0"/>
        <w:spacing w:before="0" w:after="0"/>
        <w:ind w:left="0" w:right="0" w:hanging="0"/>
        <w:jc w:val="both"/>
        <w:rPr>
          <w:caps w:val="false"/>
          <w:smallCaps w:val="false"/>
        </w:rPr>
      </w:pPr>
      <w:bookmarkStart w:id="290" w:name="xdx_855_zdMObqkgMZ7j"/>
      <w:bookmarkEnd w:id="29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1" w:name="xdx_804_eus-gaap--RevenueFromContractWit"/>
      <w:bookmarkEnd w:id="291"/>
      <w:r>
        <w:rPr>
          <w:rFonts w:ascii="Times New Roman;Times;Serif" w:hAnsi="Times New Roman;Times;Serif"/>
          <w:b/>
          <w:i w:val="false"/>
          <w:caps w:val="false"/>
          <w:smallCaps w:val="false"/>
          <w:sz w:val="20"/>
        </w:rPr>
        <w:t xml:space="preserve">NOTE 3. </w:t>
      </w:r>
      <w:bookmarkStart w:id="292" w:name="xdx_825_zjvgtnnKtrnc"/>
      <w:bookmarkEnd w:id="292"/>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contracts with customers in accordance with ASC 606, </w:t>
      </w:r>
      <w:r>
        <w:rPr>
          <w:rFonts w:ascii="Times New Roman;Times;Serif" w:hAnsi="Times New Roman;Times;Serif"/>
          <w:b w:val="false"/>
          <w:i/>
          <w:caps w:val="false"/>
          <w:smallCaps w:val="false"/>
          <w:sz w:val="20"/>
        </w:rPr>
        <w:t>Revenues from Contracts with Customers</w:t>
      </w:r>
      <w:r>
        <w:rPr>
          <w:rFonts w:ascii="Times New Roman;Times;Serif" w:hAnsi="Times New Roman;Times;Serif"/>
          <w:b w:val="false"/>
          <w:i w:val="false"/>
          <w:caps w:val="false"/>
          <w:smallCaps w:val="false"/>
          <w:sz w:val="20"/>
        </w:rPr>
        <w:t>. The Company has two primary streams of revenue: (1) product revenues, including revenue recognized from sales of products through its pharmacy and outsourcing facility and sales of branded products to wholesalers through a third-party logistics (“3PL”) partner, and (2) revenue recognized from intellectual property licenses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contract(s) with a customer:</w:t>
            </w:r>
            <w:r>
              <w:rPr>
                <w:rFonts w:ascii="Times New Roman;Times;Serif" w:hAnsi="Times New Roman;Times;Serif"/>
                <w:b w:val="false"/>
                <w:i w:val="false"/>
                <w:caps w:val="false"/>
                <w:smallCaps w:val="false"/>
                <w:sz w:val="20"/>
              </w:rPr>
              <w:t xml:space="preserve">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performance obligations in the contract:</w:t>
            </w:r>
            <w:r>
              <w:rPr>
                <w:rFonts w:ascii="Times New Roman;Times;Serif" w:hAnsi="Times New Roman;Times;Serif"/>
                <w:b w:val="false"/>
                <w:i w:val="false"/>
                <w:caps w:val="false"/>
                <w:smallCaps w:val="false"/>
                <w:sz w:val="20"/>
              </w:rPr>
              <w:t xml:space="preserve"> Obligations for fulfillment of the Company’s contracts consist of delivering the product to 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Determine the transaction price:</w:t>
            </w:r>
            <w:r>
              <w:rPr>
                <w:rFonts w:ascii="Times New Roman;Times;Serif" w:hAnsi="Times New Roman;Times;Serif"/>
                <w:b w:val="false"/>
                <w:i w:val="false"/>
                <w:caps w:val="false"/>
                <w:smallCaps w:val="false"/>
                <w:sz w:val="20"/>
              </w:rPr>
              <w:t xml:space="preserve"> The transaction price is based on an amount that reflects the consideration to which the Company expects to be 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r>
        <w:trPr/>
        <w:tc>
          <w:tcPr>
            <w:tcW w:w="147" w:type="dxa"/>
            <w:tcBorders/>
            <w:vAlign w:val="center"/>
          </w:tcPr>
          <w:p>
            <w:pPr>
              <w:pStyle w:val="TableContents"/>
              <w:bidi w:val="0"/>
              <w:spacing w:before="0" w:after="283"/>
              <w:jc w:val="both"/>
              <w:rPr>
                <w:caps w:val="false"/>
                <w:smallCaps w:val="false"/>
              </w:rPr>
            </w:pPr>
            <w:r>
              <w:rPr>
                <w:caps w:val="false"/>
                <w:smallCaps w:val="false"/>
              </w:rPr>
              <w:t> </w:t>
            </w:r>
          </w:p>
        </w:tc>
        <w:tc>
          <w:tcPr>
            <w:tcW w:w="1005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Allocate the transaction price to the performance obligations in the contract:</w:t>
            </w:r>
            <w:r>
              <w:rPr>
                <w:rFonts w:ascii="Times New Roman;Times;Serif" w:hAnsi="Times New Roman;Times;Serif"/>
                <w:b w:val="false"/>
                <w:i w:val="false"/>
                <w:caps w:val="false"/>
                <w:smallCaps w:val="false"/>
                <w:sz w:val="20"/>
              </w:rPr>
              <w:t xml:space="preserve"> Because there is only one performance obligation for product sales, no allocation is necessary.</w:t>
            </w:r>
          </w:p>
        </w:tc>
      </w:tr>
      <w:tr>
        <w:trPr/>
        <w:tc>
          <w:tcPr>
            <w:tcW w:w="147" w:type="dxa"/>
            <w:tcBorders/>
            <w:vAlign w:val="center"/>
          </w:tcPr>
          <w:p>
            <w:pPr>
              <w:pStyle w:val="TableContents"/>
              <w:bidi w:val="0"/>
              <w:spacing w:before="0" w:after="283"/>
              <w:jc w:val="both"/>
              <w:rPr>
                <w:caps w:val="false"/>
                <w:smallCaps w:val="false"/>
              </w:rPr>
            </w:pPr>
            <w:r>
              <w:rPr>
                <w:caps w:val="false"/>
                <w:smallCaps w:val="false"/>
              </w:rPr>
              <w:t> </w:t>
            </w:r>
          </w:p>
        </w:tc>
        <w:tc>
          <w:tcPr>
            <w:tcW w:w="100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Recognize revenue when (or as) the entity satisfies a performance obligation:</w:t>
            </w:r>
            <w:r>
              <w:rPr>
                <w:rFonts w:ascii="Times New Roman;Times;Serif" w:hAnsi="Times New Roman;Times;Serif"/>
                <w:b w:val="false"/>
                <w:i w:val="false"/>
                <w:caps w:val="false"/>
                <w:smallCaps w:val="false"/>
                <w:sz w:val="20"/>
              </w:rPr>
              <w:t xml:space="preserve">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branded pharmaceutical products are subject to variable consideration due to chargebacks, government rebates, returns, administrative fees, co-pay assistance and other rebates, and prompt pay discounts. Estimates for these elements of variable consideration require significant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Chargebacks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Chargebacks, primarily from distributors and wholesalers, result from arrangements with indirect customers establishing prices for products which the indirect customer purchases through a wholesaler. Alternatively, the Company may pre-authorize wholesalers to offer specified contract pricing to other indirect customers. Under either arrangement, the Company provides a chargeback credit to the wholesaler for any difference between the contracted price with the indirect customer and the wholesaler’s invoice price, typically Wholesale Acquisition Cost (“WAC”).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 chargebacks claimed by wholesalers are analyzed to determine the actual net price per package (“NPP”) for each product. This calculation is performed by product, by wholesaler. NPPs can be affected by several factors such as:</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customer mix</w:t>
            </w:r>
          </w:p>
        </w:tc>
      </w:tr>
    </w:tbl>
    <w:p>
      <w:pPr>
        <w:pStyle w:val="TextBody"/>
        <w:bidi w:val="0"/>
        <w:spacing w:before="0" w:after="0"/>
        <w:ind w:left="720" w:right="0" w:hanging="36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70"/>
        <w:gridCol w:w="3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negotiated terms with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170"/>
        <w:gridCol w:w="3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volume of off-contract purchases</w:t>
            </w:r>
          </w:p>
        </w:tc>
      </w:tr>
    </w:tbl>
    <w:p>
      <w:pPr>
        <w:pStyle w:val="TextBody"/>
        <w:bidi w:val="0"/>
        <w:spacing w:before="0" w:after="0"/>
        <w:ind w:left="720" w:right="0" w:hanging="36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75"/>
        <w:gridCol w:w="170"/>
        <w:gridCol w:w="1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WAC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 NPPs are adjusted based on anticipated changes in the factors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NPP and WAC is recorded as a reduction in both gross revenues in the consolidated statements of operations and accounts receivable in the consolidated balance sheets, at the time revenue is recognized from the product sale. The Company continually monitors chargeback activity and adjusts NPPs when the Company believes that actual selling prices will differ from current NPPs.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rebates reserve consists of estimated payments due to governmental agencies for utilization of the Company’s products by beneficiaries under such governmental programs. The two largest government programs are Medicaid and Medicare.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participates in the Medicaid Drug Rebate Program and pays rebates to the states related to Medicaid beneficiary utilization of the Company’s products. Medicaid rebates are billed within 60-90 days of the end of the quarter in which the product was dispensed to a Medicaid beneficiary. Medicaid rebate amounts per product unit are established by law, based on the Average Manufacturer Price (“AMP”), which is reported on a monthly and quarterly basis, and, in the case of branded products, best price, which is reported on a quarterly basis. Medicaid reserves are based on expected claims from state Medicaid programs. Estimates for expected claims are driven by patient usage, sales mix, calculated AMP or best price, as well as inventory in the distribution channel that will be subject to a Medicaid rebate. As a result of the delay between selling the products, dispensing the products and rebate billing, the Medicaid rebate reserve includes both an estimate of outstanding claims for end-customer sales that have occurred but for which the related claim has not been billed, as well as an estimate for future claims that will be made when inventory in the distribution channel is sold through to plan participants. Many of the Company’s branded products are also covered under Medicare. The Company participates in the Coverage Gap Discount Program in order for its branded products to be covered by Medicare Part D and must provide a rebate for any products sold under NDAs dispensed to Medicare Part D beneficiaries while the beneficiaries are in the Coverage Gap phase of the benefit. This applies to all products sold under NDAs. Estimates for these discounts are based on historical experience with Medicare rebates for products. Medicare rebates are billed quarterly for drugs dispensed to Medicare beneficiaries in the prior quarter, which is typically 120 days after the product is shipped. As a result of the delay between selling the products, dispensing the products and rebate billing, Medicare rebate reserve includes both an estimate of outstanding claims for end-customer sales that have occurred but for which the related claim has not been billed, as well as an estimate for future claims that will be made when inventory in the distribution channel is sold through to Medicare Part D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the adequacy of the government rebate reserves, reserves are reviewed on a quarterly basis against actual claims data to ensure the liability is fairly stated. The Company continually monitors the government rebate reserve and adjusts estimates if it is expected that actual government rebates may differ from established accruals. Accruals for government rebates are recorded as a reduction to gross revenues in the consolidated statements of operations and as an increase to accrued rebates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returns policy is in place that allows customers to return product within a specified period prior to and subsequent to the expiration date. Generally, product may be returned for a period beginning six months prior to its expiration date to up to one year after its expiration date. Product returns are settled through the issuance of a credit to the customer. The estimate for returns is based upon historical experience with actual returns. While such experience has allowed for reasonable estimation in the past, history may not always be an accurate indicator of future returns. The Company continually monitors estimates for returns and adjusts when it is expected that actual product returns may differ from the established accruals. Accruals for returns are recorded as a reduction to gross revenues in the consolidated statements of operations and as an increase to the accrued expenses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Fees and Other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fees or rebates are offered to wholesalers, group purchasing organizations, and indirect customers. Fees and rebates are accrued, by product by wholesaler, at the time of sale based on contracted rates and NPP. To evaluate the adequacy of the administrative fee accruals, on-hand inventory counts are obtained from the wholesalers. The Company continually monitors administrative fee activity and adjusts accruals when it is expected that actual administrative fees may differ from the accruals. Accruals for administrative fees and other rebates are recorded as a reduction in both gross revenues in the consolidated statements of operations and accounts receivable or accrued expenses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Co-payment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Prompt Payment Discounts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may be granted to customers for prompt payment. The reserve for prompt payment discounts is based on invoices outstanding. Based on past experience, it is assumed that all available discounts will be taken. Accruals for prompt payment discounts are recorded as a reduction in both gross revenues in the condensed consolidated statements of operations and accounts receivable in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3" w:name="xdx_89E_ecustom--ScheduleOfValuationAndQ"/>
      <w:bookmarkEnd w:id="293"/>
      <w:r>
        <w:rPr>
          <w:rFonts w:ascii="Times New Roman;Times;Serif" w:hAnsi="Times New Roman;Times;Serif"/>
          <w:b w:val="false"/>
          <w:i w:val="false"/>
          <w:caps w:val="false"/>
          <w:smallCaps w:val="false"/>
          <w:sz w:val="20"/>
        </w:rPr>
        <w:t>The following table summarizes activity and ending balances of the Company’s variable consideration provisions in the condensed consolidated financial statements for the nine months ended September 30,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4" w:name="xdx_8B2_zpiBjtffo2Ii"/>
      <w:bookmarkEnd w:id="294"/>
      <w:r>
        <w:rPr>
          <w:rFonts w:ascii="Times New Roman;Times;Serif" w:hAnsi="Times New Roman;Times;Serif"/>
          <w:b w:val="false"/>
          <w:i w:val="false"/>
          <w:caps w:val="false"/>
          <w:smallCaps w:val="false"/>
          <w:sz w:val="20"/>
        </w:rPr>
        <w:t>SCHEDULE OF ACCRUALS AND ALLOWANCES</w:t>
      </w:r>
    </w:p>
    <w:tbl>
      <w:tblPr>
        <w:tblW w:w="11705" w:type="dxa"/>
        <w:jc w:val="left"/>
        <w:tblInd w:w="0" w:type="dxa"/>
        <w:tblLayout w:type="fixed"/>
        <w:tblCellMar>
          <w:top w:w="0" w:type="dxa"/>
          <w:left w:w="0" w:type="dxa"/>
          <w:bottom w:w="0" w:type="dxa"/>
          <w:right w:w="0" w:type="dxa"/>
        </w:tblCellMar>
      </w:tblPr>
      <w:tblGrid>
        <w:gridCol w:w="1220"/>
        <w:gridCol w:w="60"/>
        <w:gridCol w:w="145"/>
        <w:gridCol w:w="1225"/>
        <w:gridCol w:w="95"/>
        <w:gridCol w:w="60"/>
        <w:gridCol w:w="146"/>
        <w:gridCol w:w="1149"/>
        <w:gridCol w:w="95"/>
        <w:gridCol w:w="60"/>
        <w:gridCol w:w="140"/>
        <w:gridCol w:w="1100"/>
        <w:gridCol w:w="95"/>
        <w:gridCol w:w="60"/>
        <w:gridCol w:w="149"/>
        <w:gridCol w:w="1386"/>
        <w:gridCol w:w="95"/>
        <w:gridCol w:w="60"/>
        <w:gridCol w:w="140"/>
        <w:gridCol w:w="1175"/>
        <w:gridCol w:w="95"/>
        <w:gridCol w:w="60"/>
        <w:gridCol w:w="140"/>
        <w:gridCol w:w="1055"/>
        <w:gridCol w:w="95"/>
        <w:gridCol w:w="60"/>
        <w:gridCol w:w="140"/>
        <w:gridCol w:w="1295"/>
        <w:gridCol w:w="11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295" w:name="xdx_4B9_us-gaap--ValuationAllowancesAndR"/>
            <w:bookmarkEnd w:id="295"/>
          </w:p>
        </w:tc>
        <w:tc>
          <w:tcPr>
            <w:tcW w:w="12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Chargebacks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296" w:name="xdx_4B5_us-gaap--ValuationAllowancesAndR"/>
            <w:bookmarkEnd w:id="296"/>
          </w:p>
        </w:tc>
        <w:tc>
          <w:tcPr>
            <w:tcW w:w="1149"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Government</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Rebates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297" w:name="xdx_4BF_us-gaap--ValuationAllowancesAndR"/>
            <w:bookmarkEnd w:id="297"/>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Returns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298" w:name="xdx_4BA_us-gaap--ValuationAllowancesAndR"/>
            <w:bookmarkEnd w:id="298"/>
          </w:p>
        </w:tc>
        <w:tc>
          <w:tcPr>
            <w:tcW w:w="1386"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Administrative</w:t>
            </w:r>
          </w:p>
          <w:p>
            <w:pPr>
              <w:pStyle w:val="TableContents"/>
              <w:bidi w:val="0"/>
              <w:jc w:val="center"/>
              <w:rPr>
                <w:rFonts w:ascii="Times New Roman;Times;Serif" w:hAnsi="Times New Roman;Times;Serif"/>
                <w:b/>
                <w:sz w:val="20"/>
              </w:rPr>
            </w:pPr>
            <w:r>
              <w:rPr>
                <w:rFonts w:ascii="Times New Roman;Times;Serif" w:hAnsi="Times New Roman;Times;Serif"/>
                <w:b/>
                <w:sz w:val="20"/>
              </w:rPr>
              <w:t>Fees and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 Rebates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299" w:name="xdx_4B6_us-gaap--ValuationAllowancesAndR"/>
            <w:bookmarkEnd w:id="299"/>
          </w:p>
        </w:tc>
        <w:tc>
          <w:tcPr>
            <w:tcW w:w="117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Co-Pay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Assistance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0" w:name="xdx_4B3_us-gaap--ValuationAllowancesAndR"/>
            <w:bookmarkEnd w:id="300"/>
          </w:p>
        </w:tc>
        <w:tc>
          <w:tcPr>
            <w:tcW w:w="105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Prompt</w:t>
            </w:r>
          </w:p>
          <w:p>
            <w:pPr>
              <w:pStyle w:val="TableContents"/>
              <w:bidi w:val="0"/>
              <w:jc w:val="center"/>
              <w:rPr>
                <w:rFonts w:ascii="Times New Roman;Times;Serif" w:hAnsi="Times New Roman;Times;Serif"/>
                <w:b/>
                <w:sz w:val="20"/>
              </w:rPr>
            </w:pPr>
            <w:r>
              <w:rPr>
                <w:rFonts w:ascii="Times New Roman;Times;Serif" w:hAnsi="Times New Roman;Times;Serif"/>
                <w:b/>
                <w:sz w:val="20"/>
              </w:rPr>
              <w:t>Pay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Discounts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1" w:name="xdx_4B0_zdEM7E8wnQZg"/>
            <w:bookmarkEnd w:id="301"/>
          </w:p>
        </w:tc>
        <w:tc>
          <w:tcPr>
            <w:tcW w:w="12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10" w:type="dxa"/>
            <w:tcBorders/>
            <w:shd w:fill="FFFFFF" w:val="clear"/>
            <w:vAlign w:val="center"/>
          </w:tcPr>
          <w:p>
            <w:pPr>
              <w:pStyle w:val="TableContents"/>
              <w:bidi w:val="0"/>
              <w:spacing w:before="0" w:after="283"/>
              <w:jc w:val="center"/>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Accruals for Chargebacks, Returns, and Other Allowances</w:t>
            </w:r>
          </w:p>
        </w:tc>
        <w:tc>
          <w:tcPr>
            <w:tcW w:w="11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Chargebacks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Government</w:t>
              <w:br/>
              <w:t>Rebates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Returns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Administrative</w:t>
              <w:br/>
              <w:t>Fees and</w:t>
              <w:br/>
              <w:t>Other Rebates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Co-Pay</w:t>
              <w:br/>
              <w:t>Assistance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Prompt</w:t>
              <w:br/>
              <w:t>Pay</w:t>
              <w:br/>
              <w:t>Discounts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302" w:name="xdx_43C_c20240101__20240930_ecustom--Gai"/>
            <w:bookmarkEnd w:id="302"/>
          </w:p>
        </w:tc>
      </w:tr>
      <w:tr>
        <w:trPr/>
        <w:tc>
          <w:tcPr>
            <w:tcW w:w="122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2,810,000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3,585,000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386" w:type="dxa"/>
            <w:tcBorders/>
            <w:shd w:fill="CCEEFF" w:val="clear"/>
            <w:vAlign w:val="center"/>
          </w:tcPr>
          <w:p>
            <w:pPr>
              <w:pStyle w:val="TableContents"/>
              <w:bidi w:val="0"/>
              <w:spacing w:before="0" w:after="283"/>
              <w:jc w:val="right"/>
              <w:rPr/>
            </w:pPr>
            <w:r>
              <w:rPr/>
              <w:t>24,069,000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33,307,000</w:t>
            </w:r>
          </w:p>
        </w:tc>
        <w:tc>
          <w:tcPr>
            <w:tcW w:w="110" w:type="dxa"/>
            <w:tcBorders/>
            <w:shd w:fill="CCEEFF" w:val="clear"/>
            <w:vAlign w:val="center"/>
          </w:tcPr>
          <w:p>
            <w:pPr>
              <w:pStyle w:val="TableContents"/>
              <w:bidi w:val="0"/>
              <w:spacing w:before="0" w:after="283"/>
              <w:jc w:val="left"/>
              <w:rPr/>
            </w:pPr>
            <w:r>
              <w:rPr/>
              <w:t> </w:t>
            </w:r>
            <w:bookmarkStart w:id="303" w:name="xdx_40D_eus-gaap--ValuationAllowancesAnd"/>
            <w:bookmarkEnd w:id="303"/>
          </w:p>
        </w:tc>
      </w:tr>
      <w:tr>
        <w:trPr/>
        <w:tc>
          <w:tcPr>
            <w:tcW w:w="1220" w:type="dxa"/>
            <w:tcBorders/>
            <w:shd w:fill="FFFFFF" w:val="clear"/>
            <w:vAlign w:val="center"/>
          </w:tcPr>
          <w:p>
            <w:pPr>
              <w:pStyle w:val="TableContents"/>
              <w:bidi w:val="0"/>
              <w:spacing w:before="0" w:after="283"/>
              <w:jc w:val="left"/>
              <w:rPr/>
            </w:pPr>
            <w:r>
              <w:rPr/>
              <w:t>Accruals/Adjustments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7,393,000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4,786,000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pPr>
            <w:r>
              <w:rPr/>
              <w:t>47,813,000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54,549,000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3,509,000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123,067,000</w:t>
            </w:r>
          </w:p>
        </w:tc>
        <w:tc>
          <w:tcPr>
            <w:tcW w:w="110" w:type="dxa"/>
            <w:tcBorders/>
            <w:shd w:fill="FFFFFF" w:val="clear"/>
            <w:vAlign w:val="center"/>
          </w:tcPr>
          <w:p>
            <w:pPr>
              <w:pStyle w:val="TableContents"/>
              <w:bidi w:val="0"/>
              <w:spacing w:before="0" w:after="283"/>
              <w:jc w:val="left"/>
              <w:rPr/>
            </w:pPr>
            <w:r>
              <w:rPr/>
              <w:t> </w:t>
            </w:r>
            <w:bookmarkStart w:id="304" w:name="xdx_400_eus-gaap--ValuationAllowancesAnd"/>
            <w:bookmarkEnd w:id="304"/>
          </w:p>
        </w:tc>
      </w:tr>
      <w:tr>
        <w:trPr/>
        <w:tc>
          <w:tcPr>
            <w:tcW w:w="1220" w:type="dxa"/>
            <w:tcBorders/>
            <w:shd w:fill="CCEEFF" w:val="clear"/>
            <w:vAlign w:val="center"/>
          </w:tcPr>
          <w:p>
            <w:pPr>
              <w:pStyle w:val="TableContents"/>
              <w:bidi w:val="0"/>
              <w:spacing w:before="0" w:after="283"/>
              <w:jc w:val="left"/>
              <w:rPr/>
            </w:pPr>
            <w:r>
              <w:rPr/>
              <w:t>Credits Taken Against Reserve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(7,951,000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(831,000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(6,643,000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6" w:type="dxa"/>
            <w:tcBorders>
              <w:bottom w:val="single" w:sz="8" w:space="0" w:color="000000"/>
            </w:tcBorders>
            <w:shd w:fill="CCEEFF" w:val="clear"/>
            <w:tcMar>
              <w:bottom w:w="28" w:type="dxa"/>
            </w:tcMar>
            <w:vAlign w:val="center"/>
          </w:tcPr>
          <w:p>
            <w:pPr>
              <w:pStyle w:val="TableContents"/>
              <w:bidi w:val="0"/>
              <w:spacing w:before="0" w:after="283"/>
              <w:jc w:val="right"/>
              <w:rPr/>
            </w:pPr>
            <w:r>
              <w:rPr/>
              <w:t>(44,679,000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(53,391,000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(2,928,000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(116,423,000</w:t>
            </w:r>
          </w:p>
        </w:tc>
        <w:tc>
          <w:tcPr>
            <w:tcW w:w="110" w:type="dxa"/>
            <w:tcBorders/>
            <w:shd w:fill="CCEEFF" w:val="clear"/>
            <w:vAlign w:val="center"/>
          </w:tcPr>
          <w:p>
            <w:pPr>
              <w:pStyle w:val="TableContents"/>
              <w:bidi w:val="0"/>
              <w:spacing w:before="0" w:after="283"/>
              <w:jc w:val="left"/>
              <w:rPr/>
            </w:pPr>
            <w:r>
              <w:rPr/>
              <w:t>)</w:t>
            </w:r>
            <w:bookmarkStart w:id="305" w:name="xdx_435_c20240101__20240930_ecustom--Gai"/>
            <w:bookmarkEnd w:id="305"/>
          </w:p>
        </w:tc>
      </w:tr>
      <w:tr>
        <w:trPr/>
        <w:tc>
          <w:tcPr>
            <w:tcW w:w="1220" w:type="dxa"/>
            <w:tcBorders/>
            <w:shd w:fill="FFFFFF" w:val="clear"/>
            <w:vAlign w:val="center"/>
          </w:tcPr>
          <w:p>
            <w:pPr>
              <w:pStyle w:val="TableContents"/>
              <w:bidi w:val="0"/>
              <w:spacing w:before="0" w:after="283"/>
              <w:jc w:val="left"/>
              <w:rPr>
                <w:b/>
              </w:rPr>
            </w:pPr>
            <w:r>
              <w:rPr>
                <w:b/>
              </w:rPr>
              <w:t>Balance at September 30, 2024</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2,252,000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(855,000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27,203,000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1,682,000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39,951,000</w:t>
            </w:r>
          </w:p>
        </w:tc>
        <w:tc>
          <w:tcPr>
            <w:tcW w:w="11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6" w:name="xdx_43A_c20250101__20250930_ecustom--Gai"/>
            <w:bookmarkEnd w:id="306"/>
          </w:p>
        </w:tc>
      </w:tr>
      <w:tr>
        <w:trPr/>
        <w:tc>
          <w:tcPr>
            <w:tcW w:w="1220" w:type="dxa"/>
            <w:tcBorders/>
            <w:shd w:fill="FFFFFF" w:val="clear"/>
            <w:vAlign w:val="center"/>
          </w:tcPr>
          <w:p>
            <w:pPr>
              <w:pStyle w:val="TableContents"/>
              <w:bidi w:val="0"/>
              <w:spacing w:before="0" w:after="283"/>
              <w:jc w:val="left"/>
              <w:rPr/>
            </w:pPr>
            <w:r>
              <w:rPr/>
              <w:t>Balance at December 31, 2024</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960,000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12,360,000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386" w:type="dxa"/>
            <w:tcBorders/>
            <w:shd w:fill="FFFFFF" w:val="clear"/>
            <w:vAlign w:val="center"/>
          </w:tcPr>
          <w:p>
            <w:pPr>
              <w:pStyle w:val="TableContents"/>
              <w:bidi w:val="0"/>
              <w:spacing w:before="0" w:after="283"/>
              <w:jc w:val="right"/>
              <w:rPr/>
            </w:pPr>
            <w:r>
              <w:rPr/>
              <w:t>32,873,000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9,612,000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59,631,000</w:t>
            </w:r>
          </w:p>
        </w:tc>
        <w:tc>
          <w:tcPr>
            <w:tcW w:w="110" w:type="dxa"/>
            <w:tcBorders/>
            <w:shd w:fill="FFFFFF" w:val="clear"/>
            <w:vAlign w:val="center"/>
          </w:tcPr>
          <w:p>
            <w:pPr>
              <w:pStyle w:val="TableContents"/>
              <w:bidi w:val="0"/>
              <w:spacing w:before="0" w:after="283"/>
              <w:jc w:val="left"/>
              <w:rPr/>
            </w:pPr>
            <w:r>
              <w:rPr/>
              <w:t> </w:t>
            </w:r>
            <w:bookmarkStart w:id="307" w:name="xdx_433_c20250101__20250930_ecustom--Gai"/>
            <w:bookmarkEnd w:id="307"/>
          </w:p>
        </w:tc>
      </w:tr>
      <w:tr>
        <w:trPr/>
        <w:tc>
          <w:tcPr>
            <w:tcW w:w="1220"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960,000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12,360,000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386" w:type="dxa"/>
            <w:tcBorders/>
            <w:shd w:fill="FFFFFF" w:val="clear"/>
            <w:vAlign w:val="center"/>
          </w:tcPr>
          <w:p>
            <w:pPr>
              <w:pStyle w:val="TableContents"/>
              <w:bidi w:val="0"/>
              <w:spacing w:before="0" w:after="283"/>
              <w:jc w:val="right"/>
              <w:rPr/>
            </w:pPr>
            <w:r>
              <w:rPr/>
              <w:t>32,873,000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9,612,000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59,631,000</w:t>
            </w:r>
          </w:p>
        </w:tc>
        <w:tc>
          <w:tcPr>
            <w:tcW w:w="110" w:type="dxa"/>
            <w:tcBorders/>
            <w:shd w:fill="FFFFFF" w:val="clear"/>
            <w:vAlign w:val="center"/>
          </w:tcPr>
          <w:p>
            <w:pPr>
              <w:pStyle w:val="TableContents"/>
              <w:bidi w:val="0"/>
              <w:spacing w:before="0" w:after="283"/>
              <w:jc w:val="left"/>
              <w:rPr/>
            </w:pPr>
            <w:r>
              <w:rPr/>
              <w:t> </w:t>
            </w:r>
            <w:bookmarkStart w:id="308" w:name="xdx_40D_eus-gaap--ValuationAllowancesAnd"/>
            <w:bookmarkEnd w:id="308"/>
          </w:p>
        </w:tc>
      </w:tr>
      <w:tr>
        <w:trPr/>
        <w:tc>
          <w:tcPr>
            <w:tcW w:w="1220" w:type="dxa"/>
            <w:tcBorders/>
            <w:shd w:fill="CCEEFF" w:val="clear"/>
            <w:vAlign w:val="center"/>
          </w:tcPr>
          <w:p>
            <w:pPr>
              <w:pStyle w:val="TableContents"/>
              <w:bidi w:val="0"/>
              <w:spacing w:before="0" w:after="283"/>
              <w:jc w:val="left"/>
              <w:rPr/>
            </w:pPr>
            <w:r>
              <w:rPr/>
              <w:t>Accruals/Adjustments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22,976,000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12,082,000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86" w:type="dxa"/>
            <w:tcBorders/>
            <w:shd w:fill="CCEEFF" w:val="clear"/>
            <w:vAlign w:val="center"/>
          </w:tcPr>
          <w:p>
            <w:pPr>
              <w:pStyle w:val="TableContents"/>
              <w:bidi w:val="0"/>
              <w:spacing w:before="0" w:after="283"/>
              <w:jc w:val="right"/>
              <w:rPr/>
            </w:pPr>
            <w:r>
              <w:rPr/>
              <w:t>61,730,000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148,238,000</w:t>
            </w:r>
          </w:p>
        </w:tc>
        <w:tc>
          <w:tcPr>
            <w:tcW w:w="110" w:type="dxa"/>
            <w:tcBorders/>
            <w:shd w:fill="CCEEFF" w:val="clear"/>
            <w:vAlign w:val="center"/>
          </w:tcPr>
          <w:p>
            <w:pPr>
              <w:pStyle w:val="TableContents"/>
              <w:bidi w:val="0"/>
              <w:spacing w:before="0" w:after="283"/>
              <w:jc w:val="left"/>
              <w:rPr/>
            </w:pPr>
            <w:r>
              <w:rPr/>
              <w:t> </w:t>
            </w:r>
            <w:bookmarkStart w:id="309" w:name="xdx_40D_eus-gaap--ValuationAllowancesAnd"/>
            <w:bookmarkEnd w:id="309"/>
          </w:p>
        </w:tc>
      </w:tr>
      <w:tr>
        <w:trPr/>
        <w:tc>
          <w:tcPr>
            <w:tcW w:w="1220" w:type="dxa"/>
            <w:tcBorders/>
            <w:shd w:fill="FFFFFF" w:val="clear"/>
            <w:vAlign w:val="center"/>
          </w:tcPr>
          <w:p>
            <w:pPr>
              <w:pStyle w:val="TableContents"/>
              <w:bidi w:val="0"/>
              <w:spacing w:before="0" w:after="283"/>
              <w:jc w:val="left"/>
              <w:rPr/>
            </w:pPr>
            <w:r>
              <w:rPr/>
              <w:t>Credits Taken Against Reserve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(18,144,000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(9,977,000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(7,375,000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6" w:type="dxa"/>
            <w:tcBorders>
              <w:bottom w:val="single" w:sz="8" w:space="0" w:color="000000"/>
            </w:tcBorders>
            <w:shd w:fill="FFFFFF" w:val="clear"/>
            <w:tcMar>
              <w:bottom w:w="28" w:type="dxa"/>
            </w:tcMar>
            <w:vAlign w:val="center"/>
          </w:tcPr>
          <w:p>
            <w:pPr>
              <w:pStyle w:val="TableContents"/>
              <w:bidi w:val="0"/>
              <w:spacing w:before="0" w:after="283"/>
              <w:jc w:val="right"/>
              <w:rPr/>
            </w:pPr>
            <w:r>
              <w:rPr/>
              <w:t>(75,765,000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(42,299,000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(4,444,000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(158,004,000</w:t>
            </w:r>
          </w:p>
        </w:tc>
        <w:tc>
          <w:tcPr>
            <w:tcW w:w="110" w:type="dxa"/>
            <w:tcBorders/>
            <w:shd w:fill="FFFFFF" w:val="clear"/>
            <w:vAlign w:val="center"/>
          </w:tcPr>
          <w:p>
            <w:pPr>
              <w:pStyle w:val="TableContents"/>
              <w:bidi w:val="0"/>
              <w:spacing w:before="0" w:after="283"/>
              <w:jc w:val="left"/>
              <w:rPr/>
            </w:pPr>
            <w:r>
              <w:rPr/>
              <w:t>)</w:t>
            </w:r>
            <w:bookmarkStart w:id="310" w:name="xdx_43E_c20250101__20250930_ecustom--Gai"/>
            <w:bookmarkEnd w:id="310"/>
          </w:p>
        </w:tc>
      </w:tr>
      <w:tr>
        <w:trPr/>
        <w:tc>
          <w:tcPr>
            <w:tcW w:w="1220" w:type="dxa"/>
            <w:tcBorders/>
            <w:shd w:fill="CCEEFF" w:val="clear"/>
            <w:vAlign w:val="center"/>
          </w:tcPr>
          <w:p>
            <w:pPr>
              <w:pStyle w:val="TableContents"/>
              <w:bidi w:val="0"/>
              <w:spacing w:before="0" w:after="283"/>
              <w:jc w:val="left"/>
              <w:rPr>
                <w:b/>
              </w:rPr>
            </w:pPr>
            <w:r>
              <w:rPr>
                <w:b/>
              </w:rPr>
              <w:t>Balance at September 30, 2025</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5,792,000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14,465,000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6,884,000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18,838,000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49,865,000</w:t>
            </w:r>
          </w:p>
        </w:tc>
        <w:tc>
          <w:tcPr>
            <w:tcW w:w="110" w:type="dxa"/>
            <w:tcBorders/>
            <w:shd w:fill="CCEEFF" w:val="clear"/>
            <w:vAlign w:val="center"/>
          </w:tcPr>
          <w:p>
            <w:pPr>
              <w:pStyle w:val="TableContents"/>
              <w:bidi w:val="0"/>
              <w:spacing w:before="0" w:after="283"/>
              <w:jc w:val="left"/>
              <w:rPr/>
            </w:pPr>
            <w:r>
              <w:rPr/>
              <w:t> </w:t>
            </w:r>
            <w:bookmarkStart w:id="311" w:name="xdx_434_c20250101__20250930_ecustom--Gai"/>
            <w:bookmarkEnd w:id="311"/>
          </w:p>
        </w:tc>
      </w:tr>
      <w:tr>
        <w:trPr/>
        <w:tc>
          <w:tcPr>
            <w:tcW w:w="122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5,792,000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14,465,000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6,884,000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18,838,000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49,865,000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12" w:name="xdx_8A9_z53gkSfeco3j"/>
      <w:bookmarkEnd w:id="312"/>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 Intellectual Property License and Related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multiple intellectual property licenses and related arrangements pursuant to which the Company has agreed to license or sell to a customer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3" w:name="xdx_89A_eus-gaap--DisaggregationOfRevenu"/>
      <w:bookmarkEnd w:id="313"/>
      <w:r>
        <w:rPr>
          <w:rFonts w:ascii="Times New Roman;Times;Serif" w:hAnsi="Times New Roman;Times;Serif"/>
          <w:b w:val="false"/>
          <w:i w:val="false"/>
          <w:caps w:val="false"/>
          <w:smallCaps w:val="false"/>
          <w:sz w:val="20"/>
        </w:rPr>
        <w:t>Revenue disaggregated by revenue source for the three and nine months ended September 30, 2025 and 2024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314" w:name="xdx_8B1_zCAgxN65SjWc"/>
      <w:bookmarkEnd w:id="314"/>
      <w:r>
        <w:rPr>
          <w:rFonts w:ascii="Times New Roman;Times;Serif" w:hAnsi="Times New Roman;Times;Serif"/>
          <w:b w:val="false"/>
          <w:i w:val="false"/>
          <w:caps w:val="false"/>
          <w:smallCaps w:val="false"/>
          <w:sz w:val="20"/>
        </w:rPr>
        <w:t>SCHEDULE OF DISAGGREGATED REVENUE </w:t>
      </w:r>
    </w:p>
    <w:tbl>
      <w:tblPr>
        <w:tblW w:w="7838" w:type="dxa"/>
        <w:jc w:val="left"/>
        <w:tblInd w:w="0" w:type="dxa"/>
        <w:tblLayout w:type="fixed"/>
        <w:tblCellMar>
          <w:top w:w="0" w:type="dxa"/>
          <w:left w:w="0" w:type="dxa"/>
          <w:bottom w:w="0" w:type="dxa"/>
          <w:right w:w="0" w:type="dxa"/>
        </w:tblCellMar>
      </w:tblPr>
      <w:tblGrid>
        <w:gridCol w:w="1685"/>
        <w:gridCol w:w="60"/>
        <w:gridCol w:w="162"/>
        <w:gridCol w:w="1277"/>
        <w:gridCol w:w="69"/>
        <w:gridCol w:w="69"/>
        <w:gridCol w:w="162"/>
        <w:gridCol w:w="1277"/>
        <w:gridCol w:w="60"/>
        <w:gridCol w:w="60"/>
        <w:gridCol w:w="142"/>
        <w:gridCol w:w="1239"/>
        <w:gridCol w:w="60"/>
        <w:gridCol w:w="60"/>
        <w:gridCol w:w="142"/>
        <w:gridCol w:w="1239"/>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5" w:name="xdx_495_20250701__20250930_zXIgaCvwNBPd"/>
            <w:bookmarkEnd w:id="315"/>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316" w:name="xdx_494_20240701__20240930_zxjlddxAe9w6"/>
            <w:bookmarkEnd w:id="316"/>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7" w:name="xdx_491_20250101__20250930_zxmTrjijR9Nb"/>
            <w:bookmarkEnd w:id="317"/>
          </w:p>
        </w:tc>
        <w:tc>
          <w:tcPr>
            <w:tcW w:w="138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3_20240101__20240930_zCKFA8pchSBl"/>
            <w:bookmarkEnd w:id="318"/>
          </w:p>
        </w:tc>
        <w:tc>
          <w:tcPr>
            <w:tcW w:w="1381"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vAlign w:val="center"/>
          </w:tcPr>
          <w:p>
            <w:pPr>
              <w:pStyle w:val="TableContents"/>
              <w:bidi w:val="0"/>
              <w:spacing w:before="0" w:after="283"/>
              <w:jc w:val="center"/>
              <w:rPr>
                <w:b/>
              </w:rPr>
            </w:pPr>
            <w:r>
              <w:rPr>
                <w:b/>
              </w:rPr>
              <w:t>For the Nine Months Ended</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319" w:name="xdx_408_eus-gaap--RevenueFromContractWit"/>
            <w:bookmarkEnd w:id="319"/>
          </w:p>
        </w:tc>
      </w:tr>
      <w:tr>
        <w:trPr/>
        <w:tc>
          <w:tcPr>
            <w:tcW w:w="1685" w:type="dxa"/>
            <w:tcBorders/>
            <w:shd w:fill="CCEEFF" w:val="clear"/>
            <w:vAlign w:val="center"/>
          </w:tcPr>
          <w:p>
            <w:pPr>
              <w:pStyle w:val="TableContents"/>
              <w:bidi w:val="0"/>
              <w:spacing w:before="0" w:after="283"/>
              <w:jc w:val="left"/>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71,497,000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49,019,000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182,899,000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132,398,000</w:t>
            </w:r>
          </w:p>
        </w:tc>
        <w:tc>
          <w:tcPr>
            <w:tcW w:w="75" w:type="dxa"/>
            <w:tcBorders/>
            <w:shd w:fill="CCEEFF" w:val="clear"/>
            <w:vAlign w:val="center"/>
          </w:tcPr>
          <w:p>
            <w:pPr>
              <w:pStyle w:val="TableContents"/>
              <w:bidi w:val="0"/>
              <w:spacing w:before="0" w:after="283"/>
              <w:jc w:val="left"/>
              <w:rPr/>
            </w:pPr>
            <w:r>
              <w:rPr/>
              <w:t> </w:t>
            </w:r>
            <w:bookmarkStart w:id="320" w:name="xdx_402_eus-gaap--RevenueFromContractWit"/>
            <w:bookmarkEnd w:id="320"/>
          </w:p>
        </w:tc>
      </w:tr>
      <w:tr>
        <w:trPr/>
        <w:tc>
          <w:tcPr>
            <w:tcW w:w="1685"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141,000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312,000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385,000</w:t>
            </w:r>
          </w:p>
        </w:tc>
        <w:tc>
          <w:tcPr>
            <w:tcW w:w="75" w:type="dxa"/>
            <w:tcBorders/>
            <w:shd w:fill="FFFFFF" w:val="clear"/>
            <w:vAlign w:val="center"/>
          </w:tcPr>
          <w:p>
            <w:pPr>
              <w:pStyle w:val="TableContents"/>
              <w:bidi w:val="0"/>
              <w:spacing w:before="0" w:after="283"/>
              <w:jc w:val="left"/>
              <w:rPr/>
            </w:pPr>
            <w:r>
              <w:rPr/>
              <w:t> </w:t>
            </w:r>
            <w:bookmarkStart w:id="321" w:name="xdx_40B_eus-gaap--RevenueFromContractWit"/>
            <w:bookmarkEnd w:id="321"/>
          </w:p>
        </w:tc>
      </w:tr>
      <w:tr>
        <w:trPr/>
        <w:tc>
          <w:tcPr>
            <w:tcW w:w="1685"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71,638,000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49,257,000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183,211,000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132,783,000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2" w:name="xdx_8AC_zddtbDVY8fIc"/>
      <w:bookmarkEnd w:id="3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 at September 30, 2025 and December 31, 2024 were $</w:t>
      </w:r>
      <w:bookmarkStart w:id="323" w:name="xdx_90A_eus-gaap--ContractWithCustomerLi"/>
      <w:bookmarkEnd w:id="323"/>
      <w:r>
        <w:rPr>
          <w:rFonts w:ascii="Times New Roman;Times;Serif" w:hAnsi="Times New Roman;Times;Serif"/>
          <w:b w:val="false"/>
          <w:i w:val="false"/>
          <w:caps w:val="false"/>
          <w:smallCaps w:val="false"/>
          <w:sz w:val="20"/>
        </w:rPr>
        <w:t>345,000 and $</w:t>
      </w:r>
      <w:bookmarkStart w:id="324" w:name="xdx_903_eus-gaap--ContractWithCustomerLi"/>
      <w:bookmarkEnd w:id="324"/>
      <w:r>
        <w:rPr>
          <w:rFonts w:ascii="Times New Roman;Times;Serif" w:hAnsi="Times New Roman;Times;Serif"/>
          <w:b w:val="false"/>
          <w:i w:val="false"/>
          <w:caps w:val="false"/>
          <w:smallCaps w:val="false"/>
          <w:sz w:val="20"/>
        </w:rPr>
        <w:t>44,000, respectively. All deferred revenue and customer deposit amounts at December 31, 2024 were recognized as revenue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5" w:name="xdx_806_eus-gaap--InventoryDisclosureTex"/>
      <w:bookmarkEnd w:id="325"/>
      <w:r>
        <w:rPr>
          <w:rFonts w:ascii="Times New Roman;Times;Serif" w:hAnsi="Times New Roman;Times;Serif"/>
          <w:b/>
          <w:i w:val="false"/>
          <w:caps w:val="false"/>
          <w:smallCaps w:val="false"/>
          <w:sz w:val="20"/>
        </w:rPr>
        <w:t xml:space="preserve">NOTE 4. </w:t>
      </w:r>
      <w:bookmarkStart w:id="326" w:name="xdx_824_z77XtW78Dg1i"/>
      <w:bookmarkEnd w:id="326"/>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Inventories are comprised of finished compounded formulations, over-the-counter and prescription retail pharmacy products, branded pharmaceutical products, including those held at the Company’s 3PL partner, related laboratory supplies and active pharmaceutical ingredients. </w:t>
      </w:r>
      <w:r>
        <w:rPr>
          <w:rFonts w:ascii="Times New Roman;Times;Serif" w:hAnsi="Times New Roman;Times;Serif"/>
          <w:b w:val="false"/>
          <w:i w:val="false"/>
          <w:caps w:val="false"/>
          <w:smallCaps w:val="false"/>
          <w:sz w:val="20"/>
        </w:rPr>
        <w:t>The composition of inventories as of September 30, 2025 and December 31, 2024 was as follows:</w:t>
      </w:r>
    </w:p>
    <w:p>
      <w:pPr>
        <w:pStyle w:val="TextBody"/>
        <w:bidi w:val="0"/>
        <w:spacing w:before="0" w:after="0"/>
        <w:ind w:left="0" w:right="0" w:hanging="0"/>
        <w:jc w:val="both"/>
        <w:rPr>
          <w:caps w:val="false"/>
          <w:smallCaps w:val="false"/>
        </w:rPr>
      </w:pPr>
      <w:bookmarkStart w:id="327" w:name="xdx_89C_eus-gaap--ScheduleOfInventoryCur"/>
      <w:bookmarkEnd w:id="327"/>
      <w:r>
        <w:rPr>
          <w:caps w:val="false"/>
          <w:smallCaps w:val="false"/>
        </w:rPr>
        <w:t> </w:t>
      </w:r>
      <w:bookmarkStart w:id="328" w:name="xdx_8BB_zdpVuYGEk6sh"/>
      <w:bookmarkEnd w:id="328"/>
      <w:r>
        <w:rPr>
          <w:rFonts w:ascii="Times New Roman;Times;Serif" w:hAnsi="Times New Roman;Times;Serif"/>
          <w:b w:val="false"/>
          <w:i w:val="false"/>
          <w:caps w:val="false"/>
          <w:smallCaps w:val="false"/>
          <w:sz w:val="20"/>
        </w:rPr>
        <w:t>SCHEDULE OF INVENTORIES</w:t>
      </w:r>
    </w:p>
    <w:tbl>
      <w:tblPr>
        <w:tblW w:w="4813" w:type="dxa"/>
        <w:jc w:val="left"/>
        <w:tblInd w:w="0" w:type="dxa"/>
        <w:tblLayout w:type="fixed"/>
        <w:tblCellMar>
          <w:top w:w="0" w:type="dxa"/>
          <w:left w:w="0" w:type="dxa"/>
          <w:bottom w:w="0" w:type="dxa"/>
          <w:right w:w="0" w:type="dxa"/>
        </w:tblCellMar>
      </w:tblPr>
      <w:tblGrid>
        <w:gridCol w:w="1670"/>
        <w:gridCol w:w="60"/>
        <w:gridCol w:w="166"/>
        <w:gridCol w:w="1308"/>
        <w:gridCol w:w="60"/>
        <w:gridCol w:w="60"/>
        <w:gridCol w:w="159"/>
        <w:gridCol w:w="1255"/>
        <w:gridCol w:w="75"/>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9" w:name="xdx_493_20250930_zyMana5M6j5l"/>
            <w:bookmarkEnd w:id="329"/>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0" w:name="xdx_49D_20241231_zmV1PIdXeQea"/>
            <w:bookmarkEnd w:id="33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bookmarkStart w:id="331" w:name="xdx_40F_eus-gaap--InventoryRawMaterials_"/>
            <w:bookmarkEnd w:id="331"/>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5,212,000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5,362,000</w:t>
            </w:r>
          </w:p>
        </w:tc>
        <w:tc>
          <w:tcPr>
            <w:tcW w:w="75" w:type="dxa"/>
            <w:tcBorders/>
            <w:shd w:fill="CCEEFF" w:val="clear"/>
            <w:vAlign w:val="center"/>
          </w:tcPr>
          <w:p>
            <w:pPr>
              <w:pStyle w:val="TableContents"/>
              <w:bidi w:val="0"/>
              <w:spacing w:before="0" w:after="283"/>
              <w:jc w:val="left"/>
              <w:rPr/>
            </w:pPr>
            <w:r>
              <w:rPr/>
              <w:t> </w:t>
            </w:r>
            <w:bookmarkStart w:id="332" w:name="xdx_402_eus-gaap--InventoryWorkInProcess"/>
            <w:bookmarkEnd w:id="332"/>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842,000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858,000</w:t>
            </w:r>
          </w:p>
        </w:tc>
        <w:tc>
          <w:tcPr>
            <w:tcW w:w="75" w:type="dxa"/>
            <w:tcBorders/>
            <w:shd w:fill="FFFFFF" w:val="clear"/>
            <w:vAlign w:val="center"/>
          </w:tcPr>
          <w:p>
            <w:pPr>
              <w:pStyle w:val="TableContents"/>
              <w:bidi w:val="0"/>
              <w:spacing w:before="0" w:after="283"/>
              <w:jc w:val="left"/>
              <w:rPr/>
            </w:pPr>
            <w:r>
              <w:rPr/>
              <w:t> </w:t>
            </w:r>
            <w:bookmarkStart w:id="333" w:name="xdx_409_eus-gaap--InventoryFinishedGoods"/>
            <w:bookmarkEnd w:id="333"/>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6,780,000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4,482,000</w:t>
            </w:r>
          </w:p>
        </w:tc>
        <w:tc>
          <w:tcPr>
            <w:tcW w:w="75" w:type="dxa"/>
            <w:tcBorders/>
            <w:shd w:fill="CCEEFF" w:val="clear"/>
            <w:vAlign w:val="center"/>
          </w:tcPr>
          <w:p>
            <w:pPr>
              <w:pStyle w:val="TableContents"/>
              <w:bidi w:val="0"/>
              <w:spacing w:before="0" w:after="283"/>
              <w:jc w:val="left"/>
              <w:rPr/>
            </w:pPr>
            <w:r>
              <w:rPr/>
              <w:t> </w:t>
            </w:r>
            <w:bookmarkStart w:id="334" w:name="xdx_402_eus-gaap--InventoryNet_iTI_mtCzf"/>
            <w:bookmarkEnd w:id="334"/>
          </w:p>
        </w:tc>
      </w:tr>
      <w:tr>
        <w:trPr/>
        <w:tc>
          <w:tcPr>
            <w:tcW w:w="1670" w:type="dxa"/>
            <w:tcBorders/>
            <w:shd w:fill="FFFFFF" w:val="clear"/>
            <w:vAlign w:val="center"/>
          </w:tcPr>
          <w:p>
            <w:pPr>
              <w:pStyle w:val="TableContents"/>
              <w:bidi w:val="0"/>
              <w:spacing w:before="0" w:after="283"/>
              <w:jc w:val="left"/>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FFFFFF" w:val="clear"/>
            <w:tcMar>
              <w:bottom w:w="28" w:type="dxa"/>
            </w:tcMar>
            <w:vAlign w:val="center"/>
          </w:tcPr>
          <w:p>
            <w:pPr>
              <w:pStyle w:val="TableContents"/>
              <w:bidi w:val="0"/>
              <w:spacing w:before="0" w:after="283"/>
              <w:jc w:val="right"/>
              <w:rPr/>
            </w:pPr>
            <w:r>
              <w:rPr/>
              <w:t>12,834,000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10,702,000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35" w:name="xdx_8A9_zuRD7vxpYPe7"/>
      <w:bookmarkEnd w:id="33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6" w:name="xdx_803_eus-gaap--OtherAssetsDisclosureT"/>
      <w:bookmarkEnd w:id="336"/>
      <w:r>
        <w:rPr>
          <w:rFonts w:ascii="Times New Roman;Times;Serif" w:hAnsi="Times New Roman;Times;Serif"/>
          <w:b/>
          <w:i w:val="false"/>
          <w:caps w:val="false"/>
          <w:smallCaps w:val="false"/>
          <w:sz w:val="20"/>
        </w:rPr>
        <w:t xml:space="preserve">NOTE 5. </w:t>
      </w:r>
      <w:bookmarkStart w:id="337" w:name="xdx_824_zyawIJn0es3d"/>
      <w:bookmarkEnd w:id="337"/>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8" w:name="xdx_892_eus-gaap--DeferredCostsCapitaliz"/>
      <w:bookmarkEnd w:id="338"/>
      <w:r>
        <w:rPr>
          <w:rFonts w:ascii="Times New Roman;Times;Serif" w:hAnsi="Times New Roman;Times;Serif"/>
          <w:b w:val="false"/>
          <w:i w:val="false"/>
          <w:caps w:val="false"/>
          <w:smallCaps w:val="false"/>
          <w:sz w:val="20"/>
        </w:rPr>
        <w:t>Prepaid expenses and other current assets at September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39" w:name="xdx_8B8_zA4D3fYUHGx7"/>
      <w:bookmarkEnd w:id="339"/>
      <w:r>
        <w:rPr>
          <w:rFonts w:ascii="Times New Roman;Times;Serif" w:hAnsi="Times New Roman;Times;Serif"/>
          <w:b w:val="false"/>
          <w:i w:val="false"/>
          <w:caps w:val="false"/>
          <w:smallCaps w:val="false"/>
          <w:sz w:val="20"/>
        </w:rPr>
        <w:t>SCHEDULE OF PREPAID EXPENSES AND OTHER CURRENT ASSETS</w:t>
      </w:r>
    </w:p>
    <w:tbl>
      <w:tblPr>
        <w:tblW w:w="8698" w:type="dxa"/>
        <w:jc w:val="left"/>
        <w:tblInd w:w="0" w:type="dxa"/>
        <w:tblLayout w:type="fixed"/>
        <w:tblCellMar>
          <w:top w:w="0" w:type="dxa"/>
          <w:left w:w="0" w:type="dxa"/>
          <w:bottom w:w="0" w:type="dxa"/>
          <w:right w:w="0" w:type="dxa"/>
        </w:tblCellMar>
      </w:tblPr>
      <w:tblGrid>
        <w:gridCol w:w="5435"/>
        <w:gridCol w:w="60"/>
        <w:gridCol w:w="173"/>
        <w:gridCol w:w="1361"/>
        <w:gridCol w:w="60"/>
        <w:gridCol w:w="60"/>
        <w:gridCol w:w="166"/>
        <w:gridCol w:w="1308"/>
        <w:gridCol w:w="75"/>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0" w:name="xdx_49B_20250930_z6fpot3D1soe"/>
            <w:bookmarkEnd w:id="340"/>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1" w:name="xdx_49D_20241231_zQwUOcPYujml"/>
            <w:bookmarkEnd w:id="341"/>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bookmarkStart w:id="342" w:name="xdx_40A_eus-gaap--PrepaidInsurance_iI_ma"/>
            <w:bookmarkEnd w:id="342"/>
          </w:p>
        </w:tc>
      </w:tr>
      <w:tr>
        <w:trPr/>
        <w:tc>
          <w:tcPr>
            <w:tcW w:w="543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1,925,000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1,326,000</w:t>
            </w:r>
          </w:p>
        </w:tc>
        <w:tc>
          <w:tcPr>
            <w:tcW w:w="75" w:type="dxa"/>
            <w:tcBorders/>
            <w:shd w:fill="CCEEFF" w:val="clear"/>
            <w:vAlign w:val="center"/>
          </w:tcPr>
          <w:p>
            <w:pPr>
              <w:pStyle w:val="TableContents"/>
              <w:bidi w:val="0"/>
              <w:spacing w:before="0" w:after="283"/>
              <w:jc w:val="left"/>
              <w:rPr/>
            </w:pPr>
            <w:r>
              <w:rPr/>
              <w:t> </w:t>
            </w:r>
            <w:bookmarkStart w:id="343" w:name="xdx_408_ecustom--PrepaidComputerSoftware"/>
            <w:bookmarkEnd w:id="343"/>
          </w:p>
        </w:tc>
      </w:tr>
      <w:tr>
        <w:trPr/>
        <w:tc>
          <w:tcPr>
            <w:tcW w:w="5435" w:type="dxa"/>
            <w:tcBorders/>
            <w:shd w:fill="FFFFFF" w:val="clear"/>
            <w:vAlign w:val="center"/>
          </w:tcPr>
          <w:p>
            <w:pPr>
              <w:pStyle w:val="TableContents"/>
              <w:bidi w:val="0"/>
              <w:spacing w:before="0" w:after="283"/>
              <w:jc w:val="left"/>
              <w:rPr/>
            </w:pPr>
            <w:r>
              <w:rPr/>
              <w:t>Prepaid computer software licenses and related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573,000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765,000</w:t>
            </w:r>
          </w:p>
        </w:tc>
        <w:tc>
          <w:tcPr>
            <w:tcW w:w="75" w:type="dxa"/>
            <w:tcBorders/>
            <w:shd w:fill="FFFFFF" w:val="clear"/>
            <w:vAlign w:val="center"/>
          </w:tcPr>
          <w:p>
            <w:pPr>
              <w:pStyle w:val="TableContents"/>
              <w:bidi w:val="0"/>
              <w:spacing w:before="0" w:after="283"/>
              <w:jc w:val="left"/>
              <w:rPr/>
            </w:pPr>
            <w:r>
              <w:rPr/>
              <w:t> </w:t>
            </w:r>
            <w:bookmarkStart w:id="344" w:name="xdx_409_ecustom--PrefundedAssistance_iI_"/>
            <w:bookmarkEnd w:id="344"/>
          </w:p>
        </w:tc>
      </w:tr>
      <w:tr>
        <w:trPr/>
        <w:tc>
          <w:tcPr>
            <w:tcW w:w="5435" w:type="dxa"/>
            <w:tcBorders/>
            <w:shd w:fill="CCEEFF" w:val="clear"/>
            <w:vAlign w:val="center"/>
          </w:tcPr>
          <w:p>
            <w:pPr>
              <w:pStyle w:val="TableContents"/>
              <w:bidi w:val="0"/>
              <w:spacing w:before="0" w:after="283"/>
              <w:jc w:val="left"/>
              <w:rPr/>
            </w:pPr>
            <w:r>
              <w:rPr/>
              <w:t>Prefunded co-pay assistance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2,937,000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4,514,000</w:t>
            </w:r>
          </w:p>
        </w:tc>
        <w:tc>
          <w:tcPr>
            <w:tcW w:w="75" w:type="dxa"/>
            <w:tcBorders/>
            <w:shd w:fill="CCEEFF" w:val="clear"/>
            <w:vAlign w:val="center"/>
          </w:tcPr>
          <w:p>
            <w:pPr>
              <w:pStyle w:val="TableContents"/>
              <w:bidi w:val="0"/>
              <w:spacing w:before="0" w:after="283"/>
              <w:jc w:val="left"/>
              <w:rPr/>
            </w:pPr>
            <w:r>
              <w:rPr/>
              <w:t> </w:t>
            </w:r>
            <w:bookmarkStart w:id="345" w:name="xdx_402_eus-gaap--OtherPrepaidExpenseCur"/>
            <w:bookmarkEnd w:id="345"/>
          </w:p>
        </w:tc>
      </w:tr>
      <w:tr>
        <w:trPr/>
        <w:tc>
          <w:tcPr>
            <w:tcW w:w="5435" w:type="dxa"/>
            <w:tcBorders/>
            <w:shd w:fill="FFFFFF" w:val="clear"/>
            <w:vAlign w:val="center"/>
          </w:tcPr>
          <w:p>
            <w:pPr>
              <w:pStyle w:val="TableContents"/>
              <w:bidi w:val="0"/>
              <w:spacing w:before="0" w:after="283"/>
              <w:jc w:val="left"/>
              <w:rPr/>
            </w:pPr>
            <w:r>
              <w:rPr/>
              <w:t>Other prepaid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4,051,000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1,435,000</w:t>
            </w:r>
          </w:p>
        </w:tc>
        <w:tc>
          <w:tcPr>
            <w:tcW w:w="75" w:type="dxa"/>
            <w:tcBorders/>
            <w:shd w:fill="FFFFFF" w:val="clear"/>
            <w:vAlign w:val="center"/>
          </w:tcPr>
          <w:p>
            <w:pPr>
              <w:pStyle w:val="TableContents"/>
              <w:bidi w:val="0"/>
              <w:spacing w:before="0" w:after="283"/>
              <w:jc w:val="left"/>
              <w:rPr/>
            </w:pPr>
            <w:r>
              <w:rPr/>
              <w:t> </w:t>
            </w:r>
            <w:bookmarkStart w:id="346" w:name="xdx_406_ecustom--ReceivableDueFromRelate"/>
            <w:bookmarkEnd w:id="346"/>
          </w:p>
        </w:tc>
      </w:tr>
      <w:tr>
        <w:trPr/>
        <w:tc>
          <w:tcPr>
            <w:tcW w:w="5435" w:type="dxa"/>
            <w:tcBorders/>
            <w:shd w:fill="CCEEFF" w:val="clear"/>
            <w:vAlign w:val="center"/>
          </w:tcPr>
          <w:p>
            <w:pPr>
              <w:pStyle w:val="TableContents"/>
              <w:bidi w:val="0"/>
              <w:spacing w:before="0" w:after="283"/>
              <w:jc w:val="left"/>
              <w:rPr/>
            </w:pPr>
            <w:r>
              <w:rPr/>
              <w:t>Receivable due from Melt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228,000</w:t>
            </w:r>
          </w:p>
        </w:tc>
        <w:tc>
          <w:tcPr>
            <w:tcW w:w="75" w:type="dxa"/>
            <w:tcBorders/>
            <w:shd w:fill="CCEEFF" w:val="clear"/>
            <w:vAlign w:val="center"/>
          </w:tcPr>
          <w:p>
            <w:pPr>
              <w:pStyle w:val="TableContents"/>
              <w:bidi w:val="0"/>
              <w:spacing w:before="0" w:after="283"/>
              <w:jc w:val="left"/>
              <w:rPr/>
            </w:pPr>
            <w:r>
              <w:rPr/>
              <w:t> </w:t>
            </w:r>
            <w:bookmarkStart w:id="347" w:name="xdx_403_ecustom--PrepaidPrescriptionDrug"/>
            <w:bookmarkEnd w:id="347"/>
          </w:p>
        </w:tc>
      </w:tr>
      <w:tr>
        <w:trPr/>
        <w:tc>
          <w:tcPr>
            <w:tcW w:w="5435" w:type="dxa"/>
            <w:tcBorders/>
            <w:shd w:fill="FFFFFF" w:val="clear"/>
            <w:vAlign w:val="center"/>
          </w:tcPr>
          <w:p>
            <w:pPr>
              <w:pStyle w:val="TableContents"/>
              <w:bidi w:val="0"/>
              <w:spacing w:before="0" w:after="283"/>
              <w:jc w:val="left"/>
              <w:rPr/>
            </w:pPr>
            <w:r>
              <w:rPr/>
              <w:t>Annual Prepaid Prescription Drug User (“PDUFA”) fees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3,651,000</w:t>
            </w:r>
          </w:p>
        </w:tc>
        <w:tc>
          <w:tcPr>
            <w:tcW w:w="75" w:type="dxa"/>
            <w:tcBorders/>
            <w:shd w:fill="FFFFFF" w:val="clear"/>
            <w:vAlign w:val="center"/>
          </w:tcPr>
          <w:p>
            <w:pPr>
              <w:pStyle w:val="TableContents"/>
              <w:bidi w:val="0"/>
              <w:spacing w:before="0" w:after="283"/>
              <w:jc w:val="left"/>
              <w:rPr/>
            </w:pPr>
            <w:r>
              <w:rPr/>
              <w:t> </w:t>
            </w:r>
            <w:bookmarkStart w:id="348" w:name="xdx_409_eus-gaap--OtherAssetsCurrent_iI_"/>
            <w:bookmarkEnd w:id="348"/>
          </w:p>
        </w:tc>
      </w:tr>
      <w:tr>
        <w:trPr/>
        <w:tc>
          <w:tcPr>
            <w:tcW w:w="5435" w:type="dxa"/>
            <w:tcBorders/>
            <w:shd w:fill="CCEEFF" w:val="clear"/>
            <w:vAlign w:val="center"/>
          </w:tcPr>
          <w:p>
            <w:pPr>
              <w:pStyle w:val="TableContents"/>
              <w:bidi w:val="0"/>
              <w:spacing w:before="0" w:after="283"/>
              <w:jc w:val="left"/>
              <w:rPr/>
            </w:pPr>
            <w:r>
              <w:rPr/>
              <w:t>Deposits and other current assets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pPr>
            <w:r>
              <w:rPr/>
              <w:t>3,166,000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3,410,000</w:t>
            </w:r>
          </w:p>
        </w:tc>
        <w:tc>
          <w:tcPr>
            <w:tcW w:w="75" w:type="dxa"/>
            <w:tcBorders/>
            <w:shd w:fill="CCEEFF" w:val="clear"/>
            <w:vAlign w:val="center"/>
          </w:tcPr>
          <w:p>
            <w:pPr>
              <w:pStyle w:val="TableContents"/>
              <w:bidi w:val="0"/>
              <w:spacing w:before="0" w:after="283"/>
              <w:jc w:val="left"/>
              <w:rPr/>
            </w:pPr>
            <w:r>
              <w:rPr/>
              <w:t> </w:t>
            </w:r>
            <w:bookmarkStart w:id="349" w:name="xdx_40C_eus-gaap--PrepaidExpenseAndOther"/>
            <w:bookmarkEnd w:id="349"/>
          </w:p>
        </w:tc>
      </w:tr>
      <w:tr>
        <w:trPr/>
        <w:tc>
          <w:tcPr>
            <w:tcW w:w="5435" w:type="dxa"/>
            <w:tcBorders/>
            <w:shd w:fill="FFFFFF" w:val="clear"/>
            <w:vAlign w:val="center"/>
          </w:tcPr>
          <w:p>
            <w:pPr>
              <w:pStyle w:val="TableContents"/>
              <w:bidi w:val="0"/>
              <w:spacing w:before="0" w:after="283"/>
              <w:jc w:val="left"/>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12,880,000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FFFFFF" w:val="clear"/>
            <w:tcMar>
              <w:bottom w:w="28" w:type="dxa"/>
            </w:tcMar>
            <w:vAlign w:val="center"/>
          </w:tcPr>
          <w:p>
            <w:pPr>
              <w:pStyle w:val="TableContents"/>
              <w:bidi w:val="0"/>
              <w:spacing w:before="0" w:after="283"/>
              <w:jc w:val="right"/>
              <w:rPr/>
            </w:pPr>
            <w:r>
              <w:rPr/>
              <w:t>15,329,000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50" w:name="xdx_8A3_zMgflNA8wz6k"/>
      <w:bookmarkEnd w:id="350"/>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351" w:name="xdx_800_eus-gaap--PropertyPlantAndEquipm"/>
      <w:bookmarkEnd w:id="351"/>
      <w:r>
        <w:rPr>
          <w:rFonts w:ascii="Times New Roman;Times;Serif" w:hAnsi="Times New Roman;Times;Serif"/>
          <w:b/>
          <w:i w:val="false"/>
          <w:caps w:val="false"/>
          <w:smallCaps w:val="false"/>
          <w:sz w:val="20"/>
        </w:rPr>
        <w:t xml:space="preserve">NOTE 6. </w:t>
      </w:r>
      <w:bookmarkStart w:id="352" w:name="xdx_828_z0pF7YoBN1Xa"/>
      <w:bookmarkEnd w:id="352"/>
      <w:r>
        <w:rPr>
          <w:rFonts w:ascii="Times New Roman;Times;Serif" w:hAnsi="Times New Roman;Times;Serif"/>
          <w:b/>
          <w:i w:val="false"/>
          <w:caps w:val="false"/>
          <w:smallCaps w:val="false"/>
          <w:sz w:val="20"/>
        </w:rPr>
        <w:t>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3" w:name="xdx_89A_eus-gaap--PropertyPlantAndEquipm"/>
      <w:bookmarkEnd w:id="353"/>
      <w:r>
        <w:rPr>
          <w:rFonts w:ascii="Times New Roman;Times;Serif" w:hAnsi="Times New Roman;Times;Serif"/>
          <w:b w:val="false"/>
          <w:i w:val="false"/>
          <w:caps w:val="false"/>
          <w:smallCaps w:val="false"/>
          <w:sz w:val="20"/>
        </w:rPr>
        <w:t>Property, plant and equipment at September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54" w:name="xdx_8B4_z1Kb4skee8tl"/>
      <w:bookmarkEnd w:id="354"/>
      <w:r>
        <w:rPr>
          <w:rFonts w:ascii="Times New Roman;Times;Serif" w:hAnsi="Times New Roman;Times;Serif"/>
          <w:b w:val="false"/>
          <w:i w:val="false"/>
          <w:caps w:val="false"/>
          <w:smallCaps w:val="false"/>
          <w:sz w:val="20"/>
        </w:rPr>
        <w:t>SCHEDULE OF PROPERTY, PLANT AND EQUIPMENT</w:t>
      </w:r>
    </w:p>
    <w:tbl>
      <w:tblPr>
        <w:tblW w:w="6563" w:type="dxa"/>
        <w:jc w:val="left"/>
        <w:tblInd w:w="0" w:type="dxa"/>
        <w:tblLayout w:type="fixed"/>
        <w:tblCellMar>
          <w:top w:w="0" w:type="dxa"/>
          <w:left w:w="0" w:type="dxa"/>
          <w:bottom w:w="0" w:type="dxa"/>
          <w:right w:w="0" w:type="dxa"/>
        </w:tblCellMar>
      </w:tblPr>
      <w:tblGrid>
        <w:gridCol w:w="3350"/>
        <w:gridCol w:w="60"/>
        <w:gridCol w:w="157"/>
        <w:gridCol w:w="1317"/>
        <w:gridCol w:w="95"/>
        <w:gridCol w:w="60"/>
        <w:gridCol w:w="150"/>
        <w:gridCol w:w="1264"/>
        <w:gridCol w:w="11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5" w:name="xdx_497_20250930_znDBC3uDBJP5"/>
            <w:bookmarkEnd w:id="355"/>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6" w:name="xdx_495_20241231_zNITBIEXAMQ"/>
            <w:bookmarkEnd w:id="356"/>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7" w:name="xdx_400_ecustom--ComputerHardwareGross_i"/>
            <w:bookmarkEnd w:id="357"/>
          </w:p>
        </w:tc>
      </w:tr>
      <w:tr>
        <w:trPr/>
        <w:tc>
          <w:tcPr>
            <w:tcW w:w="3350"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317" w:type="dxa"/>
            <w:tcBorders/>
            <w:shd w:fill="FFFFFF" w:val="clear"/>
            <w:vAlign w:val="center"/>
          </w:tcPr>
          <w:p>
            <w:pPr>
              <w:pStyle w:val="TableContents"/>
              <w:bidi w:val="0"/>
              <w:spacing w:before="0" w:after="283"/>
              <w:jc w:val="right"/>
              <w:rPr/>
            </w:pPr>
            <w:r>
              <w:rPr/>
              <w:t>1,234,000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4" w:type="dxa"/>
            <w:tcBorders/>
            <w:shd w:fill="FFFFFF" w:val="clear"/>
            <w:vAlign w:val="center"/>
          </w:tcPr>
          <w:p>
            <w:pPr>
              <w:pStyle w:val="TableContents"/>
              <w:bidi w:val="0"/>
              <w:spacing w:before="0" w:after="283"/>
              <w:jc w:val="right"/>
              <w:rPr/>
            </w:pPr>
            <w:r>
              <w:rPr/>
              <w:t>1,195,000</w:t>
            </w:r>
          </w:p>
        </w:tc>
        <w:tc>
          <w:tcPr>
            <w:tcW w:w="110" w:type="dxa"/>
            <w:tcBorders/>
            <w:shd w:fill="FFFFFF" w:val="clear"/>
            <w:vAlign w:val="center"/>
          </w:tcPr>
          <w:p>
            <w:pPr>
              <w:pStyle w:val="TableContents"/>
              <w:bidi w:val="0"/>
              <w:spacing w:before="0" w:after="283"/>
              <w:jc w:val="left"/>
              <w:rPr/>
            </w:pPr>
            <w:r>
              <w:rPr/>
              <w:t> </w:t>
            </w:r>
            <w:bookmarkStart w:id="358" w:name="xdx_40A_eus-gaap--FurnitureAndFixturesGr"/>
            <w:bookmarkEnd w:id="358"/>
          </w:p>
        </w:tc>
      </w:tr>
      <w:tr>
        <w:trPr/>
        <w:tc>
          <w:tcPr>
            <w:tcW w:w="3350"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963,000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956,000</w:t>
            </w:r>
          </w:p>
        </w:tc>
        <w:tc>
          <w:tcPr>
            <w:tcW w:w="110" w:type="dxa"/>
            <w:tcBorders/>
            <w:shd w:fill="CCEEFF" w:val="clear"/>
            <w:vAlign w:val="center"/>
          </w:tcPr>
          <w:p>
            <w:pPr>
              <w:pStyle w:val="TableContents"/>
              <w:bidi w:val="0"/>
              <w:spacing w:before="0" w:after="283"/>
              <w:jc w:val="left"/>
              <w:rPr/>
            </w:pPr>
            <w:r>
              <w:rPr/>
              <w:t> </w:t>
            </w:r>
            <w:bookmarkStart w:id="359" w:name="xdx_40C_eus-gaap--MachineryAndEquipmentG"/>
            <w:bookmarkEnd w:id="359"/>
          </w:p>
        </w:tc>
      </w:tr>
      <w:tr>
        <w:trPr/>
        <w:tc>
          <w:tcPr>
            <w:tcW w:w="3350" w:type="dxa"/>
            <w:tcBorders/>
            <w:shd w:fill="FFFFFF" w:val="clear"/>
            <w:vAlign w:val="center"/>
          </w:tcPr>
          <w:p>
            <w:pPr>
              <w:pStyle w:val="TableContents"/>
              <w:bidi w:val="0"/>
              <w:spacing w:before="0" w:after="283"/>
              <w:jc w:val="left"/>
              <w:rPr/>
            </w:pPr>
            <w:r>
              <w:rPr/>
              <w:t>Lab and pharmacy equipment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5,752,000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5,306,000</w:t>
            </w:r>
          </w:p>
        </w:tc>
        <w:tc>
          <w:tcPr>
            <w:tcW w:w="110" w:type="dxa"/>
            <w:tcBorders/>
            <w:shd w:fill="FFFFFF" w:val="clear"/>
            <w:vAlign w:val="center"/>
          </w:tcPr>
          <w:p>
            <w:pPr>
              <w:pStyle w:val="TableContents"/>
              <w:bidi w:val="0"/>
              <w:spacing w:before="0" w:after="283"/>
              <w:jc w:val="left"/>
              <w:rPr/>
            </w:pPr>
            <w:r>
              <w:rPr/>
              <w:t> </w:t>
            </w:r>
            <w:bookmarkStart w:id="360" w:name="xdx_40A_eus-gaap--LeaseholdImprovementsG"/>
            <w:bookmarkEnd w:id="360"/>
          </w:p>
        </w:tc>
      </w:tr>
      <w:tr>
        <w:trPr/>
        <w:tc>
          <w:tcPr>
            <w:tcW w:w="335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pPr>
            <w:r>
              <w:rPr/>
              <w:t>7,430,000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7,291,000</w:t>
            </w:r>
          </w:p>
        </w:tc>
        <w:tc>
          <w:tcPr>
            <w:tcW w:w="110" w:type="dxa"/>
            <w:tcBorders/>
            <w:shd w:fill="CCEEFF" w:val="clear"/>
            <w:vAlign w:val="center"/>
          </w:tcPr>
          <w:p>
            <w:pPr>
              <w:pStyle w:val="TableContents"/>
              <w:bidi w:val="0"/>
              <w:spacing w:before="0" w:after="283"/>
              <w:jc w:val="left"/>
              <w:rPr/>
            </w:pPr>
            <w:r>
              <w:rPr/>
              <w:t> </w:t>
            </w:r>
            <w:bookmarkStart w:id="361" w:name="xdx_40D_eus-gaap--PropertyPlantAndEquipm"/>
            <w:bookmarkEnd w:id="361"/>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15,379,000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14,748,000</w:t>
            </w:r>
          </w:p>
        </w:tc>
        <w:tc>
          <w:tcPr>
            <w:tcW w:w="110" w:type="dxa"/>
            <w:tcBorders/>
            <w:shd w:fill="FFFFFF" w:val="clear"/>
            <w:vAlign w:val="center"/>
          </w:tcPr>
          <w:p>
            <w:pPr>
              <w:pStyle w:val="TableContents"/>
              <w:bidi w:val="0"/>
              <w:spacing w:before="0" w:after="283"/>
              <w:jc w:val="left"/>
              <w:rPr/>
            </w:pPr>
            <w:r>
              <w:rPr/>
              <w:t> </w:t>
            </w:r>
            <w:bookmarkStart w:id="362" w:name="xdx_406_eus-gaap--AccumulatedDepreciatio"/>
            <w:bookmarkEnd w:id="362"/>
          </w:p>
        </w:tc>
      </w:tr>
      <w:tr>
        <w:trPr/>
        <w:tc>
          <w:tcPr>
            <w:tcW w:w="335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pPr>
            <w:r>
              <w:rPr/>
              <w:t>(11,999,000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(11,014,000</w:t>
            </w:r>
          </w:p>
        </w:tc>
        <w:tc>
          <w:tcPr>
            <w:tcW w:w="110" w:type="dxa"/>
            <w:tcBorders/>
            <w:shd w:fill="CCEEFF" w:val="clear"/>
            <w:vAlign w:val="center"/>
          </w:tcPr>
          <w:p>
            <w:pPr>
              <w:pStyle w:val="TableContents"/>
              <w:bidi w:val="0"/>
              <w:spacing w:before="0" w:after="283"/>
              <w:jc w:val="left"/>
              <w:rPr/>
            </w:pPr>
            <w:r>
              <w:rPr/>
              <w:t>)</w:t>
            </w:r>
            <w:bookmarkStart w:id="363" w:name="xdx_40B_eus-gaap--PropertyPlantAndEquipm"/>
            <w:bookmarkEnd w:id="363"/>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shd w:fill="FFFFFF" w:val="clear"/>
            <w:tcMar>
              <w:bottom w:w="28" w:type="dxa"/>
            </w:tcMar>
            <w:vAlign w:val="center"/>
          </w:tcPr>
          <w:p>
            <w:pPr>
              <w:pStyle w:val="TableContents"/>
              <w:bidi w:val="0"/>
              <w:spacing w:before="0" w:after="283"/>
              <w:jc w:val="right"/>
              <w:rPr/>
            </w:pPr>
            <w:r>
              <w:rPr/>
              <w:t>3,380,000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pPr>
            <w:r>
              <w:rPr/>
              <w:t>3,734,000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4" w:name="xdx_8A4_zYOMZTsSngq3"/>
      <w:bookmarkEnd w:id="3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depreciation expense related to the property, plant and equipment was $</w:t>
      </w:r>
      <w:bookmarkStart w:id="365" w:name="xdx_908_eus-gaap--DepreciationAmortizati"/>
      <w:bookmarkEnd w:id="365"/>
      <w:r>
        <w:rPr>
          <w:rFonts w:ascii="Times New Roman;Times;Serif" w:hAnsi="Times New Roman;Times;Serif"/>
          <w:b w:val="false"/>
          <w:i w:val="false"/>
          <w:caps w:val="false"/>
          <w:smallCaps w:val="false"/>
          <w:sz w:val="20"/>
        </w:rPr>
        <w:t>326,000 and $</w:t>
      </w:r>
      <w:bookmarkStart w:id="366" w:name="xdx_904_eus-gaap--DepreciationAmortizati"/>
      <w:bookmarkEnd w:id="366"/>
      <w:r>
        <w:rPr>
          <w:rFonts w:ascii="Times New Roman;Times;Serif" w:hAnsi="Times New Roman;Times;Serif"/>
          <w:b w:val="false"/>
          <w:i w:val="false"/>
          <w:caps w:val="false"/>
          <w:smallCaps w:val="false"/>
          <w:sz w:val="20"/>
        </w:rPr>
        <w:t>985,000, respectively, compared to $</w:t>
      </w:r>
      <w:bookmarkStart w:id="367" w:name="xdx_900_eus-gaap--DepreciationAmortizati"/>
      <w:bookmarkEnd w:id="367"/>
      <w:r>
        <w:rPr>
          <w:rFonts w:ascii="Times New Roman;Times;Serif" w:hAnsi="Times New Roman;Times;Serif"/>
          <w:b w:val="false"/>
          <w:i w:val="false"/>
          <w:caps w:val="false"/>
          <w:smallCaps w:val="false"/>
          <w:sz w:val="20"/>
        </w:rPr>
        <w:t>351,000 and $</w:t>
      </w:r>
      <w:bookmarkStart w:id="368" w:name="xdx_904_eus-gaap--DepreciationAmortizati"/>
      <w:bookmarkEnd w:id="368"/>
      <w:r>
        <w:rPr>
          <w:rFonts w:ascii="Times New Roman;Times;Serif" w:hAnsi="Times New Roman;Times;Serif"/>
          <w:b w:val="false"/>
          <w:i w:val="false"/>
          <w:caps w:val="false"/>
          <w:smallCaps w:val="false"/>
          <w:sz w:val="20"/>
        </w:rPr>
        <w:t>948,000 during the same periods in 2024, respectively.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369" w:name="xdx_80E_ecustom--CapitalizedSoftwareCost"/>
      <w:bookmarkEnd w:id="369"/>
      <w:r>
        <w:rPr>
          <w:rFonts w:ascii="Times New Roman;Times;Serif" w:hAnsi="Times New Roman;Times;Serif"/>
          <w:b/>
          <w:i w:val="false"/>
          <w:caps w:val="false"/>
          <w:smallCaps w:val="false"/>
          <w:sz w:val="20"/>
        </w:rPr>
        <w:t xml:space="preserve">NOTE 7. </w:t>
      </w:r>
      <w:bookmarkStart w:id="370" w:name="xdx_825_zouj5usFgEOj"/>
      <w:bookmarkEnd w:id="370"/>
      <w:r>
        <w:rPr>
          <w:rFonts w:ascii="Times New Roman;Times;Serif" w:hAnsi="Times New Roman;Times;Serif"/>
          <w:b/>
          <w:i w:val="false"/>
          <w:caps w:val="false"/>
          <w:smallCaps w:val="false"/>
          <w:sz w:val="20"/>
        </w:rPr>
        <w:t>CAPITALIZED SOFTWARE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1" w:name="xdx_89B_ecustom--CapitalizedSoftwareDeve"/>
      <w:bookmarkEnd w:id="371"/>
      <w:r>
        <w:rPr>
          <w:rFonts w:ascii="Times New Roman;Times;Serif" w:hAnsi="Times New Roman;Times;Serif"/>
          <w:b w:val="false"/>
          <w:i w:val="false"/>
          <w:caps w:val="false"/>
          <w:smallCaps w:val="false"/>
          <w:sz w:val="20"/>
        </w:rPr>
        <w:t>Capitalized software costs at September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72" w:name="xdx_8BF_zhmBouPM0Lrd"/>
      <w:bookmarkEnd w:id="372"/>
      <w:r>
        <w:rPr>
          <w:rFonts w:ascii="Times New Roman;Times;Serif" w:hAnsi="Times New Roman;Times;Serif"/>
          <w:b w:val="false"/>
          <w:i w:val="false"/>
          <w:caps w:val="false"/>
          <w:smallCaps w:val="false"/>
          <w:sz w:val="20"/>
        </w:rPr>
        <w:t>SCHEDULE OF CAPITALIZED SOFTWARE COSTS</w:t>
      </w:r>
    </w:p>
    <w:tbl>
      <w:tblPr>
        <w:tblW w:w="8363" w:type="dxa"/>
        <w:jc w:val="left"/>
        <w:tblInd w:w="0" w:type="dxa"/>
        <w:tblLayout w:type="fixed"/>
        <w:tblCellMar>
          <w:top w:w="0" w:type="dxa"/>
          <w:left w:w="0" w:type="dxa"/>
          <w:bottom w:w="0" w:type="dxa"/>
          <w:right w:w="0" w:type="dxa"/>
        </w:tblCellMar>
      </w:tblPr>
      <w:tblGrid>
        <w:gridCol w:w="5030"/>
        <w:gridCol w:w="60"/>
        <w:gridCol w:w="179"/>
        <w:gridCol w:w="1355"/>
        <w:gridCol w:w="95"/>
        <w:gridCol w:w="60"/>
        <w:gridCol w:w="172"/>
        <w:gridCol w:w="1302"/>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3" w:name="xdx_490_20250930_zage3y9KWJZ2"/>
            <w:bookmarkEnd w:id="373"/>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4" w:name="xdx_49F_20241231_zizX0EWab7Wa"/>
            <w:bookmarkEnd w:id="374"/>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Capitalized software costs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5" w:name="xdx_402_eus-gaap--CapitalizedComputerSof"/>
            <w:bookmarkEnd w:id="375"/>
          </w:p>
        </w:tc>
      </w:tr>
      <w:tr>
        <w:trPr/>
        <w:tc>
          <w:tcPr>
            <w:tcW w:w="5030" w:type="dxa"/>
            <w:tcBorders/>
            <w:shd w:fill="FFFFFF" w:val="clear"/>
            <w:vAlign w:val="center"/>
          </w:tcPr>
          <w:p>
            <w:pPr>
              <w:pStyle w:val="TableContents"/>
              <w:bidi w:val="0"/>
              <w:spacing w:before="0" w:after="283"/>
              <w:jc w:val="left"/>
              <w:rPr/>
            </w:pPr>
            <w:r>
              <w:rPr/>
              <w:t>Capitalized 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355" w:type="dxa"/>
            <w:tcBorders/>
            <w:shd w:fill="FFFFFF" w:val="clear"/>
            <w:vAlign w:val="center"/>
          </w:tcPr>
          <w:p>
            <w:pPr>
              <w:pStyle w:val="TableContents"/>
              <w:bidi w:val="0"/>
              <w:spacing w:before="0" w:after="283"/>
              <w:jc w:val="right"/>
              <w:rPr/>
            </w:pPr>
            <w:r>
              <w:rPr/>
              <w:t>3,410,000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302" w:type="dxa"/>
            <w:tcBorders/>
            <w:shd w:fill="FFFFFF" w:val="clear"/>
            <w:vAlign w:val="center"/>
          </w:tcPr>
          <w:p>
            <w:pPr>
              <w:pStyle w:val="TableContents"/>
              <w:bidi w:val="0"/>
              <w:spacing w:before="0" w:after="283"/>
              <w:jc w:val="right"/>
              <w:rPr/>
            </w:pPr>
            <w:r>
              <w:rPr/>
              <w:t>3,395,000</w:t>
            </w:r>
          </w:p>
        </w:tc>
        <w:tc>
          <w:tcPr>
            <w:tcW w:w="110" w:type="dxa"/>
            <w:tcBorders/>
            <w:shd w:fill="FFFFFF" w:val="clear"/>
            <w:vAlign w:val="center"/>
          </w:tcPr>
          <w:p>
            <w:pPr>
              <w:pStyle w:val="TableContents"/>
              <w:bidi w:val="0"/>
              <w:spacing w:before="0" w:after="283"/>
              <w:jc w:val="left"/>
              <w:rPr/>
            </w:pPr>
            <w:r>
              <w:rPr/>
              <w:t> </w:t>
            </w:r>
            <w:bookmarkStart w:id="376" w:name="xdx_409_eus-gaap--CapitalizedComputerSof"/>
            <w:bookmarkEnd w:id="376"/>
          </w:p>
        </w:tc>
      </w:tr>
      <w:tr>
        <w:trPr/>
        <w:tc>
          <w:tcPr>
            <w:tcW w:w="5030" w:type="dxa"/>
            <w:tcBorders/>
            <w:shd w:fill="CCEEFF" w:val="clear"/>
            <w:vAlign w:val="center"/>
          </w:tcPr>
          <w:p>
            <w:pPr>
              <w:pStyle w:val="TableContents"/>
              <w:bidi w:val="0"/>
              <w:spacing w:before="0" w:after="283"/>
              <w:jc w:val="left"/>
              <w:rPr/>
            </w:pPr>
            <w:r>
              <w:rPr/>
              <w:t>Acquired third-party software license for internal-use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pPr>
            <w:r>
              <w:rPr/>
              <w:t>219,000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pPr>
            <w:r>
              <w:rPr/>
              <w:t>205,000</w:t>
            </w:r>
          </w:p>
        </w:tc>
        <w:tc>
          <w:tcPr>
            <w:tcW w:w="110" w:type="dxa"/>
            <w:tcBorders/>
            <w:shd w:fill="CCEEFF" w:val="clear"/>
            <w:vAlign w:val="center"/>
          </w:tcPr>
          <w:p>
            <w:pPr>
              <w:pStyle w:val="TableContents"/>
              <w:bidi w:val="0"/>
              <w:spacing w:before="0" w:after="283"/>
              <w:jc w:val="left"/>
              <w:rPr/>
            </w:pPr>
            <w:r>
              <w:rPr/>
              <w:t> </w:t>
            </w:r>
            <w:bookmarkStart w:id="377" w:name="xdx_402_eus-gaap--CapitalizedComputerSof"/>
            <w:bookmarkEnd w:id="377"/>
          </w:p>
        </w:tc>
      </w:tr>
      <w:tr>
        <w:trPr/>
        <w:tc>
          <w:tcPr>
            <w:tcW w:w="5030" w:type="dxa"/>
            <w:tcBorders/>
            <w:shd w:fill="FFFFFF" w:val="clear"/>
            <w:vAlign w:val="center"/>
          </w:tcPr>
          <w:p>
            <w:pPr>
              <w:pStyle w:val="TableContents"/>
              <w:bidi w:val="0"/>
              <w:spacing w:before="0" w:after="283"/>
              <w:jc w:val="left"/>
              <w:rPr/>
            </w:pPr>
            <w:r>
              <w:rPr/>
              <w:t>Total gross capitalized software for internal-use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3,629,000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3,600,000</w:t>
            </w:r>
          </w:p>
        </w:tc>
        <w:tc>
          <w:tcPr>
            <w:tcW w:w="110" w:type="dxa"/>
            <w:tcBorders/>
            <w:shd w:fill="FFFFFF" w:val="clear"/>
            <w:vAlign w:val="center"/>
          </w:tcPr>
          <w:p>
            <w:pPr>
              <w:pStyle w:val="TableContents"/>
              <w:bidi w:val="0"/>
              <w:spacing w:before="0" w:after="283"/>
              <w:jc w:val="left"/>
              <w:rPr/>
            </w:pPr>
            <w:r>
              <w:rPr/>
              <w:t> </w:t>
            </w:r>
            <w:bookmarkStart w:id="378" w:name="xdx_401_eus-gaap--CapitalizedComputerSof"/>
            <w:bookmarkEnd w:id="378"/>
          </w:p>
        </w:tc>
      </w:tr>
      <w:tr>
        <w:trPr/>
        <w:tc>
          <w:tcPr>
            <w:tcW w:w="5030"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pPr>
            <w:r>
              <w:rPr/>
              <w:t>(2,299,000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pPr>
            <w:r>
              <w:rPr/>
              <w:t>(1,849,000</w:t>
            </w:r>
          </w:p>
        </w:tc>
        <w:tc>
          <w:tcPr>
            <w:tcW w:w="110" w:type="dxa"/>
            <w:tcBorders/>
            <w:shd w:fill="CCEEFF" w:val="clear"/>
            <w:vAlign w:val="center"/>
          </w:tcPr>
          <w:p>
            <w:pPr>
              <w:pStyle w:val="TableContents"/>
              <w:bidi w:val="0"/>
              <w:spacing w:before="0" w:after="283"/>
              <w:jc w:val="left"/>
              <w:rPr/>
            </w:pPr>
            <w:r>
              <w:rPr/>
              <w:t>)</w:t>
            </w:r>
            <w:bookmarkStart w:id="379" w:name="xdx_405_eus-gaap--CapitalizedComputerSof"/>
            <w:bookmarkEnd w:id="379"/>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capitalized software costs net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pPr>
            <w:r>
              <w:rPr/>
              <w:t>1,330,000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2" w:type="dxa"/>
            <w:tcBorders>
              <w:bottom w:val="double" w:sz="6" w:space="0" w:color="000000"/>
            </w:tcBorders>
            <w:shd w:fill="FFFFFF" w:val="clear"/>
            <w:tcMar>
              <w:bottom w:w="28" w:type="dxa"/>
            </w:tcMar>
            <w:vAlign w:val="center"/>
          </w:tcPr>
          <w:p>
            <w:pPr>
              <w:pStyle w:val="TableContents"/>
              <w:bidi w:val="0"/>
              <w:spacing w:before="0" w:after="283"/>
              <w:jc w:val="right"/>
              <w:rPr/>
            </w:pPr>
            <w:r>
              <w:rPr/>
              <w:t>1,751,000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0" w:name="xdx_8A3_z6b0RUlpUXw4"/>
      <w:bookmarkEnd w:id="3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amortization expense related to capitalized software costs was $</w:t>
      </w:r>
      <w:bookmarkStart w:id="381" w:name="xdx_905_eus-gaap--AdjustmentForAmortizat"/>
      <w:bookmarkEnd w:id="381"/>
      <w:r>
        <w:rPr>
          <w:rFonts w:ascii="Times New Roman;Times;Serif" w:hAnsi="Times New Roman;Times;Serif"/>
          <w:b w:val="false"/>
          <w:i w:val="false"/>
          <w:caps w:val="false"/>
          <w:smallCaps w:val="false"/>
          <w:sz w:val="20"/>
        </w:rPr>
        <w:t>148,000 and $</w:t>
      </w:r>
      <w:bookmarkStart w:id="382" w:name="xdx_909_eus-gaap--AdjustmentForAmortizat"/>
      <w:bookmarkEnd w:id="382"/>
      <w:r>
        <w:rPr>
          <w:rFonts w:ascii="Times New Roman;Times;Serif" w:hAnsi="Times New Roman;Times;Serif"/>
          <w:b w:val="false"/>
          <w:i w:val="false"/>
          <w:caps w:val="false"/>
          <w:smallCaps w:val="false"/>
          <w:sz w:val="20"/>
        </w:rPr>
        <w:t>450,000, respectively, and $</w:t>
      </w:r>
      <w:bookmarkStart w:id="383" w:name="xdx_90B_eus-gaap--AdjustmentForAmortizat"/>
      <w:bookmarkEnd w:id="383"/>
      <w:r>
        <w:rPr>
          <w:rFonts w:ascii="Times New Roman;Times;Serif" w:hAnsi="Times New Roman;Times;Serif"/>
          <w:b w:val="false"/>
          <w:i w:val="false"/>
          <w:caps w:val="false"/>
          <w:smallCaps w:val="false"/>
          <w:sz w:val="20"/>
        </w:rPr>
        <w:t>146,000 and $</w:t>
      </w:r>
      <w:bookmarkStart w:id="384" w:name="xdx_900_eus-gaap--AdjustmentForAmortizat"/>
      <w:bookmarkEnd w:id="384"/>
      <w:r>
        <w:rPr>
          <w:rFonts w:ascii="Times New Roman;Times;Serif" w:hAnsi="Times New Roman;Times;Serif"/>
          <w:b w:val="false"/>
          <w:i w:val="false"/>
          <w:caps w:val="false"/>
          <w:smallCaps w:val="false"/>
          <w:sz w:val="20"/>
        </w:rPr>
        <w:t>434,000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5" w:name="xdx_80C_eus-gaap--GoodwillAndIntangibleA"/>
      <w:bookmarkEnd w:id="385"/>
      <w:r>
        <w:rPr>
          <w:rFonts w:ascii="Times New Roman;Times;Serif" w:hAnsi="Times New Roman;Times;Serif"/>
          <w:b/>
          <w:i w:val="false"/>
          <w:caps w:val="false"/>
          <w:smallCaps w:val="false"/>
          <w:sz w:val="20"/>
        </w:rPr>
        <w:t xml:space="preserve">NOTE 8. </w:t>
      </w:r>
      <w:bookmarkStart w:id="386" w:name="xdx_82C_zqm8FZfwshNb"/>
      <w:bookmarkEnd w:id="386"/>
      <w:r>
        <w:rPr>
          <w:rFonts w:ascii="Times New Roman;Times;Serif" w:hAnsi="Times New Roman;Times;Serif"/>
          <w:b/>
          <w:i w:val="false"/>
          <w:caps w:val="false"/>
          <w:smallCaps w:val="false"/>
          <w:sz w:val="20"/>
        </w:rPr>
        <w:t>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87" w:name="xdx_894_eus-gaap--ScheduleOfIntangibleAs"/>
      <w:bookmarkEnd w:id="387"/>
      <w:r>
        <w:rPr>
          <w:rFonts w:ascii="Times New Roman;Times;Serif" w:hAnsi="Times New Roman;Times;Serif"/>
          <w:b w:val="false"/>
          <w:i w:val="false"/>
          <w:caps w:val="false"/>
          <w:smallCaps w:val="false"/>
          <w:sz w:val="20"/>
        </w:rPr>
        <w:t>The Company’s intangible assets at September 30, 2025 consisted of the following:</w:t>
      </w:r>
    </w:p>
    <w:p>
      <w:pPr>
        <w:pStyle w:val="TextBody"/>
        <w:bidi w:val="0"/>
        <w:spacing w:before="0" w:after="0"/>
        <w:ind w:left="0" w:right="0" w:hanging="0"/>
        <w:jc w:val="left"/>
        <w:rPr>
          <w:caps w:val="false"/>
          <w:smallCaps w:val="false"/>
        </w:rPr>
      </w:pPr>
      <w:r>
        <w:rPr>
          <w:caps w:val="false"/>
          <w:smallCaps w:val="false"/>
        </w:rPr>
        <w:t> </w:t>
      </w:r>
      <w:bookmarkStart w:id="388" w:name="xdx_8BE_zGErC6f61Kmf"/>
      <w:bookmarkEnd w:id="388"/>
      <w:r>
        <w:rPr>
          <w:rFonts w:ascii="Times New Roman;Times;Serif" w:hAnsi="Times New Roman;Times;Serif"/>
          <w:b w:val="false"/>
          <w:i w:val="false"/>
          <w:caps w:val="false"/>
          <w:smallCaps w:val="false"/>
          <w:sz w:val="20"/>
        </w:rPr>
        <w:t>SCHEDULE OF INTANGIBLE ASSETS</w:t>
      </w:r>
    </w:p>
    <w:tbl>
      <w:tblPr>
        <w:tblW w:w="9410" w:type="dxa"/>
        <w:jc w:val="left"/>
        <w:tblInd w:w="0" w:type="dxa"/>
        <w:tblLayout w:type="fixed"/>
        <w:tblCellMar>
          <w:top w:w="0" w:type="dxa"/>
          <w:left w:w="0" w:type="dxa"/>
          <w:bottom w:w="0" w:type="dxa"/>
          <w:right w:w="0" w:type="dxa"/>
        </w:tblCellMar>
      </w:tblPr>
      <w:tblGrid>
        <w:gridCol w:w="2285"/>
        <w:gridCol w:w="60"/>
        <w:gridCol w:w="1625"/>
        <w:gridCol w:w="60"/>
        <w:gridCol w:w="140"/>
        <w:gridCol w:w="1220"/>
        <w:gridCol w:w="60"/>
        <w:gridCol w:w="60"/>
        <w:gridCol w:w="140"/>
        <w:gridCol w:w="1175"/>
        <w:gridCol w:w="95"/>
        <w:gridCol w:w="60"/>
        <w:gridCol w:w="228"/>
        <w:gridCol w:w="647"/>
        <w:gridCol w:w="60"/>
        <w:gridCol w:w="60"/>
        <w:gridCol w:w="140"/>
        <w:gridCol w:w="1220"/>
        <w:gridCol w:w="75"/>
      </w:tblGrid>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Weighted-average </w:t>
              <w:br/>
              <w:t>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Disposal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pPr>
            <w:bookmarkStart w:id="389" w:name="xdx_90B_eus-gaap--FiniteLivedIntangibleA"/>
            <w:bookmarkEnd w:id="389"/>
            <w:r>
              <w:rPr/>
              <w:t>19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90" w:name="xdx_988_eus-gaap--FiniteLivedIntangibleA"/>
            <w:bookmarkEnd w:id="390"/>
          </w:p>
        </w:tc>
        <w:tc>
          <w:tcPr>
            <w:tcW w:w="1220" w:type="dxa"/>
            <w:tcBorders/>
            <w:shd w:fill="CCEEFF" w:val="clear"/>
            <w:vAlign w:val="center"/>
          </w:tcPr>
          <w:p>
            <w:pPr>
              <w:pStyle w:val="TableContents"/>
              <w:bidi w:val="0"/>
              <w:spacing w:before="0" w:after="283"/>
              <w:jc w:val="right"/>
              <w:rPr/>
            </w:pPr>
            <w:r>
              <w:rPr/>
              <w:t>227,000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91" w:name="xdx_980_eus-gaap--FiniteLivedIntangibleA"/>
            <w:bookmarkEnd w:id="391"/>
          </w:p>
        </w:tc>
        <w:tc>
          <w:tcPr>
            <w:tcW w:w="1175" w:type="dxa"/>
            <w:tcBorders/>
            <w:shd w:fill="CCEEFF" w:val="clear"/>
            <w:vAlign w:val="center"/>
          </w:tcPr>
          <w:p>
            <w:pPr>
              <w:pStyle w:val="TableContents"/>
              <w:bidi w:val="0"/>
              <w:spacing w:before="0" w:after="283"/>
              <w:jc w:val="right"/>
              <w:rPr/>
            </w:pPr>
            <w:r>
              <w:rPr/>
              <w:t>(62,000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bookmarkStart w:id="392" w:name="xdx_98C_ecustom--FiniteLivedIntangibleAs"/>
            <w:bookmarkEnd w:id="392"/>
          </w:p>
        </w:tc>
        <w:tc>
          <w:tcPr>
            <w:tcW w:w="64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93" w:name="xdx_981_eus-gaap--IntangibleAssetsNetExc"/>
            <w:bookmarkEnd w:id="393"/>
          </w:p>
        </w:tc>
        <w:tc>
          <w:tcPr>
            <w:tcW w:w="1220" w:type="dxa"/>
            <w:tcBorders/>
            <w:shd w:fill="CCEEFF" w:val="clear"/>
            <w:vAlign w:val="center"/>
          </w:tcPr>
          <w:p>
            <w:pPr>
              <w:pStyle w:val="TableContents"/>
              <w:bidi w:val="0"/>
              <w:spacing w:before="0" w:after="283"/>
              <w:jc w:val="right"/>
              <w:rPr/>
            </w:pPr>
            <w:r>
              <w:rPr/>
              <w:t>165,000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pPr>
            <w:bookmarkStart w:id="394" w:name="xdx_90D_eus-gaap--FiniteLivedIntangibleA"/>
            <w:bookmarkEnd w:id="394"/>
            <w:r>
              <w:rPr/>
              <w:t>20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5" w:name="xdx_98A_eus-gaap--FiniteLivedIntangibleA"/>
            <w:bookmarkEnd w:id="395"/>
          </w:p>
        </w:tc>
        <w:tc>
          <w:tcPr>
            <w:tcW w:w="1220"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6" w:name="xdx_98C_eus-gaap--FiniteLivedIntangibleA"/>
            <w:bookmarkEnd w:id="396"/>
          </w:p>
        </w:tc>
        <w:tc>
          <w:tcPr>
            <w:tcW w:w="1175" w:type="dxa"/>
            <w:tcBorders/>
            <w:shd w:fill="FFFFFF" w:val="clear"/>
            <w:vAlign w:val="center"/>
          </w:tcPr>
          <w:p>
            <w:pPr>
              <w:pStyle w:val="TableContents"/>
              <w:bidi w:val="0"/>
              <w:spacing w:before="0" w:after="283"/>
              <w:jc w:val="right"/>
              <w:rPr/>
            </w:pPr>
            <w:r>
              <w:rPr/>
              <w:t>(38,000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397" w:name="xdx_981_ecustom--FiniteLivedIntangibleAs"/>
            <w:bookmarkEnd w:id="397"/>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8" w:name="xdx_98C_eus-gaap--IntangibleAssetsNetExc"/>
            <w:bookmarkEnd w:id="398"/>
          </w:p>
        </w:tc>
        <w:tc>
          <w:tcPr>
            <w:tcW w:w="1220" w:type="dxa"/>
            <w:tcBorders/>
            <w:shd w:fill="FFFFFF" w:val="clear"/>
            <w:vAlign w:val="center"/>
          </w:tcPr>
          <w:p>
            <w:pPr>
              <w:pStyle w:val="TableContents"/>
              <w:bidi w:val="0"/>
              <w:spacing w:before="0" w:after="283"/>
              <w:jc w:val="right"/>
              <w:rPr/>
            </w:pPr>
            <w:r>
              <w:rPr/>
              <w:t>12,000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sz w:val="20"/>
              </w:rPr>
            </w:pPr>
            <w:bookmarkStart w:id="399" w:name="xdx_906_eus-gaap--FiniteLivedIntangibleA"/>
            <w:bookmarkEnd w:id="399"/>
            <w:r>
              <w:rPr>
                <w:rFonts w:ascii="Times New Roman;Times;Serif" w:hAnsi="Times New Roman;Times;Serif"/>
                <w:sz w:val="20"/>
              </w:rPr>
              <w:t>Indefinite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0" w:name="xdx_981_eus-gaap--FiniteLivedIntangibleA"/>
            <w:bookmarkEnd w:id="400"/>
          </w:p>
        </w:tc>
        <w:tc>
          <w:tcPr>
            <w:tcW w:w="1220" w:type="dxa"/>
            <w:tcBorders/>
            <w:shd w:fill="CCEEFF" w:val="clear"/>
            <w:vAlign w:val="center"/>
          </w:tcPr>
          <w:p>
            <w:pPr>
              <w:pStyle w:val="TableContents"/>
              <w:bidi w:val="0"/>
              <w:spacing w:before="0" w:after="283"/>
              <w:jc w:val="right"/>
              <w:rPr/>
            </w:pPr>
            <w:r>
              <w:rPr/>
              <w:t>311,000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1" w:name="xdx_988_eus-gaap--FiniteLivedIntangibleA"/>
            <w:bookmarkEnd w:id="401"/>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bookmarkStart w:id="402" w:name="xdx_98D_ecustom--FiniteLivedIntangibleAs"/>
            <w:bookmarkEnd w:id="402"/>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3" w:name="xdx_983_eus-gaap--IntangibleAssetsNetExc"/>
            <w:bookmarkEnd w:id="403"/>
          </w:p>
        </w:tc>
        <w:tc>
          <w:tcPr>
            <w:tcW w:w="1220" w:type="dxa"/>
            <w:tcBorders/>
            <w:shd w:fill="CCEEFF" w:val="clear"/>
            <w:vAlign w:val="center"/>
          </w:tcPr>
          <w:p>
            <w:pPr>
              <w:pStyle w:val="TableContents"/>
              <w:bidi w:val="0"/>
              <w:spacing w:before="0" w:after="283"/>
              <w:jc w:val="right"/>
              <w:rPr/>
            </w:pPr>
            <w:r>
              <w:rPr/>
              <w:t>311,000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Acquired NDAs</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pPr>
            <w:bookmarkStart w:id="404" w:name="xdx_90B_eus-gaap--FiniteLivedIntangibleA"/>
            <w:bookmarkEnd w:id="404"/>
            <w:r>
              <w:rPr/>
              <w:t>14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5" w:name="xdx_985_eus-gaap--FiniteLivedIntangibleA"/>
            <w:bookmarkEnd w:id="405"/>
          </w:p>
        </w:tc>
        <w:tc>
          <w:tcPr>
            <w:tcW w:w="1220" w:type="dxa"/>
            <w:tcBorders/>
            <w:shd w:fill="FFFFFF" w:val="clear"/>
            <w:vAlign w:val="center"/>
          </w:tcPr>
          <w:p>
            <w:pPr>
              <w:pStyle w:val="TableContents"/>
              <w:bidi w:val="0"/>
              <w:spacing w:before="0" w:after="283"/>
              <w:jc w:val="right"/>
              <w:rPr/>
            </w:pPr>
            <w:r>
              <w:rPr/>
              <w:t>207,473,000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6" w:name="xdx_98C_eus-gaap--FiniteLivedIntangibleA"/>
            <w:bookmarkEnd w:id="406"/>
          </w:p>
        </w:tc>
        <w:tc>
          <w:tcPr>
            <w:tcW w:w="1175" w:type="dxa"/>
            <w:tcBorders/>
            <w:shd w:fill="FFFFFF" w:val="clear"/>
            <w:vAlign w:val="center"/>
          </w:tcPr>
          <w:p>
            <w:pPr>
              <w:pStyle w:val="TableContents"/>
              <w:bidi w:val="0"/>
              <w:spacing w:before="0" w:after="283"/>
              <w:jc w:val="right"/>
              <w:rPr/>
            </w:pPr>
            <w:r>
              <w:rPr/>
              <w:t>(35,619,000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407" w:name="xdx_986_ecustom--FiniteLivedIntangibleAs"/>
            <w:bookmarkEnd w:id="407"/>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8" w:name="xdx_988_eus-gaap--IntangibleAssetsNetExc"/>
            <w:bookmarkEnd w:id="408"/>
          </w:p>
        </w:tc>
        <w:tc>
          <w:tcPr>
            <w:tcW w:w="1220" w:type="dxa"/>
            <w:tcBorders/>
            <w:shd w:fill="FFFFFF" w:val="clear"/>
            <w:vAlign w:val="center"/>
          </w:tcPr>
          <w:p>
            <w:pPr>
              <w:pStyle w:val="TableContents"/>
              <w:bidi w:val="0"/>
              <w:spacing w:before="0" w:after="283"/>
              <w:jc w:val="right"/>
              <w:rPr/>
            </w:pPr>
            <w:r>
              <w:rPr/>
              <w:t>171,854,000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pPr>
            <w:bookmarkStart w:id="409" w:name="xdx_900_eus-gaap--FiniteLivedIntangibleA"/>
            <w:bookmarkEnd w:id="409"/>
            <w:r>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0" w:name="xdx_983_eus-gaap--FiniteLivedIntangibleA"/>
            <w:bookmarkEnd w:id="410"/>
          </w:p>
        </w:tc>
        <w:tc>
          <w:tcPr>
            <w:tcW w:w="1220" w:type="dxa"/>
            <w:tcBorders/>
            <w:shd w:fill="CCEEFF" w:val="clear"/>
            <w:vAlign w:val="center"/>
          </w:tcPr>
          <w:p>
            <w:pPr>
              <w:pStyle w:val="TableContents"/>
              <w:bidi w:val="0"/>
              <w:spacing w:before="0" w:after="283"/>
              <w:jc w:val="right"/>
              <w:rPr/>
            </w:pPr>
            <w:r>
              <w:rPr/>
              <w:t>596,000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1" w:name="xdx_986_eus-gaap--FiniteLivedIntangibleA"/>
            <w:bookmarkEnd w:id="411"/>
          </w:p>
        </w:tc>
        <w:tc>
          <w:tcPr>
            <w:tcW w:w="1175" w:type="dxa"/>
            <w:tcBorders/>
            <w:shd w:fill="CCEEFF" w:val="clear"/>
            <w:vAlign w:val="center"/>
          </w:tcPr>
          <w:p>
            <w:pPr>
              <w:pStyle w:val="TableContents"/>
              <w:bidi w:val="0"/>
              <w:spacing w:before="0" w:after="283"/>
              <w:jc w:val="right"/>
              <w:rPr/>
            </w:pPr>
            <w:r>
              <w:rPr/>
              <w:t>(552,000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bookmarkStart w:id="412" w:name="xdx_98F_ecustom--FiniteLivedIntangibleAs"/>
            <w:bookmarkEnd w:id="412"/>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3" w:name="xdx_982_eus-gaap--IntangibleAssetsNetExc"/>
            <w:bookmarkEnd w:id="413"/>
          </w:p>
        </w:tc>
        <w:tc>
          <w:tcPr>
            <w:tcW w:w="1220" w:type="dxa"/>
            <w:tcBorders/>
            <w:shd w:fill="CCEEFF" w:val="clear"/>
            <w:vAlign w:val="center"/>
          </w:tcPr>
          <w:p>
            <w:pPr>
              <w:pStyle w:val="TableContents"/>
              <w:bidi w:val="0"/>
              <w:spacing w:before="0" w:after="283"/>
              <w:jc w:val="right"/>
              <w:rPr/>
            </w:pPr>
            <w:r>
              <w:rPr/>
              <w:t>44,000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pPr>
            <w:bookmarkStart w:id="414" w:name="xdx_90A_eus-gaap--FiniteLivedIntangibleA"/>
            <w:bookmarkEnd w:id="414"/>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5" w:name="xdx_985_eus-gaap--FiniteLivedIntangibleA"/>
            <w:bookmarkEnd w:id="415"/>
          </w:p>
        </w:tc>
        <w:tc>
          <w:tcPr>
            <w:tcW w:w="1220"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6" w:name="xdx_980_eus-gaap--FiniteLivedIntangibleA"/>
            <w:bookmarkEnd w:id="416"/>
          </w:p>
        </w:tc>
        <w:tc>
          <w:tcPr>
            <w:tcW w:w="1175" w:type="dxa"/>
            <w:tcBorders/>
            <w:shd w:fill="FFFFFF" w:val="clear"/>
            <w:vAlign w:val="center"/>
          </w:tcPr>
          <w:p>
            <w:pPr>
              <w:pStyle w:val="TableContents"/>
              <w:bidi w:val="0"/>
              <w:spacing w:before="0" w:after="283"/>
              <w:jc w:val="right"/>
              <w:rPr/>
            </w:pPr>
            <w:r>
              <w:rPr/>
              <w:t>(8,000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417" w:name="xdx_98F_ecustom--FiniteLivedIntangibleAs"/>
            <w:bookmarkEnd w:id="417"/>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8" w:name="xdx_98B_eus-gaap--IntangibleAssetsNetExc"/>
            <w:bookmarkEnd w:id="418"/>
          </w:p>
        </w:tc>
        <w:tc>
          <w:tcPr>
            <w:tcW w:w="1220" w:type="dxa"/>
            <w:tcBorders/>
            <w:shd w:fill="FFFFFF" w:val="clear"/>
            <w:vAlign w:val="center"/>
          </w:tcPr>
          <w:p>
            <w:pPr>
              <w:pStyle w:val="TableContents"/>
              <w:bidi w:val="0"/>
              <w:spacing w:before="0" w:after="283"/>
              <w:jc w:val="right"/>
              <w:rPr/>
            </w:pPr>
            <w:r>
              <w:rPr/>
              <w:t>67,000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State pharmacy licenses</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pPr>
            <w:bookmarkStart w:id="419" w:name="xdx_90F_eus-gaap--FiniteLivedIntangibleA"/>
            <w:bookmarkEnd w:id="419"/>
            <w:r>
              <w:rPr/>
              <w:t>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0" w:name="xdx_983_eus-gaap--FiniteLivedIntangibleA"/>
            <w:bookmarkEnd w:id="420"/>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1" w:name="xdx_988_eus-gaap--FiniteLivedIntangibleA"/>
            <w:bookmarkEnd w:id="421"/>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2" w:name="xdx_986_ecustom--FiniteLivedIntangibleAs"/>
            <w:bookmarkEnd w:id="422"/>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3" w:name="xdx_98C_eus-gaap--IntangibleAssetsNetExc"/>
            <w:bookmarkEnd w:id="423"/>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4" w:name="xdx_98A_eus-gaap--FiniteLivedIntangibleA"/>
            <w:bookmarkEnd w:id="424"/>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208,740,000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5" w:name="xdx_983_eus-gaap--FiniteLivedIntangibleA"/>
            <w:bookmarkEnd w:id="425"/>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(36,333,000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6" w:name="xdx_986_ecustom--FiniteLivedIntangibleAs"/>
            <w:bookmarkEnd w:id="426"/>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7" w:name="xdx_986_eus-gaap--IntangibleAssetsNetExc"/>
            <w:bookmarkEnd w:id="427"/>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172,457,000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8" w:name="xdx_8AE_z9vOxInFqzg9"/>
      <w:bookmarkEnd w:id="4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9" w:name="xdx_89D_eus-gaap--FiniteLivedIntangibleA"/>
      <w:bookmarkEnd w:id="429"/>
      <w:r>
        <w:rPr>
          <w:rFonts w:ascii="Times New Roman;Times;Serif" w:hAnsi="Times New Roman;Times;Serif"/>
          <w:b w:val="false"/>
          <w:i w:val="false"/>
          <w:caps w:val="false"/>
          <w:smallCaps w:val="false"/>
          <w:sz w:val="20"/>
        </w:rPr>
        <w:t>Amortization expense for intangible assets for the three and nine months ended September 30, 2025 and 2024 was as follows:</w:t>
      </w:r>
    </w:p>
    <w:p>
      <w:pPr>
        <w:pStyle w:val="TextBody"/>
        <w:bidi w:val="0"/>
        <w:spacing w:before="0" w:after="0"/>
        <w:ind w:left="0" w:right="0" w:hanging="0"/>
        <w:jc w:val="both"/>
        <w:rPr>
          <w:caps w:val="false"/>
          <w:smallCaps w:val="false"/>
        </w:rPr>
      </w:pPr>
      <w:r>
        <w:rPr>
          <w:caps w:val="false"/>
          <w:smallCaps w:val="false"/>
        </w:rPr>
        <w:t> </w:t>
      </w:r>
      <w:bookmarkStart w:id="430" w:name="xdx_8B7_zMJyoZTrGQIb"/>
      <w:bookmarkEnd w:id="430"/>
      <w:r>
        <w:rPr>
          <w:rFonts w:ascii="Times New Roman;Times;Serif" w:hAnsi="Times New Roman;Times;Serif"/>
          <w:b w:val="false"/>
          <w:i w:val="false"/>
          <w:caps w:val="false"/>
          <w:smallCaps w:val="false"/>
          <w:sz w:val="20"/>
        </w:rPr>
        <w:t>SCHEDULE OF AMORTIZATION EXPENSES FOR INTANGIBLE ASSETS</w:t>
      </w:r>
    </w:p>
    <w:tbl>
      <w:tblPr>
        <w:tblW w:w="9759" w:type="dxa"/>
        <w:jc w:val="left"/>
        <w:tblInd w:w="0" w:type="dxa"/>
        <w:tblLayout w:type="fixed"/>
        <w:tblCellMar>
          <w:top w:w="0" w:type="dxa"/>
          <w:left w:w="0" w:type="dxa"/>
          <w:bottom w:w="0" w:type="dxa"/>
          <w:right w:w="0" w:type="dxa"/>
        </w:tblCellMar>
      </w:tblPr>
      <w:tblGrid>
        <w:gridCol w:w="3605"/>
        <w:gridCol w:w="60"/>
        <w:gridCol w:w="179"/>
        <w:gridCol w:w="1254"/>
        <w:gridCol w:w="76"/>
        <w:gridCol w:w="76"/>
        <w:gridCol w:w="179"/>
        <w:gridCol w:w="1254"/>
        <w:gridCol w:w="60"/>
        <w:gridCol w:w="60"/>
        <w:gridCol w:w="162"/>
        <w:gridCol w:w="1279"/>
        <w:gridCol w:w="69"/>
        <w:gridCol w:w="69"/>
        <w:gridCol w:w="162"/>
        <w:gridCol w:w="1140"/>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1" w:name="xdx_492_20250701__20250930_zwvdUMMQSrmj"/>
            <w:bookmarkEnd w:id="431"/>
          </w:p>
        </w:tc>
        <w:tc>
          <w:tcPr>
            <w:tcW w:w="143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432" w:name="xdx_49C_20240701__20240930_z4ermJqALvdj"/>
            <w:bookmarkEnd w:id="432"/>
          </w:p>
        </w:tc>
        <w:tc>
          <w:tcPr>
            <w:tcW w:w="1433"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3" w:name="xdx_496_20250101__20250930_zn0zpu0eUNXf"/>
            <w:bookmarkEnd w:id="433"/>
          </w:p>
        </w:tc>
        <w:tc>
          <w:tcPr>
            <w:tcW w:w="144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434" w:name="xdx_491_20240101__20240930_zy7HShY7MaUg"/>
            <w:bookmarkEnd w:id="434"/>
          </w:p>
        </w:tc>
        <w:tc>
          <w:tcPr>
            <w:tcW w:w="130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1" w:type="dxa"/>
            <w:gridSpan w:val="6"/>
            <w:tcBorders/>
            <w:vAlign w:val="center"/>
          </w:tcPr>
          <w:p>
            <w:pPr>
              <w:pStyle w:val="TableContents"/>
              <w:bidi w:val="0"/>
              <w:spacing w:before="0" w:after="283"/>
              <w:jc w:val="center"/>
              <w:rPr>
                <w:b/>
              </w:rPr>
            </w:pPr>
            <w:r>
              <w:rPr>
                <w:b/>
              </w:rPr>
              <w:t>For the Nine Months Ended</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435" w:name="xdx_401_eus-gaap--AmortizationOfIntangib"/>
            <w:bookmarkEnd w:id="435"/>
          </w:p>
        </w:tc>
      </w:tr>
      <w:tr>
        <w:trPr/>
        <w:tc>
          <w:tcPr>
            <w:tcW w:w="360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2,000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9" w:type="dxa"/>
            <w:tcBorders/>
            <w:shd w:fill="CCEEFF" w:val="clear"/>
            <w:vAlign w:val="center"/>
          </w:tcPr>
          <w:p>
            <w:pPr>
              <w:pStyle w:val="TableContents"/>
              <w:bidi w:val="0"/>
              <w:spacing w:before="0" w:after="283"/>
              <w:jc w:val="right"/>
              <w:rPr/>
            </w:pPr>
            <w:r>
              <w:rPr/>
              <w:t>8,000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47,000</w:t>
            </w:r>
          </w:p>
        </w:tc>
        <w:tc>
          <w:tcPr>
            <w:tcW w:w="75" w:type="dxa"/>
            <w:tcBorders/>
            <w:shd w:fill="CCEEFF" w:val="clear"/>
            <w:vAlign w:val="center"/>
          </w:tcPr>
          <w:p>
            <w:pPr>
              <w:pStyle w:val="TableContents"/>
              <w:bidi w:val="0"/>
              <w:spacing w:before="0" w:after="283"/>
              <w:jc w:val="left"/>
              <w:rPr/>
            </w:pPr>
            <w:r>
              <w:rPr/>
              <w:t> </w:t>
            </w:r>
            <w:bookmarkStart w:id="436" w:name="xdx_40D_eus-gaap--AmortizationOfIntangib"/>
            <w:bookmarkEnd w:id="436"/>
          </w:p>
        </w:tc>
      </w:tr>
      <w:tr>
        <w:trPr/>
        <w:tc>
          <w:tcPr>
            <w:tcW w:w="3605"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34,000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34,000</w:t>
            </w:r>
          </w:p>
        </w:tc>
        <w:tc>
          <w:tcPr>
            <w:tcW w:w="75" w:type="dxa"/>
            <w:tcBorders/>
            <w:shd w:fill="FFFFFF" w:val="clear"/>
            <w:vAlign w:val="center"/>
          </w:tcPr>
          <w:p>
            <w:pPr>
              <w:pStyle w:val="TableContents"/>
              <w:bidi w:val="0"/>
              <w:spacing w:before="0" w:after="283"/>
              <w:jc w:val="left"/>
              <w:rPr/>
            </w:pPr>
            <w:r>
              <w:rPr/>
              <w:t> </w:t>
            </w:r>
            <w:bookmarkStart w:id="437" w:name="xdx_40B_eus-gaap--AmortizationOfIntangib"/>
            <w:bookmarkEnd w:id="437"/>
          </w:p>
        </w:tc>
      </w:tr>
      <w:tr>
        <w:trPr/>
        <w:tc>
          <w:tcPr>
            <w:tcW w:w="3605" w:type="dxa"/>
            <w:tcBorders/>
            <w:shd w:fill="CCEEFF" w:val="clear"/>
            <w:vAlign w:val="center"/>
          </w:tcPr>
          <w:p>
            <w:pPr>
              <w:pStyle w:val="TableContents"/>
              <w:bidi w:val="0"/>
              <w:spacing w:before="0" w:after="283"/>
              <w:jc w:val="left"/>
              <w:rPr/>
            </w:pPr>
            <w:r>
              <w:rPr/>
              <w:t>Acquired product rights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4,219,000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2,547,000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12,659,000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7,606,000</w:t>
            </w:r>
          </w:p>
        </w:tc>
        <w:tc>
          <w:tcPr>
            <w:tcW w:w="75" w:type="dxa"/>
            <w:tcBorders/>
            <w:shd w:fill="CCEEFF" w:val="clear"/>
            <w:vAlign w:val="center"/>
          </w:tcPr>
          <w:p>
            <w:pPr>
              <w:pStyle w:val="TableContents"/>
              <w:bidi w:val="0"/>
              <w:spacing w:before="0" w:after="283"/>
              <w:jc w:val="left"/>
              <w:rPr/>
            </w:pPr>
            <w:r>
              <w:rPr/>
              <w:t> </w:t>
            </w:r>
            <w:bookmarkStart w:id="438" w:name="xdx_40E_eus-gaap--AmortizationOfIntangib"/>
            <w:bookmarkEnd w:id="438"/>
          </w:p>
        </w:tc>
      </w:tr>
      <w:tr>
        <w:trPr/>
        <w:tc>
          <w:tcPr>
            <w:tcW w:w="3605"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bookmarkStart w:id="439" w:name="xdx_40C_eus-gaap--AmortizationOfIntangib"/>
            <w:bookmarkEnd w:id="439"/>
          </w:p>
        </w:tc>
      </w:tr>
      <w:tr>
        <w:trPr/>
        <w:tc>
          <w:tcPr>
            <w:tcW w:w="3605" w:type="dxa"/>
            <w:tcBorders/>
            <w:shd w:fill="CCEEFF" w:val="clear"/>
            <w:vAlign w:val="center"/>
          </w:tcPr>
          <w:p>
            <w:pPr>
              <w:pStyle w:val="TableContents"/>
              <w:bidi w:val="0"/>
              <w:spacing w:before="0" w:after="283"/>
              <w:jc w:val="left"/>
              <w:rPr/>
            </w:pPr>
            <w:r>
              <w:rPr/>
              <w:t>State pharmacy license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bookmarkStart w:id="440" w:name="xdx_40B_eus-gaap--AmortizationOfIntangib"/>
            <w:bookmarkEnd w:id="440"/>
          </w:p>
        </w:tc>
      </w:tr>
      <w:tr>
        <w:trPr/>
        <w:tc>
          <w:tcPr>
            <w:tcW w:w="360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r>
              <w:rPr/>
              <w:t>3,000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FFFFFF" w:val="clear"/>
            <w:tcMar>
              <w:bottom w:w="28" w:type="dxa"/>
            </w:tcMar>
            <w:vAlign w:val="center"/>
          </w:tcPr>
          <w:p>
            <w:pPr>
              <w:pStyle w:val="TableContents"/>
              <w:bidi w:val="0"/>
              <w:spacing w:before="0" w:after="283"/>
              <w:jc w:val="right"/>
              <w:rPr/>
            </w:pPr>
            <w:r>
              <w:rPr/>
              <w:t>9,000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FFFFFF" w:val="clear"/>
            <w:tcMar>
              <w:bottom w:w="28" w:type="dxa"/>
            </w:tcMar>
            <w:vAlign w:val="center"/>
          </w:tcPr>
          <w:p>
            <w:pPr>
              <w:pStyle w:val="TableContents"/>
              <w:bidi w:val="0"/>
              <w:spacing w:before="0" w:after="283"/>
              <w:jc w:val="right"/>
              <w:rPr/>
            </w:pPr>
            <w:r>
              <w:rPr/>
              <w:t>19,000</w:t>
            </w:r>
          </w:p>
        </w:tc>
        <w:tc>
          <w:tcPr>
            <w:tcW w:w="75" w:type="dxa"/>
            <w:tcBorders/>
            <w:shd w:fill="FFFFFF" w:val="clear"/>
            <w:vAlign w:val="center"/>
          </w:tcPr>
          <w:p>
            <w:pPr>
              <w:pStyle w:val="TableContents"/>
              <w:bidi w:val="0"/>
              <w:spacing w:before="0" w:after="283"/>
              <w:jc w:val="left"/>
              <w:rPr/>
            </w:pPr>
            <w:r>
              <w:rPr/>
              <w:t> </w:t>
            </w:r>
            <w:bookmarkStart w:id="441" w:name="xdx_40C_eus-gaap--AmortizationOfIntangib"/>
            <w:bookmarkEnd w:id="441"/>
          </w:p>
        </w:tc>
      </w:tr>
      <w:tr>
        <w:trPr/>
        <w:tc>
          <w:tcPr>
            <w:tcW w:w="3605" w:type="dxa"/>
            <w:tcBorders/>
            <w:shd w:fill="CCEEFF" w:val="clear"/>
            <w:vAlign w:val="center"/>
          </w:tcPr>
          <w:p>
            <w:pPr>
              <w:pStyle w:val="TableContents"/>
              <w:bidi w:val="0"/>
              <w:spacing w:before="0" w:after="283"/>
              <w:jc w:val="left"/>
              <w:rPr/>
            </w:pPr>
            <w:r>
              <w:rPr>
                <w:rFonts w:ascii="Times New Roman;Times;Serif" w:hAnsi="Times New Roman;Times;Serif"/>
                <w:sz w:val="20"/>
              </w:rPr>
              <w:t>Amortization expense of intangible assets</w:t>
            </w:r>
            <w:r>
              <w:rPr/>
              <w:t xml:space="preserve">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4,224,000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2,605,000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shd w:fill="CCEEFF" w:val="clear"/>
            <w:tcMar>
              <w:bottom w:w="28" w:type="dxa"/>
            </w:tcMar>
            <w:vAlign w:val="center"/>
          </w:tcPr>
          <w:p>
            <w:pPr>
              <w:pStyle w:val="TableContents"/>
              <w:bidi w:val="0"/>
              <w:spacing w:before="0" w:after="283"/>
              <w:jc w:val="right"/>
              <w:rPr/>
            </w:pPr>
            <w:r>
              <w:rPr/>
              <w:t>12,676,000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jc w:val="right"/>
              <w:rPr/>
            </w:pPr>
            <w:r>
              <w:rPr/>
              <w:t>7,708,000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42" w:name="xdx_8AA_zzaMfGxUVny2"/>
      <w:bookmarkEnd w:id="442"/>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43" w:name="xdx_892_eus-gaap--ScheduleofFiniteLivedI"/>
      <w:bookmarkEnd w:id="443"/>
      <w:r>
        <w:rPr>
          <w:rFonts w:ascii="Times New Roman;Times;Serif" w:hAnsi="Times New Roman;Times;Serif"/>
          <w:b w:val="false"/>
          <w:i w:val="false"/>
          <w:caps w:val="false"/>
          <w:smallCaps w:val="false"/>
          <w:sz w:val="20"/>
        </w:rPr>
        <w:t>Estimated future amortization expense for the Company’s intangible assets at September 30, 2025 was as follows:</w:t>
      </w:r>
    </w:p>
    <w:p>
      <w:pPr>
        <w:pStyle w:val="TextBody"/>
        <w:bidi w:val="0"/>
        <w:spacing w:before="0" w:after="0"/>
        <w:ind w:left="0" w:right="0" w:hanging="0"/>
        <w:jc w:val="left"/>
        <w:rPr>
          <w:caps w:val="false"/>
          <w:smallCaps w:val="false"/>
        </w:rPr>
      </w:pPr>
      <w:r>
        <w:rPr>
          <w:caps w:val="false"/>
          <w:smallCaps w:val="false"/>
        </w:rPr>
        <w:t> </w:t>
      </w:r>
      <w:bookmarkStart w:id="444" w:name="xdx_8BE_z8AKEFdelSwh"/>
      <w:bookmarkEnd w:id="444"/>
      <w:r>
        <w:rPr>
          <w:rFonts w:ascii="Times New Roman;Times;Serif" w:hAnsi="Times New Roman;Times;Serif"/>
          <w:b w:val="false"/>
          <w:i w:val="false"/>
          <w:caps w:val="false"/>
          <w:smallCaps w:val="false"/>
          <w:sz w:val="20"/>
        </w:rPr>
        <w:t>SCHEDULE OF ESTIMATED FUTURE AMORTIZATION EXPENSE</w:t>
      </w:r>
    </w:p>
    <w:tbl>
      <w:tblPr>
        <w:tblW w:w="3360" w:type="dxa"/>
        <w:jc w:val="left"/>
        <w:tblInd w:w="0" w:type="dxa"/>
        <w:tblLayout w:type="fixed"/>
        <w:tblCellMar>
          <w:top w:w="0" w:type="dxa"/>
          <w:left w:w="0" w:type="dxa"/>
          <w:bottom w:w="0" w:type="dxa"/>
          <w:right w:w="0" w:type="dxa"/>
        </w:tblCellMar>
      </w:tblPr>
      <w:tblGrid>
        <w:gridCol w:w="1865"/>
        <w:gridCol w:w="60"/>
        <w:gridCol w:w="140"/>
        <w:gridCol w:w="1220"/>
        <w:gridCol w:w="75"/>
      </w:tblGrid>
      <w:tr>
        <w:trPr/>
        <w:tc>
          <w:tcPr>
            <w:tcW w:w="18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5" w:name="xdx_49D_20250930_z2Fj6RUBRQMb"/>
            <w:bookmarkEnd w:id="445"/>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46" w:name="xdx_404_eus-gaap--FiniteLivedIntangibleA"/>
            <w:bookmarkEnd w:id="446"/>
          </w:p>
        </w:tc>
      </w:tr>
      <w:tr>
        <w:trPr/>
        <w:tc>
          <w:tcPr>
            <w:tcW w:w="1865" w:type="dxa"/>
            <w:tcBorders/>
            <w:shd w:fill="CCEEFF" w:val="clear"/>
            <w:vAlign w:val="center"/>
          </w:tcPr>
          <w:p>
            <w:pPr>
              <w:pStyle w:val="TableContents"/>
              <w:bidi w:val="0"/>
              <w:spacing w:before="0" w:after="283"/>
              <w:jc w:val="left"/>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3,483,000</w:t>
            </w:r>
          </w:p>
        </w:tc>
        <w:tc>
          <w:tcPr>
            <w:tcW w:w="75" w:type="dxa"/>
            <w:tcBorders/>
            <w:shd w:fill="CCEEFF" w:val="clear"/>
            <w:vAlign w:val="center"/>
          </w:tcPr>
          <w:p>
            <w:pPr>
              <w:pStyle w:val="TableContents"/>
              <w:bidi w:val="0"/>
              <w:spacing w:before="0" w:after="283"/>
              <w:jc w:val="left"/>
              <w:rPr/>
            </w:pPr>
            <w:r>
              <w:rPr/>
              <w:t> </w:t>
            </w:r>
            <w:bookmarkStart w:id="447" w:name="xdx_408_eus-gaap--FiniteLivedIntangibleA"/>
            <w:bookmarkEnd w:id="447"/>
          </w:p>
        </w:tc>
      </w:tr>
      <w:tr>
        <w:trPr/>
        <w:tc>
          <w:tcPr>
            <w:tcW w:w="186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16,904,000</w:t>
            </w:r>
          </w:p>
        </w:tc>
        <w:tc>
          <w:tcPr>
            <w:tcW w:w="75" w:type="dxa"/>
            <w:tcBorders/>
            <w:shd w:fill="FFFFFF" w:val="clear"/>
            <w:vAlign w:val="center"/>
          </w:tcPr>
          <w:p>
            <w:pPr>
              <w:pStyle w:val="TableContents"/>
              <w:bidi w:val="0"/>
              <w:spacing w:before="0" w:after="283"/>
              <w:jc w:val="left"/>
              <w:rPr/>
            </w:pPr>
            <w:r>
              <w:rPr/>
              <w:t> </w:t>
            </w:r>
            <w:bookmarkStart w:id="448" w:name="xdx_40B_eus-gaap--FiniteLivedIntangibleA"/>
            <w:bookmarkEnd w:id="448"/>
          </w:p>
        </w:tc>
      </w:tr>
      <w:tr>
        <w:trPr/>
        <w:tc>
          <w:tcPr>
            <w:tcW w:w="186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16,613,000</w:t>
            </w:r>
          </w:p>
        </w:tc>
        <w:tc>
          <w:tcPr>
            <w:tcW w:w="75" w:type="dxa"/>
            <w:tcBorders/>
            <w:shd w:fill="CCEEFF" w:val="clear"/>
            <w:vAlign w:val="center"/>
          </w:tcPr>
          <w:p>
            <w:pPr>
              <w:pStyle w:val="TableContents"/>
              <w:bidi w:val="0"/>
              <w:spacing w:before="0" w:after="283"/>
              <w:jc w:val="left"/>
              <w:rPr/>
            </w:pPr>
            <w:r>
              <w:rPr/>
              <w:t> </w:t>
            </w:r>
            <w:bookmarkStart w:id="449" w:name="xdx_40C_eus-gaap--FiniteLivedIntangibleA"/>
            <w:bookmarkEnd w:id="449"/>
          </w:p>
        </w:tc>
      </w:tr>
      <w:tr>
        <w:trPr/>
        <w:tc>
          <w:tcPr>
            <w:tcW w:w="186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16,206,000</w:t>
            </w:r>
          </w:p>
        </w:tc>
        <w:tc>
          <w:tcPr>
            <w:tcW w:w="75" w:type="dxa"/>
            <w:tcBorders/>
            <w:shd w:fill="FFFFFF" w:val="clear"/>
            <w:vAlign w:val="center"/>
          </w:tcPr>
          <w:p>
            <w:pPr>
              <w:pStyle w:val="TableContents"/>
              <w:bidi w:val="0"/>
              <w:spacing w:before="0" w:after="283"/>
              <w:jc w:val="left"/>
              <w:rPr/>
            </w:pPr>
            <w:r>
              <w:rPr/>
              <w:t> </w:t>
            </w:r>
            <w:bookmarkStart w:id="450" w:name="xdx_400_eus-gaap--FiniteLivedIntangibleA"/>
            <w:bookmarkEnd w:id="450"/>
          </w:p>
        </w:tc>
      </w:tr>
      <w:tr>
        <w:trPr/>
        <w:tc>
          <w:tcPr>
            <w:tcW w:w="1865"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16,096,000</w:t>
            </w:r>
          </w:p>
        </w:tc>
        <w:tc>
          <w:tcPr>
            <w:tcW w:w="75" w:type="dxa"/>
            <w:tcBorders/>
            <w:shd w:fill="CCEEFF" w:val="clear"/>
            <w:vAlign w:val="center"/>
          </w:tcPr>
          <w:p>
            <w:pPr>
              <w:pStyle w:val="TableContents"/>
              <w:bidi w:val="0"/>
              <w:spacing w:before="0" w:after="283"/>
              <w:jc w:val="left"/>
              <w:rPr/>
            </w:pPr>
            <w:r>
              <w:rPr/>
              <w:t> </w:t>
            </w:r>
            <w:bookmarkStart w:id="451" w:name="xdx_401_ecustom--FiniteLivedIntangibleAs"/>
            <w:bookmarkEnd w:id="451"/>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102,844,000</w:t>
            </w:r>
          </w:p>
        </w:tc>
        <w:tc>
          <w:tcPr>
            <w:tcW w:w="75" w:type="dxa"/>
            <w:tcBorders/>
            <w:shd w:fill="FFFFFF" w:val="clear"/>
            <w:vAlign w:val="center"/>
          </w:tcPr>
          <w:p>
            <w:pPr>
              <w:pStyle w:val="TableContents"/>
              <w:bidi w:val="0"/>
              <w:spacing w:before="0" w:after="283"/>
              <w:jc w:val="left"/>
              <w:rPr/>
            </w:pPr>
            <w:r>
              <w:rPr/>
              <w:t> </w:t>
            </w:r>
            <w:bookmarkStart w:id="452" w:name="xdx_408_eus-gaap--FiniteLivedIntangibleA"/>
            <w:bookmarkEnd w:id="452"/>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172,146,000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3" w:name="xdx_8AD_zT2MSimdZA8e"/>
      <w:bookmarkEnd w:id="45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54" w:name="xdx_903_eus-gaap--GoodwillPeriodIncrease"/>
      <w:bookmarkStart w:id="455" w:name="xdx_90F_eus-gaap--GoodwillPeriodIncrease"/>
      <w:bookmarkStart w:id="456" w:name="xdx_902_eus-gaap--GoodwillPeriodIncrease"/>
      <w:bookmarkStart w:id="457" w:name="xdx_904_eus-gaap--GoodwillPeriodIncrease"/>
      <w:bookmarkEnd w:id="454"/>
      <w:bookmarkEnd w:id="455"/>
      <w:bookmarkEnd w:id="456"/>
      <w:bookmarkEnd w:id="457"/>
      <w:r>
        <w:rPr>
          <w:rFonts w:ascii="Times New Roman;Times;Serif" w:hAnsi="Times New Roman;Times;Serif"/>
          <w:b w:val="false"/>
          <w:i w:val="false"/>
          <w:caps w:val="false"/>
          <w:smallCaps w:val="false"/>
          <w:sz w:val="20"/>
        </w:rPr>
        <w:t>no changes to the carrying value of the Company’s goodwill during the three and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8" w:name="xdx_80A_eus-gaap--AccountsPayableAndAccr"/>
      <w:bookmarkEnd w:id="458"/>
      <w:r>
        <w:rPr>
          <w:rFonts w:ascii="Times New Roman;Times;Serif" w:hAnsi="Times New Roman;Times;Serif"/>
          <w:b/>
          <w:i w:val="false"/>
          <w:caps w:val="false"/>
          <w:smallCaps w:val="false"/>
          <w:sz w:val="20"/>
        </w:rPr>
        <w:t xml:space="preserve">NOTE 9. </w:t>
      </w:r>
      <w:bookmarkStart w:id="459" w:name="xdx_82F_zz1kn4kF6Y1k"/>
      <w:bookmarkEnd w:id="459"/>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0" w:name="xdx_898_eus-gaap--ScheduleOfAccountsPaya"/>
      <w:bookmarkEnd w:id="460"/>
      <w:r>
        <w:rPr>
          <w:rFonts w:ascii="Times New Roman;Times;Serif" w:hAnsi="Times New Roman;Times;Serif"/>
          <w:b w:val="false"/>
          <w:i w:val="false"/>
          <w:caps w:val="false"/>
          <w:smallCaps w:val="false"/>
          <w:sz w:val="20"/>
        </w:rPr>
        <w:t>Accounts payable and accrued expenses at September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461" w:name="xdx_8B8_zGhgYwtVve36"/>
      <w:bookmarkEnd w:id="461"/>
      <w:r>
        <w:rPr>
          <w:rFonts w:ascii="Times New Roman;Times;Serif" w:hAnsi="Times New Roman;Times;Serif"/>
          <w:b w:val="false"/>
          <w:i w:val="false"/>
          <w:caps w:val="false"/>
          <w:smallCaps w:val="false"/>
          <w:sz w:val="20"/>
        </w:rPr>
        <w:t>SCHEDULE OF ACCOUNTS PAYABLE AND ACCRUED EXPENSES</w:t>
      </w:r>
    </w:p>
    <w:tbl>
      <w:tblPr>
        <w:tblW w:w="7468" w:type="dxa"/>
        <w:jc w:val="left"/>
        <w:tblInd w:w="0" w:type="dxa"/>
        <w:tblLayout w:type="fixed"/>
        <w:tblCellMar>
          <w:top w:w="0" w:type="dxa"/>
          <w:left w:w="0" w:type="dxa"/>
          <w:bottom w:w="0" w:type="dxa"/>
          <w:right w:w="0" w:type="dxa"/>
        </w:tblCellMar>
      </w:tblPr>
      <w:tblGrid>
        <w:gridCol w:w="4325"/>
        <w:gridCol w:w="60"/>
        <w:gridCol w:w="166"/>
        <w:gridCol w:w="1308"/>
        <w:gridCol w:w="60"/>
        <w:gridCol w:w="60"/>
        <w:gridCol w:w="159"/>
        <w:gridCol w:w="1255"/>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2" w:name="xdx_49E_20250930_zH4tHKdGsl2h"/>
            <w:bookmarkEnd w:id="462"/>
          </w:p>
        </w:tc>
        <w:tc>
          <w:tcPr>
            <w:tcW w:w="147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3" w:name="xdx_49E_20241231_zuvU5vnp5Kx1"/>
            <w:bookmarkEnd w:id="46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64" w:name="xdx_401_eus-gaap--AccountsPayableCurrent"/>
            <w:bookmarkEnd w:id="464"/>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18,993,000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38,762,000</w:t>
            </w:r>
          </w:p>
        </w:tc>
        <w:tc>
          <w:tcPr>
            <w:tcW w:w="75" w:type="dxa"/>
            <w:tcBorders/>
            <w:shd w:fill="CCEEFF" w:val="clear"/>
            <w:vAlign w:val="center"/>
          </w:tcPr>
          <w:p>
            <w:pPr>
              <w:pStyle w:val="TableContents"/>
              <w:bidi w:val="0"/>
              <w:spacing w:before="0" w:after="283"/>
              <w:jc w:val="left"/>
              <w:rPr/>
            </w:pPr>
            <w:r>
              <w:rPr/>
              <w:t> </w:t>
            </w:r>
            <w:bookmarkStart w:id="465" w:name="xdx_407_eus-gaap--InterestPayableCurrent"/>
            <w:bookmarkEnd w:id="465"/>
          </w:p>
        </w:tc>
      </w:tr>
      <w:tr>
        <w:trPr/>
        <w:tc>
          <w:tcPr>
            <w:tcW w:w="4325" w:type="dxa"/>
            <w:tcBorders/>
            <w:shd w:fill="FFFFFF" w:val="clear"/>
            <w:vAlign w:val="center"/>
          </w:tcPr>
          <w:p>
            <w:pPr>
              <w:pStyle w:val="TableContents"/>
              <w:bidi w:val="0"/>
              <w:spacing w:before="0" w:after="283"/>
              <w:jc w:val="left"/>
              <w:rPr/>
            </w:pPr>
            <w:r>
              <w:rPr/>
              <w:t>Accrued interest (see Note 10)</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1,063,000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2,538,000</w:t>
            </w:r>
          </w:p>
        </w:tc>
        <w:tc>
          <w:tcPr>
            <w:tcW w:w="75" w:type="dxa"/>
            <w:tcBorders/>
            <w:shd w:fill="FFFFFF" w:val="clear"/>
            <w:vAlign w:val="center"/>
          </w:tcPr>
          <w:p>
            <w:pPr>
              <w:pStyle w:val="TableContents"/>
              <w:bidi w:val="0"/>
              <w:spacing w:before="0" w:after="283"/>
              <w:jc w:val="left"/>
              <w:rPr/>
            </w:pPr>
            <w:r>
              <w:rPr/>
              <w:t> </w:t>
            </w:r>
            <w:bookmarkStart w:id="466" w:name="xdx_40A_eus-gaap--OtherAccruedLiabilitie"/>
            <w:bookmarkEnd w:id="466"/>
          </w:p>
        </w:tc>
      </w:tr>
      <w:tr>
        <w:trPr/>
        <w:tc>
          <w:tcPr>
            <w:tcW w:w="4325"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106,000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106,000</w:t>
            </w:r>
          </w:p>
        </w:tc>
        <w:tc>
          <w:tcPr>
            <w:tcW w:w="75" w:type="dxa"/>
            <w:tcBorders/>
            <w:shd w:fill="CCEEFF" w:val="clear"/>
            <w:vAlign w:val="center"/>
          </w:tcPr>
          <w:p>
            <w:pPr>
              <w:pStyle w:val="TableContents"/>
              <w:bidi w:val="0"/>
              <w:spacing w:before="0" w:after="283"/>
              <w:jc w:val="left"/>
              <w:rPr/>
            </w:pPr>
            <w:r>
              <w:rPr/>
              <w:t> </w:t>
            </w:r>
            <w:bookmarkStart w:id="467" w:name="xdx_40B_eus-gaap--AccountsPayableAndAccr"/>
            <w:bookmarkEnd w:id="467"/>
          </w:p>
        </w:tc>
      </w:tr>
      <w:tr>
        <w:trPr/>
        <w:tc>
          <w:tcPr>
            <w:tcW w:w="4325" w:type="dxa"/>
            <w:tcBorders/>
            <w:shd w:fill="FFFFFF" w:val="clear"/>
            <w:vAlign w:val="center"/>
          </w:tcPr>
          <w:p>
            <w:pPr>
              <w:pStyle w:val="TableContents"/>
              <w:bidi w:val="0"/>
              <w:spacing w:before="0" w:after="283"/>
              <w:jc w:val="left"/>
              <w:rPr/>
            </w:pPr>
            <w:r>
              <w:rPr/>
              <w:t>Total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FFFFFF" w:val="clear"/>
            <w:tcMar>
              <w:bottom w:w="28" w:type="dxa"/>
            </w:tcMar>
            <w:vAlign w:val="center"/>
          </w:tcPr>
          <w:p>
            <w:pPr>
              <w:pStyle w:val="TableContents"/>
              <w:bidi w:val="0"/>
              <w:spacing w:before="0" w:after="283"/>
              <w:jc w:val="right"/>
              <w:rPr/>
            </w:pPr>
            <w:r>
              <w:rPr/>
              <w:t>20,162,000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41,406,000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8" w:name="xdx_8A8_zHSpRoIyi6sd"/>
      <w:bookmarkEnd w:id="46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9" w:name="xdx_800_eus-gaap--DebtDisclosureTextBloc"/>
      <w:bookmarkEnd w:id="469"/>
      <w:r>
        <w:rPr>
          <w:rFonts w:ascii="Times New Roman;Times;Serif" w:hAnsi="Times New Roman;Times;Serif"/>
          <w:b/>
          <w:i w:val="false"/>
          <w:caps w:val="false"/>
          <w:smallCaps w:val="false"/>
          <w:sz w:val="20"/>
        </w:rPr>
        <w:t xml:space="preserve">NOTE 10. </w:t>
      </w:r>
      <w:bookmarkStart w:id="470" w:name="xdx_82E_zJ1LNtWe46Z6"/>
      <w:bookmarkEnd w:id="470"/>
      <w:r>
        <w:rPr>
          <w:rFonts w:ascii="Times New Roman;Times;Serif" w:hAnsi="Times New Roman;Times;Serif"/>
          <w:b/>
          <w:i w:val="false"/>
          <w:caps w:val="false"/>
          <w:smallCaps w:val="false"/>
          <w:sz w:val="20"/>
        </w:rPr>
        <w:t>DEBT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Third Revolving Credit Facility - Undrawn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 Credit Agreement (the “5/3 Revolver”) with Fifth Third Bank, National Association as administrative agent for itself and the other lenders, providing for a senior secured revolving credit facility in the initial principal amount of $</w:t>
      </w:r>
      <w:bookmarkStart w:id="471" w:name="xdx_90D_eus-gaap--DebtInstrumentFaceAmou"/>
      <w:bookmarkEnd w:id="471"/>
      <w:r>
        <w:rPr>
          <w:rFonts w:ascii="Times New Roman;Times;Serif" w:hAnsi="Times New Roman;Times;Serif"/>
          <w:b w:val="false"/>
          <w:i w:val="false"/>
          <w:caps w:val="false"/>
          <w:smallCaps w:val="false"/>
          <w:sz w:val="20"/>
        </w:rPr>
        <w:t>40,000,000, together with an uncommitted incremental revolving line of credit in the principal amount of up to $</w:t>
      </w:r>
      <w:bookmarkStart w:id="472" w:name="xdx_906_eus-gaap--DebtInstrumentFaceAmou"/>
      <w:bookmarkEnd w:id="472"/>
      <w:r>
        <w:rPr>
          <w:rFonts w:ascii="Times New Roman;Times;Serif" w:hAnsi="Times New Roman;Times;Serif"/>
          <w:b w:val="false"/>
          <w:i w:val="false"/>
          <w:caps w:val="false"/>
          <w:smallCaps w:val="false"/>
          <w:sz w:val="20"/>
        </w:rPr>
        <w:t xml:space="preserve">20,000,000. The 5/3 Revolver will mature on </w:t>
      </w:r>
      <w:bookmarkStart w:id="473" w:name="xdx_90B_eus-gaap--DebtInstrumentMaturity"/>
      <w:bookmarkEnd w:id="473"/>
      <w:r>
        <w:rPr>
          <w:rFonts w:ascii="Times New Roman;Times;Serif" w:hAnsi="Times New Roman;Times;Serif"/>
          <w:b w:val="false"/>
          <w:i w:val="false"/>
          <w:caps w:val="false"/>
          <w:smallCaps w:val="false"/>
          <w:sz w:val="20"/>
        </w:rPr>
        <w:t>September 26, 2030, or, if earlier, the date that is 91 days prior to the earliest maturity date of the Company’s 2030 Notes (as defined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Borrowings under the 5/3 Revolver bear interest at a floating rate equal to, at the Company’s option, either (i) a base rate plus a margin ranging from </w:t>
      </w:r>
      <w:bookmarkStart w:id="474" w:name="xdx_903_eus-gaap--DebtInstrumentBasisSpr"/>
      <w:bookmarkEnd w:id="474"/>
      <w:r>
        <w:rPr>
          <w:rFonts w:ascii="Times New Roman;Times;Serif" w:hAnsi="Times New Roman;Times;Serif"/>
          <w:b w:val="false"/>
          <w:i w:val="false"/>
          <w:caps w:val="false"/>
          <w:smallCaps w:val="false"/>
          <w:sz w:val="20"/>
        </w:rPr>
        <w:t xml:space="preserve">0.25% to </w:t>
      </w:r>
      <w:bookmarkStart w:id="475" w:name="xdx_90A_eus-gaap--DebtInstrumentBasisSpr"/>
      <w:bookmarkEnd w:id="475"/>
      <w:r>
        <w:rPr>
          <w:rFonts w:ascii="Times New Roman;Times;Serif" w:hAnsi="Times New Roman;Times;Serif"/>
          <w:b w:val="false"/>
          <w:i w:val="false"/>
          <w:caps w:val="false"/>
          <w:smallCaps w:val="false"/>
          <w:sz w:val="20"/>
        </w:rPr>
        <w:t xml:space="preserve">0.75%, or (ii) a Secured Overnight Financing Rate (“SOFR”)-based rate plus a margin ranging from </w:t>
      </w:r>
      <w:bookmarkStart w:id="476" w:name="xdx_903_eus-gaap--DebtInstrumentBasisSpr"/>
      <w:bookmarkEnd w:id="476"/>
      <w:r>
        <w:rPr>
          <w:rFonts w:ascii="Times New Roman;Times;Serif" w:hAnsi="Times New Roman;Times;Serif"/>
          <w:b w:val="false"/>
          <w:i w:val="false"/>
          <w:caps w:val="false"/>
          <w:smallCaps w:val="false"/>
          <w:sz w:val="20"/>
        </w:rPr>
        <w:t xml:space="preserve">1.25% to </w:t>
      </w:r>
      <w:bookmarkStart w:id="477" w:name="xdx_90D_eus-gaap--DebtInstrumentBasisSpr"/>
      <w:bookmarkEnd w:id="477"/>
      <w:r>
        <w:rPr>
          <w:rFonts w:ascii="Times New Roman;Times;Serif" w:hAnsi="Times New Roman;Times;Serif"/>
          <w:b w:val="false"/>
          <w:i w:val="false"/>
          <w:caps w:val="false"/>
          <w:smallCaps w:val="false"/>
          <w:sz w:val="20"/>
        </w:rPr>
        <w:t xml:space="preserve">1.75%. In addition, an unused fee of </w:t>
      </w:r>
      <w:bookmarkStart w:id="478" w:name="xdx_901_ecustom--UnusedFeeRate_pid_dp_uP"/>
      <w:bookmarkEnd w:id="478"/>
      <w:r>
        <w:rPr>
          <w:rFonts w:ascii="Times New Roman;Times;Serif" w:hAnsi="Times New Roman;Times;Serif"/>
          <w:b w:val="false"/>
          <w:i w:val="false"/>
          <w:caps w:val="false"/>
          <w:smallCaps w:val="false"/>
          <w:sz w:val="20"/>
        </w:rPr>
        <w:t>0.25% per annum is payable monthly in arrears based on the undrawn portion of the commitments in respect of the 5/3 Revolver. Borrowings under the 5/3 Revolver are secured by a first priority lien in substantially all of the present and future property and assets, real and personal, of the Company, subject to customary exceptions.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5/3 Revolver, the Company is subject to certain customary affirmative and negative covenants. In addition, the 5/3 Revolver contains certain financial covenants requiring the Company to maintain, on a consolidated basis as of the last day of each month, a fixed charge coverage ratio of at least 1.10 to 1.0.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financing costs of $</w:t>
      </w:r>
      <w:bookmarkStart w:id="479" w:name="xdx_907_eus-gaap--DeferredCostsCurrentAn"/>
      <w:bookmarkEnd w:id="479"/>
      <w:r>
        <w:rPr>
          <w:rFonts w:ascii="Times New Roman;Times;Serif" w:hAnsi="Times New Roman;Times;Serif"/>
          <w:b w:val="false"/>
          <w:i w:val="false"/>
          <w:caps w:val="false"/>
          <w:smallCaps w:val="false"/>
          <w:sz w:val="20"/>
        </w:rPr>
        <w:t>611,000 were recorded and will be amortized to interest expense over the term of agreement. The commitment fee related to the unused line of credit will be expensed as incurred.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there were no borrowings drawn or outstanding under the 5/3 Revolver. The Company was in compliance with all covenants as of September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8.625% Senior Notes Due 2030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closed a private offering of $</w:t>
      </w:r>
      <w:bookmarkStart w:id="480" w:name="xdx_902_eus-gaap--DebtInstrumentFaceAmou"/>
      <w:bookmarkEnd w:id="480"/>
      <w:r>
        <w:rPr>
          <w:rFonts w:ascii="Times New Roman;Times;Serif" w:hAnsi="Times New Roman;Times;Serif"/>
          <w:b w:val="false"/>
          <w:i w:val="false"/>
          <w:caps w:val="false"/>
          <w:smallCaps w:val="false"/>
          <w:sz w:val="20"/>
        </w:rPr>
        <w:t xml:space="preserve">250,000,000, aggregate principal amount of </w:t>
      </w:r>
      <w:bookmarkStart w:id="481" w:name="xdx_906_eus-gaap--DebtInstrumentInterest"/>
      <w:bookmarkEnd w:id="481"/>
      <w:r>
        <w:rPr>
          <w:rFonts w:ascii="Times New Roman;Times;Serif" w:hAnsi="Times New Roman;Times;Serif"/>
          <w:b w:val="false"/>
          <w:i w:val="false"/>
          <w:caps w:val="false"/>
          <w:smallCaps w:val="false"/>
          <w:sz w:val="20"/>
        </w:rPr>
        <w:t>8.625% senior notes due 2030 (the “2030 Notes”). The 2030 Notes offering resulted in net proceeds to the Company of approximately $</w:t>
      </w:r>
      <w:bookmarkStart w:id="482" w:name="xdx_90F_eus-gaap--ProceedsFromSecuredNot"/>
      <w:bookmarkEnd w:id="482"/>
      <w:r>
        <w:rPr>
          <w:rFonts w:ascii="Times New Roman;Times;Serif" w:hAnsi="Times New Roman;Times;Serif"/>
          <w:b w:val="false"/>
          <w:i w:val="false"/>
          <w:caps w:val="false"/>
          <w:smallCaps w:val="false"/>
          <w:sz w:val="20"/>
        </w:rPr>
        <w:t>242,794,000 after deducting underwriting discounts of $</w:t>
      </w:r>
      <w:bookmarkStart w:id="483" w:name="xdx_90B_eus-gaap--PaymentsForUnderwritin"/>
      <w:bookmarkEnd w:id="483"/>
      <w:r>
        <w:rPr>
          <w:rFonts w:ascii="Times New Roman;Times;Serif" w:hAnsi="Times New Roman;Times;Serif"/>
          <w:b w:val="false"/>
          <w:i w:val="false"/>
          <w:caps w:val="false"/>
          <w:smallCaps w:val="false"/>
          <w:sz w:val="20"/>
        </w:rPr>
        <w:t>5,625,000 and commissions and other offering expenses of $</w:t>
      </w:r>
      <w:bookmarkStart w:id="484" w:name="xdx_90F_eus-gaap--PaymentsOfStockIssuanc"/>
      <w:bookmarkEnd w:id="484"/>
      <w:r>
        <w:rPr>
          <w:rFonts w:ascii="Times New Roman;Times;Serif" w:hAnsi="Times New Roman;Times;Serif"/>
          <w:b w:val="false"/>
          <w:i w:val="false"/>
          <w:caps w:val="false"/>
          <w:smallCaps w:val="false"/>
          <w:sz w:val="20"/>
        </w:rPr>
        <w:t>1,581,000.</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2030 Notes are senior unsecured obligations of the Company. The 2030 Notes are effectively subordinated to any of the Company’s secured indebtedness to the extent of the value of the assets securing such indebtedness. The 2030 Notes will be guaranteed on a senior unsecured basis by the Company, subject to certain exceptions. The 2030 Notes bear interest at the rate of </w:t>
      </w:r>
      <w:bookmarkStart w:id="485" w:name="xdx_906_eus-gaap--DebtInstrumentInterest"/>
      <w:bookmarkEnd w:id="485"/>
      <w:r>
        <w:rPr>
          <w:rFonts w:ascii="Times New Roman;Times;Serif" w:hAnsi="Times New Roman;Times;Serif"/>
          <w:b w:val="false"/>
          <w:i w:val="false"/>
          <w:caps w:val="false"/>
          <w:smallCaps w:val="false"/>
          <w:sz w:val="20"/>
        </w:rPr>
        <w:t>8.625% per annum. Interest on the 2030 Notes is payable semi-annually in arrears on March 15 and September 15 of each year, commencing March 15, 2026. The issuance costs were recorded as a debt discount and are being amortized as interest expense over the term of the 2030 Notes using the effective interest rate method.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redeem all or part of the 2030 Notes prior to September 15, 2027, at a price equal to 100% of the principal amount of the 2030 Notes redeemed, plus accrued and unpaid interest, if any, to, but not including, the redemption date, plus a “make-whole” premium, as described in the indenture. The Company may redeem all or part of the 2030 Notes on or after September 15, 2027 at the applicable redemption prices described in the indenture. The Company may also redeem up to 40% of the aggregate principal amount of the 2030 Notes at any time prior to September 15, 2027, at a redemption price equal to </w:t>
      </w:r>
      <w:bookmarkStart w:id="486" w:name="xdx_905_eus-gaap--DebtInstrumentRedempti"/>
      <w:bookmarkEnd w:id="486"/>
      <w:r>
        <w:rPr>
          <w:rFonts w:ascii="Times New Roman;Times;Serif" w:hAnsi="Times New Roman;Times;Serif"/>
          <w:b w:val="false"/>
          <w:i w:val="false"/>
          <w:caps w:val="false"/>
          <w:smallCaps w:val="false"/>
          <w:sz w:val="20"/>
        </w:rPr>
        <w:t>108.625% of the principal amount of the 2030 Notes redeemed, plus accrued and unpaid interest, if any, to, but excluding, the redemption date, with the net cash proceeds from certain equity offerings. If a change in control triggering event occurs, unless the Company has previously exercised or substantially concurrently exercise its optional redemption right, the Company will be required to offer to repurchase the 2030 Notes from holders at 101% of the principal amount thereof, plus accrued and unpaid interest, if any, to, but excluding, the redemption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2030 Notes totaled $</w:t>
      </w:r>
      <w:bookmarkStart w:id="487" w:name="xdx_901_eus-gaap--InterestExpenseOtherLo"/>
      <w:bookmarkStart w:id="488" w:name="xdx_909_eus-gaap--InterestExpenseOtherLo"/>
      <w:bookmarkEnd w:id="487"/>
      <w:bookmarkEnd w:id="488"/>
      <w:r>
        <w:rPr>
          <w:rFonts w:ascii="Times New Roman;Times;Serif" w:hAnsi="Times New Roman;Times;Serif"/>
          <w:b w:val="false"/>
          <w:i w:val="false"/>
          <w:caps w:val="false"/>
          <w:smallCaps w:val="false"/>
          <w:sz w:val="20"/>
        </w:rPr>
        <w:t>1,063,000 for the three and nine months ended September 30, 2025, and included the amortization of debt issuance costs and discount of $</w:t>
      </w:r>
      <w:bookmarkStart w:id="489" w:name="xdx_90A_eus-gaap--AmortizationOfFinancin"/>
      <w:bookmarkStart w:id="490" w:name="xdx_903_eus-gaap--AmortizationOfFinancin"/>
      <w:bookmarkEnd w:id="489"/>
      <w:bookmarkEnd w:id="490"/>
      <w:r>
        <w:rPr>
          <w:rFonts w:ascii="Times New Roman;Times;Serif" w:hAnsi="Times New Roman;Times;Serif"/>
          <w:b w:val="false"/>
          <w:i w:val="false"/>
          <w:caps w:val="false"/>
          <w:smallCaps w:val="false"/>
          <w:sz w:val="20"/>
        </w:rPr>
        <w:t>80,000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Oaktree Loan Due 2026 – Paid in Full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Credit Agreement and Guaranty (the “Oaktree Loan”) with Oaktree Fund Administration, LLC, as administrative agent for the lenders (together, “Oaktree”). Including through subsequent amendments to the Oaktree Loan, the Company had drawn down a total principal loan amount of $</w:t>
      </w:r>
      <w:bookmarkStart w:id="491" w:name="xdx_90B_eus-gaap--DebtInstrumentFaceAmou"/>
      <w:bookmarkEnd w:id="491"/>
      <w:r>
        <w:rPr>
          <w:rFonts w:ascii="Times New Roman;Times;Serif" w:hAnsi="Times New Roman;Times;Serif"/>
          <w:b w:val="false"/>
          <w:i w:val="false"/>
          <w:caps w:val="false"/>
          <w:smallCaps w:val="false"/>
          <w:sz w:val="20"/>
        </w:rPr>
        <w:t xml:space="preserve">107,500,000. The Oaktree Loan carried an interest rate equal to SOFR plus </w:t>
      </w:r>
      <w:bookmarkStart w:id="492" w:name="xdx_906_eus-gaap--LineOfCreditFacilityUn"/>
      <w:bookmarkEnd w:id="492"/>
      <w:r>
        <w:rPr>
          <w:rFonts w:ascii="Times New Roman;Times;Serif" w:hAnsi="Times New Roman;Times;Serif"/>
          <w:b w:val="false"/>
          <w:i w:val="false"/>
          <w:caps w:val="false"/>
          <w:smallCaps w:val="false"/>
          <w:sz w:val="20"/>
        </w:rPr>
        <w:t xml:space="preserve">6.5% per annum, and included an exit fee equal to </w:t>
      </w:r>
      <w:bookmarkStart w:id="493" w:name="xdx_90A_eus-gaap--LineOfCreditFacilityUn"/>
      <w:bookmarkEnd w:id="493"/>
      <w:r>
        <w:rPr>
          <w:rFonts w:ascii="Times New Roman;Times;Serif" w:hAnsi="Times New Roman;Times;Serif"/>
          <w:b w:val="false"/>
          <w:i w:val="false"/>
          <w:caps w:val="false"/>
          <w:smallCaps w:val="false"/>
          <w:sz w:val="20"/>
        </w:rPr>
        <w:t>3.5% of the aggregate principal amount owed, payable at maturity. In addition to the exit fee, the Oaktree Loan required a make-whole premium to be paid on early principal amount payments prior to its maturity in January 2026. The exit fee of $</w:t>
      </w:r>
      <w:bookmarkStart w:id="494" w:name="xdx_90B_eus-gaap--DebtInstrumentFeeAmoun"/>
      <w:bookmarkEnd w:id="494"/>
      <w:r>
        <w:rPr>
          <w:rFonts w:ascii="Times New Roman;Times;Serif" w:hAnsi="Times New Roman;Times;Serif"/>
          <w:b w:val="false"/>
          <w:i w:val="false"/>
          <w:caps w:val="false"/>
          <w:smallCaps w:val="false"/>
          <w:sz w:val="20"/>
        </w:rPr>
        <w:t>3,763,000 was recorded as a debt discount.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repaid the $</w:t>
      </w:r>
      <w:bookmarkStart w:id="495" w:name="xdx_906_eus-gaap--RepaymentsOfDebt_c2025"/>
      <w:bookmarkEnd w:id="495"/>
      <w:r>
        <w:rPr>
          <w:rFonts w:ascii="Times New Roman;Times;Serif" w:hAnsi="Times New Roman;Times;Serif"/>
          <w:b w:val="false"/>
          <w:i w:val="false"/>
          <w:caps w:val="false"/>
          <w:smallCaps w:val="false"/>
          <w:sz w:val="20"/>
        </w:rPr>
        <w:t>107,500,000 principal balance owed under the Oaktree Loan and all accrued interest as of the date the loan was repaid. In connection with the loan repayment, the Company agreed to pay an exit fee and a make-whole premium to Oaktree. During the three and nine months ended September 30, 2025, the Company recorded the unaccrued exit fee of $</w:t>
      </w:r>
      <w:bookmarkStart w:id="496" w:name="xdx_907_ecustom--UnaccruedExitFee_c20250"/>
      <w:bookmarkStart w:id="497" w:name="xdx_906_ecustom--UnaccruedExitFee_c20250"/>
      <w:bookmarkEnd w:id="496"/>
      <w:bookmarkEnd w:id="497"/>
      <w:r>
        <w:rPr>
          <w:rFonts w:ascii="Times New Roman;Times;Serif" w:hAnsi="Times New Roman;Times;Serif"/>
          <w:b w:val="false"/>
          <w:i w:val="false"/>
          <w:caps w:val="false"/>
          <w:smallCaps w:val="false"/>
          <w:sz w:val="20"/>
        </w:rPr>
        <w:t>268,000, make-whole premium of $</w:t>
      </w:r>
      <w:bookmarkStart w:id="498" w:name="xdx_906_eus-gaap--RedemptionPremium_c202"/>
      <w:bookmarkStart w:id="499" w:name="xdx_902_eus-gaap--RedemptionPremium_c202"/>
      <w:bookmarkEnd w:id="498"/>
      <w:bookmarkEnd w:id="499"/>
      <w:r>
        <w:rPr>
          <w:rFonts w:ascii="Times New Roman;Times;Serif" w:hAnsi="Times New Roman;Times;Serif"/>
          <w:b w:val="false"/>
          <w:i w:val="false"/>
          <w:caps w:val="false"/>
          <w:smallCaps w:val="false"/>
          <w:sz w:val="20"/>
        </w:rPr>
        <w:t>1,861,000, and write-off of unamortized debt issuance costs of $</w:t>
      </w:r>
      <w:bookmarkStart w:id="500" w:name="xdx_903_eus-gaap--WriteOffOfDeferredDebt"/>
      <w:bookmarkStart w:id="501" w:name="xdx_902_eus-gaap--WriteOffOfDeferredDebt"/>
      <w:bookmarkEnd w:id="500"/>
      <w:bookmarkEnd w:id="501"/>
      <w:r>
        <w:rPr>
          <w:rFonts w:ascii="Times New Roman;Times;Serif" w:hAnsi="Times New Roman;Times;Serif"/>
          <w:b w:val="false"/>
          <w:i w:val="false"/>
          <w:caps w:val="false"/>
          <w:smallCaps w:val="false"/>
          <w:sz w:val="20"/>
        </w:rPr>
        <w:t>1,289,000 as a loss on debt extinguishment of $</w:t>
      </w:r>
      <w:bookmarkStart w:id="502" w:name="xdx_903_eus-gaap--GainsLossesOnExtinguis"/>
      <w:bookmarkStart w:id="503" w:name="xdx_903_eus-gaap--GainsLossesOnExtinguis"/>
      <w:bookmarkEnd w:id="502"/>
      <w:bookmarkEnd w:id="503"/>
      <w:r>
        <w:rPr>
          <w:rFonts w:ascii="Times New Roman;Times;Serif" w:hAnsi="Times New Roman;Times;Serif"/>
          <w:b w:val="false"/>
          <w:i w:val="false"/>
          <w:caps w:val="false"/>
          <w:smallCaps w:val="false"/>
          <w:sz w:val="20"/>
        </w:rPr>
        <w:t>3,418,000 in the aggregate.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Oaktree Loan totaled $</w:t>
      </w:r>
      <w:bookmarkStart w:id="504" w:name="xdx_903_eus-gaap--InterestExpenseOtherLo"/>
      <w:bookmarkEnd w:id="504"/>
      <w:r>
        <w:rPr>
          <w:rFonts w:ascii="Times New Roman;Times;Serif" w:hAnsi="Times New Roman;Times;Serif"/>
          <w:b w:val="false"/>
          <w:i w:val="false"/>
          <w:caps w:val="false"/>
          <w:smallCaps w:val="false"/>
          <w:sz w:val="20"/>
        </w:rPr>
        <w:t>3,141,000 and $</w:t>
      </w:r>
      <w:bookmarkStart w:id="505" w:name="xdx_904_eus-gaap--InterestExpenseOtherLo"/>
      <w:bookmarkEnd w:id="505"/>
      <w:r>
        <w:rPr>
          <w:rFonts w:ascii="Times New Roman;Times;Serif" w:hAnsi="Times New Roman;Times;Serif"/>
          <w:b w:val="false"/>
          <w:i w:val="false"/>
          <w:caps w:val="false"/>
          <w:smallCaps w:val="false"/>
          <w:sz w:val="20"/>
        </w:rPr>
        <w:t>10,826,000 for the three and nine months ended September 30, 2025, respectively, and included the amortization of debt issuance costs and discount of $</w:t>
      </w:r>
      <w:bookmarkStart w:id="506" w:name="xdx_905_eus-gaap--AmortizationOfFinancin"/>
      <w:bookmarkEnd w:id="506"/>
      <w:r>
        <w:rPr>
          <w:rFonts w:ascii="Times New Roman;Times;Serif" w:hAnsi="Times New Roman;Times;Serif"/>
          <w:b w:val="false"/>
          <w:i w:val="false"/>
          <w:caps w:val="false"/>
          <w:smallCaps w:val="false"/>
          <w:sz w:val="20"/>
        </w:rPr>
        <w:t>745,000 and $</w:t>
      </w:r>
      <w:bookmarkStart w:id="507" w:name="xdx_90F_eus-gaap--AmortizationOfFinancin"/>
      <w:bookmarkEnd w:id="507"/>
      <w:r>
        <w:rPr>
          <w:rFonts w:ascii="Times New Roman;Times;Serif" w:hAnsi="Times New Roman;Times;Serif"/>
          <w:b w:val="false"/>
          <w:i w:val="false"/>
          <w:caps w:val="false"/>
          <w:smallCaps w:val="false"/>
          <w:sz w:val="20"/>
        </w:rPr>
        <w:t>2,567,000, respectively. Interest expense related to the Oaktree Loan totaled $</w:t>
      </w:r>
      <w:bookmarkStart w:id="508" w:name="xdx_902_eus-gaap--InterestExpenseOtherLo"/>
      <w:bookmarkEnd w:id="508"/>
      <w:r>
        <w:rPr>
          <w:rFonts w:ascii="Times New Roman;Times;Serif" w:hAnsi="Times New Roman;Times;Serif"/>
          <w:b w:val="false"/>
          <w:i w:val="false"/>
          <w:caps w:val="false"/>
          <w:smallCaps w:val="false"/>
          <w:sz w:val="20"/>
        </w:rPr>
        <w:t>3,026,000 and $</w:t>
      </w:r>
      <w:bookmarkStart w:id="509" w:name="xdx_907_eus-gaap--InterestExpenseOtherLo"/>
      <w:bookmarkEnd w:id="509"/>
      <w:r>
        <w:rPr>
          <w:rFonts w:ascii="Times New Roman;Times;Serif" w:hAnsi="Times New Roman;Times;Serif"/>
          <w:b w:val="false"/>
          <w:i w:val="false"/>
          <w:caps w:val="false"/>
          <w:smallCaps w:val="false"/>
          <w:sz w:val="20"/>
        </w:rPr>
        <w:t>8,923,000 for the three and nine months ended September 30, 2024, respectively, and included the amortization of debt issuance costs and discount of $</w:t>
      </w:r>
      <w:bookmarkStart w:id="510" w:name="xdx_90C_eus-gaap--AmortizationOfFinancin"/>
      <w:bookmarkEnd w:id="510"/>
      <w:r>
        <w:rPr>
          <w:rFonts w:ascii="Times New Roman;Times;Serif" w:hAnsi="Times New Roman;Times;Serif"/>
          <w:b w:val="false"/>
          <w:i w:val="false"/>
          <w:caps w:val="false"/>
          <w:smallCaps w:val="false"/>
          <w:sz w:val="20"/>
        </w:rPr>
        <w:t>656,000 and $</w:t>
      </w:r>
      <w:bookmarkStart w:id="511" w:name="xdx_90E_eus-gaap--AmortizationOfFinancin"/>
      <w:bookmarkEnd w:id="511"/>
      <w:r>
        <w:rPr>
          <w:rFonts w:ascii="Times New Roman;Times;Serif" w:hAnsi="Times New Roman;Times;Serif"/>
          <w:b w:val="false"/>
          <w:i w:val="false"/>
          <w:caps w:val="false"/>
          <w:smallCaps w:val="false"/>
          <w:sz w:val="20"/>
        </w:rPr>
        <w:t>1,861,000,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HROWL – 8.625% Senior Notes Due 2026 – Paid in Full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closed an offering of $</w:t>
      </w:r>
      <w:bookmarkStart w:id="512" w:name="xdx_90B_eus-gaap--DebtInstrumentFaceAmou"/>
      <w:bookmarkEnd w:id="512"/>
      <w:r>
        <w:rPr>
          <w:rFonts w:ascii="Times New Roman;Times;Serif" w:hAnsi="Times New Roman;Times;Serif"/>
          <w:b w:val="false"/>
          <w:i w:val="false"/>
          <w:caps w:val="false"/>
          <w:smallCaps w:val="false"/>
          <w:sz w:val="20"/>
        </w:rPr>
        <w:t xml:space="preserve">50,000,000 aggregate principal amount of </w:t>
      </w:r>
      <w:bookmarkStart w:id="513" w:name="xdx_90E_eus-gaap--DebtInstrumentInterest"/>
      <w:bookmarkEnd w:id="513"/>
      <w:r>
        <w:rPr>
          <w:rFonts w:ascii="Times New Roman;Times;Serif" w:hAnsi="Times New Roman;Times;Serif"/>
          <w:b w:val="false"/>
          <w:i w:val="false"/>
          <w:caps w:val="false"/>
          <w:smallCaps w:val="false"/>
          <w:sz w:val="20"/>
        </w:rPr>
        <w:t>8.625% senior notes due 2026. In May 2021, the Company issued an additional $</w:t>
      </w:r>
      <w:bookmarkStart w:id="514" w:name="xdx_90A_eus-gaap--DebtInstrumentIncrease"/>
      <w:bookmarkEnd w:id="514"/>
      <w:r>
        <w:rPr>
          <w:rFonts w:ascii="Times New Roman;Times;Serif" w:hAnsi="Times New Roman;Times;Serif"/>
          <w:b w:val="false"/>
          <w:i w:val="false"/>
          <w:caps w:val="false"/>
          <w:smallCaps w:val="false"/>
          <w:sz w:val="20"/>
        </w:rPr>
        <w:t>5,000,000 of such notes pursuant to the full exercise of the underwriters’ option to purchase additional notes, and in September 2021, the Company sold an additional $</w:t>
      </w:r>
      <w:bookmarkStart w:id="515" w:name="xdx_90A_eus-gaap--DebtInstrumentIncrease"/>
      <w:bookmarkEnd w:id="515"/>
      <w:r>
        <w:rPr>
          <w:rFonts w:ascii="Times New Roman;Times;Serif" w:hAnsi="Times New Roman;Times;Serif"/>
          <w:b w:val="false"/>
          <w:i w:val="false"/>
          <w:caps w:val="false"/>
          <w:smallCaps w:val="false"/>
          <w:sz w:val="20"/>
        </w:rPr>
        <w:t>20,000,000 aggregate principal amount of such notes (collectively, the “2026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fully repaid the principal balance of $</w:t>
      </w:r>
      <w:bookmarkStart w:id="516" w:name="xdx_905_eus-gaap--RepaymentsOfDebt_c2025"/>
      <w:bookmarkEnd w:id="516"/>
      <w:r>
        <w:rPr>
          <w:rFonts w:ascii="Times New Roman;Times;Serif" w:hAnsi="Times New Roman;Times;Serif"/>
          <w:b w:val="false"/>
          <w:i w:val="false"/>
          <w:caps w:val="false"/>
          <w:smallCaps w:val="false"/>
          <w:sz w:val="20"/>
        </w:rPr>
        <w:t>75,000,000, along with all accrued interest owed under the 2026 Notes. through US Bank Trust Company National Association as Trustee. The notes were considered legally extinguished upon such repayment. In connection with the 2026 Notes repayment, the Company paid a make-whole premium of $</w:t>
      </w:r>
      <w:bookmarkStart w:id="517" w:name="xdx_90B_eus-gaap--InterestExpense_c20250"/>
      <w:bookmarkEnd w:id="517"/>
      <w:r>
        <w:rPr>
          <w:rFonts w:ascii="Times New Roman;Times;Serif" w:hAnsi="Times New Roman;Times;Serif"/>
          <w:b w:val="false"/>
          <w:i w:val="false"/>
          <w:caps w:val="false"/>
          <w:smallCaps w:val="false"/>
          <w:sz w:val="20"/>
        </w:rPr>
        <w:t>907,000, recorded $</w:t>
      </w:r>
      <w:bookmarkStart w:id="518" w:name="xdx_906_ecustom--UnaccruedInterest_c2025"/>
      <w:bookmarkEnd w:id="518"/>
      <w:r>
        <w:rPr>
          <w:rFonts w:ascii="Times New Roman;Times;Serif" w:hAnsi="Times New Roman;Times;Serif"/>
          <w:b w:val="false"/>
          <w:i w:val="false"/>
          <w:caps w:val="false"/>
          <w:smallCaps w:val="false"/>
          <w:sz w:val="20"/>
        </w:rPr>
        <w:t>449,000 of unaccrued interest and wrote off $</w:t>
      </w:r>
      <w:bookmarkStart w:id="519" w:name="xdx_909_eus-gaap--UnamortizedDebtIssuanc"/>
      <w:bookmarkEnd w:id="519"/>
      <w:r>
        <w:rPr>
          <w:rFonts w:ascii="Times New Roman;Times;Serif" w:hAnsi="Times New Roman;Times;Serif"/>
          <w:b w:val="false"/>
          <w:i w:val="false"/>
          <w:caps w:val="false"/>
          <w:smallCaps w:val="false"/>
          <w:sz w:val="20"/>
        </w:rPr>
        <w:t>452,000 of unamortized debt issuance costs. During the three and nine months ended September 30, 2025, the make-whole premium, unaccrued interest paid after the redemption notice date, and unamortized debt issuance costs were recorded as a loss on debt extinguishment equal to $</w:t>
      </w:r>
      <w:bookmarkStart w:id="520" w:name="xdx_901_eus-gaap--GainsLossesOnExtinguis"/>
      <w:bookmarkStart w:id="521" w:name="xdx_907_eus-gaap--GainsLossesOnExtinguis"/>
      <w:bookmarkEnd w:id="520"/>
      <w:bookmarkEnd w:id="521"/>
      <w:r>
        <w:rPr>
          <w:rFonts w:ascii="Times New Roman;Times;Serif" w:hAnsi="Times New Roman;Times;Serif"/>
          <w:b w:val="false"/>
          <w:i w:val="false"/>
          <w:caps w:val="false"/>
          <w:smallCaps w:val="false"/>
          <w:sz w:val="20"/>
        </w:rPr>
        <w:t>1,808,000 in the aggregate. The 2026 Notes listed on The Nasdaq Stock Market under the symbol “HROWL” were delisted on October 10,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2026 Notes totaled $</w:t>
      </w:r>
      <w:bookmarkStart w:id="522" w:name="xdx_905_eus-gaap--InterestExpenseOtherLo"/>
      <w:bookmarkEnd w:id="522"/>
      <w:r>
        <w:rPr>
          <w:rFonts w:ascii="Times New Roman;Times;Serif" w:hAnsi="Times New Roman;Times;Serif"/>
          <w:b w:val="false"/>
          <w:i w:val="false"/>
          <w:caps w:val="false"/>
          <w:smallCaps w:val="false"/>
          <w:sz w:val="20"/>
        </w:rPr>
        <w:t>1,452,000 and $</w:t>
      </w:r>
      <w:bookmarkStart w:id="523" w:name="xdx_90B_eus-gaap--InterestExpenseOtherLo"/>
      <w:bookmarkEnd w:id="523"/>
      <w:r>
        <w:rPr>
          <w:rFonts w:ascii="Times New Roman;Times;Serif" w:hAnsi="Times New Roman;Times;Serif"/>
          <w:b w:val="false"/>
          <w:i w:val="false"/>
          <w:caps w:val="false"/>
          <w:smallCaps w:val="false"/>
          <w:sz w:val="20"/>
        </w:rPr>
        <w:t>5,074,000 for the three and nine months ended September 30, 2025, respectively, and included amortization of debt issuance costs and discount of $</w:t>
      </w:r>
      <w:bookmarkStart w:id="524" w:name="xdx_909_eus-gaap--AmortizationOfFinancin"/>
      <w:bookmarkEnd w:id="524"/>
      <w:r>
        <w:rPr>
          <w:rFonts w:ascii="Times New Roman;Times;Serif" w:hAnsi="Times New Roman;Times;Serif"/>
          <w:b w:val="false"/>
          <w:i w:val="false"/>
          <w:caps w:val="false"/>
          <w:smallCaps w:val="false"/>
          <w:sz w:val="20"/>
        </w:rPr>
        <w:t>159,000 and $</w:t>
      </w:r>
      <w:bookmarkStart w:id="525" w:name="xdx_907_eus-gaap--AmortizationOfFinancin"/>
      <w:bookmarkEnd w:id="525"/>
      <w:r>
        <w:rPr>
          <w:rFonts w:ascii="Times New Roman;Times;Serif" w:hAnsi="Times New Roman;Times;Serif"/>
          <w:b w:val="false"/>
          <w:i w:val="false"/>
          <w:caps w:val="false"/>
          <w:smallCaps w:val="false"/>
          <w:sz w:val="20"/>
        </w:rPr>
        <w:t>546,000, respectively. Interest expense related to the 2026 Notes totaled $</w:t>
      </w:r>
      <w:bookmarkStart w:id="526" w:name="xdx_904_eus-gaap--InterestExpenseOtherLo"/>
      <w:bookmarkEnd w:id="526"/>
      <w:r>
        <w:rPr>
          <w:rFonts w:ascii="Times New Roman;Times;Serif" w:hAnsi="Times New Roman;Times;Serif"/>
          <w:b w:val="false"/>
          <w:i w:val="false"/>
          <w:caps w:val="false"/>
          <w:smallCaps w:val="false"/>
          <w:sz w:val="20"/>
        </w:rPr>
        <w:t>1,814,000 and $</w:t>
      </w:r>
      <w:bookmarkStart w:id="527" w:name="xdx_90E_eus-gaap--InterestExpenseOtherLo"/>
      <w:bookmarkEnd w:id="527"/>
      <w:r>
        <w:rPr>
          <w:rFonts w:ascii="Times New Roman;Times;Serif" w:hAnsi="Times New Roman;Times;Serif"/>
          <w:b w:val="false"/>
          <w:i w:val="false"/>
          <w:caps w:val="false"/>
          <w:smallCaps w:val="false"/>
          <w:sz w:val="20"/>
        </w:rPr>
        <w:t>5,438,000 for the three and nine months ended September 30, 2024, respectively, and included amortization of debt issuance costs and debt discount of $</w:t>
      </w:r>
      <w:bookmarkStart w:id="528" w:name="xdx_90B_eus-gaap--AmortizationOfFinancin"/>
      <w:bookmarkEnd w:id="528"/>
      <w:r>
        <w:rPr>
          <w:rFonts w:ascii="Times New Roman;Times;Serif" w:hAnsi="Times New Roman;Times;Serif"/>
          <w:b w:val="false"/>
          <w:i w:val="false"/>
          <w:caps w:val="false"/>
          <w:smallCaps w:val="false"/>
          <w:sz w:val="20"/>
        </w:rPr>
        <w:t>197,000 and $</w:t>
      </w:r>
      <w:bookmarkStart w:id="529" w:name="xdx_905_eus-gaap--AmortizationOfFinancin"/>
      <w:bookmarkEnd w:id="529"/>
      <w:r>
        <w:rPr>
          <w:rFonts w:ascii="Times New Roman;Times;Serif" w:hAnsi="Times New Roman;Times;Serif"/>
          <w:b w:val="false"/>
          <w:i w:val="false"/>
          <w:caps w:val="false"/>
          <w:smallCaps w:val="false"/>
          <w:sz w:val="20"/>
        </w:rPr>
        <w:t>587,000, respectively.</w:t>
      </w:r>
    </w:p>
    <w:p>
      <w:pPr>
        <w:pStyle w:val="TextBody"/>
        <w:bidi w:val="0"/>
        <w:spacing w:before="0" w:after="0"/>
        <w:ind w:left="1080" w:right="0" w:hanging="10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HROWM - 11.875% Senior Notes Due 2027 – Paid in Full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and in January 2023, the Company closed an offering of $</w:t>
      </w:r>
      <w:bookmarkStart w:id="530" w:name="xdx_905_eus-gaap--DebtInstrumentFaceAmou"/>
      <w:bookmarkEnd w:id="530"/>
      <w:r>
        <w:rPr>
          <w:rFonts w:ascii="Times New Roman;Times;Serif" w:hAnsi="Times New Roman;Times;Serif"/>
          <w:b w:val="false"/>
          <w:i w:val="false"/>
          <w:caps w:val="false"/>
          <w:smallCaps w:val="false"/>
          <w:sz w:val="20"/>
        </w:rPr>
        <w:t>35,000,000 and $</w:t>
      </w:r>
      <w:bookmarkStart w:id="531" w:name="xdx_906_eus-gaap--DebtInstrumentFaceAmou"/>
      <w:bookmarkEnd w:id="531"/>
      <w:r>
        <w:rPr>
          <w:rFonts w:ascii="Times New Roman;Times;Serif" w:hAnsi="Times New Roman;Times;Serif"/>
          <w:b w:val="false"/>
          <w:i w:val="false"/>
          <w:caps w:val="false"/>
          <w:smallCaps w:val="false"/>
          <w:sz w:val="20"/>
        </w:rPr>
        <w:t xml:space="preserve">5,250,000, respectively, aggregate principal amount of </w:t>
      </w:r>
      <w:bookmarkStart w:id="532" w:name="xdx_908_eus-gaap--DebtInstrumentInterest"/>
      <w:bookmarkStart w:id="533" w:name="xdx_906_eus-gaap--DebtInstrumentInterest"/>
      <w:bookmarkEnd w:id="532"/>
      <w:bookmarkEnd w:id="533"/>
      <w:r>
        <w:rPr>
          <w:rFonts w:ascii="Times New Roman;Times;Serif" w:hAnsi="Times New Roman;Times;Serif"/>
          <w:b w:val="false"/>
          <w:i w:val="false"/>
          <w:caps w:val="false"/>
          <w:smallCaps w:val="false"/>
          <w:sz w:val="20"/>
        </w:rPr>
        <w:t>11.875% senior notes due 2027 (the “2027 Notes”). The 2027 Notes could be redeemed for cash in whole or in part prior to December 31, 2025, at a price equal to $</w:t>
      </w:r>
      <w:bookmarkStart w:id="534" w:name="xdx_900_eus-gaap--SharesIssuedPricePerSh"/>
      <w:bookmarkStart w:id="535" w:name="xdx_901_eus-gaap--SharesIssuedPricePerSh"/>
      <w:bookmarkEnd w:id="534"/>
      <w:bookmarkEnd w:id="535"/>
      <w:r>
        <w:rPr>
          <w:rFonts w:ascii="Times New Roman;Times;Serif" w:hAnsi="Times New Roman;Times;Serif"/>
          <w:b w:val="false"/>
          <w:i w:val="false"/>
          <w:caps w:val="false"/>
          <w:smallCaps w:val="false"/>
          <w:sz w:val="20"/>
        </w:rPr>
        <w:t>25.50 per note, plus accrued and unpaid interest to, but excluding, the date of redemption.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fully repaid the principal balance of $</w:t>
      </w:r>
      <w:bookmarkStart w:id="536" w:name="xdx_90F_eus-gaap--RepaymentsOfDebt_c2025"/>
      <w:bookmarkEnd w:id="536"/>
      <w:r>
        <w:rPr>
          <w:rFonts w:ascii="Times New Roman;Times;Serif" w:hAnsi="Times New Roman;Times;Serif"/>
          <w:b w:val="false"/>
          <w:i w:val="false"/>
          <w:caps w:val="false"/>
          <w:smallCaps w:val="false"/>
          <w:sz w:val="20"/>
        </w:rPr>
        <w:t>40,250,000, along with all accrued interest owed under the 2027 Notes through US Bank Trust Company National Association as Trustee. The notes were considered legally extinguished upon such repayment. In connection with the 2027 Notes repayment, the Company paid a prepayment penalty of $</w:t>
      </w:r>
      <w:bookmarkStart w:id="537" w:name="xdx_90C_eus-gaap--InterestExpense_c20250"/>
      <w:bookmarkEnd w:id="537"/>
      <w:r>
        <w:rPr>
          <w:rFonts w:ascii="Times New Roman;Times;Serif" w:hAnsi="Times New Roman;Times;Serif"/>
          <w:b w:val="false"/>
          <w:i w:val="false"/>
          <w:caps w:val="false"/>
          <w:smallCaps w:val="false"/>
          <w:sz w:val="20"/>
        </w:rPr>
        <w:t>805,000, recorded unaccrued interest of $</w:t>
      </w:r>
      <w:bookmarkStart w:id="538" w:name="xdx_90F_ecustom--UnaccruedInterest_c2025"/>
      <w:bookmarkEnd w:id="538"/>
      <w:r>
        <w:rPr>
          <w:rFonts w:ascii="Times New Roman;Times;Serif" w:hAnsi="Times New Roman;Times;Serif"/>
          <w:b w:val="false"/>
          <w:i w:val="false"/>
          <w:caps w:val="false"/>
          <w:smallCaps w:val="false"/>
          <w:sz w:val="20"/>
        </w:rPr>
        <w:t>98,000 and wrote off $</w:t>
      </w:r>
      <w:bookmarkStart w:id="539" w:name="xdx_903_eus-gaap--UnamortizedDebtIssuanc"/>
      <w:bookmarkEnd w:id="539"/>
      <w:r>
        <w:rPr>
          <w:rFonts w:ascii="Times New Roman;Times;Serif" w:hAnsi="Times New Roman;Times;Serif"/>
          <w:b w:val="false"/>
          <w:i w:val="false"/>
          <w:caps w:val="false"/>
          <w:smallCaps w:val="false"/>
          <w:sz w:val="20"/>
        </w:rPr>
        <w:t>1,621,000 of unamortized debt issuance costs. During the three and nine months ended September 30, 2025, the prepayment penalty, unaccrued additional interest paid after the redemption notice date and the unamortized debt issuance costs were recorded as a loss on debt extinguishment equal to $</w:t>
      </w:r>
      <w:bookmarkStart w:id="540" w:name="xdx_900_eus-gaap--GainsLossesOnExtinguis"/>
      <w:bookmarkStart w:id="541" w:name="xdx_90D_eus-gaap--GainsLossesOnExtinguis"/>
      <w:bookmarkEnd w:id="540"/>
      <w:bookmarkEnd w:id="541"/>
      <w:r>
        <w:rPr>
          <w:rFonts w:ascii="Times New Roman;Times;Serif" w:hAnsi="Times New Roman;Times;Serif"/>
          <w:b w:val="false"/>
          <w:i w:val="false"/>
          <w:caps w:val="false"/>
          <w:smallCaps w:val="false"/>
          <w:sz w:val="20"/>
        </w:rPr>
        <w:t>2,524,000 in the aggregate. The 2027 Notes listed on The Nasdaq Stock Market under the symbol “HROWM” were delisted on October 8,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2027 Notes totaled $</w:t>
      </w:r>
      <w:bookmarkStart w:id="542" w:name="xdx_90E_eus-gaap--InterestExpenseOtherLo"/>
      <w:bookmarkEnd w:id="542"/>
      <w:r>
        <w:rPr>
          <w:rFonts w:ascii="Times New Roman;Times;Serif" w:hAnsi="Times New Roman;Times;Serif"/>
          <w:b w:val="false"/>
          <w:i w:val="false"/>
          <w:caps w:val="false"/>
          <w:smallCaps w:val="false"/>
          <w:sz w:val="20"/>
        </w:rPr>
        <w:t>1,101,000 and $</w:t>
      </w:r>
      <w:bookmarkStart w:id="543" w:name="xdx_908_eus-gaap--InterestExpenseOtherLo"/>
      <w:bookmarkEnd w:id="543"/>
      <w:r>
        <w:rPr>
          <w:rFonts w:ascii="Times New Roman;Times;Serif" w:hAnsi="Times New Roman;Times;Serif"/>
          <w:b w:val="false"/>
          <w:i w:val="false"/>
          <w:caps w:val="false"/>
          <w:smallCaps w:val="false"/>
          <w:sz w:val="20"/>
        </w:rPr>
        <w:t>3,845,000 for the three and nine months ended September 30, 2025, respectively, and included the amortization of debt issuance costs and discount of $</w:t>
      </w:r>
      <w:bookmarkStart w:id="544" w:name="xdx_900_eus-gaap--AmortizationOfFinancin"/>
      <w:bookmarkEnd w:id="544"/>
      <w:r>
        <w:rPr>
          <w:rFonts w:ascii="Times New Roman;Times;Serif" w:hAnsi="Times New Roman;Times;Serif"/>
          <w:b w:val="false"/>
          <w:i w:val="false"/>
          <w:caps w:val="false"/>
          <w:smallCaps w:val="false"/>
          <w:sz w:val="20"/>
        </w:rPr>
        <w:t>145,000 and $</w:t>
      </w:r>
      <w:bookmarkStart w:id="545" w:name="xdx_90D_eus-gaap--AmortizationOfFinancin"/>
      <w:bookmarkEnd w:id="545"/>
      <w:r>
        <w:rPr>
          <w:rFonts w:ascii="Times New Roman;Times;Serif" w:hAnsi="Times New Roman;Times;Serif"/>
          <w:b w:val="false"/>
          <w:i w:val="false"/>
          <w:caps w:val="false"/>
          <w:smallCaps w:val="false"/>
          <w:sz w:val="20"/>
        </w:rPr>
        <w:t>499,000, respectively. Interest expense related to the 2027 Notes totaled $</w:t>
      </w:r>
      <w:bookmarkStart w:id="546" w:name="xdx_907_eus-gaap--InterestExpenseOtherLo"/>
      <w:bookmarkEnd w:id="546"/>
      <w:r>
        <w:rPr>
          <w:rFonts w:ascii="Times New Roman;Times;Serif" w:hAnsi="Times New Roman;Times;Serif"/>
          <w:b w:val="false"/>
          <w:i w:val="false"/>
          <w:caps w:val="false"/>
          <w:smallCaps w:val="false"/>
          <w:sz w:val="20"/>
        </w:rPr>
        <w:t>1,376,000 and $</w:t>
      </w:r>
      <w:bookmarkStart w:id="547" w:name="xdx_909_eus-gaap--InterestExpenseOtherLo"/>
      <w:bookmarkEnd w:id="547"/>
      <w:r>
        <w:rPr>
          <w:rFonts w:ascii="Times New Roman;Times;Serif" w:hAnsi="Times New Roman;Times;Serif"/>
          <w:b w:val="false"/>
          <w:i w:val="false"/>
          <w:caps w:val="false"/>
          <w:smallCaps w:val="false"/>
          <w:sz w:val="20"/>
        </w:rPr>
        <w:t>4,121,000 for the three and nine months ended September 30, 2024, respectively, and included amortization of debt issuance costs and debt discount of $</w:t>
      </w:r>
      <w:bookmarkStart w:id="548" w:name="xdx_909_eus-gaap--AmortizationOfFinancin"/>
      <w:bookmarkEnd w:id="548"/>
      <w:r>
        <w:rPr>
          <w:rFonts w:ascii="Times New Roman;Times;Serif" w:hAnsi="Times New Roman;Times;Serif"/>
          <w:b w:val="false"/>
          <w:i w:val="false"/>
          <w:caps w:val="false"/>
          <w:smallCaps w:val="false"/>
          <w:sz w:val="20"/>
        </w:rPr>
        <w:t>181,000 and $</w:t>
      </w:r>
      <w:bookmarkStart w:id="549" w:name="xdx_907_eus-gaap--AmortizationOfFinancin"/>
      <w:bookmarkEnd w:id="549"/>
      <w:r>
        <w:rPr>
          <w:rFonts w:ascii="Times New Roman;Times;Serif" w:hAnsi="Times New Roman;Times;Serif"/>
          <w:b w:val="false"/>
          <w:i w:val="false"/>
          <w:caps w:val="false"/>
          <w:smallCaps w:val="false"/>
          <w:sz w:val="20"/>
        </w:rPr>
        <w:t>537,000,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on extinguishment of debt equal to $</w:t>
      </w:r>
      <w:bookmarkStart w:id="550" w:name="xdx_902_eus-gaap--GainsLossesOnExtinguis"/>
      <w:bookmarkEnd w:id="550"/>
      <w:r>
        <w:rPr>
          <w:rFonts w:ascii="Times New Roman;Times;Serif" w:hAnsi="Times New Roman;Times;Serif"/>
          <w:b w:val="false"/>
          <w:i w:val="false"/>
          <w:caps w:val="false"/>
          <w:smallCaps w:val="false"/>
          <w:sz w:val="20"/>
        </w:rPr>
        <w:t>7,750,000 was recorded during the three months ending September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51" w:name="xdx_894_eus-gaap--ScheduleOfDebtInstrume"/>
      <w:bookmarkEnd w:id="551"/>
      <w:r>
        <w:rPr>
          <w:rFonts w:ascii="Times New Roman;Times;Serif" w:hAnsi="Times New Roman;Times;Serif"/>
          <w:b w:val="false"/>
          <w:i w:val="false"/>
          <w:caps w:val="false"/>
          <w:smallCaps w:val="false"/>
          <w:sz w:val="20"/>
        </w:rPr>
        <w:t>A summary of the Company’s non-current portion of debt at September 30, 2025 and December 31, 2024 is described as follows: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52" w:name="xdx_8BE_z3zSiZ0NGBBg"/>
      <w:bookmarkEnd w:id="552"/>
      <w:r>
        <w:rPr>
          <w:rFonts w:ascii="Times New Roman;Times;Serif" w:hAnsi="Times New Roman;Times;Serif"/>
          <w:b w:val="false"/>
          <w:i w:val="false"/>
          <w:caps w:val="false"/>
          <w:smallCaps w:val="false"/>
          <w:sz w:val="20"/>
        </w:rPr>
        <w:t>SCHEDULE OF LONG TERM DEBT</w:t>
      </w:r>
    </w:p>
    <w:tbl>
      <w:tblPr>
        <w:tblW w:w="7373" w:type="dxa"/>
        <w:jc w:val="left"/>
        <w:tblInd w:w="0" w:type="dxa"/>
        <w:tblLayout w:type="fixed"/>
        <w:tblCellMar>
          <w:top w:w="0" w:type="dxa"/>
          <w:left w:w="0" w:type="dxa"/>
          <w:bottom w:w="0" w:type="dxa"/>
          <w:right w:w="0" w:type="dxa"/>
        </w:tblCellMar>
      </w:tblPr>
      <w:tblGrid>
        <w:gridCol w:w="4160"/>
        <w:gridCol w:w="60"/>
        <w:gridCol w:w="151"/>
        <w:gridCol w:w="1323"/>
        <w:gridCol w:w="95"/>
        <w:gridCol w:w="60"/>
        <w:gridCol w:w="145"/>
        <w:gridCol w:w="1269"/>
        <w:gridCol w:w="11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3" w:name="xdx_490_20250930_zrzRiA24ME1k"/>
            <w:bookmarkEnd w:id="553"/>
          </w:p>
        </w:tc>
        <w:tc>
          <w:tcPr>
            <w:tcW w:w="1474"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4" w:name="xdx_49E_20241231_zbvB59SkBrDa"/>
            <w:bookmarkEnd w:id="554"/>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55" w:name="xdx_40C_ecustom--LongTermNotesPayableGro"/>
            <w:bookmarkEnd w:id="555"/>
          </w:p>
        </w:tc>
      </w:tr>
      <w:tr>
        <w:trPr/>
        <w:tc>
          <w:tcPr>
            <w:tcW w:w="4160" w:type="dxa"/>
            <w:tcBorders/>
            <w:shd w:fill="CCEEFF" w:val="clear"/>
            <w:vAlign w:val="center"/>
          </w:tcPr>
          <w:p>
            <w:pPr>
              <w:pStyle w:val="TableContents"/>
              <w:bidi w:val="0"/>
              <w:spacing w:before="0" w:after="283"/>
              <w:jc w:val="left"/>
              <w:rPr/>
            </w:pPr>
            <w:r>
              <w:rPr/>
              <w:t xml:space="preserve">8.625% Senior Notes due </w:t>
            </w:r>
            <w:bookmarkStart w:id="556" w:name="xdx_908_eus-gaap--DebtInstrumentMaturity"/>
            <w:bookmarkEnd w:id="556"/>
            <w:r>
              <w:rPr/>
              <w:t>April 2026</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75,000,000</w:t>
            </w:r>
          </w:p>
        </w:tc>
        <w:tc>
          <w:tcPr>
            <w:tcW w:w="110" w:type="dxa"/>
            <w:tcBorders/>
            <w:shd w:fill="CCEEFF" w:val="clear"/>
            <w:vAlign w:val="center"/>
          </w:tcPr>
          <w:p>
            <w:pPr>
              <w:pStyle w:val="TableContents"/>
              <w:bidi w:val="0"/>
              <w:spacing w:before="0" w:after="283"/>
              <w:jc w:val="left"/>
              <w:rPr/>
            </w:pPr>
            <w:r>
              <w:rPr/>
              <w:t> </w:t>
            </w:r>
            <w:bookmarkStart w:id="557" w:name="xdx_408_ecustom--LongTermNotesPayableGro"/>
            <w:bookmarkEnd w:id="557"/>
          </w:p>
        </w:tc>
      </w:tr>
      <w:tr>
        <w:trPr/>
        <w:tc>
          <w:tcPr>
            <w:tcW w:w="4160" w:type="dxa"/>
            <w:tcBorders/>
            <w:shd w:fill="FFFFFF" w:val="clear"/>
            <w:vAlign w:val="center"/>
          </w:tcPr>
          <w:p>
            <w:pPr>
              <w:pStyle w:val="TableContents"/>
              <w:bidi w:val="0"/>
              <w:spacing w:before="0" w:after="283"/>
              <w:jc w:val="left"/>
              <w:rPr/>
            </w:pPr>
            <w:r>
              <w:rPr/>
              <w:t xml:space="preserve">11.875% Senior Notes due </w:t>
            </w:r>
            <w:bookmarkStart w:id="558" w:name="xdx_90F_eus-gaap--DebtInstrumentMaturity"/>
            <w:bookmarkEnd w:id="558"/>
            <w:r>
              <w:rPr/>
              <w:t>December 2027</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40,250,000</w:t>
            </w:r>
          </w:p>
        </w:tc>
        <w:tc>
          <w:tcPr>
            <w:tcW w:w="110" w:type="dxa"/>
            <w:tcBorders/>
            <w:shd w:fill="FFFFFF" w:val="clear"/>
            <w:vAlign w:val="center"/>
          </w:tcPr>
          <w:p>
            <w:pPr>
              <w:pStyle w:val="TableContents"/>
              <w:bidi w:val="0"/>
              <w:spacing w:before="0" w:after="283"/>
              <w:jc w:val="left"/>
              <w:rPr/>
            </w:pPr>
            <w:r>
              <w:rPr/>
              <w:t> </w:t>
            </w:r>
            <w:bookmarkStart w:id="559" w:name="xdx_40D_ecustom--NotesPayableCurrentGros"/>
            <w:bookmarkEnd w:id="559"/>
          </w:p>
        </w:tc>
      </w:tr>
      <w:tr>
        <w:trPr/>
        <w:tc>
          <w:tcPr>
            <w:tcW w:w="4160" w:type="dxa"/>
            <w:tcBorders/>
            <w:shd w:fill="CCEEFF" w:val="clear"/>
            <w:vAlign w:val="center"/>
          </w:tcPr>
          <w:p>
            <w:pPr>
              <w:pStyle w:val="TableContents"/>
              <w:bidi w:val="0"/>
              <w:spacing w:before="0" w:after="283"/>
              <w:jc w:val="left"/>
              <w:rPr/>
            </w:pPr>
            <w:r>
              <w:rPr/>
              <w:t xml:space="preserve">Oaktree Loan due </w:t>
            </w:r>
            <w:bookmarkStart w:id="560" w:name="xdx_907_eus-gaap--DebtInstrumentMaturity"/>
            <w:bookmarkEnd w:id="560"/>
            <w:r>
              <w:rPr/>
              <w:t>January 2026</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111,263,000</w:t>
            </w:r>
          </w:p>
        </w:tc>
        <w:tc>
          <w:tcPr>
            <w:tcW w:w="110" w:type="dxa"/>
            <w:tcBorders/>
            <w:shd w:fill="CCEEFF" w:val="clear"/>
            <w:vAlign w:val="center"/>
          </w:tcPr>
          <w:p>
            <w:pPr>
              <w:pStyle w:val="TableContents"/>
              <w:bidi w:val="0"/>
              <w:spacing w:before="0" w:after="283"/>
              <w:jc w:val="left"/>
              <w:rPr/>
            </w:pPr>
            <w:r>
              <w:rPr/>
              <w:t> </w:t>
            </w:r>
            <w:bookmarkStart w:id="561" w:name="xdx_401_ecustom--LongTermNotesPayableGro"/>
            <w:bookmarkEnd w:id="561"/>
          </w:p>
        </w:tc>
      </w:tr>
      <w:tr>
        <w:trPr/>
        <w:tc>
          <w:tcPr>
            <w:tcW w:w="4160" w:type="dxa"/>
            <w:tcBorders/>
            <w:shd w:fill="FFFFFF" w:val="clear"/>
            <w:vAlign w:val="center"/>
          </w:tcPr>
          <w:p>
            <w:pPr>
              <w:pStyle w:val="TableContents"/>
              <w:bidi w:val="0"/>
              <w:spacing w:before="0" w:after="283"/>
              <w:jc w:val="left"/>
              <w:rPr/>
            </w:pPr>
            <w:r>
              <w:rPr/>
              <w:t xml:space="preserve">8.625% Senior Notes due </w:t>
            </w:r>
            <w:bookmarkStart w:id="562" w:name="xdx_901_eus-gaap--DebtInstrumentMaturity"/>
            <w:bookmarkEnd w:id="562"/>
            <w:r>
              <w:rPr/>
              <w:t>September 2030</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63" w:name="xdx_40C_ecustom--NotesPayableCurrentGros"/>
            <w:bookmarkEnd w:id="563"/>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current, gross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250,000,000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226,513,000</w:t>
            </w:r>
          </w:p>
        </w:tc>
        <w:tc>
          <w:tcPr>
            <w:tcW w:w="110" w:type="dxa"/>
            <w:tcBorders/>
            <w:shd w:fill="CCEEFF" w:val="clear"/>
            <w:vAlign w:val="center"/>
          </w:tcPr>
          <w:p>
            <w:pPr>
              <w:pStyle w:val="TableContents"/>
              <w:bidi w:val="0"/>
              <w:spacing w:before="0" w:after="283"/>
              <w:jc w:val="left"/>
              <w:rPr/>
            </w:pPr>
            <w:r>
              <w:rPr/>
              <w:t> </w:t>
            </w:r>
            <w:bookmarkStart w:id="564" w:name="xdx_405_eus-gaap--DebtInstrumentUnamorti"/>
            <w:bookmarkEnd w:id="564"/>
          </w:p>
        </w:tc>
      </w:tr>
      <w:tr>
        <w:trPr/>
        <w:tc>
          <w:tcPr>
            <w:tcW w:w="4160" w:type="dxa"/>
            <w:tcBorders/>
            <w:shd w:fill="FFFFFF" w:val="clear"/>
            <w:vAlign w:val="center"/>
          </w:tcPr>
          <w:p>
            <w:pPr>
              <w:pStyle w:val="TableContents"/>
              <w:bidi w:val="0"/>
              <w:spacing w:before="0" w:after="283"/>
              <w:jc w:val="left"/>
              <w:rPr/>
            </w:pPr>
            <w:r>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pPr>
            <w:r>
              <w:rPr/>
              <w:t>(7,126,000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(6,974,000</w:t>
            </w:r>
          </w:p>
        </w:tc>
        <w:tc>
          <w:tcPr>
            <w:tcW w:w="110" w:type="dxa"/>
            <w:tcBorders/>
            <w:shd w:fill="FFFFFF" w:val="clear"/>
            <w:vAlign w:val="center"/>
          </w:tcPr>
          <w:p>
            <w:pPr>
              <w:pStyle w:val="TableContents"/>
              <w:bidi w:val="0"/>
              <w:spacing w:before="0" w:after="283"/>
              <w:jc w:val="left"/>
              <w:rPr/>
            </w:pPr>
            <w:r>
              <w:rPr/>
              <w:t>)</w:t>
            </w:r>
            <w:bookmarkStart w:id="565" w:name="xdx_404_eus-gaap--NotesPayableCurrent_iI"/>
            <w:bookmarkEnd w:id="565"/>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current, net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pPr>
            <w:r>
              <w:rPr/>
              <w:t>242,874,000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double" w:sz="6" w:space="0" w:color="000000"/>
            </w:tcBorders>
            <w:shd w:fill="CCEEFF" w:val="clear"/>
            <w:tcMar>
              <w:bottom w:w="28" w:type="dxa"/>
            </w:tcMar>
            <w:vAlign w:val="center"/>
          </w:tcPr>
          <w:p>
            <w:pPr>
              <w:pStyle w:val="TableContents"/>
              <w:bidi w:val="0"/>
              <w:spacing w:before="0" w:after="283"/>
              <w:jc w:val="right"/>
              <w:rPr/>
            </w:pPr>
            <w:r>
              <w:rPr/>
              <w:t>219,539,000</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566" w:name="xdx_8AF_zGVVYDONf67d"/>
      <w:bookmarkEnd w:id="566"/>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nine months ended September 30, 2025, the total effective interest rate of the Company’s debt was </w:t>
      </w:r>
      <w:bookmarkStart w:id="567" w:name="xdx_901_eus-gaap--DebtInstrumentInterest"/>
      <w:bookmarkEnd w:id="567"/>
      <w:r>
        <w:rPr>
          <w:rFonts w:ascii="Times New Roman;Times;Serif" w:hAnsi="Times New Roman;Times;Serif"/>
          <w:b w:val="false"/>
          <w:i w:val="false"/>
          <w:caps w:val="false"/>
          <w:smallCaps w:val="false"/>
          <w:sz w:val="20"/>
        </w:rPr>
        <w:t xml:space="preserve">10.29% and </w:t>
      </w:r>
      <w:bookmarkStart w:id="568" w:name="xdx_90C_eus-gaap--DebtInstrumentInterest"/>
      <w:bookmarkEnd w:id="568"/>
      <w:r>
        <w:rPr>
          <w:rFonts w:ascii="Times New Roman;Times;Serif" w:hAnsi="Times New Roman;Times;Serif"/>
          <w:b w:val="false"/>
          <w:i w:val="false"/>
          <w:caps w:val="false"/>
          <w:smallCaps w:val="false"/>
          <w:sz w:val="20"/>
        </w:rPr>
        <w:t xml:space="preserve">10.41%, respectively, and </w:t>
      </w:r>
      <w:bookmarkStart w:id="569" w:name="xdx_902_eus-gaap--DebtInstrumentInterest"/>
      <w:bookmarkEnd w:id="569"/>
      <w:r>
        <w:rPr>
          <w:rFonts w:ascii="Times New Roman;Times;Serif" w:hAnsi="Times New Roman;Times;Serif"/>
          <w:b w:val="false"/>
          <w:i w:val="false"/>
          <w:caps w:val="false"/>
          <w:smallCaps w:val="false"/>
          <w:sz w:val="20"/>
        </w:rPr>
        <w:t xml:space="preserve">11.03% and </w:t>
      </w:r>
      <w:bookmarkStart w:id="570" w:name="xdx_906_eus-gaap--DebtInstrumentInterest"/>
      <w:bookmarkEnd w:id="570"/>
      <w:r>
        <w:rPr>
          <w:rFonts w:ascii="Times New Roman;Times;Serif" w:hAnsi="Times New Roman;Times;Serif"/>
          <w:b w:val="false"/>
          <w:i w:val="false"/>
          <w:caps w:val="false"/>
          <w:smallCaps w:val="false"/>
          <w:sz w:val="20"/>
        </w:rPr>
        <w:t>11.17% for the same periods in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1" w:name="xdx_89A_eus-gaap--ScheduleOfMaturitiesOf"/>
      <w:bookmarkEnd w:id="571"/>
      <w:r>
        <w:rPr>
          <w:rFonts w:ascii="Times New Roman;Times;Serif" w:hAnsi="Times New Roman;Times;Serif"/>
          <w:b w:val="false"/>
          <w:i w:val="false"/>
          <w:caps w:val="false"/>
          <w:smallCaps w:val="false"/>
          <w:sz w:val="20"/>
        </w:rPr>
        <w:t>At September 30, 2025, future minimum payments under the Company’s debt were as follows: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72" w:name="xdx_8BE_z7iriAS2bG43"/>
      <w:bookmarkEnd w:id="572"/>
      <w:r>
        <w:rPr>
          <w:rFonts w:ascii="Times New Roman;Times;Serif" w:hAnsi="Times New Roman;Times;Serif"/>
          <w:b w:val="false"/>
          <w:i w:val="false"/>
          <w:caps w:val="false"/>
          <w:smallCaps w:val="false"/>
          <w:sz w:val="20"/>
        </w:rPr>
        <w:t>SCHEDULE OF FUTURE MINIMUM PAYMENT UNDER NOTES PAYABLES </w:t>
      </w:r>
    </w:p>
    <w:tbl>
      <w:tblPr>
        <w:tblW w:w="6695" w:type="dxa"/>
        <w:jc w:val="left"/>
        <w:tblInd w:w="0" w:type="dxa"/>
        <w:tblLayout w:type="fixed"/>
        <w:tblCellMar>
          <w:top w:w="0" w:type="dxa"/>
          <w:left w:w="0" w:type="dxa"/>
          <w:bottom w:w="0" w:type="dxa"/>
          <w:right w:w="0" w:type="dxa"/>
        </w:tblCellMar>
      </w:tblPr>
      <w:tblGrid>
        <w:gridCol w:w="5165"/>
        <w:gridCol w:w="60"/>
        <w:gridCol w:w="140"/>
        <w:gridCol w:w="1220"/>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3" w:name="xdx_492_20250930_zfzJag0klJxk"/>
            <w:bookmarkEnd w:id="573"/>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574" w:name="xdx_406_eus-gaap--LongTermDebtMaturities"/>
            <w:bookmarkEnd w:id="574"/>
          </w:p>
        </w:tc>
      </w:tr>
      <w:tr>
        <w:trPr/>
        <w:tc>
          <w:tcPr>
            <w:tcW w:w="5165" w:type="dxa"/>
            <w:tcBorders/>
            <w:shd w:fill="CCEEFF" w:val="clear"/>
            <w:vAlign w:val="center"/>
          </w:tcPr>
          <w:p>
            <w:pPr>
              <w:pStyle w:val="TableContents"/>
              <w:bidi w:val="0"/>
              <w:spacing w:before="0" w:after="283"/>
              <w:jc w:val="left"/>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75" w:name="xdx_40C_eus-gaap--LongTermDebtMaturities"/>
            <w:bookmarkEnd w:id="575"/>
          </w:p>
        </w:tc>
      </w:tr>
      <w:tr>
        <w:trPr/>
        <w:tc>
          <w:tcPr>
            <w:tcW w:w="516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21,681,000</w:t>
            </w:r>
          </w:p>
        </w:tc>
        <w:tc>
          <w:tcPr>
            <w:tcW w:w="110" w:type="dxa"/>
            <w:tcBorders/>
            <w:shd w:fill="FFFFFF" w:val="clear"/>
            <w:vAlign w:val="center"/>
          </w:tcPr>
          <w:p>
            <w:pPr>
              <w:pStyle w:val="TableContents"/>
              <w:bidi w:val="0"/>
              <w:spacing w:before="0" w:after="283"/>
              <w:jc w:val="left"/>
              <w:rPr/>
            </w:pPr>
            <w:r>
              <w:rPr/>
              <w:t> </w:t>
            </w:r>
            <w:bookmarkStart w:id="576" w:name="xdx_409_eus-gaap--LongTermDebtMaturities"/>
            <w:bookmarkEnd w:id="576"/>
          </w:p>
        </w:tc>
      </w:tr>
      <w:tr>
        <w:trPr/>
        <w:tc>
          <w:tcPr>
            <w:tcW w:w="516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21,563,000</w:t>
            </w:r>
          </w:p>
        </w:tc>
        <w:tc>
          <w:tcPr>
            <w:tcW w:w="110" w:type="dxa"/>
            <w:tcBorders/>
            <w:shd w:fill="CCEEFF" w:val="clear"/>
            <w:vAlign w:val="center"/>
          </w:tcPr>
          <w:p>
            <w:pPr>
              <w:pStyle w:val="TableContents"/>
              <w:bidi w:val="0"/>
              <w:spacing w:before="0" w:after="283"/>
              <w:jc w:val="left"/>
              <w:rPr/>
            </w:pPr>
            <w:r>
              <w:rPr/>
              <w:t> </w:t>
            </w:r>
            <w:bookmarkStart w:id="577" w:name="xdx_400_eus-gaap--LongTermDebtMaturities"/>
            <w:bookmarkEnd w:id="577"/>
          </w:p>
        </w:tc>
      </w:tr>
      <w:tr>
        <w:trPr/>
        <w:tc>
          <w:tcPr>
            <w:tcW w:w="516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21,622,000</w:t>
            </w:r>
          </w:p>
        </w:tc>
        <w:tc>
          <w:tcPr>
            <w:tcW w:w="110" w:type="dxa"/>
            <w:tcBorders/>
            <w:shd w:fill="FFFFFF" w:val="clear"/>
            <w:vAlign w:val="center"/>
          </w:tcPr>
          <w:p>
            <w:pPr>
              <w:pStyle w:val="TableContents"/>
              <w:bidi w:val="0"/>
              <w:spacing w:before="0" w:after="283"/>
              <w:jc w:val="left"/>
              <w:rPr/>
            </w:pPr>
            <w:r>
              <w:rPr/>
              <w:t> </w:t>
            </w:r>
            <w:bookmarkStart w:id="578" w:name="xdx_405_ecustom--LongTermDebtMaturitiesR"/>
            <w:bookmarkEnd w:id="578"/>
          </w:p>
        </w:tc>
      </w:tr>
      <w:tr>
        <w:trPr/>
        <w:tc>
          <w:tcPr>
            <w:tcW w:w="516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282,373,000</w:t>
            </w:r>
          </w:p>
        </w:tc>
        <w:tc>
          <w:tcPr>
            <w:tcW w:w="110" w:type="dxa"/>
            <w:tcBorders/>
            <w:shd w:fill="CCEEFF" w:val="clear"/>
            <w:vAlign w:val="center"/>
          </w:tcPr>
          <w:p>
            <w:pPr>
              <w:pStyle w:val="TableContents"/>
              <w:bidi w:val="0"/>
              <w:spacing w:before="0" w:after="283"/>
              <w:jc w:val="left"/>
              <w:rPr/>
            </w:pPr>
            <w:r>
              <w:rPr/>
              <w:t> </w:t>
            </w:r>
            <w:bookmarkStart w:id="579" w:name="xdx_403_eus-gaap--LongTermDebt_iTI_mtCzg"/>
            <w:bookmarkEnd w:id="579"/>
          </w:p>
        </w:tc>
      </w:tr>
      <w:tr>
        <w:trPr/>
        <w:tc>
          <w:tcPr>
            <w:tcW w:w="5165" w:type="dxa"/>
            <w:tcBorders/>
            <w:shd w:fill="FFFFFF" w:val="clear"/>
            <w:vAlign w:val="center"/>
          </w:tcPr>
          <w:p>
            <w:pPr>
              <w:pStyle w:val="TableContents"/>
              <w:bidi w:val="0"/>
              <w:spacing w:before="0" w:after="283"/>
              <w:jc w:val="left"/>
              <w:rPr/>
            </w:pPr>
            <w:r>
              <w:rPr/>
              <w:t>Total minimum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347,239,000</w:t>
            </w:r>
          </w:p>
        </w:tc>
        <w:tc>
          <w:tcPr>
            <w:tcW w:w="110" w:type="dxa"/>
            <w:tcBorders/>
            <w:shd w:fill="FFFFFF" w:val="clear"/>
            <w:vAlign w:val="center"/>
          </w:tcPr>
          <w:p>
            <w:pPr>
              <w:pStyle w:val="TableContents"/>
              <w:bidi w:val="0"/>
              <w:spacing w:before="0" w:after="283"/>
              <w:jc w:val="left"/>
              <w:rPr/>
            </w:pPr>
            <w:r>
              <w:rPr/>
              <w:t> </w:t>
            </w:r>
            <w:bookmarkStart w:id="580" w:name="xdx_40C_eus-gaap--PrepaidInterest_iNI_di"/>
            <w:bookmarkEnd w:id="580"/>
          </w:p>
        </w:tc>
      </w:tr>
      <w:tr>
        <w:trPr/>
        <w:tc>
          <w:tcPr>
            <w:tcW w:w="5165" w:type="dxa"/>
            <w:tcBorders/>
            <w:shd w:fill="CCEEFF" w:val="clear"/>
            <w:vAlign w:val="center"/>
          </w:tcPr>
          <w:p>
            <w:pPr>
              <w:pStyle w:val="TableContents"/>
              <w:bidi w:val="0"/>
              <w:spacing w:before="0" w:after="283"/>
              <w:jc w:val="left"/>
              <w:rPr/>
            </w:pPr>
            <w:r>
              <w:rPr/>
              <w:t>Less: amount representing interest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(97,239,000</w:t>
            </w:r>
          </w:p>
        </w:tc>
        <w:tc>
          <w:tcPr>
            <w:tcW w:w="110" w:type="dxa"/>
            <w:tcBorders/>
            <w:shd w:fill="CCEEFF" w:val="clear"/>
            <w:vAlign w:val="center"/>
          </w:tcPr>
          <w:p>
            <w:pPr>
              <w:pStyle w:val="TableContents"/>
              <w:bidi w:val="0"/>
              <w:spacing w:before="0" w:after="283"/>
              <w:jc w:val="left"/>
              <w:rPr/>
            </w:pPr>
            <w:r>
              <w:rPr/>
              <w:t>)</w:t>
            </w:r>
            <w:bookmarkStart w:id="581" w:name="xdx_401_eus-gaap--DebtInstrumentCarrying"/>
            <w:bookmarkEnd w:id="581"/>
          </w:p>
        </w:tc>
      </w:tr>
      <w:tr>
        <w:trPr/>
        <w:tc>
          <w:tcPr>
            <w:tcW w:w="5165" w:type="dxa"/>
            <w:tcBorders/>
            <w:shd w:fill="FFFFFF" w:val="clear"/>
            <w:vAlign w:val="center"/>
          </w:tcPr>
          <w:p>
            <w:pPr>
              <w:pStyle w:val="TableContents"/>
              <w:bidi w:val="0"/>
              <w:spacing w:before="0" w:after="283"/>
              <w:jc w:val="left"/>
              <w:rPr/>
            </w:pPr>
            <w:r>
              <w:rPr/>
              <w:t>Notes payable, gross principal amount due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250,000,000</w:t>
            </w:r>
          </w:p>
        </w:tc>
        <w:tc>
          <w:tcPr>
            <w:tcW w:w="110" w:type="dxa"/>
            <w:tcBorders/>
            <w:shd w:fill="FFFFFF" w:val="clear"/>
            <w:vAlign w:val="center"/>
          </w:tcPr>
          <w:p>
            <w:pPr>
              <w:pStyle w:val="TableContents"/>
              <w:bidi w:val="0"/>
              <w:spacing w:before="0" w:after="283"/>
              <w:jc w:val="left"/>
              <w:rPr/>
            </w:pPr>
            <w:r>
              <w:rPr/>
              <w:t> </w:t>
            </w:r>
            <w:bookmarkStart w:id="582" w:name="xdx_40F_eus-gaap--DebtInstrumentUnamorti"/>
            <w:bookmarkEnd w:id="582"/>
          </w:p>
        </w:tc>
      </w:tr>
      <w:tr>
        <w:trPr/>
        <w:tc>
          <w:tcPr>
            <w:tcW w:w="5165" w:type="dxa"/>
            <w:tcBorders/>
            <w:shd w:fill="CCEEFF" w:val="clear"/>
            <w:vAlign w:val="center"/>
          </w:tcPr>
          <w:p>
            <w:pPr>
              <w:pStyle w:val="TableContents"/>
              <w:bidi w:val="0"/>
              <w:spacing w:before="0" w:after="283"/>
              <w:jc w:val="left"/>
              <w:rPr/>
            </w:pPr>
            <w:r>
              <w:rPr/>
              <w:t>Less: unamortized debt issuance costs, net of premium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(7,126,000</w:t>
            </w:r>
          </w:p>
        </w:tc>
        <w:tc>
          <w:tcPr>
            <w:tcW w:w="110" w:type="dxa"/>
            <w:tcBorders/>
            <w:shd w:fill="CCEEFF" w:val="clear"/>
            <w:vAlign w:val="center"/>
          </w:tcPr>
          <w:p>
            <w:pPr>
              <w:pStyle w:val="TableContents"/>
              <w:bidi w:val="0"/>
              <w:spacing w:before="0" w:after="283"/>
              <w:jc w:val="left"/>
              <w:rPr/>
            </w:pPr>
            <w:r>
              <w:rPr/>
              <w:t>)</w:t>
            </w:r>
            <w:bookmarkStart w:id="583" w:name="xdx_40F_eus-gaap--LongTermNotesPayable_i"/>
            <w:bookmarkEnd w:id="583"/>
          </w:p>
        </w:tc>
      </w:tr>
      <w:tr>
        <w:trPr/>
        <w:tc>
          <w:tcPr>
            <w:tcW w:w="5165" w:type="dxa"/>
            <w:tcBorders/>
            <w:shd w:fill="FFFFFF" w:val="clear"/>
            <w:vAlign w:val="center"/>
          </w:tcPr>
          <w:p>
            <w:pPr>
              <w:pStyle w:val="TableContents"/>
              <w:bidi w:val="0"/>
              <w:spacing w:before="0" w:after="283"/>
              <w:jc w:val="left"/>
              <w:rPr/>
            </w:pPr>
            <w:r>
              <w:rPr/>
              <w:t>Notes payable, net of unamortized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242,874,000</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584" w:name="xdx_8A8_zieMYWBVHiQ6"/>
      <w:bookmarkEnd w:id="58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5" w:name="xdx_80B_eus-gaap--LesseeOperatingLeasesT"/>
      <w:bookmarkEnd w:id="585"/>
      <w:r>
        <w:rPr>
          <w:rFonts w:ascii="Times New Roman;Times;Serif" w:hAnsi="Times New Roman;Times;Serif"/>
          <w:b/>
          <w:i w:val="false"/>
          <w:caps w:val="false"/>
          <w:smallCaps w:val="false"/>
          <w:sz w:val="20"/>
        </w:rPr>
        <w:t xml:space="preserve">NOTE 11. </w:t>
      </w:r>
      <w:bookmarkStart w:id="586" w:name="xdx_827_zDvhxH7smTse"/>
      <w:bookmarkEnd w:id="58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and laboratory space under the non-cancelable operating leases listed below. Except as indicated, these lease agreements have remaining terms between two</w:t>
      </w:r>
      <w:bookmarkStart w:id="587" w:name="xdx_90A_eus-gaap--LesseeOperatingLeaseRe"/>
      <w:bookmarkEnd w:id="587"/>
      <w:r>
        <w:rPr>
          <w:rFonts w:ascii="Times New Roman;Times;Serif" w:hAnsi="Times New Roman;Times;Serif"/>
          <w:b w:val="false"/>
          <w:i w:val="false"/>
          <w:caps w:val="false"/>
          <w:smallCaps w:val="false"/>
          <w:sz w:val="18"/>
        </w:rPr>
        <w:t>2</w:t>
      </w:r>
      <w:r>
        <w:rPr>
          <w:rFonts w:ascii="Times New Roman;Times;Serif" w:hAnsi="Times New Roman;Times;Serif"/>
          <w:b w:val="false"/>
          <w:i w:val="false"/>
          <w:caps w:val="false"/>
          <w:smallCaps w:val="false"/>
          <w:sz w:val="20"/>
        </w:rPr>
        <w:t xml:space="preserve"> to </w:t>
      </w:r>
      <w:bookmarkStart w:id="588" w:name="xdx_904_eus-gaap--LesseeOperatingLeaseRe"/>
      <w:bookmarkEnd w:id="588"/>
      <w:r>
        <w:rPr>
          <w:rFonts w:ascii="Times New Roman;Times;Serif" w:hAnsi="Times New Roman;Times;Serif"/>
          <w:b w:val="false"/>
          <w:i w:val="false"/>
          <w:caps w:val="false"/>
          <w:smallCaps w:val="false"/>
          <w:sz w:val="20"/>
        </w:rPr>
        <w:t>seven years and contain various clauses for renewal at the Company’s option.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89" w:name="xdx_90C_eus-gaap--AreaOfLand_iI_uSquareF"/>
            <w:bookmarkEnd w:id="589"/>
            <w:r>
              <w:rPr>
                <w:rFonts w:ascii="Times New Roman;Times;Serif" w:hAnsi="Times New Roman;Times;Serif"/>
                <w:b w:val="false"/>
                <w:i w:val="false"/>
                <w:caps w:val="false"/>
                <w:smallCaps w:val="false"/>
                <w:sz w:val="20"/>
              </w:rPr>
              <w:t xml:space="preserve">38,200 square feet of lab, warehouse and office space in Ledgewood, New Jersey that expires in </w:t>
            </w:r>
            <w:bookmarkStart w:id="590" w:name="xdx_90B_ecustom--LeaseExpirationDateDesc"/>
            <w:bookmarkEnd w:id="590"/>
            <w:r>
              <w:rPr>
                <w:rFonts w:ascii="Times New Roman;Times;Serif" w:hAnsi="Times New Roman;Times;Serif"/>
                <w:b w:val="false"/>
                <w:i w:val="false"/>
                <w:caps w:val="false"/>
                <w:smallCaps w:val="false"/>
                <w:sz w:val="20"/>
              </w:rPr>
              <w:t>July 2027, with an option to extend the term for two additional five-year periods.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91" w:name="xdx_90E_eus-gaap--AreaOfLand_iI_uSquareF"/>
            <w:bookmarkEnd w:id="591"/>
            <w:r>
              <w:rPr>
                <w:rFonts w:ascii="Times New Roman;Times;Serif" w:hAnsi="Times New Roman;Times;Serif"/>
                <w:b w:val="false"/>
                <w:i w:val="false"/>
                <w:caps w:val="false"/>
                <w:smallCaps w:val="false"/>
                <w:sz w:val="20"/>
              </w:rPr>
              <w:t xml:space="preserve">17,700 square feet of office space in Nashville, Tennessee that expires in </w:t>
            </w:r>
            <w:bookmarkStart w:id="592" w:name="xdx_902_ecustom--LeaseExpirationDateDesc"/>
            <w:bookmarkEnd w:id="592"/>
            <w:r>
              <w:rPr>
                <w:rFonts w:ascii="Times New Roman;Times;Serif" w:hAnsi="Times New Roman;Times;Serif"/>
                <w:b w:val="false"/>
                <w:i w:val="false"/>
                <w:caps w:val="false"/>
                <w:smallCaps w:val="false"/>
                <w:sz w:val="20"/>
              </w:rPr>
              <w:t>June 2032, and includes options to extend the lease term to June 2042.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93" w:name="xdx_901_eus-gaap--AreaOfLand_iI_uSquareF"/>
            <w:bookmarkEnd w:id="593"/>
            <w:r>
              <w:rPr>
                <w:rFonts w:ascii="Times New Roman;Times;Serif" w:hAnsi="Times New Roman;Times;Serif"/>
                <w:b w:val="false"/>
                <w:i w:val="false"/>
                <w:caps w:val="false"/>
                <w:smallCaps w:val="false"/>
                <w:sz w:val="20"/>
              </w:rPr>
              <w:t xml:space="preserve">11,600 square feet of lab and office space in Nashville, Tennessee which commenced in September 2022 and expires in </w:t>
            </w:r>
            <w:bookmarkStart w:id="594" w:name="xdx_908_ecustom--LeaseExpirationDateDesc"/>
            <w:bookmarkEnd w:id="594"/>
            <w:r>
              <w:rPr>
                <w:rFonts w:ascii="Times New Roman;Times;Serif" w:hAnsi="Times New Roman;Times;Serif"/>
                <w:b w:val="false"/>
                <w:i w:val="false"/>
                <w:caps w:val="false"/>
                <w:smallCaps w:val="false"/>
                <w:sz w:val="20"/>
              </w:rPr>
              <w:t>September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September 30, 2025, the weighted average incremental borrowing rate and the weighted average remaining lease term for the operating leases held by the Company were </w:t>
      </w:r>
      <w:bookmarkStart w:id="595" w:name="xdx_90D_eus-gaap--OperatingLeaseWeighted"/>
      <w:bookmarkEnd w:id="595"/>
      <w:r>
        <w:rPr>
          <w:rFonts w:ascii="Times New Roman;Times;Serif" w:hAnsi="Times New Roman;Times;Serif"/>
          <w:b w:val="false"/>
          <w:i w:val="false"/>
          <w:caps w:val="false"/>
          <w:smallCaps w:val="false"/>
          <w:sz w:val="20"/>
        </w:rPr>
        <w:t xml:space="preserve">8.08% and </w:t>
      </w:r>
      <w:bookmarkStart w:id="596" w:name="xdx_90C_eus-gaap--OperatingLeaseWeighted"/>
      <w:bookmarkEnd w:id="596"/>
      <w:r>
        <w:rPr>
          <w:rFonts w:ascii="Times New Roman;Times;Serif" w:hAnsi="Times New Roman;Times;Serif"/>
          <w:b w:val="false"/>
          <w:i w:val="false"/>
          <w:caps w:val="false"/>
          <w:smallCaps w:val="false"/>
          <w:sz w:val="20"/>
        </w:rPr>
        <w:t>9.5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2025, cash paid for amounts included for the operating lease liabilities was $</w:t>
      </w:r>
      <w:bookmarkStart w:id="597" w:name="xdx_90B_eus-gaap--OperatingLeasePayments"/>
      <w:bookmarkEnd w:id="597"/>
      <w:r>
        <w:rPr>
          <w:rFonts w:ascii="Times New Roman;Times;Serif" w:hAnsi="Times New Roman;Times;Serif"/>
          <w:b w:val="false"/>
          <w:i w:val="false"/>
          <w:caps w:val="false"/>
          <w:smallCaps w:val="false"/>
          <w:sz w:val="20"/>
        </w:rPr>
        <w:t>332,000 and $</w:t>
      </w:r>
      <w:bookmarkStart w:id="598" w:name="xdx_90B_eus-gaap--OperatingLeasePayments"/>
      <w:bookmarkEnd w:id="598"/>
      <w:r>
        <w:rPr>
          <w:rFonts w:ascii="Times New Roman;Times;Serif" w:hAnsi="Times New Roman;Times;Serif"/>
          <w:b w:val="false"/>
          <w:i w:val="false"/>
          <w:caps w:val="false"/>
          <w:smallCaps w:val="false"/>
          <w:sz w:val="20"/>
        </w:rPr>
        <w:t>840,000, respectively, and $</w:t>
      </w:r>
      <w:bookmarkStart w:id="599" w:name="xdx_908_eus-gaap--OperatingLeasePayments"/>
      <w:bookmarkEnd w:id="599"/>
      <w:r>
        <w:rPr>
          <w:rFonts w:ascii="Times New Roman;Times;Serif" w:hAnsi="Times New Roman;Times;Serif"/>
          <w:b w:val="false"/>
          <w:i w:val="false"/>
          <w:caps w:val="false"/>
          <w:smallCaps w:val="false"/>
          <w:sz w:val="20"/>
        </w:rPr>
        <w:t>327,000 and $</w:t>
      </w:r>
      <w:bookmarkStart w:id="600" w:name="xdx_905_eus-gaap--OperatingLeasePayments"/>
      <w:bookmarkEnd w:id="600"/>
      <w:r>
        <w:rPr>
          <w:rFonts w:ascii="Times New Roman;Times;Serif" w:hAnsi="Times New Roman;Times;Serif"/>
          <w:b w:val="false"/>
          <w:i w:val="false"/>
          <w:caps w:val="false"/>
          <w:smallCaps w:val="false"/>
          <w:sz w:val="20"/>
        </w:rPr>
        <w:t>972,000 for the same periods in 2024, respectively. During the three and nine months ended September 30, 2025, the Company recorded operating lease expense of $</w:t>
      </w:r>
      <w:bookmarkStart w:id="601" w:name="xdx_90A_eus-gaap--OperatingLeaseExpense_"/>
      <w:bookmarkEnd w:id="601"/>
      <w:r>
        <w:rPr>
          <w:rFonts w:ascii="Times New Roman;Times;Serif" w:hAnsi="Times New Roman;Times;Serif"/>
          <w:b w:val="false"/>
          <w:i w:val="false"/>
          <w:caps w:val="false"/>
          <w:smallCaps w:val="false"/>
          <w:sz w:val="20"/>
        </w:rPr>
        <w:t>365,000 and $</w:t>
      </w:r>
      <w:bookmarkStart w:id="602" w:name="xdx_902_eus-gaap--OperatingLeaseExpense_"/>
      <w:bookmarkEnd w:id="602"/>
      <w:r>
        <w:rPr>
          <w:rFonts w:ascii="Times New Roman;Times;Serif" w:hAnsi="Times New Roman;Times;Serif"/>
          <w:b w:val="false"/>
          <w:i w:val="false"/>
          <w:caps w:val="false"/>
          <w:smallCaps w:val="false"/>
          <w:sz w:val="20"/>
        </w:rPr>
        <w:t>1,116,000, respectively, and $</w:t>
      </w:r>
      <w:bookmarkStart w:id="603" w:name="xdx_90A_eus-gaap--OperatingLeaseExpense_"/>
      <w:bookmarkEnd w:id="603"/>
      <w:r>
        <w:rPr>
          <w:rFonts w:ascii="Times New Roman;Times;Serif" w:hAnsi="Times New Roman;Times;Serif"/>
          <w:b w:val="false"/>
          <w:i w:val="false"/>
          <w:caps w:val="false"/>
          <w:smallCaps w:val="false"/>
          <w:sz w:val="20"/>
        </w:rPr>
        <w:t>414,000 and $</w:t>
      </w:r>
      <w:bookmarkStart w:id="604" w:name="xdx_90E_eus-gaap--OperatingLeaseExpense_"/>
      <w:bookmarkEnd w:id="604"/>
      <w:r>
        <w:rPr>
          <w:rFonts w:ascii="Times New Roman;Times;Serif" w:hAnsi="Times New Roman;Times;Serif"/>
          <w:b w:val="false"/>
          <w:i w:val="false"/>
          <w:caps w:val="false"/>
          <w:smallCaps w:val="false"/>
          <w:sz w:val="20"/>
        </w:rPr>
        <w:t>1,053,000 for the same periods in 2024, respectively. Operating lease expense is included in selling, general and administrative expenses within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5" w:name="xdx_89E_eus-gaap--LesseeOperatingLeaseLi"/>
      <w:bookmarkEnd w:id="605"/>
      <w:r>
        <w:rPr>
          <w:rFonts w:ascii="Times New Roman;Times;Serif" w:hAnsi="Times New Roman;Times;Serif"/>
          <w:b w:val="false"/>
          <w:i w:val="false"/>
          <w:caps w:val="false"/>
          <w:smallCaps w:val="false"/>
          <w:sz w:val="20"/>
        </w:rPr>
        <w:t>Future lease payments under operating leases as of September 30, 2025 were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06" w:name="xdx_8B1_zKRiCkks0pr8"/>
      <w:bookmarkEnd w:id="606"/>
      <w:r>
        <w:rPr>
          <w:rFonts w:ascii="Times New Roman;Times;Serif" w:hAnsi="Times New Roman;Times;Serif"/>
          <w:b w:val="false"/>
          <w:i w:val="false"/>
          <w:caps w:val="false"/>
          <w:smallCaps w:val="false"/>
          <w:sz w:val="20"/>
        </w:rPr>
        <w:t>SCHEDULE OF FUTURE LEASE PAYMENTS UNDER OPERATING LEASES</w:t>
      </w:r>
    </w:p>
    <w:tbl>
      <w:tblPr>
        <w:tblW w:w="6125" w:type="dxa"/>
        <w:jc w:val="left"/>
        <w:tblInd w:w="0" w:type="dxa"/>
        <w:tblLayout w:type="fixed"/>
        <w:tblCellMar>
          <w:top w:w="0" w:type="dxa"/>
          <w:left w:w="0" w:type="dxa"/>
          <w:bottom w:w="0" w:type="dxa"/>
          <w:right w:w="0" w:type="dxa"/>
        </w:tblCellMar>
      </w:tblPr>
      <w:tblGrid>
        <w:gridCol w:w="4715"/>
        <w:gridCol w:w="60"/>
        <w:gridCol w:w="140"/>
        <w:gridCol w:w="1100"/>
        <w:gridCol w:w="11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7" w:name="xdx_493_20250930_zDnrrGNS00Ba"/>
            <w:bookmarkEnd w:id="60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w:t>
              <w:br/>
              <w:t>Leases</w:t>
            </w:r>
          </w:p>
        </w:tc>
        <w:tc>
          <w:tcPr>
            <w:tcW w:w="110" w:type="dxa"/>
            <w:tcBorders/>
            <w:vAlign w:val="center"/>
          </w:tcPr>
          <w:p>
            <w:pPr>
              <w:pStyle w:val="TableContents"/>
              <w:bidi w:val="0"/>
              <w:spacing w:before="0" w:after="283"/>
              <w:jc w:val="left"/>
              <w:rPr/>
            </w:pPr>
            <w:r>
              <w:rPr/>
              <w:t> </w:t>
            </w:r>
            <w:bookmarkStart w:id="608" w:name="xdx_40E_eus-gaap--LesseeOperatingLeaseLi"/>
            <w:bookmarkEnd w:id="608"/>
          </w:p>
        </w:tc>
      </w:tr>
      <w:tr>
        <w:trPr/>
        <w:tc>
          <w:tcPr>
            <w:tcW w:w="4715" w:type="dxa"/>
            <w:tcBorders/>
            <w:shd w:fill="CCEEFF" w:val="clear"/>
            <w:vAlign w:val="center"/>
          </w:tcPr>
          <w:p>
            <w:pPr>
              <w:pStyle w:val="TableContents"/>
              <w:bidi w:val="0"/>
              <w:spacing w:before="0" w:after="283"/>
              <w:jc w:val="left"/>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586,000</w:t>
            </w:r>
          </w:p>
        </w:tc>
        <w:tc>
          <w:tcPr>
            <w:tcW w:w="110" w:type="dxa"/>
            <w:tcBorders/>
            <w:shd w:fill="CCEEFF" w:val="clear"/>
            <w:vAlign w:val="center"/>
          </w:tcPr>
          <w:p>
            <w:pPr>
              <w:pStyle w:val="TableContents"/>
              <w:bidi w:val="0"/>
              <w:spacing w:before="0" w:after="283"/>
              <w:jc w:val="left"/>
              <w:rPr/>
            </w:pPr>
            <w:r>
              <w:rPr/>
              <w:t> </w:t>
            </w:r>
            <w:bookmarkStart w:id="609" w:name="xdx_408_eus-gaap--LesseeOperatingLeaseLi"/>
            <w:bookmarkEnd w:id="609"/>
          </w:p>
        </w:tc>
      </w:tr>
      <w:tr>
        <w:trPr/>
        <w:tc>
          <w:tcPr>
            <w:tcW w:w="471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1,551,000</w:t>
            </w:r>
          </w:p>
        </w:tc>
        <w:tc>
          <w:tcPr>
            <w:tcW w:w="110" w:type="dxa"/>
            <w:tcBorders/>
            <w:shd w:fill="FFFFFF" w:val="clear"/>
            <w:vAlign w:val="center"/>
          </w:tcPr>
          <w:p>
            <w:pPr>
              <w:pStyle w:val="TableContents"/>
              <w:bidi w:val="0"/>
              <w:spacing w:before="0" w:after="283"/>
              <w:jc w:val="left"/>
              <w:rPr/>
            </w:pPr>
            <w:r>
              <w:rPr/>
              <w:t> </w:t>
            </w:r>
            <w:bookmarkStart w:id="610" w:name="xdx_40E_eus-gaap--LesseeOperatingLeaseLi"/>
            <w:bookmarkEnd w:id="610"/>
          </w:p>
        </w:tc>
      </w:tr>
      <w:tr>
        <w:trPr/>
        <w:tc>
          <w:tcPr>
            <w:tcW w:w="471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1,425,000</w:t>
            </w:r>
          </w:p>
        </w:tc>
        <w:tc>
          <w:tcPr>
            <w:tcW w:w="110" w:type="dxa"/>
            <w:tcBorders/>
            <w:shd w:fill="CCEEFF" w:val="clear"/>
            <w:vAlign w:val="center"/>
          </w:tcPr>
          <w:p>
            <w:pPr>
              <w:pStyle w:val="TableContents"/>
              <w:bidi w:val="0"/>
              <w:spacing w:before="0" w:after="283"/>
              <w:jc w:val="left"/>
              <w:rPr/>
            </w:pPr>
            <w:r>
              <w:rPr/>
              <w:t> </w:t>
            </w:r>
            <w:bookmarkStart w:id="611" w:name="xdx_400_eus-gaap--LesseeOperatingLeaseLi"/>
            <w:bookmarkEnd w:id="611"/>
          </w:p>
        </w:tc>
      </w:tr>
      <w:tr>
        <w:trPr/>
        <w:tc>
          <w:tcPr>
            <w:tcW w:w="471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1,288,000</w:t>
            </w:r>
          </w:p>
        </w:tc>
        <w:tc>
          <w:tcPr>
            <w:tcW w:w="110" w:type="dxa"/>
            <w:tcBorders/>
            <w:shd w:fill="FFFFFF" w:val="clear"/>
            <w:vAlign w:val="center"/>
          </w:tcPr>
          <w:p>
            <w:pPr>
              <w:pStyle w:val="TableContents"/>
              <w:bidi w:val="0"/>
              <w:spacing w:before="0" w:after="283"/>
              <w:jc w:val="left"/>
              <w:rPr/>
            </w:pPr>
            <w:r>
              <w:rPr/>
              <w:t> </w:t>
            </w:r>
            <w:bookmarkStart w:id="612" w:name="xdx_40A_eus-gaap--LesseeOperatingLeaseLi"/>
            <w:bookmarkEnd w:id="612"/>
          </w:p>
        </w:tc>
      </w:tr>
      <w:tr>
        <w:trPr/>
        <w:tc>
          <w:tcPr>
            <w:tcW w:w="4715"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1,304,000</w:t>
            </w:r>
          </w:p>
        </w:tc>
        <w:tc>
          <w:tcPr>
            <w:tcW w:w="110" w:type="dxa"/>
            <w:tcBorders/>
            <w:shd w:fill="CCEEFF" w:val="clear"/>
            <w:vAlign w:val="center"/>
          </w:tcPr>
          <w:p>
            <w:pPr>
              <w:pStyle w:val="TableContents"/>
              <w:bidi w:val="0"/>
              <w:spacing w:before="0" w:after="283"/>
              <w:jc w:val="left"/>
              <w:rPr/>
            </w:pPr>
            <w:r>
              <w:rPr/>
              <w:t> </w:t>
            </w:r>
            <w:bookmarkStart w:id="613" w:name="xdx_401_ecustom--LesseeOperatingLeaseLia"/>
            <w:bookmarkEnd w:id="613"/>
          </w:p>
        </w:tc>
      </w:tr>
      <w:tr>
        <w:trPr/>
        <w:tc>
          <w:tcPr>
            <w:tcW w:w="471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6,464,000</w:t>
            </w:r>
          </w:p>
        </w:tc>
        <w:tc>
          <w:tcPr>
            <w:tcW w:w="110" w:type="dxa"/>
            <w:tcBorders/>
            <w:shd w:fill="FFFFFF" w:val="clear"/>
            <w:vAlign w:val="center"/>
          </w:tcPr>
          <w:p>
            <w:pPr>
              <w:pStyle w:val="TableContents"/>
              <w:bidi w:val="0"/>
              <w:spacing w:before="0" w:after="283"/>
              <w:jc w:val="left"/>
              <w:rPr/>
            </w:pPr>
            <w:r>
              <w:rPr/>
              <w:t> </w:t>
            </w:r>
            <w:bookmarkStart w:id="614" w:name="xdx_401_eus-gaap--LesseeOperatingLeaseLi"/>
            <w:bookmarkEnd w:id="614"/>
          </w:p>
        </w:tc>
      </w:tr>
      <w:tr>
        <w:trPr/>
        <w:tc>
          <w:tcPr>
            <w:tcW w:w="4715"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12,618,000</w:t>
            </w:r>
          </w:p>
        </w:tc>
        <w:tc>
          <w:tcPr>
            <w:tcW w:w="110" w:type="dxa"/>
            <w:tcBorders/>
            <w:shd w:fill="CCEEFF" w:val="clear"/>
            <w:vAlign w:val="center"/>
          </w:tcPr>
          <w:p>
            <w:pPr>
              <w:pStyle w:val="TableContents"/>
              <w:bidi w:val="0"/>
              <w:spacing w:before="0" w:after="283"/>
              <w:jc w:val="left"/>
              <w:rPr/>
            </w:pPr>
            <w:r>
              <w:rPr/>
              <w:t> </w:t>
            </w:r>
            <w:bookmarkStart w:id="615" w:name="xdx_400_eus-gaap--LesseeOperatingLeaseLi"/>
            <w:bookmarkEnd w:id="615"/>
          </w:p>
        </w:tc>
      </w:tr>
      <w:tr>
        <w:trPr/>
        <w:tc>
          <w:tcPr>
            <w:tcW w:w="4715"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(3,620,000</w:t>
            </w:r>
          </w:p>
        </w:tc>
        <w:tc>
          <w:tcPr>
            <w:tcW w:w="110" w:type="dxa"/>
            <w:tcBorders/>
            <w:shd w:fill="FFFFFF" w:val="clear"/>
            <w:vAlign w:val="center"/>
          </w:tcPr>
          <w:p>
            <w:pPr>
              <w:pStyle w:val="TableContents"/>
              <w:bidi w:val="0"/>
              <w:spacing w:before="0" w:after="283"/>
              <w:jc w:val="left"/>
              <w:rPr/>
            </w:pPr>
            <w:r>
              <w:rPr/>
              <w:t>)</w:t>
            </w:r>
            <w:bookmarkStart w:id="616" w:name="xdx_406_eus-gaap--OperatingLeaseLiabilit"/>
            <w:bookmarkEnd w:id="616"/>
          </w:p>
        </w:tc>
      </w:tr>
      <w:tr>
        <w:trPr/>
        <w:tc>
          <w:tcPr>
            <w:tcW w:w="4715" w:type="dxa"/>
            <w:tcBorders/>
            <w:shd w:fill="CCEEFF" w:val="clear"/>
            <w:vAlign w:val="center"/>
          </w:tcPr>
          <w:p>
            <w:pPr>
              <w:pStyle w:val="TableContents"/>
              <w:bidi w:val="0"/>
              <w:spacing w:before="0" w:after="283"/>
              <w:jc w:val="left"/>
              <w:rPr/>
            </w:pPr>
            <w:r>
              <w:rPr/>
              <w:t>Total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8,998,000</w:t>
            </w:r>
          </w:p>
        </w:tc>
        <w:tc>
          <w:tcPr>
            <w:tcW w:w="110" w:type="dxa"/>
            <w:tcBorders/>
            <w:shd w:fill="CCEEFF" w:val="clear"/>
            <w:vAlign w:val="center"/>
          </w:tcPr>
          <w:p>
            <w:pPr>
              <w:pStyle w:val="TableContents"/>
              <w:bidi w:val="0"/>
              <w:spacing w:before="0" w:after="283"/>
              <w:jc w:val="left"/>
              <w:rPr/>
            </w:pPr>
            <w:r>
              <w:rPr/>
              <w:t> </w:t>
            </w:r>
            <w:bookmarkStart w:id="617" w:name="xdx_40E_eus-gaap--OperatingLeaseLiabilit"/>
            <w:bookmarkEnd w:id="617"/>
          </w:p>
        </w:tc>
      </w:tr>
      <w:tr>
        <w:trPr/>
        <w:tc>
          <w:tcPr>
            <w:tcW w:w="4715" w:type="dxa"/>
            <w:tcBorders/>
            <w:shd w:fill="FFFFFF" w:val="clear"/>
            <w:vAlign w:val="center"/>
          </w:tcPr>
          <w:p>
            <w:pPr>
              <w:pStyle w:val="TableContents"/>
              <w:bidi w:val="0"/>
              <w:spacing w:before="0" w:after="283"/>
              <w:jc w:val="left"/>
              <w:rPr/>
            </w:pPr>
            <w:r>
              <w:rPr/>
              <w:t>Less: current portion,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(859,000</w:t>
            </w:r>
          </w:p>
        </w:tc>
        <w:tc>
          <w:tcPr>
            <w:tcW w:w="110" w:type="dxa"/>
            <w:tcBorders/>
            <w:shd w:fill="FFFFFF" w:val="clear"/>
            <w:vAlign w:val="center"/>
          </w:tcPr>
          <w:p>
            <w:pPr>
              <w:pStyle w:val="TableContents"/>
              <w:bidi w:val="0"/>
              <w:spacing w:before="0" w:after="283"/>
              <w:jc w:val="left"/>
              <w:rPr/>
            </w:pPr>
            <w:r>
              <w:rPr/>
              <w:t>)</w:t>
            </w:r>
            <w:bookmarkStart w:id="618" w:name="xdx_40C_eus-gaap--OperatingLeaseLiabilit"/>
            <w:bookmarkEnd w:id="618"/>
          </w:p>
        </w:tc>
      </w:tr>
      <w:tr>
        <w:trPr/>
        <w:tc>
          <w:tcPr>
            <w:tcW w:w="4715" w:type="dxa"/>
            <w:tcBorders/>
            <w:shd w:fill="CCEEFF" w:val="clear"/>
            <w:vAlign w:val="center"/>
          </w:tcPr>
          <w:p>
            <w:pPr>
              <w:pStyle w:val="TableContents"/>
              <w:bidi w:val="0"/>
              <w:spacing w:before="0" w:after="283"/>
              <w:jc w:val="left"/>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8,139,000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9" w:name="xdx_8AA_z1P2YDjCrn5"/>
      <w:bookmarkEnd w:id="61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0" w:name="xdx_801_eus-gaap--ShareholdersEquityAndS"/>
      <w:bookmarkEnd w:id="620"/>
      <w:r>
        <w:rPr>
          <w:rFonts w:ascii="Times New Roman;Times;Serif" w:hAnsi="Times New Roman;Times;Serif"/>
          <w:b/>
          <w:i w:val="false"/>
          <w:caps w:val="false"/>
          <w:smallCaps w:val="false"/>
          <w:sz w:val="20"/>
        </w:rPr>
        <w:t xml:space="preserve">NOTE 12. </w:t>
      </w:r>
      <w:bookmarkStart w:id="621" w:name="xdx_824_zw0u2mEQvVJl"/>
      <w:bookmarkEnd w:id="621"/>
      <w:r>
        <w:rPr>
          <w:rFonts w:ascii="Times New Roman;Times;Serif" w:hAnsi="Times New Roman;Times;Serif"/>
          <w:b/>
          <w:i w:val="false"/>
          <w:caps w:val="false"/>
          <w:smallCaps w:val="false"/>
          <w:sz w:val="20"/>
        </w:rPr>
        <w:t>STOCKHOLDERS’ EQUITY AND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upon vesting of </w:t>
      </w:r>
      <w:bookmarkStart w:id="622" w:name="xdx_903_eus-gaap--ShareBasedCompensation"/>
      <w:bookmarkEnd w:id="622"/>
      <w:r>
        <w:rPr>
          <w:rFonts w:ascii="Times New Roman;Times;Serif" w:hAnsi="Times New Roman;Times;Serif"/>
          <w:b w:val="false"/>
          <w:i w:val="false"/>
          <w:caps w:val="false"/>
          <w:smallCaps w:val="false"/>
          <w:sz w:val="20"/>
        </w:rPr>
        <w:t xml:space="preserve">346,500 PSUs granted in April 2023 to Andrew R. Boll, the Company’s President and Chief Financial Officer, the Company issued </w:t>
      </w:r>
      <w:bookmarkStart w:id="623" w:name="xdx_908_eus-gaap--StockIssuedDuringPerio"/>
      <w:bookmarkEnd w:id="623"/>
      <w:r>
        <w:rPr>
          <w:rFonts w:ascii="Times New Roman;Times;Serif" w:hAnsi="Times New Roman;Times;Serif"/>
          <w:b w:val="false"/>
          <w:i w:val="false"/>
          <w:caps w:val="false"/>
          <w:smallCaps w:val="false"/>
          <w:sz w:val="20"/>
        </w:rPr>
        <w:t xml:space="preserve">209,755 shares of common stock to Mr. Boll, net of </w:t>
      </w:r>
      <w:bookmarkStart w:id="624" w:name="xdx_901_eus-gaap--SharesPaidForTaxWithho"/>
      <w:bookmarkEnd w:id="624"/>
      <w:r>
        <w:rPr>
          <w:rFonts w:ascii="Times New Roman;Times;Serif" w:hAnsi="Times New Roman;Times;Serif"/>
          <w:b w:val="false"/>
          <w:i w:val="false"/>
          <w:caps w:val="false"/>
          <w:smallCaps w:val="false"/>
          <w:sz w:val="20"/>
        </w:rPr>
        <w:t>136,745 shares of common stock withheld for payroll tax withholdings totaling $</w:t>
      </w:r>
      <w:bookmarkStart w:id="625" w:name="xdx_908_eus-gaap--PaymentsRelatedToTaxWi"/>
      <w:bookmarkEnd w:id="625"/>
      <w:r>
        <w:rPr>
          <w:rFonts w:ascii="Times New Roman;Times;Serif" w:hAnsi="Times New Roman;Times;Serif"/>
          <w:b w:val="false"/>
          <w:i w:val="false"/>
          <w:caps w:val="false"/>
          <w:smallCaps w:val="false"/>
          <w:sz w:val="20"/>
        </w:rPr>
        <w:t>3,157,000.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upon vesting of </w:t>
      </w:r>
      <w:bookmarkStart w:id="626" w:name="xdx_90E_eus-gaap--ShareBasedCompensation"/>
      <w:bookmarkEnd w:id="626"/>
      <w:r>
        <w:rPr>
          <w:rFonts w:ascii="Times New Roman;Times;Serif" w:hAnsi="Times New Roman;Times;Serif"/>
          <w:b w:val="false"/>
          <w:i w:val="false"/>
          <w:caps w:val="false"/>
          <w:smallCaps w:val="false"/>
          <w:sz w:val="20"/>
        </w:rPr>
        <w:t xml:space="preserve">762,300 PSUs granted in April 2023 to Mark L. Baum, the Company’s Chief Executive Officer, the Company issued </w:t>
      </w:r>
      <w:bookmarkStart w:id="627" w:name="xdx_902_eus-gaap--StockIssuedDuringPerio"/>
      <w:bookmarkEnd w:id="627"/>
      <w:r>
        <w:rPr>
          <w:rFonts w:ascii="Times New Roman;Times;Serif" w:hAnsi="Times New Roman;Times;Serif"/>
          <w:b w:val="false"/>
          <w:i w:val="false"/>
          <w:caps w:val="false"/>
          <w:smallCaps w:val="false"/>
          <w:sz w:val="20"/>
        </w:rPr>
        <w:t xml:space="preserve">461,937 shares of common stock to Mr. Baum, net of </w:t>
      </w:r>
      <w:bookmarkStart w:id="628" w:name="xdx_90F_eus-gaap--SharesPaidForTaxWithho"/>
      <w:bookmarkEnd w:id="628"/>
      <w:r>
        <w:rPr>
          <w:rFonts w:ascii="Times New Roman;Times;Serif" w:hAnsi="Times New Roman;Times;Serif"/>
          <w:b w:val="false"/>
          <w:i w:val="false"/>
          <w:caps w:val="false"/>
          <w:smallCaps w:val="false"/>
          <w:sz w:val="20"/>
        </w:rPr>
        <w:t>300,363 shares of common stock withheld for payroll tax withholdings totaling $</w:t>
      </w:r>
      <w:bookmarkStart w:id="629" w:name="xdx_903_eus-gaap--PaymentsRelatedToTaxWi"/>
      <w:bookmarkEnd w:id="629"/>
      <w:r>
        <w:rPr>
          <w:rFonts w:ascii="Times New Roman;Times;Serif" w:hAnsi="Times New Roman;Times;Serif"/>
          <w:b w:val="false"/>
          <w:i w:val="false"/>
          <w:caps w:val="false"/>
          <w:smallCaps w:val="false"/>
          <w:sz w:val="20"/>
        </w:rPr>
        <w:t>6,935,000.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During the nine months ended September 30, 2025, </w:t>
      </w:r>
      <w:bookmarkStart w:id="630" w:name="xdx_90C_eus-gaap--ShareBasedCompensation"/>
      <w:bookmarkEnd w:id="630"/>
      <w:r>
        <w:rPr>
          <w:rFonts w:ascii="Times New Roman;Times;Serif" w:hAnsi="Times New Roman;Times;Serif"/>
          <w:b w:val="false"/>
          <w:i w:val="false"/>
          <w:caps w:val="false"/>
          <w:smallCaps w:val="false"/>
          <w:sz w:val="20"/>
        </w:rPr>
        <w:t xml:space="preserve">277,200 PSUs granted in April 2023 to John P. Saharek, the President of ImprimisRx, vested, and the Company issued </w:t>
      </w:r>
      <w:bookmarkStart w:id="631" w:name="xdx_903_eus-gaap--StockIssuedDuringPerio"/>
      <w:bookmarkEnd w:id="631"/>
      <w:r>
        <w:rPr>
          <w:rFonts w:ascii="Times New Roman;Times;Serif" w:hAnsi="Times New Roman;Times;Serif"/>
          <w:b w:val="false"/>
          <w:i w:val="false"/>
          <w:caps w:val="false"/>
          <w:smallCaps w:val="false"/>
          <w:sz w:val="20"/>
        </w:rPr>
        <w:t xml:space="preserve">167,725 shares of common stock to Mr. Saharek, net of </w:t>
      </w:r>
      <w:bookmarkStart w:id="632" w:name="xdx_90F_eus-gaap--SharesPaidForTaxWithho"/>
      <w:bookmarkEnd w:id="632"/>
      <w:r>
        <w:rPr>
          <w:rFonts w:ascii="Times New Roman;Times;Serif" w:hAnsi="Times New Roman;Times;Serif"/>
          <w:b w:val="false"/>
          <w:i w:val="false"/>
          <w:caps w:val="false"/>
          <w:smallCaps w:val="false"/>
          <w:sz w:val="20"/>
        </w:rPr>
        <w:t>109,475 shares of common stock withheld for payroll tax withholdings totaling $</w:t>
      </w:r>
      <w:bookmarkStart w:id="633" w:name="xdx_907_eus-gaap--PaymentsRelatedToTaxWi"/>
      <w:bookmarkEnd w:id="633"/>
      <w:r>
        <w:rPr>
          <w:rFonts w:ascii="Times New Roman;Times;Serif" w:hAnsi="Times New Roman;Times;Serif"/>
          <w:b w:val="false"/>
          <w:i w:val="false"/>
          <w:caps w:val="false"/>
          <w:smallCaps w:val="false"/>
          <w:sz w:val="20"/>
        </w:rPr>
        <w:t>2,528,000.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Company issued </w:t>
      </w:r>
      <w:bookmarkStart w:id="634" w:name="xdx_90C_eus-gaap--StockIssuedDuringPerio"/>
      <w:bookmarkEnd w:id="634"/>
      <w:r>
        <w:rPr>
          <w:rFonts w:ascii="Times New Roman;Times;Serif" w:hAnsi="Times New Roman;Times;Serif"/>
          <w:b w:val="false"/>
          <w:i w:val="false"/>
          <w:caps w:val="false"/>
          <w:smallCaps w:val="false"/>
          <w:sz w:val="20"/>
        </w:rPr>
        <w:t xml:space="preserve">286,662 shares of common stock to Mark L. Baum, Chief Executive Officer, upon the cashless exercise of options to purchase </w:t>
      </w:r>
      <w:bookmarkStart w:id="635" w:name="xdx_902_eus-gaap--StockIssuedDuringPerio"/>
      <w:bookmarkEnd w:id="635"/>
      <w:r>
        <w:rPr>
          <w:rFonts w:ascii="Times New Roman;Times;Serif" w:hAnsi="Times New Roman;Times;Serif"/>
          <w:b w:val="false"/>
          <w:i w:val="false"/>
          <w:caps w:val="false"/>
          <w:smallCaps w:val="false"/>
          <w:sz w:val="20"/>
        </w:rPr>
        <w:t>600,000 shares at an exercise price of $</w:t>
      </w:r>
      <w:bookmarkStart w:id="636" w:name="xdx_907_eus-gaap--ShareBasedCompensation"/>
      <w:bookmarkEnd w:id="636"/>
      <w:r>
        <w:rPr>
          <w:rFonts w:ascii="Times New Roman;Times;Serif" w:hAnsi="Times New Roman;Times;Serif"/>
          <w:b w:val="false"/>
          <w:i w:val="false"/>
          <w:caps w:val="false"/>
          <w:smallCaps w:val="false"/>
          <w:sz w:val="20"/>
        </w:rPr>
        <w:t xml:space="preserve">7.87 per share. The Company withheld </w:t>
      </w:r>
      <w:bookmarkStart w:id="637" w:name="xdx_902_eus-gaap--SharesPaidForTaxWithho"/>
      <w:bookmarkEnd w:id="637"/>
      <w:r>
        <w:rPr>
          <w:rFonts w:ascii="Times New Roman;Times;Serif" w:hAnsi="Times New Roman;Times;Serif"/>
          <w:b w:val="false"/>
          <w:i w:val="false"/>
          <w:caps w:val="false"/>
          <w:smallCaps w:val="false"/>
          <w:sz w:val="20"/>
        </w:rPr>
        <w:t xml:space="preserve">127,345 shares from Mr. Baum as consideration for the cashless exercise and an additional </w:t>
      </w:r>
      <w:bookmarkStart w:id="638" w:name="xdx_909_ecustom--AddtionalSharesPaidForT"/>
      <w:bookmarkEnd w:id="638"/>
      <w:r>
        <w:rPr>
          <w:rFonts w:ascii="Times New Roman;Times;Serif" w:hAnsi="Times New Roman;Times;Serif"/>
          <w:b w:val="false"/>
          <w:i w:val="false"/>
          <w:caps w:val="false"/>
          <w:smallCaps w:val="false"/>
          <w:sz w:val="20"/>
        </w:rPr>
        <w:t>185,993 shares for payroll tax obligations totaling $</w:t>
      </w:r>
      <w:bookmarkStart w:id="639" w:name="xdx_901_eus-gaap--PaymentsRelatedToTaxWi"/>
      <w:bookmarkEnd w:id="639"/>
      <w:r>
        <w:rPr>
          <w:rFonts w:ascii="Times New Roman;Times;Serif" w:hAnsi="Times New Roman;Times;Serif"/>
          <w:b w:val="false"/>
          <w:i w:val="false"/>
          <w:caps w:val="false"/>
          <w:smallCaps w:val="false"/>
          <w:sz w:val="20"/>
        </w:rPr>
        <w:t>6,897,000.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During the nine months ended September 30, 2025, </w:t>
      </w:r>
      <w:bookmarkStart w:id="640" w:name="xdx_902_eus-gaap--ShareBasedCompensation"/>
      <w:bookmarkEnd w:id="640"/>
      <w:r>
        <w:rPr>
          <w:rFonts w:ascii="Times New Roman;Times;Serif" w:hAnsi="Times New Roman;Times;Serif"/>
          <w:b w:val="false"/>
          <w:i w:val="false"/>
          <w:caps w:val="false"/>
          <w:smallCaps w:val="false"/>
          <w:sz w:val="20"/>
        </w:rPr>
        <w:t xml:space="preserve">42,500 RSUs granted in prior periods vested, and the Company issued </w:t>
      </w:r>
      <w:bookmarkStart w:id="641" w:name="xdx_903_eus-gaap--StockIssuedDuringPerio"/>
      <w:bookmarkEnd w:id="641"/>
      <w:r>
        <w:rPr>
          <w:rFonts w:ascii="Times New Roman;Times;Serif" w:hAnsi="Times New Roman;Times;Serif"/>
          <w:b w:val="false"/>
          <w:i w:val="false"/>
          <w:caps w:val="false"/>
          <w:smallCaps w:val="false"/>
          <w:sz w:val="20"/>
        </w:rPr>
        <w:t xml:space="preserve">32,672 shares of common stock, net of </w:t>
      </w:r>
      <w:bookmarkStart w:id="642" w:name="xdx_901_eus-gaap--SharesPaidForTaxWithho"/>
      <w:bookmarkEnd w:id="642"/>
      <w:r>
        <w:rPr>
          <w:rFonts w:ascii="Times New Roman;Times;Serif" w:hAnsi="Times New Roman;Times;Serif"/>
          <w:b w:val="false"/>
          <w:i w:val="false"/>
          <w:caps w:val="false"/>
          <w:smallCaps w:val="false"/>
          <w:sz w:val="20"/>
        </w:rPr>
        <w:t>9,828 shares of common stock withheld for payroll tax withholdings totaling $</w:t>
      </w:r>
      <w:bookmarkStart w:id="643" w:name="xdx_903_eus-gaap--PaymentsRelatedToTaxWi"/>
      <w:bookmarkEnd w:id="643"/>
      <w:r>
        <w:rPr>
          <w:rFonts w:ascii="Times New Roman;Times;Serif" w:hAnsi="Times New Roman;Times;Serif"/>
          <w:b w:val="false"/>
          <w:i w:val="false"/>
          <w:caps w:val="false"/>
          <w:smallCaps w:val="false"/>
          <w:sz w:val="20"/>
        </w:rPr>
        <w:t>343,000.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w:t>
      </w:r>
      <w:bookmarkStart w:id="644" w:name="xdx_909_eus-gaap--ShareBasedCompensation"/>
      <w:bookmarkEnd w:id="644"/>
      <w:r>
        <w:rPr>
          <w:rFonts w:ascii="Times New Roman;Times;Serif" w:hAnsi="Times New Roman;Times;Serif"/>
          <w:b w:val="false"/>
          <w:i w:val="false"/>
          <w:caps w:val="false"/>
          <w:smallCaps w:val="false"/>
          <w:sz w:val="20"/>
        </w:rPr>
        <w:t xml:space="preserve">198,795 RSUs and PSUs granted in prior periods vested, and the Company issued </w:t>
      </w:r>
      <w:bookmarkStart w:id="645" w:name="xdx_90B_eus-gaap--StockIssuedDuringPerio"/>
      <w:bookmarkEnd w:id="645"/>
      <w:r>
        <w:rPr>
          <w:rFonts w:ascii="Times New Roman;Times;Serif" w:hAnsi="Times New Roman;Times;Serif"/>
          <w:b w:val="false"/>
          <w:i w:val="false"/>
          <w:caps w:val="false"/>
          <w:smallCaps w:val="false"/>
          <w:sz w:val="20"/>
        </w:rPr>
        <w:t>198,795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w:t>
      </w:r>
      <w:bookmarkStart w:id="646" w:name="xdx_900_eus-gaap--StockIssuedDuringPerio"/>
      <w:bookmarkEnd w:id="646"/>
      <w:r>
        <w:rPr>
          <w:rFonts w:ascii="Times New Roman;Times;Serif" w:hAnsi="Times New Roman;Times;Serif"/>
          <w:b w:val="false"/>
          <w:i w:val="false"/>
          <w:caps w:val="false"/>
          <w:smallCaps w:val="false"/>
          <w:sz w:val="20"/>
        </w:rPr>
        <w:t>28,108 shares of common stock and received proceeds of $</w:t>
      </w:r>
      <w:bookmarkStart w:id="647" w:name="xdx_90F_eus-gaap--ProceedsFromStockOptio"/>
      <w:bookmarkEnd w:id="647"/>
      <w:r>
        <w:rPr>
          <w:rFonts w:ascii="Times New Roman;Times;Serif" w:hAnsi="Times New Roman;Times;Serif"/>
          <w:b w:val="false"/>
          <w:i w:val="false"/>
          <w:caps w:val="false"/>
          <w:smallCaps w:val="false"/>
          <w:sz w:val="20"/>
        </w:rPr>
        <w:t xml:space="preserve">287,000 upon the exercise of options to purchase </w:t>
      </w:r>
      <w:bookmarkStart w:id="648" w:name="xdx_909_eus-gaap--StockIssuedDuringPerio"/>
      <w:bookmarkEnd w:id="648"/>
      <w:r>
        <w:rPr>
          <w:rFonts w:ascii="Times New Roman;Times;Serif" w:hAnsi="Times New Roman;Times;Serif"/>
          <w:b w:val="false"/>
          <w:i w:val="false"/>
          <w:caps w:val="false"/>
          <w:smallCaps w:val="false"/>
          <w:sz w:val="20"/>
        </w:rPr>
        <w:t>28,146 shares of common stock with exercise prices ranging from $</w:t>
      </w:r>
      <w:bookmarkStart w:id="649" w:name="xdx_90F_eus-gaap--ShareBasedCompensation"/>
      <w:bookmarkEnd w:id="649"/>
      <w:r>
        <w:rPr>
          <w:rFonts w:ascii="Times New Roman;Times;Serif" w:hAnsi="Times New Roman;Times;Serif"/>
          <w:b w:val="false"/>
          <w:i w:val="false"/>
          <w:caps w:val="false"/>
          <w:smallCaps w:val="false"/>
          <w:sz w:val="20"/>
        </w:rPr>
        <w:t>4.66 to $</w:t>
      </w:r>
      <w:bookmarkStart w:id="650" w:name="xdx_902_eus-gaap--ShareBasedCompensation"/>
      <w:bookmarkEnd w:id="650"/>
      <w:r>
        <w:rPr>
          <w:rFonts w:ascii="Times New Roman;Times;Serif" w:hAnsi="Times New Roman;Times;Serif"/>
          <w:b w:val="false"/>
          <w:i w:val="false"/>
          <w:caps w:val="false"/>
          <w:smallCaps w:val="false"/>
          <w:sz w:val="20"/>
        </w:rPr>
        <w:t>25.86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issued </w:t>
      </w:r>
      <w:bookmarkStart w:id="651" w:name="xdx_90F_eus-gaap--StockIssuedDuringPerio"/>
      <w:bookmarkEnd w:id="651"/>
      <w:r>
        <w:rPr>
          <w:rFonts w:ascii="Times New Roman;Times;Serif" w:hAnsi="Times New Roman;Times;Serif"/>
          <w:b w:val="false"/>
          <w:i w:val="false"/>
          <w:caps w:val="false"/>
          <w:smallCaps w:val="false"/>
          <w:sz w:val="20"/>
        </w:rPr>
        <w:t xml:space="preserve">29,214 shares of its common stock underlying RSUs held by a director that ceased providing services to the Company. The RSUs had previously vested, including </w:t>
      </w:r>
      <w:bookmarkStart w:id="652" w:name="xdx_90E_eus-gaap--ShareBasedCompensation"/>
      <w:bookmarkEnd w:id="652"/>
      <w:r>
        <w:rPr>
          <w:rFonts w:ascii="Times New Roman;Times;Serif" w:hAnsi="Times New Roman;Times;Serif"/>
          <w:b w:val="false"/>
          <w:i w:val="false"/>
          <w:caps w:val="false"/>
          <w:smallCaps w:val="false"/>
          <w:sz w:val="20"/>
        </w:rPr>
        <w:t>4,173 RSUs that vested during the nine months ended September 30, 2025, but the issuance and delivery of the shares were deferred until the director ceased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w:t>
      </w:r>
      <w:bookmarkStart w:id="653" w:name="xdx_90D_eus-gaap--StockIssuedDuringPerio"/>
      <w:bookmarkEnd w:id="653"/>
      <w:r>
        <w:rPr>
          <w:rFonts w:ascii="Times New Roman;Times;Serif" w:hAnsi="Times New Roman;Times;Serif"/>
          <w:b w:val="false"/>
          <w:i w:val="false"/>
          <w:caps w:val="false"/>
          <w:smallCaps w:val="false"/>
          <w:sz w:val="20"/>
        </w:rPr>
        <w:t>17,806 shares of the Company’s common stock underlying RSUs issued to directors vested, but the issuance and delivery of these shares are deferred until the applicable person ceases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w:t>
      </w:r>
      <w:bookmarkStart w:id="654" w:name="xdx_905_eus-gaap--StockIssuedDuringPerio"/>
      <w:bookmarkEnd w:id="654"/>
      <w:r>
        <w:rPr>
          <w:rFonts w:ascii="Times New Roman;Times;Serif" w:hAnsi="Times New Roman;Times;Serif"/>
          <w:b w:val="false"/>
          <w:i w:val="false"/>
          <w:caps w:val="false"/>
          <w:smallCaps w:val="false"/>
          <w:sz w:val="20"/>
        </w:rPr>
        <w:t>13,000 shares of the Company’s common stock underlying RSUs issued to consultants vested, but the issuance and delivery of these shares has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2007, the Company’s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stockholders adopted the Company’s 2017 Incentive Stock and Awards Plan which was subsequently amended on June 3, 2021 (as amended, the “2017 Plan”). On June 18, 2025, the Company’s stockholders adopted the Company’s 2025 Incentive Stock and Awards Plan (the “2025 Plan” together with the 2007 Plan and 2017 Plan, the “Plans”).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restricted stock and performance awards. The Plans are administered by the Compensation Committee of the Company’s Board of Directors.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55" w:name="xdx_896_eus-gaap--ScheduleOfShareBasedCo"/>
      <w:bookmarkEnd w:id="655"/>
      <w:r>
        <w:rPr>
          <w:rFonts w:ascii="Times New Roman;Times;Serif" w:hAnsi="Times New Roman;Times;Serif"/>
          <w:b w:val="false"/>
          <w:i w:val="false"/>
          <w:caps w:val="false"/>
          <w:smallCaps w:val="false"/>
          <w:sz w:val="20"/>
        </w:rPr>
        <w:t>A summary of stock option activity under the Plans for the nine months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56" w:name="xdx_8B7_zCW3cYBWZHv1"/>
      <w:bookmarkEnd w:id="656"/>
      <w:r>
        <w:rPr>
          <w:rFonts w:ascii="Times New Roman;Times;Serif" w:hAnsi="Times New Roman;Times;Serif"/>
          <w:b w:val="false"/>
          <w:i w:val="false"/>
          <w:caps w:val="false"/>
          <w:smallCaps w:val="false"/>
          <w:sz w:val="20"/>
        </w:rPr>
        <w:t>SCHEDULE OF STOCK OPTION PLAN ACTIVITY</w:t>
      </w:r>
    </w:p>
    <w:tbl>
      <w:tblPr>
        <w:tblW w:w="9988" w:type="dxa"/>
        <w:jc w:val="left"/>
        <w:tblInd w:w="0" w:type="dxa"/>
        <w:tblLayout w:type="fixed"/>
        <w:tblCellMar>
          <w:top w:w="0" w:type="dxa"/>
          <w:left w:w="0" w:type="dxa"/>
          <w:bottom w:w="0" w:type="dxa"/>
          <w:right w:w="0" w:type="dxa"/>
        </w:tblCellMar>
      </w:tblPr>
      <w:tblGrid>
        <w:gridCol w:w="4085"/>
        <w:gridCol w:w="60"/>
        <w:gridCol w:w="65"/>
        <w:gridCol w:w="1064"/>
        <w:gridCol w:w="95"/>
        <w:gridCol w:w="60"/>
        <w:gridCol w:w="292"/>
        <w:gridCol w:w="1168"/>
        <w:gridCol w:w="60"/>
        <w:gridCol w:w="60"/>
        <w:gridCol w:w="150"/>
        <w:gridCol w:w="1100"/>
        <w:gridCol w:w="60"/>
        <w:gridCol w:w="60"/>
        <w:gridCol w:w="173"/>
        <w:gridCol w:w="1361"/>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Options outstanding – January 1,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657" w:name="xdx_981_eus-gaap--ShareBasedCompensation"/>
            <w:bookmarkEnd w:id="657"/>
          </w:p>
        </w:tc>
        <w:tc>
          <w:tcPr>
            <w:tcW w:w="1064" w:type="dxa"/>
            <w:tcBorders/>
            <w:shd w:fill="CCEEFF" w:val="clear"/>
            <w:vAlign w:val="center"/>
          </w:tcPr>
          <w:p>
            <w:pPr>
              <w:pStyle w:val="TableContents"/>
              <w:bidi w:val="0"/>
              <w:spacing w:before="0" w:after="283"/>
              <w:jc w:val="right"/>
              <w:rPr/>
            </w:pPr>
            <w:r>
              <w:rPr/>
              <w:t>2,469,099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658" w:name="xdx_98C_eus-gaap--ShareBasedCompensation"/>
            <w:bookmarkEnd w:id="658"/>
          </w:p>
        </w:tc>
        <w:tc>
          <w:tcPr>
            <w:tcW w:w="1168" w:type="dxa"/>
            <w:tcBorders/>
            <w:shd w:fill="CCEEFF" w:val="clear"/>
            <w:vAlign w:val="center"/>
          </w:tcPr>
          <w:p>
            <w:pPr>
              <w:pStyle w:val="TableContents"/>
              <w:bidi w:val="0"/>
              <w:spacing w:before="0" w:after="283"/>
              <w:jc w:val="right"/>
              <w:rPr/>
            </w:pPr>
            <w:r>
              <w:rPr/>
              <w:t>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659" w:name="xdx_981_eus-gaap--ShareBasedCompensation"/>
            <w:bookmarkEnd w:id="659"/>
          </w:p>
        </w:tc>
        <w:tc>
          <w:tcPr>
            <w:tcW w:w="1064" w:type="dxa"/>
            <w:tcBorders/>
            <w:shd w:fill="FFFFFF" w:val="clear"/>
            <w:vAlign w:val="center"/>
          </w:tcPr>
          <w:p>
            <w:pPr>
              <w:pStyle w:val="TableContents"/>
              <w:bidi w:val="0"/>
              <w:spacing w:before="0" w:after="283"/>
              <w:jc w:val="right"/>
              <w:rPr/>
            </w:pPr>
            <w:r>
              <w:rPr/>
              <w:t>198,500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660" w:name="xdx_987_eus-gaap--ShareBasedCompensation"/>
            <w:bookmarkEnd w:id="660"/>
          </w:p>
        </w:tc>
        <w:tc>
          <w:tcPr>
            <w:tcW w:w="1168" w:type="dxa"/>
            <w:tcBorders/>
            <w:shd w:fill="FFFFFF" w:val="clear"/>
            <w:vAlign w:val="center"/>
          </w:tcPr>
          <w:p>
            <w:pPr>
              <w:pStyle w:val="TableContents"/>
              <w:bidi w:val="0"/>
              <w:spacing w:before="0" w:after="283"/>
              <w:jc w:val="right"/>
              <w:rPr/>
            </w:pPr>
            <w:r>
              <w:rPr/>
              <w:t>36.96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661" w:name="xdx_98F_eus-gaap--StockIssuedDuringPerio"/>
            <w:bookmarkEnd w:id="661"/>
          </w:p>
        </w:tc>
        <w:tc>
          <w:tcPr>
            <w:tcW w:w="1064" w:type="dxa"/>
            <w:tcBorders/>
            <w:shd w:fill="CCEEFF" w:val="clear"/>
            <w:vAlign w:val="center"/>
          </w:tcPr>
          <w:p>
            <w:pPr>
              <w:pStyle w:val="TableContents"/>
              <w:bidi w:val="0"/>
              <w:spacing w:before="0" w:after="283"/>
              <w:jc w:val="right"/>
              <w:rPr/>
            </w:pPr>
            <w:r>
              <w:rPr/>
              <w:t>(628,334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662" w:name="xdx_987_eus-gaap--ShareBasedCompensation"/>
            <w:bookmarkEnd w:id="662"/>
          </w:p>
        </w:tc>
        <w:tc>
          <w:tcPr>
            <w:tcW w:w="1168"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Options cancelled/forfeited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3" w:name="xdx_98A_eus-gaap--ShareBasedCompensation"/>
            <w:bookmarkEnd w:id="663"/>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(69,944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664" w:name="xdx_98B_eus-gaap--ShareBasedCompensation"/>
            <w:bookmarkEnd w:id="664"/>
          </w:p>
        </w:tc>
        <w:tc>
          <w:tcPr>
            <w:tcW w:w="1168" w:type="dxa"/>
            <w:tcBorders/>
            <w:shd w:fill="FFFFFF" w:val="clear"/>
            <w:vAlign w:val="center"/>
          </w:tcPr>
          <w:p>
            <w:pPr>
              <w:pStyle w:val="TableContents"/>
              <w:bidi w:val="0"/>
              <w:spacing w:before="0" w:after="283"/>
              <w:jc w:val="right"/>
              <w:rPr/>
            </w:pPr>
            <w:r>
              <w:rPr/>
              <w:t>15.94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Options outstanding – September 30,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5" w:name="xdx_984_eus-gaap--ShareBasedCompensation"/>
            <w:bookmarkEnd w:id="665"/>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1,969,321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666" w:name="xdx_98F_eus-gaap--ShareBasedCompensation"/>
            <w:bookmarkEnd w:id="666"/>
          </w:p>
        </w:tc>
        <w:tc>
          <w:tcPr>
            <w:tcW w:w="1168" w:type="dxa"/>
            <w:tcBorders/>
            <w:shd w:fill="CCEEFF" w:val="clear"/>
            <w:vAlign w:val="center"/>
          </w:tcPr>
          <w:p>
            <w:pPr>
              <w:pStyle w:val="TableContents"/>
              <w:bidi w:val="0"/>
              <w:spacing w:before="0" w:after="283"/>
              <w:jc w:val="right"/>
              <w:rPr/>
            </w:pPr>
            <w:r>
              <w:rPr/>
              <w:t>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667" w:name="xdx_909_eus-gaap--SharebasedCompensation"/>
            <w:bookmarkEnd w:id="667"/>
            <w:r>
              <w:rPr/>
              <w:t>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bookmarkStart w:id="668" w:name="xdx_98C_eus-gaap--ShareBasedCompensation"/>
            <w:bookmarkEnd w:id="668"/>
          </w:p>
        </w:tc>
        <w:tc>
          <w:tcPr>
            <w:tcW w:w="1361" w:type="dxa"/>
            <w:tcBorders/>
            <w:shd w:fill="CCEEFF" w:val="clear"/>
            <w:vAlign w:val="center"/>
          </w:tcPr>
          <w:p>
            <w:pPr>
              <w:pStyle w:val="TableContents"/>
              <w:bidi w:val="0"/>
              <w:spacing w:before="0" w:after="283"/>
              <w:jc w:val="right"/>
              <w:rPr/>
            </w:pPr>
            <w:r>
              <w:rPr/>
              <w:t>77,657,000</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Options exercisable</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9" w:name="xdx_98F_eus-gaap--ShareBasedCompensation"/>
            <w:bookmarkEnd w:id="669"/>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1,660,186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670" w:name="xdx_984_eus-gaap--ShareBasedCompensation"/>
            <w:bookmarkEnd w:id="670"/>
          </w:p>
        </w:tc>
        <w:tc>
          <w:tcPr>
            <w:tcW w:w="1168" w:type="dxa"/>
            <w:tcBorders/>
            <w:shd w:fill="FFFFFF" w:val="clear"/>
            <w:vAlign w:val="center"/>
          </w:tcPr>
          <w:p>
            <w:pPr>
              <w:pStyle w:val="TableContents"/>
              <w:bidi w:val="0"/>
              <w:spacing w:before="0" w:after="283"/>
              <w:jc w:val="right"/>
              <w:rPr/>
            </w:pPr>
            <w:r>
              <w:rPr/>
              <w:t>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671" w:name="xdx_90C_eus-gaap--SharebasedCompensation"/>
            <w:bookmarkEnd w:id="671"/>
            <w:r>
              <w:rPr/>
              <w:t>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bookmarkStart w:id="672" w:name="xdx_987_eus-gaap--SharebasedCompensation"/>
            <w:bookmarkEnd w:id="672"/>
          </w:p>
        </w:tc>
        <w:tc>
          <w:tcPr>
            <w:tcW w:w="1361" w:type="dxa"/>
            <w:tcBorders/>
            <w:shd w:fill="FFFFFF" w:val="clear"/>
            <w:vAlign w:val="center"/>
          </w:tcPr>
          <w:p>
            <w:pPr>
              <w:pStyle w:val="TableContents"/>
              <w:bidi w:val="0"/>
              <w:spacing w:before="0" w:after="283"/>
              <w:jc w:val="right"/>
              <w:rPr/>
            </w:pPr>
            <w:r>
              <w:rPr/>
              <w:t>71,949,000</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Options vested and expected to vest</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3" w:name="xdx_985_eus-gaap--ShareBasedCompensation"/>
            <w:bookmarkEnd w:id="673"/>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1,921,309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674" w:name="xdx_985_eus-gaap--ShareBasedCompensation"/>
            <w:bookmarkEnd w:id="674"/>
          </w:p>
        </w:tc>
        <w:tc>
          <w:tcPr>
            <w:tcW w:w="1168" w:type="dxa"/>
            <w:tcBorders/>
            <w:shd w:fill="CCEEFF" w:val="clear"/>
            <w:vAlign w:val="center"/>
          </w:tcPr>
          <w:p>
            <w:pPr>
              <w:pStyle w:val="TableContents"/>
              <w:bidi w:val="0"/>
              <w:spacing w:before="0" w:after="283"/>
              <w:jc w:val="right"/>
              <w:rPr/>
            </w:pPr>
            <w:r>
              <w:rPr/>
              <w:t>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675" w:name="xdx_905_eus-gaap--SharebasedCompensation"/>
            <w:bookmarkEnd w:id="675"/>
            <w:r>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bookmarkStart w:id="676" w:name="xdx_98E_eus-gaap--ShareBasedCompensation"/>
            <w:bookmarkEnd w:id="676"/>
          </w:p>
        </w:tc>
        <w:tc>
          <w:tcPr>
            <w:tcW w:w="1361" w:type="dxa"/>
            <w:tcBorders/>
            <w:shd w:fill="CCEEFF" w:val="clear"/>
            <w:vAlign w:val="center"/>
          </w:tcPr>
          <w:p>
            <w:pPr>
              <w:pStyle w:val="TableContents"/>
              <w:bidi w:val="0"/>
              <w:spacing w:before="0" w:after="283"/>
              <w:jc w:val="right"/>
              <w:rPr/>
            </w:pPr>
            <w:r>
              <w:rPr/>
              <w:t>76,921,000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7" w:name="xdx_8A0_z0KTrvzACZb1"/>
      <w:bookmarkEnd w:id="6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September 30, 2025, based on the closing price of the Company’s common stock of $</w:t>
      </w:r>
      <w:bookmarkStart w:id="678" w:name="xdx_901_eus-gaap--SharePrice_iI_pid_c202"/>
      <w:bookmarkEnd w:id="678"/>
      <w:r>
        <w:rPr>
          <w:rFonts w:ascii="Times New Roman;Times;Serif" w:hAnsi="Times New Roman;Times;Serif"/>
          <w:b w:val="false"/>
          <w:i w:val="false"/>
          <w:caps w:val="false"/>
          <w:smallCaps w:val="false"/>
          <w:sz w:val="20"/>
        </w:rPr>
        <w:t>48.18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granted stock options to certain employees. </w:t>
      </w:r>
      <w:bookmarkStart w:id="679" w:name="xdx_90A_eus-gaap--ShareBasedCompensation"/>
      <w:bookmarkEnd w:id="679"/>
      <w:r>
        <w:rPr>
          <w:rFonts w:ascii="Times New Roman;Times;Serif" w:hAnsi="Times New Roman;Times;Serif"/>
          <w:b w:val="false"/>
          <w:i w:val="false"/>
          <w:caps w:val="false"/>
          <w:smallCaps w:val="false"/>
          <w:sz w:val="20"/>
        </w:rPr>
        <w:t>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three and nine months ended September 30, 2025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680" w:name="xdx_90B_ecustom--ShareBasedCompensationA"/>
      <w:bookmarkEnd w:id="680"/>
      <w:r>
        <w:rPr>
          <w:rFonts w:ascii="Times New Roman;Times;Serif" w:hAnsi="Times New Roman;Times;Serif"/>
          <w:b w:val="false"/>
          <w:i w:val="false"/>
          <w:caps w:val="false"/>
          <w:smallCaps w:val="false"/>
          <w:sz w:val="20"/>
        </w:rPr>
        <w:t>10%. These factors could change in the future, which would affect the determination of stock-based compensation expense in future periods. Utilizing these assumptions, the fair value is determined at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1" w:name="xdx_89E_eus-gaap--ScheduleOfShareBasedPa"/>
      <w:bookmarkEnd w:id="681"/>
      <w:r>
        <w:rPr>
          <w:rFonts w:ascii="Times New Roman;Times;Serif" w:hAnsi="Times New Roman;Times;Serif"/>
          <w:b w:val="false"/>
          <w:i w:val="false"/>
          <w:caps w:val="false"/>
          <w:smallCaps w:val="false"/>
          <w:sz w:val="20"/>
        </w:rPr>
        <w:t>The table below illustrates the fair value per share determined using the Black-Scholes-Merton option pricing model with the following assumptions used for valuing options granted to employees: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2" w:name="xdx_8BB_z7UIwLnvwLZ"/>
      <w:bookmarkEnd w:id="682"/>
      <w:r>
        <w:rPr>
          <w:rFonts w:ascii="Times New Roman;Times;Serif" w:hAnsi="Times New Roman;Times;Serif"/>
          <w:b w:val="false"/>
          <w:i w:val="false"/>
          <w:caps w:val="false"/>
          <w:smallCaps w:val="false"/>
          <w:sz w:val="20"/>
        </w:rPr>
        <w:t>SCHEDULE OF FAIR VALUE ASSUMPTIONS</w:t>
      </w:r>
    </w:p>
    <w:tbl>
      <w:tblPr>
        <w:tblW w:w="6080" w:type="dxa"/>
        <w:jc w:val="left"/>
        <w:tblInd w:w="0" w:type="dxa"/>
        <w:tblLayout w:type="fixed"/>
        <w:tblCellMar>
          <w:top w:w="0" w:type="dxa"/>
          <w:left w:w="0" w:type="dxa"/>
          <w:bottom w:w="0" w:type="dxa"/>
          <w:right w:w="0" w:type="dxa"/>
        </w:tblCellMar>
      </w:tblPr>
      <w:tblGrid>
        <w:gridCol w:w="4475"/>
        <w:gridCol w:w="60"/>
        <w:gridCol w:w="140"/>
        <w:gridCol w:w="1175"/>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83" w:name="xdx_983_eus-gaap--ShareBasedCompensation"/>
            <w:bookmarkEnd w:id="683"/>
          </w:p>
        </w:tc>
        <w:tc>
          <w:tcPr>
            <w:tcW w:w="1175" w:type="dxa"/>
            <w:tcBorders/>
            <w:shd w:fill="CCEEFF" w:val="clear"/>
            <w:vAlign w:val="center"/>
          </w:tcPr>
          <w:p>
            <w:pPr>
              <w:pStyle w:val="TableContents"/>
              <w:bidi w:val="0"/>
              <w:spacing w:before="0" w:after="283"/>
              <w:jc w:val="right"/>
              <w:rPr/>
            </w:pPr>
            <w:r>
              <w:rPr/>
              <w:t>24.59</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Expected terms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684" w:name="xdx_90D_eus-gaap--SharebasedCompensation"/>
            <w:bookmarkEnd w:id="684"/>
            <w:r>
              <w:rPr/>
              <w:t>6.11</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bookmarkStart w:id="685" w:name="xdx_903_eus-gaap--ShareBasedCompensation"/>
            <w:bookmarkEnd w:id="685"/>
            <w:r>
              <w:rPr>
                <w:rFonts w:ascii="Times New Roman;Times;Serif" w:hAnsi="Times New Roman;Times;Serif"/>
                <w:sz w:val="20"/>
              </w:rPr>
              <w:t>71.02%-</w:t>
            </w:r>
            <w:bookmarkStart w:id="686" w:name="xdx_908_eus-gaap--ShareBasedCompensation"/>
            <w:bookmarkEnd w:id="686"/>
            <w:r>
              <w:rPr>
                <w:rFonts w:ascii="Times New Roman;Times;Serif" w:hAnsi="Times New Roman;Times;Serif"/>
                <w:sz w:val="20"/>
              </w:rPr>
              <w:t>71.30</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bookmarkStart w:id="687" w:name="xdx_90B_eus-gaap--ShareBasedCompensation"/>
            <w:bookmarkEnd w:id="687"/>
            <w:r>
              <w:rPr>
                <w:rFonts w:ascii="Times New Roman;Times;Serif" w:hAnsi="Times New Roman;Times;Serif"/>
                <w:sz w:val="20"/>
              </w:rPr>
              <w:t>3.84%-</w:t>
            </w:r>
            <w:bookmarkStart w:id="688" w:name="xdx_908_eus-gaap--ShareBasedCompensation"/>
            <w:bookmarkEnd w:id="688"/>
            <w:r>
              <w:rPr>
                <w:rFonts w:ascii="Times New Roman;Times;Serif" w:hAnsi="Times New Roman;Times;Serif"/>
                <w:sz w:val="20"/>
              </w:rPr>
              <w:t>4.53</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89" w:name="xdx_985_eus-gaap--ShareBasedCompensation"/>
            <w:bookmarkEnd w:id="689"/>
          </w:p>
        </w:tc>
        <w:tc>
          <w:tcPr>
            <w:tcW w:w="117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0" w:name="xdx_8AD_zlD51rckEsSj"/>
      <w:bookmarkEnd w:id="69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1" w:name="xdx_89A_eus-gaap--ScheduleOfShareBasedCo"/>
      <w:bookmarkEnd w:id="691"/>
      <w:r>
        <w:rPr>
          <w:rFonts w:ascii="Times New Roman;Times;Serif" w:hAnsi="Times New Roman;Times;Serif"/>
          <w:b w:val="false"/>
          <w:i w:val="false"/>
          <w:caps w:val="false"/>
          <w:smallCaps w:val="false"/>
          <w:sz w:val="20"/>
        </w:rPr>
        <w:t>The following table summarizes information about stock options outstanding and exercisable at September 30,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92" w:name="xdx_8B2_zAmkbrQLslhi"/>
      <w:bookmarkEnd w:id="692"/>
      <w:r>
        <w:rPr>
          <w:rFonts w:ascii="Times New Roman;Times;Serif" w:hAnsi="Times New Roman;Times;Serif"/>
          <w:b w:val="false"/>
          <w:i w:val="false"/>
          <w:caps w:val="false"/>
          <w:smallCaps w:val="false"/>
          <w:sz w:val="20"/>
        </w:rPr>
        <w:t>SCHEDULE OF STOCK OPTION OUTSTANDING AND EXERCISABLE</w:t>
      </w:r>
    </w:p>
    <w:tbl>
      <w:tblPr>
        <w:tblW w:w="8586" w:type="dxa"/>
        <w:jc w:val="left"/>
        <w:tblInd w:w="0" w:type="dxa"/>
        <w:tblLayout w:type="fixed"/>
        <w:tblCellMar>
          <w:top w:w="0" w:type="dxa"/>
          <w:left w:w="0" w:type="dxa"/>
          <w:bottom w:w="0" w:type="dxa"/>
          <w:right w:w="0" w:type="dxa"/>
        </w:tblCellMar>
      </w:tblPr>
      <w:tblGrid>
        <w:gridCol w:w="2540"/>
        <w:gridCol w:w="60"/>
        <w:gridCol w:w="73"/>
        <w:gridCol w:w="1207"/>
        <w:gridCol w:w="60"/>
        <w:gridCol w:w="60"/>
        <w:gridCol w:w="160"/>
        <w:gridCol w:w="1179"/>
        <w:gridCol w:w="60"/>
        <w:gridCol w:w="60"/>
        <w:gridCol w:w="166"/>
        <w:gridCol w:w="664"/>
        <w:gridCol w:w="60"/>
        <w:gridCol w:w="60"/>
        <w:gridCol w:w="65"/>
        <w:gridCol w:w="1077"/>
        <w:gridCol w:w="65"/>
        <w:gridCol w:w="65"/>
        <w:gridCol w:w="166"/>
        <w:gridCol w:w="664"/>
        <w:gridCol w:w="75"/>
      </w:tblGrid>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Options Exercisable</w:t>
            </w:r>
          </w:p>
        </w:tc>
        <w:tc>
          <w:tcPr>
            <w:tcW w:w="75" w:type="dxa"/>
            <w:tcBorders/>
            <w:vAlign w:val="center"/>
          </w:tcPr>
          <w:p>
            <w:pPr>
              <w:pStyle w:val="TableContents"/>
              <w:bidi w:val="0"/>
              <w:spacing w:before="0" w:after="283"/>
              <w:jc w:val="left"/>
              <w:rPr/>
            </w:pPr>
            <w:r>
              <w:rPr/>
              <w:t> </w:t>
            </w:r>
          </w:p>
        </w:tc>
      </w:tr>
      <w:tr>
        <w:trPr/>
        <w:tc>
          <w:tcPr>
            <w:tcW w:w="2540" w:type="dxa"/>
            <w:tcBorders>
              <w:bottom w:val="single" w:sz="8" w:space="0" w:color="000000"/>
            </w:tcBorders>
            <w:tcMar>
              <w:bottom w:w="28" w:type="dxa"/>
            </w:tcMar>
            <w:vAlign w:val="center"/>
          </w:tcPr>
          <w:p>
            <w:pPr>
              <w:pStyle w:val="TableContents"/>
              <w:bidi w:val="0"/>
              <w:spacing w:before="0" w:after="283"/>
              <w:jc w:val="center"/>
              <w:rPr>
                <w:b/>
              </w:rPr>
            </w:pPr>
            <w:r>
              <w:rPr>
                <w:b/>
              </w:rPr>
              <w:t>Range of Exercise Prices</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center"/>
              <w:rPr/>
            </w:pPr>
            <w:r>
              <w:rPr/>
              <w:t>$</w:t>
            </w:r>
            <w:bookmarkStart w:id="693" w:name="xdx_902_eus-gaap--ShareBasedCompensation"/>
            <w:bookmarkEnd w:id="693"/>
            <w:r>
              <w:rPr/>
              <w:t>1.47 - $</w:t>
            </w:r>
            <w:bookmarkStart w:id="694" w:name="xdx_906_eus-gaap--ShareBasedCompensation"/>
            <w:bookmarkEnd w:id="694"/>
            <w:r>
              <w:rPr/>
              <w:t>1.70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695" w:name="xdx_984_eus-gaap--ShareBasedCompensation"/>
            <w:bookmarkEnd w:id="695"/>
          </w:p>
        </w:tc>
        <w:tc>
          <w:tcPr>
            <w:tcW w:w="1207" w:type="dxa"/>
            <w:tcBorders/>
            <w:shd w:fill="CCEEFF" w:val="clear"/>
            <w:vAlign w:val="center"/>
          </w:tcPr>
          <w:p>
            <w:pPr>
              <w:pStyle w:val="TableContents"/>
              <w:bidi w:val="0"/>
              <w:spacing w:before="0" w:after="283"/>
              <w:jc w:val="right"/>
              <w:rPr/>
            </w:pPr>
            <w:r>
              <w:rPr/>
              <w:t>31,942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bookmarkStart w:id="696" w:name="xdx_909_eus-gaap--SharebasedCompensation"/>
            <w:bookmarkEnd w:id="696"/>
            <w:r>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697" w:name="xdx_984_eus-gaap--SharebasedCompensation"/>
            <w:bookmarkEnd w:id="697"/>
          </w:p>
        </w:tc>
        <w:tc>
          <w:tcPr>
            <w:tcW w:w="664"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698" w:name="xdx_98C_eus-gaap--ShareBasedCompensation"/>
            <w:bookmarkEnd w:id="698"/>
          </w:p>
        </w:tc>
        <w:tc>
          <w:tcPr>
            <w:tcW w:w="1077" w:type="dxa"/>
            <w:tcBorders/>
            <w:shd w:fill="CCEEFF" w:val="clear"/>
            <w:vAlign w:val="center"/>
          </w:tcPr>
          <w:p>
            <w:pPr>
              <w:pStyle w:val="TableContents"/>
              <w:bidi w:val="0"/>
              <w:spacing w:before="0" w:after="283"/>
              <w:jc w:val="right"/>
              <w:rPr/>
            </w:pPr>
            <w:r>
              <w:rPr/>
              <w:t>31,942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699" w:name="xdx_981_eus-gaap--SharebasedCompensation"/>
            <w:bookmarkEnd w:id="699"/>
          </w:p>
        </w:tc>
        <w:tc>
          <w:tcPr>
            <w:tcW w:w="664" w:type="dxa"/>
            <w:tcBorders/>
            <w:shd w:fill="CCEEFF" w:val="clear"/>
            <w:vAlign w:val="center"/>
          </w:tcPr>
          <w:p>
            <w:pPr>
              <w:pStyle w:val="TableContents"/>
              <w:bidi w:val="0"/>
              <w:spacing w:before="0" w:after="283"/>
              <w:jc w:val="right"/>
              <w:rPr/>
            </w:pPr>
            <w:r>
              <w:rPr/>
              <w:t>1.68</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center"/>
              <w:rPr/>
            </w:pPr>
            <w:r>
              <w:rPr/>
              <w:t>$</w:t>
            </w:r>
            <w:bookmarkStart w:id="700" w:name="xdx_906_eus-gaap--ShareBasedCompensation"/>
            <w:bookmarkEnd w:id="700"/>
            <w:r>
              <w:rPr/>
              <w:t>1.73</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701" w:name="xdx_983_eus-gaap--ShareBasedCompensation"/>
            <w:bookmarkEnd w:id="701"/>
          </w:p>
        </w:tc>
        <w:tc>
          <w:tcPr>
            <w:tcW w:w="1207" w:type="dxa"/>
            <w:tcBorders/>
            <w:shd w:fill="FFFFFF" w:val="clear"/>
            <w:vAlign w:val="center"/>
          </w:tcPr>
          <w:p>
            <w:pPr>
              <w:pStyle w:val="TableContents"/>
              <w:bidi w:val="0"/>
              <w:spacing w:before="0" w:after="283"/>
              <w:jc w:val="right"/>
              <w:rPr/>
            </w:pPr>
            <w:r>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bookmarkStart w:id="702" w:name="xdx_906_eus-gaap--SharebasedCompensation"/>
            <w:bookmarkEnd w:id="702"/>
            <w:r>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03" w:name="xdx_984_eus-gaap--SharebasedCompensation"/>
            <w:bookmarkEnd w:id="703"/>
          </w:p>
        </w:tc>
        <w:tc>
          <w:tcPr>
            <w:tcW w:w="664" w:type="dxa"/>
            <w:tcBorders/>
            <w:shd w:fill="FFFFFF" w:val="clear"/>
            <w:vAlign w:val="center"/>
          </w:tcPr>
          <w:p>
            <w:pPr>
              <w:pStyle w:val="TableContents"/>
              <w:bidi w:val="0"/>
              <w:spacing w:before="0" w:after="283"/>
              <w:jc w:val="right"/>
              <w:rPr/>
            </w:pPr>
            <w:r>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04" w:name="xdx_980_eus-gaap--ShareBasedCompensation"/>
            <w:bookmarkEnd w:id="704"/>
          </w:p>
        </w:tc>
        <w:tc>
          <w:tcPr>
            <w:tcW w:w="1077" w:type="dxa"/>
            <w:tcBorders/>
            <w:shd w:fill="FFFFFF" w:val="clear"/>
            <w:vAlign w:val="center"/>
          </w:tcPr>
          <w:p>
            <w:pPr>
              <w:pStyle w:val="TableContents"/>
              <w:bidi w:val="0"/>
              <w:spacing w:before="0" w:after="283"/>
              <w:jc w:val="right"/>
              <w:rPr/>
            </w:pPr>
            <w:r>
              <w:rPr/>
              <w:t>250,000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05" w:name="xdx_98B_eus-gaap--SharebasedCompensation"/>
            <w:bookmarkEnd w:id="705"/>
          </w:p>
        </w:tc>
        <w:tc>
          <w:tcPr>
            <w:tcW w:w="664" w:type="dxa"/>
            <w:tcBorders/>
            <w:shd w:fill="FFFFFF" w:val="cle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center"/>
              <w:rPr/>
            </w:pPr>
            <w:r>
              <w:rPr/>
              <w:t>$</w:t>
            </w:r>
            <w:bookmarkStart w:id="706" w:name="xdx_90E_eus-gaap--ShareBasedCompensation"/>
            <w:bookmarkEnd w:id="706"/>
            <w:r>
              <w:rPr/>
              <w:t>2.23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707" w:name="xdx_98A_eus-gaap--ShareBasedCompensation"/>
            <w:bookmarkEnd w:id="707"/>
          </w:p>
        </w:tc>
        <w:tc>
          <w:tcPr>
            <w:tcW w:w="1207"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bookmarkStart w:id="708" w:name="xdx_900_eus-gaap--SharebasedCompensation"/>
            <w:bookmarkEnd w:id="708"/>
            <w:r>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09" w:name="xdx_98F_eus-gaap--SharebasedCompensation"/>
            <w:bookmarkEnd w:id="709"/>
          </w:p>
        </w:tc>
        <w:tc>
          <w:tcPr>
            <w:tcW w:w="664"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710" w:name="xdx_98E_eus-gaap--ShareBasedCompensation"/>
            <w:bookmarkEnd w:id="710"/>
          </w:p>
        </w:tc>
        <w:tc>
          <w:tcPr>
            <w:tcW w:w="1077" w:type="dxa"/>
            <w:tcBorders/>
            <w:shd w:fill="CCEEFF" w:val="clear"/>
            <w:vAlign w:val="center"/>
          </w:tcPr>
          <w:p>
            <w:pPr>
              <w:pStyle w:val="TableContents"/>
              <w:bidi w:val="0"/>
              <w:spacing w:before="0" w:after="283"/>
              <w:jc w:val="right"/>
              <w:rPr/>
            </w:pPr>
            <w:r>
              <w:rPr/>
              <w:t>270,000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11" w:name="xdx_982_eus-gaap--SharebasedCompensation"/>
            <w:bookmarkEnd w:id="711"/>
          </w:p>
        </w:tc>
        <w:tc>
          <w:tcPr>
            <w:tcW w:w="664" w:type="dxa"/>
            <w:tcBorders/>
            <w:shd w:fill="CCEEFF" w:val="clear"/>
            <w:vAlign w:val="center"/>
          </w:tcPr>
          <w:p>
            <w:pPr>
              <w:pStyle w:val="TableContents"/>
              <w:bidi w:val="0"/>
              <w:spacing w:before="0" w:after="283"/>
              <w:jc w:val="right"/>
              <w:rPr/>
            </w:pPr>
            <w:r>
              <w:rPr/>
              <w:t>2.23</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center"/>
              <w:rPr/>
            </w:pPr>
            <w:r>
              <w:rPr/>
              <w:t>$</w:t>
            </w:r>
            <w:bookmarkStart w:id="712" w:name="xdx_900_eus-gaap--ShareBasedCompensation"/>
            <w:bookmarkEnd w:id="712"/>
            <w:r>
              <w:rPr/>
              <w:t>2.40 - $</w:t>
            </w:r>
            <w:bookmarkStart w:id="713" w:name="xdx_900_eus-gaap--ShareBasedCompensation"/>
            <w:bookmarkEnd w:id="713"/>
            <w:r>
              <w:rPr/>
              <w:t>2.60</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714" w:name="xdx_982_eus-gaap--ShareBasedCompensation"/>
            <w:bookmarkEnd w:id="714"/>
          </w:p>
        </w:tc>
        <w:tc>
          <w:tcPr>
            <w:tcW w:w="1207" w:type="dxa"/>
            <w:tcBorders/>
            <w:shd w:fill="FFFFFF" w:val="clear"/>
            <w:vAlign w:val="center"/>
          </w:tcPr>
          <w:p>
            <w:pPr>
              <w:pStyle w:val="TableContents"/>
              <w:bidi w:val="0"/>
              <w:spacing w:before="0" w:after="283"/>
              <w:jc w:val="right"/>
              <w:rPr/>
            </w:pPr>
            <w:r>
              <w:rPr/>
              <w:t>14,068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bookmarkStart w:id="715" w:name="xdx_905_eus-gaap--SharebasedCompensation"/>
            <w:bookmarkEnd w:id="715"/>
            <w:r>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16" w:name="xdx_988_eus-gaap--SharebasedCompensation"/>
            <w:bookmarkEnd w:id="716"/>
          </w:p>
        </w:tc>
        <w:tc>
          <w:tcPr>
            <w:tcW w:w="664" w:type="dxa"/>
            <w:tcBorders/>
            <w:shd w:fill="FFFFFF" w:val="cle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17" w:name="xdx_984_eus-gaap--ShareBasedCompensation"/>
            <w:bookmarkEnd w:id="717"/>
          </w:p>
        </w:tc>
        <w:tc>
          <w:tcPr>
            <w:tcW w:w="1077" w:type="dxa"/>
            <w:tcBorders/>
            <w:shd w:fill="FFFFFF" w:val="clear"/>
            <w:vAlign w:val="center"/>
          </w:tcPr>
          <w:p>
            <w:pPr>
              <w:pStyle w:val="TableContents"/>
              <w:bidi w:val="0"/>
              <w:spacing w:before="0" w:after="283"/>
              <w:jc w:val="right"/>
              <w:rPr/>
            </w:pPr>
            <w:r>
              <w:rPr/>
              <w:t>14,068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18" w:name="xdx_98D_eus-gaap--SharebasedCompensation"/>
            <w:bookmarkEnd w:id="718"/>
          </w:p>
        </w:tc>
        <w:tc>
          <w:tcPr>
            <w:tcW w:w="664" w:type="dxa"/>
            <w:tcBorders/>
            <w:shd w:fill="FFFFFF" w:val="clear"/>
            <w:vAlign w:val="center"/>
          </w:tcPr>
          <w:p>
            <w:pPr>
              <w:pStyle w:val="TableContents"/>
              <w:bidi w:val="0"/>
              <w:spacing w:before="0" w:after="283"/>
              <w:jc w:val="right"/>
              <w:rPr/>
            </w:pPr>
            <w:r>
              <w:rPr/>
              <w:t>2.57</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center"/>
              <w:rPr/>
            </w:pPr>
            <w:r>
              <w:rPr/>
              <w:t>$</w:t>
            </w:r>
            <w:bookmarkStart w:id="719" w:name="xdx_906_eus-gaap--ShareBasedCompensation"/>
            <w:bookmarkEnd w:id="719"/>
            <w:r>
              <w:rPr/>
              <w:t>3.95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720" w:name="xdx_980_eus-gaap--ShareBasedCompensation"/>
            <w:bookmarkEnd w:id="720"/>
          </w:p>
        </w:tc>
        <w:tc>
          <w:tcPr>
            <w:tcW w:w="1207" w:type="dxa"/>
            <w:tcBorders/>
            <w:shd w:fill="CCEEFF" w:val="clear"/>
            <w:vAlign w:val="center"/>
          </w:tcPr>
          <w:p>
            <w:pPr>
              <w:pStyle w:val="TableContents"/>
              <w:bidi w:val="0"/>
              <w:spacing w:before="0" w:after="283"/>
              <w:jc w:val="right"/>
              <w:rPr/>
            </w:pPr>
            <w:r>
              <w:rPr/>
              <w:t>308,500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bookmarkStart w:id="721" w:name="xdx_903_eus-gaap--SharebasedCompensation"/>
            <w:bookmarkEnd w:id="721"/>
            <w:r>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22" w:name="xdx_985_eus-gaap--SharebasedCompensation"/>
            <w:bookmarkEnd w:id="722"/>
          </w:p>
        </w:tc>
        <w:tc>
          <w:tcPr>
            <w:tcW w:w="664" w:type="dxa"/>
            <w:tcBorders/>
            <w:shd w:fill="CCEEFF" w:val="clear"/>
            <w:vAlign w:val="center"/>
          </w:tcPr>
          <w:p>
            <w:pPr>
              <w:pStyle w:val="TableContents"/>
              <w:bidi w:val="0"/>
              <w:spacing w:before="0" w:after="283"/>
              <w:jc w:val="right"/>
              <w:rPr/>
            </w:pPr>
            <w:r>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723" w:name="xdx_985_eus-gaap--ShareBasedCompensation"/>
            <w:bookmarkEnd w:id="723"/>
          </w:p>
        </w:tc>
        <w:tc>
          <w:tcPr>
            <w:tcW w:w="1077" w:type="dxa"/>
            <w:tcBorders/>
            <w:shd w:fill="CCEEFF" w:val="clear"/>
            <w:vAlign w:val="center"/>
          </w:tcPr>
          <w:p>
            <w:pPr>
              <w:pStyle w:val="TableContents"/>
              <w:bidi w:val="0"/>
              <w:spacing w:before="0" w:after="283"/>
              <w:jc w:val="right"/>
              <w:rPr/>
            </w:pPr>
            <w:r>
              <w:rPr/>
              <w:t>308,500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24" w:name="xdx_981_eus-gaap--SharebasedCompensation"/>
            <w:bookmarkEnd w:id="724"/>
          </w:p>
        </w:tc>
        <w:tc>
          <w:tcPr>
            <w:tcW w:w="664" w:type="dxa"/>
            <w:tcBorders/>
            <w:shd w:fill="CCEEFF" w:val="cle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center"/>
              <w:rPr/>
            </w:pPr>
            <w:r>
              <w:rPr/>
              <w:t>$</w:t>
            </w:r>
            <w:bookmarkStart w:id="725" w:name="xdx_900_eus-gaap--ShareBasedCompensation"/>
            <w:bookmarkEnd w:id="725"/>
            <w:r>
              <w:rPr/>
              <w:t>4.49 - $</w:t>
            </w:r>
            <w:bookmarkStart w:id="726" w:name="xdx_90D_eus-gaap--ShareBasedCompensation"/>
            <w:bookmarkEnd w:id="726"/>
            <w:r>
              <w:rPr/>
              <w:t>5.72</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727" w:name="xdx_980_eus-gaap--ShareBasedCompensation"/>
            <w:bookmarkEnd w:id="727"/>
          </w:p>
        </w:tc>
        <w:tc>
          <w:tcPr>
            <w:tcW w:w="1207" w:type="dxa"/>
            <w:tcBorders/>
            <w:shd w:fill="FFFFFF" w:val="clear"/>
            <w:vAlign w:val="center"/>
          </w:tcPr>
          <w:p>
            <w:pPr>
              <w:pStyle w:val="TableContents"/>
              <w:bidi w:val="0"/>
              <w:spacing w:before="0" w:after="283"/>
              <w:jc w:val="right"/>
              <w:rPr/>
            </w:pPr>
            <w:r>
              <w:rPr/>
              <w:t>91,350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bookmarkStart w:id="728" w:name="xdx_908_eus-gaap--SharebasedCompensation"/>
            <w:bookmarkEnd w:id="728"/>
            <w:r>
              <w:rPr/>
              <w:t>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29" w:name="xdx_984_eus-gaap--SharebasedCompensation"/>
            <w:bookmarkEnd w:id="729"/>
          </w:p>
        </w:tc>
        <w:tc>
          <w:tcPr>
            <w:tcW w:w="664" w:type="dxa"/>
            <w:tcBorders/>
            <w:shd w:fill="FFFFFF" w:val="clear"/>
            <w:vAlign w:val="center"/>
          </w:tcPr>
          <w:p>
            <w:pPr>
              <w:pStyle w:val="TableContents"/>
              <w:bidi w:val="0"/>
              <w:spacing w:before="0" w:after="283"/>
              <w:jc w:val="right"/>
              <w:rPr/>
            </w:pPr>
            <w:r>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30" w:name="xdx_982_eus-gaap--ShareBasedCompensation"/>
            <w:bookmarkEnd w:id="730"/>
          </w:p>
        </w:tc>
        <w:tc>
          <w:tcPr>
            <w:tcW w:w="1077" w:type="dxa"/>
            <w:tcBorders/>
            <w:shd w:fill="FFFFFF" w:val="clear"/>
            <w:vAlign w:val="center"/>
          </w:tcPr>
          <w:p>
            <w:pPr>
              <w:pStyle w:val="TableContents"/>
              <w:bidi w:val="0"/>
              <w:spacing w:before="0" w:after="283"/>
              <w:jc w:val="right"/>
              <w:rPr/>
            </w:pPr>
            <w:r>
              <w:rPr/>
              <w:t>91,350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31" w:name="xdx_98C_eus-gaap--SharebasedCompensation"/>
            <w:bookmarkEnd w:id="731"/>
          </w:p>
        </w:tc>
        <w:tc>
          <w:tcPr>
            <w:tcW w:w="664" w:type="dxa"/>
            <w:tcBorders/>
            <w:shd w:fill="FFFFFF" w:val="clear"/>
            <w:vAlign w:val="center"/>
          </w:tcPr>
          <w:p>
            <w:pPr>
              <w:pStyle w:val="TableContents"/>
              <w:bidi w:val="0"/>
              <w:spacing w:before="0" w:after="283"/>
              <w:jc w:val="right"/>
              <w:rPr/>
            </w:pPr>
            <w:r>
              <w:rPr/>
              <w:t>5.53</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center"/>
              <w:rPr/>
            </w:pPr>
            <w:r>
              <w:rPr/>
              <w:t>$</w:t>
            </w:r>
            <w:bookmarkStart w:id="732" w:name="xdx_90F_eus-gaap--ShareBasedCompensation"/>
            <w:bookmarkEnd w:id="732"/>
            <w:r>
              <w:rPr/>
              <w:t>6.30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733" w:name="xdx_985_eus-gaap--ShareBasedCompensation"/>
            <w:bookmarkEnd w:id="733"/>
          </w:p>
        </w:tc>
        <w:tc>
          <w:tcPr>
            <w:tcW w:w="1207" w:type="dxa"/>
            <w:tcBorders/>
            <w:shd w:fill="CCEEFF" w:val="clear"/>
            <w:vAlign w:val="center"/>
          </w:tcPr>
          <w:p>
            <w:pPr>
              <w:pStyle w:val="TableContents"/>
              <w:bidi w:val="0"/>
              <w:spacing w:before="0" w:after="283"/>
              <w:jc w:val="right"/>
              <w:rPr/>
            </w:pPr>
            <w:r>
              <w:rPr/>
              <w:t>285,000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bookmarkStart w:id="734" w:name="xdx_90B_eus-gaap--SharebasedCompensation"/>
            <w:bookmarkEnd w:id="734"/>
            <w:r>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35" w:name="xdx_98F_eus-gaap--SharebasedCompensation"/>
            <w:bookmarkEnd w:id="735"/>
          </w:p>
        </w:tc>
        <w:tc>
          <w:tcPr>
            <w:tcW w:w="664"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736" w:name="xdx_980_eus-gaap--ShareBasedCompensation"/>
            <w:bookmarkEnd w:id="736"/>
          </w:p>
        </w:tc>
        <w:tc>
          <w:tcPr>
            <w:tcW w:w="1077" w:type="dxa"/>
            <w:tcBorders/>
            <w:shd w:fill="CCEEFF" w:val="clear"/>
            <w:vAlign w:val="center"/>
          </w:tcPr>
          <w:p>
            <w:pPr>
              <w:pStyle w:val="TableContents"/>
              <w:bidi w:val="0"/>
              <w:spacing w:before="0" w:after="283"/>
              <w:jc w:val="right"/>
              <w:rPr/>
            </w:pPr>
            <w:r>
              <w:rPr/>
              <w:t>285,000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37" w:name="xdx_986_eus-gaap--SharebasedCompensation"/>
            <w:bookmarkEnd w:id="737"/>
          </w:p>
        </w:tc>
        <w:tc>
          <w:tcPr>
            <w:tcW w:w="664" w:type="dxa"/>
            <w:tcBorders/>
            <w:shd w:fill="CCEEFF" w:val="clear"/>
            <w:vAlign w:val="center"/>
          </w:tcPr>
          <w:p>
            <w:pPr>
              <w:pStyle w:val="TableContents"/>
              <w:bidi w:val="0"/>
              <w:spacing w:before="0" w:after="283"/>
              <w:jc w:val="right"/>
              <w:rPr/>
            </w:pPr>
            <w:r>
              <w:rPr/>
              <w:t>6.30</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center"/>
              <w:rPr/>
            </w:pPr>
            <w:r>
              <w:rPr/>
              <w:t>$</w:t>
            </w:r>
            <w:bookmarkStart w:id="738" w:name="xdx_90C_eus-gaap--ShareBasedCompensation"/>
            <w:bookmarkEnd w:id="738"/>
            <w:r>
              <w:rPr/>
              <w:t>6.75 - $</w:t>
            </w:r>
            <w:bookmarkStart w:id="739" w:name="xdx_90B_eus-gaap--ShareBasedCompensation"/>
            <w:bookmarkEnd w:id="739"/>
            <w:r>
              <w:rPr/>
              <w:t>7.26</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740" w:name="xdx_980_eus-gaap--ShareBasedCompensation"/>
            <w:bookmarkEnd w:id="740"/>
          </w:p>
        </w:tc>
        <w:tc>
          <w:tcPr>
            <w:tcW w:w="1207" w:type="dxa"/>
            <w:tcBorders/>
            <w:shd w:fill="FFFFFF" w:val="clear"/>
            <w:vAlign w:val="center"/>
          </w:tcPr>
          <w:p>
            <w:pPr>
              <w:pStyle w:val="TableContents"/>
              <w:bidi w:val="0"/>
              <w:spacing w:before="0" w:after="283"/>
              <w:jc w:val="right"/>
              <w:rPr/>
            </w:pPr>
            <w:r>
              <w:rPr/>
              <w:t>38,435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bookmarkStart w:id="741" w:name="xdx_90F_eus-gaap--SharebasedCompensation"/>
            <w:bookmarkEnd w:id="741"/>
            <w:r>
              <w:rPr/>
              <w:t>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42" w:name="xdx_98C_eus-gaap--SharebasedCompensation"/>
            <w:bookmarkEnd w:id="742"/>
          </w:p>
        </w:tc>
        <w:tc>
          <w:tcPr>
            <w:tcW w:w="664" w:type="dxa"/>
            <w:tcBorders/>
            <w:shd w:fill="FFFFFF" w:val="clear"/>
            <w:vAlign w:val="center"/>
          </w:tcPr>
          <w:p>
            <w:pPr>
              <w:pStyle w:val="TableContents"/>
              <w:bidi w:val="0"/>
              <w:spacing w:before="0" w:after="283"/>
              <w:jc w:val="right"/>
              <w:rPr/>
            </w:pPr>
            <w:r>
              <w:rPr/>
              <w:t>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43" w:name="xdx_984_eus-gaap--ShareBasedCompensation"/>
            <w:bookmarkEnd w:id="743"/>
          </w:p>
        </w:tc>
        <w:tc>
          <w:tcPr>
            <w:tcW w:w="1077" w:type="dxa"/>
            <w:tcBorders/>
            <w:shd w:fill="FFFFFF" w:val="clear"/>
            <w:vAlign w:val="center"/>
          </w:tcPr>
          <w:p>
            <w:pPr>
              <w:pStyle w:val="TableContents"/>
              <w:bidi w:val="0"/>
              <w:spacing w:before="0" w:after="283"/>
              <w:jc w:val="right"/>
              <w:rPr/>
            </w:pPr>
            <w:r>
              <w:rPr/>
              <w:t>26,374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44" w:name="xdx_98F_eus-gaap--SharebasedCompensation"/>
            <w:bookmarkEnd w:id="744"/>
          </w:p>
        </w:tc>
        <w:tc>
          <w:tcPr>
            <w:tcW w:w="664" w:type="dxa"/>
            <w:tcBorders/>
            <w:shd w:fill="FFFFFF" w:val="clear"/>
            <w:vAlign w:val="center"/>
          </w:tcPr>
          <w:p>
            <w:pPr>
              <w:pStyle w:val="TableContents"/>
              <w:bidi w:val="0"/>
              <w:spacing w:before="0" w:after="283"/>
              <w:jc w:val="right"/>
              <w:rPr/>
            </w:pPr>
            <w:r>
              <w:rPr/>
              <w:t>6.77</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center"/>
              <w:rPr/>
            </w:pPr>
            <w:r>
              <w:rPr/>
              <w:t>$</w:t>
            </w:r>
            <w:bookmarkStart w:id="745" w:name="xdx_90B_eus-gaap--ShareBasedCompensation"/>
            <w:bookmarkEnd w:id="745"/>
            <w:r>
              <w:rPr/>
              <w:t>7.30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746" w:name="xdx_989_eus-gaap--ShareBasedCompensation"/>
            <w:bookmarkEnd w:id="746"/>
          </w:p>
        </w:tc>
        <w:tc>
          <w:tcPr>
            <w:tcW w:w="1207" w:type="dxa"/>
            <w:tcBorders/>
            <w:shd w:fill="CCEEFF" w:val="clear"/>
            <w:vAlign w:val="center"/>
          </w:tcPr>
          <w:p>
            <w:pPr>
              <w:pStyle w:val="TableContents"/>
              <w:bidi w:val="0"/>
              <w:spacing w:before="0" w:after="283"/>
              <w:jc w:val="right"/>
              <w:rPr/>
            </w:pPr>
            <w:r>
              <w:rPr/>
              <w:t>274,500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bookmarkStart w:id="747" w:name="xdx_901_eus-gaap--SharebasedCompensation"/>
            <w:bookmarkEnd w:id="747"/>
            <w:r>
              <w:rPr/>
              <w:t>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48" w:name="xdx_98F_eus-gaap--SharebasedCompensation"/>
            <w:bookmarkEnd w:id="748"/>
          </w:p>
        </w:tc>
        <w:tc>
          <w:tcPr>
            <w:tcW w:w="664" w:type="dxa"/>
            <w:tcBorders/>
            <w:shd w:fill="CCEEFF" w:val="clear"/>
            <w:vAlign w:val="center"/>
          </w:tcPr>
          <w:p>
            <w:pPr>
              <w:pStyle w:val="TableContents"/>
              <w:bidi w:val="0"/>
              <w:spacing w:before="0" w:after="283"/>
              <w:jc w:val="right"/>
              <w:rPr/>
            </w:pPr>
            <w:r>
              <w:rPr/>
              <w:t>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749" w:name="xdx_98A_eus-gaap--ShareBasedCompensation"/>
            <w:bookmarkEnd w:id="749"/>
          </w:p>
        </w:tc>
        <w:tc>
          <w:tcPr>
            <w:tcW w:w="1077" w:type="dxa"/>
            <w:tcBorders/>
            <w:shd w:fill="CCEEFF" w:val="clear"/>
            <w:vAlign w:val="center"/>
          </w:tcPr>
          <w:p>
            <w:pPr>
              <w:pStyle w:val="TableContents"/>
              <w:bidi w:val="0"/>
              <w:spacing w:before="0" w:after="283"/>
              <w:jc w:val="right"/>
              <w:rPr/>
            </w:pPr>
            <w:r>
              <w:rPr/>
              <w:t>274,500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50" w:name="xdx_98F_eus-gaap--SharebasedCompensation"/>
            <w:bookmarkEnd w:id="750"/>
          </w:p>
        </w:tc>
        <w:tc>
          <w:tcPr>
            <w:tcW w:w="664" w:type="dxa"/>
            <w:tcBorders/>
            <w:shd w:fill="CCEEFF" w:val="clear"/>
            <w:vAlign w:val="center"/>
          </w:tcPr>
          <w:p>
            <w:pPr>
              <w:pStyle w:val="TableContents"/>
              <w:bidi w:val="0"/>
              <w:spacing w:before="0" w:after="283"/>
              <w:jc w:val="right"/>
              <w:rPr/>
            </w:pPr>
            <w:r>
              <w:rPr/>
              <w:t>7.30</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center"/>
              <w:rPr/>
            </w:pPr>
            <w:r>
              <w:rPr/>
              <w:t>$</w:t>
            </w:r>
            <w:bookmarkStart w:id="751" w:name="xdx_905_eus-gaap--ShareBasedCompensation"/>
            <w:bookmarkEnd w:id="751"/>
            <w:r>
              <w:rPr/>
              <w:t>7.60 - $</w:t>
            </w:r>
            <w:bookmarkStart w:id="752" w:name="xdx_901_eus-gaap--ShareBasedCompensation"/>
            <w:bookmarkEnd w:id="752"/>
            <w:r>
              <w:rPr/>
              <w:t>48.18</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3" w:name="xdx_987_eus-gaap--ShareBasedCompensation"/>
            <w:bookmarkEnd w:id="753"/>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405,526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bookmarkStart w:id="754" w:name="xdx_90A_eus-gaap--SharebasedCompensation"/>
            <w:bookmarkEnd w:id="754"/>
            <w:r>
              <w:rPr/>
              <w:t>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55" w:name="xdx_980_eus-gaap--SharebasedCompensation"/>
            <w:bookmarkEnd w:id="755"/>
          </w:p>
        </w:tc>
        <w:tc>
          <w:tcPr>
            <w:tcW w:w="664" w:type="dxa"/>
            <w:tcBorders/>
            <w:shd w:fill="FFFFFF" w:val="clear"/>
            <w:vAlign w:val="center"/>
          </w:tcPr>
          <w:p>
            <w:pPr>
              <w:pStyle w:val="TableContents"/>
              <w:bidi w:val="0"/>
              <w:spacing w:before="0" w:after="283"/>
              <w:jc w:val="right"/>
              <w:rPr/>
            </w:pPr>
            <w:r>
              <w:rPr/>
              <w:t>25.44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6" w:name="xdx_984_eus-gaap--ShareBasedCompensation"/>
            <w:bookmarkEnd w:id="756"/>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108,452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bookmarkStart w:id="757" w:name="xdx_982_eus-gaap--SharebasedCompensation"/>
            <w:bookmarkEnd w:id="757"/>
          </w:p>
        </w:tc>
        <w:tc>
          <w:tcPr>
            <w:tcW w:w="664" w:type="dxa"/>
            <w:tcBorders/>
            <w:shd w:fill="FFFFFF" w:val="clear"/>
            <w:vAlign w:val="center"/>
          </w:tcPr>
          <w:p>
            <w:pPr>
              <w:pStyle w:val="TableContents"/>
              <w:bidi w:val="0"/>
              <w:spacing w:before="0" w:after="283"/>
              <w:jc w:val="right"/>
              <w:rPr/>
            </w:pPr>
            <w:r>
              <w:rPr/>
              <w:t>11.18</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center"/>
              <w:rPr/>
            </w:pPr>
            <w:r>
              <w:rPr/>
              <w:t>$</w:t>
            </w:r>
            <w:bookmarkStart w:id="758" w:name="xdx_90F_eus-gaap--ShareBasedCompensation"/>
            <w:bookmarkEnd w:id="758"/>
            <w:r>
              <w:rPr/>
              <w:t>1.47 - $</w:t>
            </w:r>
            <w:bookmarkStart w:id="759" w:name="xdx_900_eus-gaap--ShareBasedCompensation"/>
            <w:bookmarkEnd w:id="759"/>
            <w:r>
              <w:rPr/>
              <w:t>48.18</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0" w:name="xdx_984_eus-gaap--ShareBasedCompensation"/>
            <w:bookmarkEnd w:id="760"/>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pPr>
            <w:r>
              <w:rPr/>
              <w:t>1,969,321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bookmarkStart w:id="761" w:name="xdx_90A_eus-gaap--SharebasedCompensation"/>
            <w:bookmarkEnd w:id="761"/>
            <w:r>
              <w:rPr/>
              <w:t>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62" w:name="xdx_988_eus-gaap--SharebasedCompensation"/>
            <w:bookmarkEnd w:id="762"/>
          </w:p>
        </w:tc>
        <w:tc>
          <w:tcPr>
            <w:tcW w:w="664" w:type="dxa"/>
            <w:tcBorders/>
            <w:shd w:fill="CCEEFF" w:val="clear"/>
            <w:vAlign w:val="center"/>
          </w:tcPr>
          <w:p>
            <w:pPr>
              <w:pStyle w:val="TableContents"/>
              <w:bidi w:val="0"/>
              <w:spacing w:before="0" w:after="283"/>
              <w:jc w:val="right"/>
              <w:rPr/>
            </w:pPr>
            <w:r>
              <w:rPr/>
              <w:t>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3" w:name="xdx_98C_eus-gaap--ShareBasedCompensation"/>
            <w:bookmarkEnd w:id="763"/>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pPr>
            <w:r>
              <w:rPr/>
              <w:t>1,660,186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64" w:name="xdx_98E_eus-gaap--SharebasedCompensation"/>
            <w:bookmarkEnd w:id="764"/>
          </w:p>
        </w:tc>
        <w:tc>
          <w:tcPr>
            <w:tcW w:w="664" w:type="dxa"/>
            <w:tcBorders/>
            <w:shd w:fill="CCEEFF" w:val="clear"/>
            <w:vAlign w:val="center"/>
          </w:tcPr>
          <w:p>
            <w:pPr>
              <w:pStyle w:val="TableContents"/>
              <w:bidi w:val="0"/>
              <w:spacing w:before="0" w:after="283"/>
              <w:jc w:val="right"/>
              <w:rPr/>
            </w:pPr>
            <w:r>
              <w:rPr/>
              <w:t>4.84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65" w:name="xdx_8AE_zdcQcgqtAZ5g"/>
      <w:bookmarkEnd w:id="7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September 30, 2025, there was approximately $</w:t>
      </w:r>
      <w:bookmarkStart w:id="766" w:name="xdx_903_eus-gaap--EmployeeServiceShareBa"/>
      <w:bookmarkEnd w:id="766"/>
      <w:r>
        <w:rPr>
          <w:rFonts w:ascii="Times New Roman;Times;Serif" w:hAnsi="Times New Roman;Times;Serif"/>
          <w:b w:val="false"/>
          <w:i w:val="false"/>
          <w:caps w:val="false"/>
          <w:smallCaps w:val="false"/>
          <w:sz w:val="20"/>
          <w:shd w:fill="FFFFFF" w:val="clear"/>
        </w:rPr>
        <w:t xml:space="preserve">6,307,000 of total unrecognized compensation expense related to unvested stock options granted under the Plans. That expense is expected to be recognized over the weighted-average remaining vesting period of </w:t>
      </w:r>
      <w:bookmarkStart w:id="767" w:name="xdx_901_eus-gaap--EmployeeServiceShareBa"/>
      <w:bookmarkEnd w:id="767"/>
      <w:r>
        <w:rPr>
          <w:rFonts w:ascii="Times New Roman;Times;Serif" w:hAnsi="Times New Roman;Times;Serif"/>
          <w:b w:val="false"/>
          <w:i w:val="false"/>
          <w:caps w:val="false"/>
          <w:smallCaps w:val="false"/>
          <w:sz w:val="20"/>
          <w:shd w:fill="FFFFFF" w:val="clear"/>
        </w:rPr>
        <w:t>3.31 years. The stock-based compensation for all stock options was $</w:t>
      </w:r>
      <w:bookmarkStart w:id="768" w:name="xdx_902_eus-gaap--AllocatedShareBasedCom"/>
      <w:bookmarkEnd w:id="768"/>
      <w:r>
        <w:rPr>
          <w:rFonts w:ascii="Times New Roman;Times;Serif" w:hAnsi="Times New Roman;Times;Serif"/>
          <w:b w:val="false"/>
          <w:i w:val="false"/>
          <w:caps w:val="false"/>
          <w:smallCaps w:val="false"/>
          <w:sz w:val="20"/>
          <w:shd w:fill="FFFFFF" w:val="clear"/>
        </w:rPr>
        <w:t>281,000 and $</w:t>
      </w:r>
      <w:bookmarkStart w:id="769" w:name="xdx_90E_eus-gaap--AllocatedShareBasedCom"/>
      <w:bookmarkEnd w:id="769"/>
      <w:r>
        <w:rPr>
          <w:rFonts w:ascii="Times New Roman;Times;Serif" w:hAnsi="Times New Roman;Times;Serif"/>
          <w:b w:val="false"/>
          <w:i w:val="false"/>
          <w:caps w:val="false"/>
          <w:smallCaps w:val="false"/>
          <w:sz w:val="20"/>
          <w:shd w:fill="FFFFFF" w:val="clear"/>
        </w:rPr>
        <w:t>666,000 during the three and nine months ended September 30, 2025, respectively, and $</w:t>
      </w:r>
      <w:bookmarkStart w:id="770" w:name="xdx_906_eus-gaap--AllocatedShareBasedCom"/>
      <w:bookmarkEnd w:id="770"/>
      <w:r>
        <w:rPr>
          <w:rFonts w:ascii="Times New Roman;Times;Serif" w:hAnsi="Times New Roman;Times;Serif"/>
          <w:b w:val="false"/>
          <w:i w:val="false"/>
          <w:caps w:val="false"/>
          <w:smallCaps w:val="false"/>
          <w:sz w:val="20"/>
          <w:shd w:fill="FFFFFF" w:val="clear"/>
        </w:rPr>
        <w:t>160,000 and $</w:t>
      </w:r>
      <w:bookmarkStart w:id="771" w:name="xdx_90B_eus-gaap--AllocatedShareBasedCom"/>
      <w:bookmarkEnd w:id="771"/>
      <w:r>
        <w:rPr>
          <w:rFonts w:ascii="Times New Roman;Times;Serif" w:hAnsi="Times New Roman;Times;Serif"/>
          <w:b w:val="false"/>
          <w:i w:val="false"/>
          <w:caps w:val="false"/>
          <w:smallCaps w:val="false"/>
          <w:sz w:val="20"/>
          <w:shd w:fill="FFFFFF" w:val="clear"/>
        </w:rPr>
        <w:t>416,000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options exercised during the nine months ended September 30, 2025 was $</w:t>
      </w:r>
      <w:bookmarkStart w:id="772" w:name="xdx_904_eus-gaap--ShareBasedCompensation"/>
      <w:bookmarkEnd w:id="772"/>
      <w:r>
        <w:rPr>
          <w:rFonts w:ascii="Times New Roman;Times;Serif" w:hAnsi="Times New Roman;Times;Serif"/>
          <w:b w:val="false"/>
          <w:i w:val="false"/>
          <w:caps w:val="false"/>
          <w:smallCaps w:val="false"/>
          <w:sz w:val="20"/>
        </w:rPr>
        <w:t>18,232,000.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are granted subject to certain vesting requirements and other restrictions, including time-based performance and market-based vesting criteria. The grant date fair value of the RSUs, which has been determined based upon the market value of the Company’s common stock on the grant date, is expensed over the vesting period of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3" w:name="xdx_890_eus-gaap--ScheduleOfShareBasedCo"/>
      <w:bookmarkEnd w:id="773"/>
      <w:r>
        <w:rPr>
          <w:rFonts w:ascii="Times New Roman;Times;Serif" w:hAnsi="Times New Roman;Times;Serif"/>
          <w:b w:val="false"/>
          <w:i w:val="false"/>
          <w:caps w:val="false"/>
          <w:smallCaps w:val="false"/>
          <w:sz w:val="20"/>
        </w:rPr>
        <w:t>A summary of the Company’s RSU activity and related information for the nine months ended September 30,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4" w:name="xdx_8BB_zXmE0ISxvUwg"/>
      <w:bookmarkEnd w:id="774"/>
      <w:r>
        <w:rPr>
          <w:rFonts w:ascii="Times New Roman;Times;Serif" w:hAnsi="Times New Roman;Times;Serif"/>
          <w:b w:val="false"/>
          <w:i w:val="false"/>
          <w:caps w:val="false"/>
          <w:smallCaps w:val="false"/>
          <w:sz w:val="20"/>
        </w:rPr>
        <w:t>SCHEDULE OF RESTRICTED STOCK UNITS ACTIVITY</w:t>
      </w:r>
    </w:p>
    <w:tbl>
      <w:tblPr>
        <w:tblW w:w="6244" w:type="dxa"/>
        <w:jc w:val="left"/>
        <w:tblInd w:w="0" w:type="dxa"/>
        <w:tblLayout w:type="fixed"/>
        <w:tblCellMar>
          <w:top w:w="0" w:type="dxa"/>
          <w:left w:w="0" w:type="dxa"/>
          <w:bottom w:w="0" w:type="dxa"/>
          <w:right w:w="0" w:type="dxa"/>
        </w:tblCellMar>
      </w:tblPr>
      <w:tblGrid>
        <w:gridCol w:w="3650"/>
        <w:gridCol w:w="60"/>
        <w:gridCol w:w="72"/>
        <w:gridCol w:w="1057"/>
        <w:gridCol w:w="95"/>
        <w:gridCol w:w="60"/>
        <w:gridCol w:w="235"/>
        <w:gridCol w:w="940"/>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b/>
              </w:rPr>
            </w:pPr>
            <w:r>
              <w:rPr>
                <w:b/>
              </w:rPr>
              <w:t>Weighted</w:t>
              <w:br/>
              <w:t>Average</w:t>
            </w:r>
          </w:p>
          <w:p>
            <w:pPr>
              <w:pStyle w:val="TableContents"/>
              <w:bidi w:val="0"/>
              <w:jc w:val="center"/>
              <w:rPr>
                <w:b/>
              </w:rPr>
            </w:pPr>
            <w:r>
              <w:rPr>
                <w:b/>
              </w:rPr>
              <w:t>Grant Date</w:t>
            </w:r>
          </w:p>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RSUs unvested - January 1, 2025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775" w:name="xdx_98D_eus-gaap--ShareBasedCompensation"/>
            <w:bookmarkEnd w:id="775"/>
          </w:p>
        </w:tc>
        <w:tc>
          <w:tcPr>
            <w:tcW w:w="1057" w:type="dxa"/>
            <w:tcBorders/>
            <w:shd w:fill="CCEEFF" w:val="clear"/>
            <w:vAlign w:val="center"/>
          </w:tcPr>
          <w:p>
            <w:pPr>
              <w:pStyle w:val="TableContents"/>
              <w:bidi w:val="0"/>
              <w:spacing w:before="0" w:after="283"/>
              <w:jc w:val="right"/>
              <w:rPr/>
            </w:pPr>
            <w:r>
              <w:rPr/>
              <w:t>353,112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bookmarkStart w:id="776" w:name="xdx_98D_eus-gaap--ShareBasedCompensation"/>
            <w:bookmarkEnd w:id="776"/>
          </w:p>
        </w:tc>
        <w:tc>
          <w:tcPr>
            <w:tcW w:w="940" w:type="dxa"/>
            <w:tcBorders/>
            <w:shd w:fill="CCEEFF" w:val="clear"/>
            <w:vAlign w:val="center"/>
          </w:tcPr>
          <w:p>
            <w:pPr>
              <w:pStyle w:val="TableContents"/>
              <w:bidi w:val="0"/>
              <w:spacing w:before="0" w:after="283"/>
              <w:jc w:val="right"/>
              <w:rPr/>
            </w:pPr>
            <w:r>
              <w:rPr/>
              <w:t>22.55</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777" w:name="xdx_983_eus-gaap--ShareBasedCompensation"/>
            <w:bookmarkEnd w:id="777"/>
          </w:p>
        </w:tc>
        <w:tc>
          <w:tcPr>
            <w:tcW w:w="1057" w:type="dxa"/>
            <w:tcBorders/>
            <w:shd w:fill="FFFFFF" w:val="clear"/>
            <w:vAlign w:val="center"/>
          </w:tcPr>
          <w:p>
            <w:pPr>
              <w:pStyle w:val="TableContents"/>
              <w:bidi w:val="0"/>
              <w:spacing w:before="0" w:after="283"/>
              <w:jc w:val="right"/>
              <w:rPr/>
            </w:pPr>
            <w:r>
              <w:rPr/>
              <w:t>126,544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778" w:name="xdx_98D_eus-gaap--ShareBasedCompensation"/>
            <w:bookmarkEnd w:id="778"/>
          </w:p>
        </w:tc>
        <w:tc>
          <w:tcPr>
            <w:tcW w:w="940" w:type="dxa"/>
            <w:tcBorders/>
            <w:shd w:fill="FFFFFF" w:val="clear"/>
            <w:vAlign w:val="center"/>
          </w:tcPr>
          <w:p>
            <w:pPr>
              <w:pStyle w:val="TableContents"/>
              <w:bidi w:val="0"/>
              <w:spacing w:before="0" w:after="283"/>
              <w:jc w:val="right"/>
              <w:rPr/>
            </w:pPr>
            <w:r>
              <w:rPr/>
              <w:t>31.45</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RSUs vested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779" w:name="xdx_984_eus-gaap--ShareBasedCompensation"/>
            <w:bookmarkEnd w:id="779"/>
          </w:p>
        </w:tc>
        <w:tc>
          <w:tcPr>
            <w:tcW w:w="1057" w:type="dxa"/>
            <w:tcBorders/>
            <w:shd w:fill="CCEEFF" w:val="clear"/>
            <w:vAlign w:val="center"/>
          </w:tcPr>
          <w:p>
            <w:pPr>
              <w:pStyle w:val="TableContents"/>
              <w:bidi w:val="0"/>
              <w:spacing w:before="0" w:after="283"/>
              <w:jc w:val="right"/>
              <w:rPr/>
            </w:pPr>
            <w:r>
              <w:rPr/>
              <w:t>(91,861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bookmarkStart w:id="780" w:name="xdx_98A_eus-gaap--ShareBasedCompensation"/>
            <w:bookmarkEnd w:id="780"/>
          </w:p>
        </w:tc>
        <w:tc>
          <w:tcPr>
            <w:tcW w:w="940" w:type="dxa"/>
            <w:tcBorders/>
            <w:shd w:fill="CCEEFF" w:val="clear"/>
            <w:vAlign w:val="center"/>
          </w:tcPr>
          <w:p>
            <w:pPr>
              <w:pStyle w:val="TableContents"/>
              <w:bidi w:val="0"/>
              <w:spacing w:before="0" w:after="283"/>
              <w:jc w:val="right"/>
              <w:rPr/>
            </w:pPr>
            <w:r>
              <w:rPr/>
              <w:t>21.13</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RSUs cancelled/forfeited</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81" w:name="xdx_98E_eus-gaap--ShareBasedCompensation"/>
            <w:bookmarkEnd w:id="781"/>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pPr>
            <w:r>
              <w:rPr/>
              <w:t>(132,500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782" w:name="xdx_985_eus-gaap--ShareBasedCompensation"/>
            <w:bookmarkEnd w:id="782"/>
          </w:p>
        </w:tc>
        <w:tc>
          <w:tcPr>
            <w:tcW w:w="940" w:type="dxa"/>
            <w:tcBorders/>
            <w:shd w:fill="FFFFFF" w:val="clear"/>
            <w:vAlign w:val="center"/>
          </w:tcPr>
          <w:p>
            <w:pPr>
              <w:pStyle w:val="TableContents"/>
              <w:bidi w:val="0"/>
              <w:spacing w:before="0" w:after="283"/>
              <w:jc w:val="right"/>
              <w:rPr/>
            </w:pPr>
            <w:r>
              <w:rPr/>
              <w:t>19.72</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RSUs unvested – September 30, 2025</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83" w:name="xdx_986_eus-gaap--ShareBasedCompensation"/>
            <w:bookmarkEnd w:id="783"/>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pPr>
            <w:r>
              <w:rPr/>
              <w:t>255,295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bookmarkStart w:id="784" w:name="xdx_98B_eus-gaap--ShareBasedCompensation"/>
            <w:bookmarkEnd w:id="784"/>
          </w:p>
        </w:tc>
        <w:tc>
          <w:tcPr>
            <w:tcW w:w="940" w:type="dxa"/>
            <w:tcBorders/>
            <w:shd w:fill="CCEEFF" w:val="clear"/>
            <w:vAlign w:val="center"/>
          </w:tcPr>
          <w:p>
            <w:pPr>
              <w:pStyle w:val="TableContents"/>
              <w:bidi w:val="0"/>
              <w:spacing w:before="0" w:after="283"/>
              <w:jc w:val="right"/>
              <w:rPr/>
            </w:pPr>
            <w:r>
              <w:rPr/>
              <w:t>28.94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85" w:name="xdx_8AF_zPbRujPo85x1"/>
      <w:bookmarkEnd w:id="7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September 30, 2025, the total unrecognized compensation expense related to unvested RSUs was approximately $</w:t>
      </w:r>
      <w:bookmarkStart w:id="786" w:name="xdx_90C_eus-gaap--EmployeeServiceShareBa"/>
      <w:bookmarkEnd w:id="786"/>
      <w:r>
        <w:rPr>
          <w:rFonts w:ascii="Times New Roman;Times;Serif" w:hAnsi="Times New Roman;Times;Serif"/>
          <w:b w:val="false"/>
          <w:i w:val="false"/>
          <w:caps w:val="false"/>
          <w:smallCaps w:val="false"/>
          <w:sz w:val="20"/>
          <w:shd w:fill="FFFFFF" w:val="clear"/>
        </w:rPr>
        <w:t xml:space="preserve">6,431,000, which is expected to be recognized over a weighted-average period of </w:t>
      </w:r>
      <w:bookmarkStart w:id="787" w:name="xdx_909_eus-gaap--EmployeeServiceShareBa"/>
      <w:bookmarkEnd w:id="787"/>
      <w:r>
        <w:rPr>
          <w:rFonts w:ascii="Times New Roman;Times;Serif" w:hAnsi="Times New Roman;Times;Serif"/>
          <w:b w:val="false"/>
          <w:i w:val="false"/>
          <w:caps w:val="false"/>
          <w:smallCaps w:val="false"/>
          <w:sz w:val="20"/>
          <w:shd w:fill="FFFFFF" w:val="clear"/>
        </w:rPr>
        <w:t>1.56 years, based on estimated and actual vesting schedules of the applicable RSUs. The stock-based compensation for RSUs during the three and nine months ended September 30, 2025 was $</w:t>
      </w:r>
      <w:bookmarkStart w:id="788" w:name="xdx_90A_eus-gaap--AllocatedShareBasedCom"/>
      <w:bookmarkEnd w:id="788"/>
      <w:r>
        <w:rPr>
          <w:rFonts w:ascii="Times New Roman;Times;Serif" w:hAnsi="Times New Roman;Times;Serif"/>
          <w:b w:val="false"/>
          <w:i w:val="false"/>
          <w:caps w:val="false"/>
          <w:smallCaps w:val="false"/>
          <w:sz w:val="20"/>
          <w:shd w:fill="FFFFFF" w:val="clear"/>
        </w:rPr>
        <w:t>284,000 and $</w:t>
      </w:r>
      <w:bookmarkStart w:id="789" w:name="xdx_903_eus-gaap--AllocatedShareBasedCom"/>
      <w:bookmarkEnd w:id="789"/>
      <w:r>
        <w:rPr>
          <w:rFonts w:ascii="Times New Roman;Times;Serif" w:hAnsi="Times New Roman;Times;Serif"/>
          <w:b w:val="false"/>
          <w:i w:val="false"/>
          <w:caps w:val="false"/>
          <w:smallCaps w:val="false"/>
          <w:sz w:val="20"/>
          <w:shd w:fill="FFFFFF" w:val="clear"/>
        </w:rPr>
        <w:t>1,692,000, respectively, and was $</w:t>
      </w:r>
      <w:bookmarkStart w:id="790" w:name="xdx_909_eus-gaap--AllocatedShareBasedCom"/>
      <w:bookmarkEnd w:id="790"/>
      <w:r>
        <w:rPr>
          <w:rFonts w:ascii="Times New Roman;Times;Serif" w:hAnsi="Times New Roman;Times;Serif"/>
          <w:b w:val="false"/>
          <w:i w:val="false"/>
          <w:caps w:val="false"/>
          <w:smallCaps w:val="false"/>
          <w:sz w:val="20"/>
          <w:shd w:fill="FFFFFF" w:val="clear"/>
        </w:rPr>
        <w:t>587,000 and $</w:t>
      </w:r>
      <w:bookmarkStart w:id="791" w:name="xdx_909_eus-gaap--AllocatedShareBasedCom"/>
      <w:bookmarkEnd w:id="791"/>
      <w:r>
        <w:rPr>
          <w:rFonts w:ascii="Times New Roman;Times;Serif" w:hAnsi="Times New Roman;Times;Serif"/>
          <w:b w:val="false"/>
          <w:i w:val="false"/>
          <w:caps w:val="false"/>
          <w:smallCaps w:val="false"/>
          <w:sz w:val="20"/>
          <w:shd w:fill="FFFFFF" w:val="clear"/>
        </w:rPr>
        <w:t>1,494,000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Company granted an aggregate of </w:t>
      </w:r>
      <w:bookmarkStart w:id="792" w:name="xdx_90F_eus-gaap--ShareBasedCompensation"/>
      <w:bookmarkEnd w:id="792"/>
      <w:r>
        <w:rPr>
          <w:rFonts w:ascii="Times New Roman;Times;Serif" w:hAnsi="Times New Roman;Times;Serif"/>
          <w:b w:val="false"/>
          <w:i w:val="false"/>
          <w:caps w:val="false"/>
          <w:smallCaps w:val="false"/>
          <w:sz w:val="20"/>
        </w:rPr>
        <w:t>1,295,250 performance stock units to Mark L. Baum, Chief Executive Officer, and Andrew R. Boll, President and Chief Financial Officer, which are subject to the satisfaction of certain market-based and continued service conditions (the “2025 PSUs”). The vesting of the 2025 PSUs require (i) a minimum of a three-year service period, and (ii) during a five-year term, the achievement and maintenance of Company common stock price targets ranging between $</w:t>
      </w:r>
      <w:bookmarkStart w:id="793" w:name="xdx_906_eus-gaap--SharePrice_iI_pid_c202"/>
      <w:bookmarkEnd w:id="793"/>
      <w:r>
        <w:rPr>
          <w:rFonts w:ascii="Times New Roman;Times;Serif" w:hAnsi="Times New Roman;Times;Serif"/>
          <w:b w:val="false"/>
          <w:i w:val="false"/>
          <w:caps w:val="false"/>
          <w:smallCaps w:val="false"/>
          <w:sz w:val="20"/>
        </w:rPr>
        <w:t>50 to $</w:t>
      </w:r>
      <w:bookmarkStart w:id="794" w:name="xdx_902_eus-gaap--SharePrice_iI_pid_c202"/>
      <w:bookmarkEnd w:id="794"/>
      <w:r>
        <w:rPr>
          <w:rFonts w:ascii="Times New Roman;Times;Serif" w:hAnsi="Times New Roman;Times;Serif"/>
          <w:b w:val="false"/>
          <w:i w:val="false"/>
          <w:caps w:val="false"/>
          <w:smallCaps w:val="false"/>
          <w:sz w:val="20"/>
        </w:rPr>
        <w:t>100 per share, broken out into four separate tranches as described further in the table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5" w:name="xdx_8BA_zODANj9ef4sa"/>
      <w:bookmarkStart w:id="796" w:name="xdx_897_eus-gaap--ScheduleOfNonvestedPer"/>
      <w:bookmarkEnd w:id="795"/>
      <w:bookmarkEnd w:id="796"/>
      <w:r>
        <w:rPr>
          <w:rFonts w:ascii="Times New Roman;Times;Serif" w:hAnsi="Times New Roman;Times;Serif"/>
          <w:b w:val="false"/>
          <w:i w:val="false"/>
          <w:caps w:val="false"/>
          <w:smallCaps w:val="false"/>
          <w:sz w:val="20"/>
        </w:rPr>
        <w:t>SCHEDULE OF PERFORMANCE STOCK UNITS </w:t>
      </w:r>
    </w:p>
    <w:tbl>
      <w:tblPr>
        <w:tblW w:w="3718" w:type="dxa"/>
        <w:jc w:val="left"/>
        <w:tblInd w:w="0" w:type="dxa"/>
        <w:tblLayout w:type="fixed"/>
        <w:tblCellMar>
          <w:top w:w="0" w:type="dxa"/>
          <w:left w:w="0" w:type="dxa"/>
          <w:bottom w:w="28" w:type="dxa"/>
          <w:right w:w="0" w:type="dxa"/>
        </w:tblCellMar>
      </w:tblPr>
      <w:tblGrid>
        <w:gridCol w:w="995"/>
        <w:gridCol w:w="60"/>
        <w:gridCol w:w="360"/>
        <w:gridCol w:w="979"/>
        <w:gridCol w:w="60"/>
        <w:gridCol w:w="60"/>
        <w:gridCol w:w="78"/>
        <w:gridCol w:w="1051"/>
        <w:gridCol w:w="75"/>
      </w:tblGrid>
      <w:tr>
        <w:trPr/>
        <w:tc>
          <w:tcPr>
            <w:tcW w:w="995" w:type="dxa"/>
            <w:tcBorders>
              <w:bottom w:val="single" w:sz="8" w:space="0" w:color="000000"/>
            </w:tcBorders>
            <w:vAlign w:val="center"/>
          </w:tcPr>
          <w:p>
            <w:pPr>
              <w:pStyle w:val="TableContents"/>
              <w:bidi w:val="0"/>
              <w:spacing w:before="0" w:after="283"/>
              <w:jc w:val="center"/>
              <w:rPr>
                <w:b/>
              </w:rPr>
            </w:pPr>
            <w:r>
              <w:rPr>
                <w:b/>
              </w:rPr>
              <w:t>Tranche</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b/>
              </w:rPr>
            </w:pPr>
            <w:r>
              <w:rPr>
                <w:b/>
              </w:rPr>
              <w:t>Target Stock</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spacing w:before="0" w:after="283"/>
              <w:jc w:val="center"/>
              <w:rPr>
                <w:b/>
              </w:rPr>
            </w:pPr>
            <w:r>
              <w:rPr>
                <w:b/>
              </w:rPr>
              <w:t>Number of</w:t>
              <w:br/>
              <w:t>Shares</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bookmarkStart w:id="797" w:name="xdx_98B_eus-gaap--SharePrice_iI_c2025073"/>
            <w:bookmarkEnd w:id="797"/>
          </w:p>
        </w:tc>
        <w:tc>
          <w:tcPr>
            <w:tcW w:w="979" w:type="dxa"/>
            <w:tcBorders/>
            <w:shd w:fill="CCEEFF" w:val="clear"/>
            <w:tcMar>
              <w:bottom w:w="0" w:type="dxa"/>
            </w:tcMar>
            <w:vAlign w:val="center"/>
          </w:tcPr>
          <w:p>
            <w:pPr>
              <w:pStyle w:val="TableContents"/>
              <w:bidi w:val="0"/>
              <w:spacing w:before="0" w:after="283"/>
              <w:jc w:val="right"/>
              <w:rPr/>
            </w:pPr>
            <w:r>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bookmarkStart w:id="798" w:name="xdx_987_eus-gaap--SharebasedCompensation"/>
            <w:bookmarkEnd w:id="798"/>
          </w:p>
        </w:tc>
        <w:tc>
          <w:tcPr>
            <w:tcW w:w="1051" w:type="dxa"/>
            <w:tcBorders/>
            <w:shd w:fill="CCEEFF" w:val="clear"/>
            <w:tcMar>
              <w:bottom w:w="0" w:type="dxa"/>
            </w:tcMar>
            <w:vAlign w:val="center"/>
          </w:tcPr>
          <w:p>
            <w:pPr>
              <w:pStyle w:val="TableContents"/>
              <w:bidi w:val="0"/>
              <w:spacing w:before="0" w:after="283"/>
              <w:jc w:val="right"/>
              <w:rPr/>
            </w:pPr>
            <w:r>
              <w:rPr/>
              <w:t>181,335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w:t>
            </w:r>
            <w:bookmarkStart w:id="799" w:name="xdx_98A_eus-gaap--SharePrice_iI_c2025073"/>
            <w:bookmarkEnd w:id="799"/>
          </w:p>
        </w:tc>
        <w:tc>
          <w:tcPr>
            <w:tcW w:w="979" w:type="dxa"/>
            <w:tcBorders/>
            <w:shd w:fill="FFFFFF" w:val="clear"/>
            <w:tcMar>
              <w:bottom w:w="0" w:type="dxa"/>
            </w:tcMar>
            <w:vAlign w:val="center"/>
          </w:tcPr>
          <w:p>
            <w:pPr>
              <w:pStyle w:val="TableContents"/>
              <w:bidi w:val="0"/>
              <w:spacing w:before="0" w:after="283"/>
              <w:jc w:val="right"/>
              <w:rPr/>
            </w:pPr>
            <w:r>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bookmarkStart w:id="800" w:name="xdx_980_eus-gaap--SharebasedCompensation"/>
            <w:bookmarkEnd w:id="800"/>
          </w:p>
        </w:tc>
        <w:tc>
          <w:tcPr>
            <w:tcW w:w="1051" w:type="dxa"/>
            <w:tcBorders/>
            <w:shd w:fill="FFFFFF" w:val="clear"/>
            <w:tcMar>
              <w:bottom w:w="0" w:type="dxa"/>
            </w:tcMar>
            <w:vAlign w:val="center"/>
          </w:tcPr>
          <w:p>
            <w:pPr>
              <w:pStyle w:val="TableContents"/>
              <w:bidi w:val="0"/>
              <w:spacing w:before="0" w:after="283"/>
              <w:jc w:val="right"/>
              <w:rPr/>
            </w:pPr>
            <w:r>
              <w:rPr/>
              <w:t>272,003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w:t>
            </w:r>
            <w:bookmarkStart w:id="801" w:name="xdx_986_eus-gaap--SharePrice_iI_c2025073"/>
            <w:bookmarkEnd w:id="801"/>
          </w:p>
        </w:tc>
        <w:tc>
          <w:tcPr>
            <w:tcW w:w="979" w:type="dxa"/>
            <w:tcBorders/>
            <w:shd w:fill="CCEEFF" w:val="clear"/>
            <w:tcMar>
              <w:bottom w:w="0" w:type="dxa"/>
            </w:tcMar>
            <w:vAlign w:val="center"/>
          </w:tcPr>
          <w:p>
            <w:pPr>
              <w:pStyle w:val="TableContents"/>
              <w:bidi w:val="0"/>
              <w:spacing w:before="0" w:after="283"/>
              <w:jc w:val="right"/>
              <w:rPr/>
            </w:pPr>
            <w:r>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bookmarkStart w:id="802" w:name="xdx_983_eus-gaap--SharebasedCompensation"/>
            <w:bookmarkEnd w:id="802"/>
          </w:p>
        </w:tc>
        <w:tc>
          <w:tcPr>
            <w:tcW w:w="1051" w:type="dxa"/>
            <w:tcBorders/>
            <w:shd w:fill="CCEEFF" w:val="clear"/>
            <w:tcMar>
              <w:bottom w:w="0" w:type="dxa"/>
            </w:tcMar>
            <w:vAlign w:val="center"/>
          </w:tcPr>
          <w:p>
            <w:pPr>
              <w:pStyle w:val="TableContents"/>
              <w:bidi w:val="0"/>
              <w:spacing w:before="0" w:after="283"/>
              <w:jc w:val="right"/>
              <w:rPr/>
            </w:pPr>
            <w:r>
              <w:rPr/>
              <w:t>375,623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w:t>
            </w:r>
            <w:bookmarkStart w:id="803" w:name="xdx_987_eus-gaap--SharePrice_iI_c2025073"/>
            <w:bookmarkEnd w:id="803"/>
          </w:p>
        </w:tc>
        <w:tc>
          <w:tcPr>
            <w:tcW w:w="97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bookmarkStart w:id="804" w:name="xdx_98C_eus-gaap--SharebasedCompensation"/>
            <w:bookmarkEnd w:id="804"/>
          </w:p>
        </w:tc>
        <w:tc>
          <w:tcPr>
            <w:tcW w:w="1051" w:type="dxa"/>
            <w:tcBorders/>
            <w:shd w:fill="FFFFFF" w:val="clear"/>
            <w:tcMar>
              <w:bottom w:w="0" w:type="dxa"/>
            </w:tcMar>
            <w:vAlign w:val="center"/>
          </w:tcPr>
          <w:p>
            <w:pPr>
              <w:pStyle w:val="TableContents"/>
              <w:bidi w:val="0"/>
              <w:spacing w:before="0" w:after="283"/>
              <w:jc w:val="right"/>
              <w:rPr/>
            </w:pPr>
            <w:r>
              <w:rPr/>
              <w:t>466,289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5" w:name="xdx_8AE_z3HGwZFwzXB1"/>
      <w:bookmarkEnd w:id="805"/>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Target Stock Price assumes that no dividends or like distributions are made to stockholders of the Company. If such distributions are made, the Target Stock Price would decrease accordingly, to the benefit of the employee, to account for the dividend/distribution as a part of the Target Stock Price.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2025 PSUs was $</w:t>
      </w:r>
      <w:bookmarkStart w:id="806" w:name="xdx_903_eus-gaap--ShareBasedCompensation"/>
      <w:bookmarkEnd w:id="806"/>
      <w:r>
        <w:rPr>
          <w:rFonts w:ascii="Times New Roman;Times;Serif" w:hAnsi="Times New Roman;Times;Serif"/>
          <w:b w:val="false"/>
          <w:i w:val="false"/>
          <w:caps w:val="false"/>
          <w:smallCaps w:val="false"/>
          <w:sz w:val="20"/>
        </w:rPr>
        <w:t xml:space="preserve">32,465,000 using a Monte Carlo Simulation with a five </w:t>
      </w:r>
      <w:bookmarkStart w:id="807" w:name="xdx_90C_eus-gaap--SharebasedCompensation"/>
      <w:bookmarkEnd w:id="807"/>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 xml:space="preserve">-year life, </w:t>
      </w:r>
      <w:bookmarkStart w:id="808" w:name="xdx_90A_eus-gaap--ShareBasedCompensation"/>
      <w:bookmarkEnd w:id="808"/>
      <w:r>
        <w:rPr>
          <w:rFonts w:ascii="Times New Roman;Times;Serif" w:hAnsi="Times New Roman;Times;Serif"/>
          <w:b w:val="false"/>
          <w:i w:val="false"/>
          <w:caps w:val="false"/>
          <w:smallCaps w:val="false"/>
          <w:sz w:val="20"/>
        </w:rPr>
        <w:t xml:space="preserve">72% volatility and a risk-free interest rate of </w:t>
      </w:r>
      <w:bookmarkStart w:id="809" w:name="xdx_908_eus-gaap--ShareBasedCompensation"/>
      <w:bookmarkEnd w:id="809"/>
      <w:r>
        <w:rPr>
          <w:rFonts w:ascii="Times New Roman;Times;Serif" w:hAnsi="Times New Roman;Times;Serif"/>
          <w:b w:val="false"/>
          <w:i w:val="false"/>
          <w:caps w:val="false"/>
          <w:smallCaps w:val="false"/>
          <w:sz w:val="20"/>
        </w:rPr>
        <w:t>3.8%. This amount is being amortized over a three</w:t>
      </w:r>
      <w:bookmarkStart w:id="810" w:name="xdx_906_ecustom--SharebasedCompensationA"/>
      <w:bookmarkEnd w:id="810"/>
      <w:r>
        <w:rPr>
          <w:rFonts w:ascii="Times New Roman;Times;Serif" w:hAnsi="Times New Roman;Times;Serif"/>
          <w:b w:val="false"/>
          <w:i w:val="false"/>
          <w:caps w:val="false"/>
          <w:smallCaps w:val="false"/>
          <w:sz w:val="18"/>
        </w:rPr>
        <w:t>3</w:t>
      </w:r>
      <w:r>
        <w:rPr>
          <w:rFonts w:ascii="Times New Roman;Times;Serif" w:hAnsi="Times New Roman;Times;Serif"/>
          <w:b w:val="false"/>
          <w:i w:val="false"/>
          <w:caps w:val="false"/>
          <w:smallCaps w:val="false"/>
          <w:sz w:val="20"/>
        </w:rPr>
        <w:t>-year derived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1" w:name="xdx_892_eus-gaap--ShareBasedCompensation"/>
      <w:bookmarkEnd w:id="811"/>
      <w:r>
        <w:rPr>
          <w:rFonts w:ascii="Times New Roman;Times;Serif" w:hAnsi="Times New Roman;Times;Serif"/>
          <w:b w:val="false"/>
          <w:i w:val="false"/>
          <w:caps w:val="false"/>
          <w:smallCaps w:val="false"/>
          <w:sz w:val="20"/>
        </w:rPr>
        <w:t>A summary of the Company’s PSU activity and related information for the nine months ended September 30,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2" w:name="xdx_8B3_zcTJ3caqQJD8"/>
      <w:bookmarkEnd w:id="812"/>
      <w:r>
        <w:rPr>
          <w:rFonts w:ascii="Times New Roman;Times;Serif" w:hAnsi="Times New Roman;Times;Serif"/>
          <w:b w:val="false"/>
          <w:i w:val="false"/>
          <w:caps w:val="false"/>
          <w:smallCaps w:val="false"/>
          <w:sz w:val="20"/>
        </w:rPr>
        <w:t>SCHEDULE OF PERFORMANCE STOCK UNITS ACTIVITY</w:t>
      </w:r>
    </w:p>
    <w:tbl>
      <w:tblPr>
        <w:tblW w:w="7699" w:type="dxa"/>
        <w:jc w:val="left"/>
        <w:tblInd w:w="0" w:type="dxa"/>
        <w:tblLayout w:type="fixed"/>
        <w:tblCellMar>
          <w:top w:w="0" w:type="dxa"/>
          <w:left w:w="0" w:type="dxa"/>
          <w:bottom w:w="0" w:type="dxa"/>
          <w:right w:w="0" w:type="dxa"/>
        </w:tblCellMar>
      </w:tblPr>
      <w:tblGrid>
        <w:gridCol w:w="3620"/>
        <w:gridCol w:w="60"/>
        <w:gridCol w:w="101"/>
        <w:gridCol w:w="1778"/>
        <w:gridCol w:w="95"/>
        <w:gridCol w:w="60"/>
        <w:gridCol w:w="382"/>
        <w:gridCol w:w="1528"/>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jc w:val="center"/>
              <w:rPr>
                <w:b/>
              </w:rPr>
            </w:pPr>
            <w:r>
              <w:rPr>
                <w:b/>
              </w:rPr>
              <w:t>Weighted Average</w:t>
            </w:r>
          </w:p>
          <w:p>
            <w:pPr>
              <w:pStyle w:val="TableContents"/>
              <w:bidi w:val="0"/>
              <w:jc w:val="center"/>
              <w:rPr>
                <w:b/>
              </w:rPr>
            </w:pPr>
            <w:r>
              <w:rPr>
                <w:b/>
              </w:rPr>
              <w:t>Grant Date</w:t>
            </w:r>
          </w:p>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PSUs unvested – January 1, 2025</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bookmarkStart w:id="813" w:name="xdx_98A_eus-gaap--ShareBasedCompensation"/>
            <w:bookmarkEnd w:id="813"/>
          </w:p>
        </w:tc>
        <w:tc>
          <w:tcPr>
            <w:tcW w:w="1778" w:type="dxa"/>
            <w:tcBorders/>
            <w:shd w:fill="CCEEFF" w:val="clear"/>
            <w:vAlign w:val="center"/>
          </w:tcPr>
          <w:p>
            <w:pPr>
              <w:pStyle w:val="TableContents"/>
              <w:bidi w:val="0"/>
              <w:spacing w:before="0" w:after="283"/>
              <w:jc w:val="right"/>
              <w:rPr/>
            </w:pPr>
            <w:r>
              <w:rPr/>
              <w:t>1,567,913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bookmarkStart w:id="814" w:name="xdx_987_eus-gaap--ShareBasedCompensation"/>
            <w:bookmarkEnd w:id="814"/>
          </w:p>
        </w:tc>
        <w:tc>
          <w:tcPr>
            <w:tcW w:w="1528"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PSUs granted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bookmarkStart w:id="815" w:name="xdx_989_eus-gaap--ShareBasedCompensation"/>
            <w:bookmarkEnd w:id="815"/>
          </w:p>
        </w:tc>
        <w:tc>
          <w:tcPr>
            <w:tcW w:w="1778" w:type="dxa"/>
            <w:tcBorders/>
            <w:shd w:fill="FFFFFF" w:val="clear"/>
            <w:vAlign w:val="center"/>
          </w:tcPr>
          <w:p>
            <w:pPr>
              <w:pStyle w:val="TableContents"/>
              <w:bidi w:val="0"/>
              <w:spacing w:before="0" w:after="283"/>
              <w:jc w:val="right"/>
              <w:rPr/>
            </w:pPr>
            <w:r>
              <w:rPr/>
              <w:t>1,295,250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bookmarkStart w:id="816" w:name="xdx_98A_eus-gaap--ShareBasedCompensation"/>
            <w:bookmarkEnd w:id="816"/>
          </w:p>
        </w:tc>
        <w:tc>
          <w:tcPr>
            <w:tcW w:w="1528" w:type="dxa"/>
            <w:tcBorders/>
            <w:shd w:fill="FFFFFF" w:val="clear"/>
            <w:vAlign w:val="center"/>
          </w:tcPr>
          <w:p>
            <w:pPr>
              <w:pStyle w:val="TableContents"/>
              <w:bidi w:val="0"/>
              <w:spacing w:before="0" w:after="283"/>
              <w:jc w:val="right"/>
              <w:rPr/>
            </w:pPr>
            <w:r>
              <w:rPr/>
              <w:t>25.06</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PSUs vested</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bookmarkStart w:id="817" w:name="xdx_984_eus-gaap--ShareBasedCompensation"/>
            <w:bookmarkEnd w:id="817"/>
          </w:p>
        </w:tc>
        <w:tc>
          <w:tcPr>
            <w:tcW w:w="1778" w:type="dxa"/>
            <w:tcBorders/>
            <w:shd w:fill="CCEEFF" w:val="clear"/>
            <w:vAlign w:val="center"/>
          </w:tcPr>
          <w:p>
            <w:pPr>
              <w:pStyle w:val="TableContents"/>
              <w:bidi w:val="0"/>
              <w:spacing w:before="0" w:after="283"/>
              <w:jc w:val="right"/>
              <w:rPr/>
            </w:pPr>
            <w:r>
              <w:rPr/>
              <w:t>(1,567,913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bookmarkStart w:id="818" w:name="xdx_98A_eus-gaap--ShareBasedCompensation"/>
            <w:bookmarkEnd w:id="818"/>
          </w:p>
        </w:tc>
        <w:tc>
          <w:tcPr>
            <w:tcW w:w="1528"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PSUs cancelled/forfeited</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9" w:name="xdx_98C_eus-gaap--ShareBasedCompensation"/>
            <w:bookmarkEnd w:id="819"/>
          </w:p>
        </w:tc>
        <w:tc>
          <w:tcPr>
            <w:tcW w:w="17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bookmarkStart w:id="820" w:name="xdx_98B_eus-gaap--ShareBasedCompensation"/>
            <w:bookmarkEnd w:id="820"/>
          </w:p>
        </w:tc>
        <w:tc>
          <w:tcPr>
            <w:tcW w:w="15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PSUs unvested – September 30, 2025</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21" w:name="xdx_987_eus-gaap--ShareBasedCompensation"/>
            <w:bookmarkEnd w:id="821"/>
          </w:p>
        </w:tc>
        <w:tc>
          <w:tcPr>
            <w:tcW w:w="1778" w:type="dxa"/>
            <w:tcBorders>
              <w:bottom w:val="double" w:sz="6" w:space="0" w:color="000000"/>
            </w:tcBorders>
            <w:shd w:fill="CCEEFF" w:val="clear"/>
            <w:tcMar>
              <w:bottom w:w="28" w:type="dxa"/>
            </w:tcMar>
            <w:vAlign w:val="center"/>
          </w:tcPr>
          <w:p>
            <w:pPr>
              <w:pStyle w:val="TableContents"/>
              <w:bidi w:val="0"/>
              <w:spacing w:before="0" w:after="283"/>
              <w:jc w:val="right"/>
              <w:rPr/>
            </w:pPr>
            <w:r>
              <w:rPr/>
              <w:t>1,295,250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bookmarkStart w:id="822" w:name="xdx_980_eus-gaap--ShareBasedCompensation"/>
            <w:bookmarkEnd w:id="822"/>
          </w:p>
        </w:tc>
        <w:tc>
          <w:tcPr>
            <w:tcW w:w="1528" w:type="dxa"/>
            <w:tcBorders/>
            <w:shd w:fill="CCEEFF" w:val="clear"/>
            <w:vAlign w:val="center"/>
          </w:tcPr>
          <w:p>
            <w:pPr>
              <w:pStyle w:val="TableContents"/>
              <w:bidi w:val="0"/>
              <w:spacing w:before="0" w:after="283"/>
              <w:jc w:val="right"/>
              <w:rPr/>
            </w:pPr>
            <w:r>
              <w:rPr/>
              <w:t>25.06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23" w:name="xdx_8A9_zYhuW9PahIuf"/>
      <w:bookmarkEnd w:id="823"/>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total unrecognized compensation expense related to unvested PSUs was approximately $</w:t>
      </w:r>
      <w:bookmarkStart w:id="824" w:name="xdx_90B_eus-gaap--EmployeeServiceShareBa"/>
      <w:bookmarkEnd w:id="824"/>
      <w:r>
        <w:rPr>
          <w:rFonts w:ascii="Times New Roman;Times;Serif" w:hAnsi="Times New Roman;Times;Serif"/>
          <w:b w:val="false"/>
          <w:i w:val="false"/>
          <w:caps w:val="false"/>
          <w:smallCaps w:val="false"/>
          <w:sz w:val="20"/>
        </w:rPr>
        <w:t xml:space="preserve">29,759,000, which is expected to be recognized over a weighted-average period of </w:t>
      </w:r>
      <w:bookmarkStart w:id="825" w:name="xdx_90F_eus-gaap--EmployeeServiceShareBa"/>
      <w:bookmarkEnd w:id="825"/>
      <w:r>
        <w:rPr>
          <w:rFonts w:ascii="Times New Roman;Times;Serif" w:hAnsi="Times New Roman;Times;Serif"/>
          <w:b w:val="false"/>
          <w:i w:val="false"/>
          <w:caps w:val="false"/>
          <w:smallCaps w:val="false"/>
          <w:sz w:val="20"/>
        </w:rPr>
        <w:t>2.75 years, based on estimated and actual vesting schedules of the applicable PSUs. The stock-based compensation for PSUs during the three and nine months ended September 30, 2025 was $</w:t>
      </w:r>
      <w:bookmarkStart w:id="826" w:name="xdx_905_eus-gaap--AllocatedShareBasedCom"/>
      <w:bookmarkEnd w:id="826"/>
      <w:r>
        <w:rPr>
          <w:rFonts w:ascii="Times New Roman;Times;Serif" w:hAnsi="Times New Roman;Times;Serif"/>
          <w:b w:val="false"/>
          <w:i w:val="false"/>
          <w:caps w:val="false"/>
          <w:smallCaps w:val="false"/>
          <w:sz w:val="20"/>
        </w:rPr>
        <w:t>2,705,000 and $</w:t>
      </w:r>
      <w:bookmarkStart w:id="827" w:name="xdx_90E_eus-gaap--AllocatedShareBasedCom"/>
      <w:bookmarkEnd w:id="827"/>
      <w:r>
        <w:rPr>
          <w:rFonts w:ascii="Times New Roman;Times;Serif" w:hAnsi="Times New Roman;Times;Serif"/>
          <w:b w:val="false"/>
          <w:i w:val="false"/>
          <w:caps w:val="false"/>
          <w:smallCaps w:val="false"/>
          <w:sz w:val="20"/>
        </w:rPr>
        <w:t>6,344,000, respectively, and $</w:t>
      </w:r>
      <w:bookmarkStart w:id="828" w:name="xdx_909_eus-gaap--AllocatedShareBasedCom"/>
      <w:bookmarkEnd w:id="828"/>
      <w:r>
        <w:rPr>
          <w:rFonts w:ascii="Times New Roman;Times;Serif" w:hAnsi="Times New Roman;Times;Serif"/>
          <w:b w:val="false"/>
          <w:i w:val="false"/>
          <w:caps w:val="false"/>
          <w:smallCaps w:val="false"/>
          <w:sz w:val="20"/>
        </w:rPr>
        <w:t>3,638,000 and $</w:t>
      </w:r>
      <w:bookmarkStart w:id="829" w:name="xdx_90D_eus-gaap--AllocatedShareBasedCom"/>
      <w:bookmarkEnd w:id="829"/>
      <w:r>
        <w:rPr>
          <w:rFonts w:ascii="Times New Roman;Times;Serif" w:hAnsi="Times New Roman;Times;Serif"/>
          <w:b w:val="false"/>
          <w:i w:val="false"/>
          <w:caps w:val="false"/>
          <w:smallCaps w:val="false"/>
          <w:sz w:val="20"/>
        </w:rPr>
        <w:t>10,915,000 during the same periods in 2024, respectively.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0" w:name="xdx_89E_eus-gaap--ScheduleOfShareBasedCo"/>
      <w:bookmarkEnd w:id="830"/>
      <w:r>
        <w:rPr>
          <w:rFonts w:ascii="Times New Roman;Times;Serif" w:hAnsi="Times New Roman;Times;Serif"/>
          <w:b w:val="false"/>
          <w:i w:val="false"/>
          <w:caps w:val="false"/>
          <w:smallCaps w:val="false"/>
          <w:sz w:val="20"/>
        </w:rPr>
        <w:t>The Company recorded stock-based compensation related to equity instruments granted to employees, directors and consultants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1" w:name="xdx_8B2_zi6fv3w62bl5"/>
      <w:bookmarkEnd w:id="831"/>
      <w:r>
        <w:rPr>
          <w:rFonts w:ascii="Times New Roman;Times;Serif" w:hAnsi="Times New Roman;Times;Serif"/>
          <w:b w:val="false"/>
          <w:i w:val="false"/>
          <w:caps w:val="false"/>
          <w:smallCaps w:val="false"/>
          <w:sz w:val="20"/>
        </w:rPr>
        <w:t>SCHEDULE OF STOCK BASED COMPENSATION GRANTED TO EMPLOYEES, DIRECTORS AND CONSULTANTS </w:t>
      </w:r>
    </w:p>
    <w:tbl>
      <w:tblPr>
        <w:tblW w:w="10205" w:type="dxa"/>
        <w:jc w:val="left"/>
        <w:tblInd w:w="0" w:type="dxa"/>
        <w:tblLayout w:type="fixed"/>
        <w:tblCellMar>
          <w:top w:w="0" w:type="dxa"/>
          <w:left w:w="0" w:type="dxa"/>
          <w:bottom w:w="0" w:type="dxa"/>
          <w:right w:w="0" w:type="dxa"/>
        </w:tblCellMar>
      </w:tblPr>
      <w:tblGrid>
        <w:gridCol w:w="4175"/>
        <w:gridCol w:w="60"/>
        <w:gridCol w:w="174"/>
        <w:gridCol w:w="1221"/>
        <w:gridCol w:w="74"/>
        <w:gridCol w:w="74"/>
        <w:gridCol w:w="174"/>
        <w:gridCol w:w="1221"/>
        <w:gridCol w:w="60"/>
        <w:gridCol w:w="60"/>
        <w:gridCol w:w="159"/>
        <w:gridCol w:w="1121"/>
        <w:gridCol w:w="67"/>
        <w:gridCol w:w="67"/>
        <w:gridCol w:w="159"/>
        <w:gridCol w:w="1258"/>
        <w:gridCol w:w="81"/>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2" w:name="xdx_491_20250701__20250930_zC7bMISV7ea8"/>
            <w:bookmarkEnd w:id="832"/>
          </w:p>
        </w:tc>
        <w:tc>
          <w:tcPr>
            <w:tcW w:w="13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bookmarkStart w:id="833" w:name="xdx_493_20240701__20240930_z4IZKhktb88j"/>
            <w:bookmarkEnd w:id="833"/>
          </w:p>
        </w:tc>
        <w:tc>
          <w:tcPr>
            <w:tcW w:w="13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4" w:name="xdx_497_20250101__20250930_zbOC0hk6nW2g"/>
            <w:bookmarkEnd w:id="834"/>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835" w:name="xdx_49D_20240101__20240930_zVALGELnPrI1"/>
            <w:bookmarkEnd w:id="835"/>
          </w:p>
        </w:tc>
        <w:tc>
          <w:tcPr>
            <w:tcW w:w="141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81"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w:t>
              <w:br/>
              <w:t>September 30,</w:t>
            </w:r>
          </w:p>
        </w:tc>
        <w:tc>
          <w:tcPr>
            <w:tcW w:w="81"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81" w:type="dxa"/>
            <w:tcBorders/>
            <w:vAlign w:val="center"/>
          </w:tcPr>
          <w:p>
            <w:pPr>
              <w:pStyle w:val="TableContents"/>
              <w:bidi w:val="0"/>
              <w:spacing w:before="0" w:after="283"/>
              <w:jc w:val="left"/>
              <w:rPr/>
            </w:pPr>
            <w:r>
              <w:rPr/>
              <w:t> </w:t>
            </w:r>
            <w:bookmarkStart w:id="836" w:name="xdx_401_eus-gaap--AllocatedShareBasedCom"/>
            <w:bookmarkEnd w:id="836"/>
          </w:p>
        </w:tc>
      </w:tr>
      <w:tr>
        <w:trPr/>
        <w:tc>
          <w:tcPr>
            <w:tcW w:w="4175" w:type="dxa"/>
            <w:tcBorders/>
            <w:shd w:fill="CCEEFF" w:val="clear"/>
            <w:vAlign w:val="center"/>
          </w:tcPr>
          <w:p>
            <w:pPr>
              <w:pStyle w:val="TableContents"/>
              <w:bidi w:val="0"/>
              <w:spacing w:before="0" w:after="283"/>
              <w:jc w:val="left"/>
              <w:rPr/>
            </w:pPr>
            <w:r>
              <w:rPr/>
              <w:t>Employees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2,951,000</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3,728,000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121" w:type="dxa"/>
            <w:tcBorders/>
            <w:shd w:fill="CCEEFF" w:val="clear"/>
            <w:vAlign w:val="center"/>
          </w:tcPr>
          <w:p>
            <w:pPr>
              <w:pStyle w:val="TableContents"/>
              <w:bidi w:val="0"/>
              <w:spacing w:before="0" w:after="283"/>
              <w:jc w:val="right"/>
              <w:rPr/>
            </w:pPr>
            <w:r>
              <w:rPr/>
              <w:t>7,382,000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10,832,000</w:t>
            </w:r>
          </w:p>
        </w:tc>
        <w:tc>
          <w:tcPr>
            <w:tcW w:w="81" w:type="dxa"/>
            <w:tcBorders/>
            <w:shd w:fill="CCEEFF" w:val="clear"/>
            <w:vAlign w:val="center"/>
          </w:tcPr>
          <w:p>
            <w:pPr>
              <w:pStyle w:val="TableContents"/>
              <w:bidi w:val="0"/>
              <w:spacing w:before="0" w:after="283"/>
              <w:jc w:val="left"/>
              <w:rPr/>
            </w:pPr>
            <w:r>
              <w:rPr/>
              <w:t> </w:t>
            </w:r>
            <w:bookmarkStart w:id="837" w:name="xdx_403_eus-gaap--AllocatedShareBasedCom"/>
            <w:bookmarkEnd w:id="837"/>
          </w:p>
        </w:tc>
      </w:tr>
      <w:tr>
        <w:trPr/>
        <w:tc>
          <w:tcPr>
            <w:tcW w:w="4175" w:type="dxa"/>
            <w:tcBorders/>
            <w:shd w:fill="FFFFFF" w:val="clear"/>
            <w:vAlign w:val="center"/>
          </w:tcPr>
          <w:p>
            <w:pPr>
              <w:pStyle w:val="TableContents"/>
              <w:bidi w:val="0"/>
              <w:spacing w:before="0" w:after="283"/>
              <w:jc w:val="left"/>
              <w:rPr/>
            </w:pPr>
            <w:r>
              <w:rPr/>
              <w:t>Employees - R&amp;D</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422,000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422,000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1,300,000</w:t>
            </w:r>
          </w:p>
        </w:tc>
        <w:tc>
          <w:tcPr>
            <w:tcW w:w="81" w:type="dxa"/>
            <w:tcBorders/>
            <w:shd w:fill="FFFFFF" w:val="clear"/>
            <w:vAlign w:val="center"/>
          </w:tcPr>
          <w:p>
            <w:pPr>
              <w:pStyle w:val="TableContents"/>
              <w:bidi w:val="0"/>
              <w:spacing w:before="0" w:after="283"/>
              <w:jc w:val="left"/>
              <w:rPr/>
            </w:pPr>
            <w:r>
              <w:rPr/>
              <w:t> </w:t>
            </w:r>
            <w:bookmarkStart w:id="838" w:name="xdx_402_eus-gaap--AllocatedShareBasedCom"/>
            <w:bookmarkEnd w:id="838"/>
          </w:p>
        </w:tc>
      </w:tr>
      <w:tr>
        <w:trPr/>
        <w:tc>
          <w:tcPr>
            <w:tcW w:w="4175" w:type="dxa"/>
            <w:tcBorders/>
            <w:shd w:fill="CCEEFF" w:val="clear"/>
            <w:vAlign w:val="center"/>
          </w:tcPr>
          <w:p>
            <w:pPr>
              <w:pStyle w:val="TableContents"/>
              <w:bidi w:val="0"/>
              <w:spacing w:before="0" w:after="283"/>
              <w:jc w:val="left"/>
              <w:rPr/>
            </w:pPr>
            <w:r>
              <w:rPr/>
              <w:t>Directors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210,000</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585,000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601,000</w:t>
            </w:r>
          </w:p>
        </w:tc>
        <w:tc>
          <w:tcPr>
            <w:tcW w:w="81" w:type="dxa"/>
            <w:tcBorders/>
            <w:shd w:fill="CCEEFF" w:val="clear"/>
            <w:vAlign w:val="center"/>
          </w:tcPr>
          <w:p>
            <w:pPr>
              <w:pStyle w:val="TableContents"/>
              <w:bidi w:val="0"/>
              <w:spacing w:before="0" w:after="283"/>
              <w:jc w:val="left"/>
              <w:rPr/>
            </w:pPr>
            <w:r>
              <w:rPr/>
              <w:t> </w:t>
            </w:r>
            <w:bookmarkStart w:id="839" w:name="xdx_404_eus-gaap--AllocatedShareBasedCom"/>
            <w:bookmarkEnd w:id="839"/>
          </w:p>
        </w:tc>
      </w:tr>
      <w:tr>
        <w:trPr/>
        <w:tc>
          <w:tcPr>
            <w:tcW w:w="4175" w:type="dxa"/>
            <w:tcBorders/>
            <w:shd w:fill="FFFFFF" w:val="clear"/>
            <w:vAlign w:val="center"/>
          </w:tcPr>
          <w:p>
            <w:pPr>
              <w:pStyle w:val="TableContents"/>
              <w:bidi w:val="0"/>
              <w:spacing w:before="0" w:after="283"/>
              <w:jc w:val="left"/>
              <w:rPr/>
            </w:pPr>
            <w:r>
              <w:rPr/>
              <w:t>Consultants - selling, general and administrative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109,000</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312,000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92,000</w:t>
            </w:r>
          </w:p>
        </w:tc>
        <w:tc>
          <w:tcPr>
            <w:tcW w:w="81" w:type="dxa"/>
            <w:tcBorders/>
            <w:shd w:fill="FFFFFF" w:val="clear"/>
            <w:vAlign w:val="center"/>
          </w:tcPr>
          <w:p>
            <w:pPr>
              <w:pStyle w:val="TableContents"/>
              <w:bidi w:val="0"/>
              <w:spacing w:before="0" w:after="283"/>
              <w:jc w:val="left"/>
              <w:rPr/>
            </w:pPr>
            <w:r>
              <w:rPr/>
              <w:t> </w:t>
            </w:r>
            <w:bookmarkStart w:id="840" w:name="xdx_40E_eus-gaap--AllocatedShareBasedCom"/>
            <w:bookmarkEnd w:id="840"/>
          </w:p>
        </w:tc>
      </w:tr>
      <w:tr>
        <w:trPr/>
        <w:tc>
          <w:tcPr>
            <w:tcW w:w="417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pPr>
            <w:r>
              <w:rPr/>
              <w:t>3,270,000</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pPr>
            <w:r>
              <w:rPr/>
              <w:t>4,385,000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8,701,000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pPr>
            <w:r>
              <w:rPr/>
              <w:t>12,825,000</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41" w:name="xdx_801_eus-gaap--CommitmentsAndContinge"/>
      <w:bookmarkEnd w:id="841"/>
      <w:r>
        <w:rPr>
          <w:rFonts w:ascii="Times New Roman;Times;Serif" w:hAnsi="Times New Roman;Times;Serif"/>
          <w:b/>
          <w:i w:val="false"/>
          <w:caps w:val="false"/>
          <w:smallCaps w:val="false"/>
          <w:sz w:val="20"/>
        </w:rPr>
        <w:t xml:space="preserve">NOTE 13. </w:t>
      </w:r>
      <w:bookmarkStart w:id="842" w:name="xdx_825_z77UCuHTvn1b"/>
      <w:bookmarkEnd w:id="842"/>
      <w:r>
        <w:rPr>
          <w:rFonts w:ascii="Times New Roman;Times;Serif" w:hAnsi="Times New Roman;Times;Serif"/>
          <w:b/>
          <w:i w:val="false"/>
          <w:caps w:val="false"/>
          <w:smallCaps w:val="false"/>
          <w:sz w:val="20"/>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footnote.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 matters (whether discussed in this footnote or not) currently pending may have a material adverse effect on the Company’s condensed consolidated results of operations, financial position or cash flows. Legal costs incurred for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 Science, Inc. et. 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had been amended and OSRX added counterclaims alleging ImprimisRx, LLC was violating the Lanham Act with false advertising. The Court granted cross motions for summary judgment on each party’s Lanham Act claims, thus leaving only ImprimisRx, LLC’s copyright infringement, trademark infringement, and unfair competition claims for trial. Following a jury trial in November 2024, a jury found OSRX acted with malice, fraud, or oppression, willfully engaging in trademark infringement and unfair competition under California and federal law, and ImprimisRx, LLC received a $</w:t>
      </w:r>
      <w:bookmarkStart w:id="843" w:name="xdx_902_eus-gaap--ProceedsFromLegalSettl"/>
      <w:bookmarkEnd w:id="843"/>
      <w:r>
        <w:rPr>
          <w:rFonts w:ascii="Times New Roman;Times;Serif" w:hAnsi="Times New Roman;Times;Serif"/>
          <w:b w:val="false"/>
          <w:i w:val="false"/>
          <w:caps w:val="false"/>
          <w:smallCaps w:val="false"/>
          <w:sz w:val="20"/>
        </w:rPr>
        <w:t>34,900,000 jury verdict award, which included $</w:t>
      </w:r>
      <w:bookmarkStart w:id="844" w:name="xdx_90E_eus-gaap--LossContingencyDamages"/>
      <w:bookmarkEnd w:id="844"/>
      <w:r>
        <w:rPr>
          <w:rFonts w:ascii="Times New Roman;Times;Serif" w:hAnsi="Times New Roman;Times;Serif"/>
          <w:b w:val="false"/>
          <w:i w:val="false"/>
          <w:caps w:val="false"/>
          <w:smallCaps w:val="false"/>
          <w:sz w:val="20"/>
        </w:rPr>
        <w:t>20,400,000 in punitive damages and $</w:t>
      </w:r>
      <w:bookmarkStart w:id="845" w:name="xdx_907_eus-gaap--LossContingencyDamages"/>
      <w:bookmarkEnd w:id="845"/>
      <w:r>
        <w:rPr>
          <w:rFonts w:ascii="Times New Roman;Times;Serif" w:hAnsi="Times New Roman;Times;Serif"/>
          <w:b w:val="false"/>
          <w:i w:val="false"/>
          <w:caps w:val="false"/>
          <w:smallCaps w:val="false"/>
          <w:sz w:val="20"/>
        </w:rPr>
        <w:t>14,500,000 in actual damages. An amended final judgment was entered on October 1, 2025, which reduced the OSRX liability to $</w:t>
      </w:r>
      <w:bookmarkStart w:id="846" w:name="xdx_90B_eus-gaap--LitigationSettlementAm"/>
      <w:bookmarkEnd w:id="846"/>
      <w:r>
        <w:rPr>
          <w:rFonts w:ascii="Times New Roman;Times;Serif" w:hAnsi="Times New Roman;Times;Serif"/>
          <w:b w:val="false"/>
          <w:i w:val="false"/>
          <w:caps w:val="false"/>
          <w:smallCaps w:val="false"/>
          <w:sz w:val="20"/>
        </w:rPr>
        <w:t>11,249,000, plus post-judgment interest, and required OSRX to cease use of certain trademarks. The Company is pursuing efforts to enforce and collect the full judgment amount of $</w:t>
      </w:r>
      <w:bookmarkStart w:id="847" w:name="xdx_908_eus-gaap--LitigationSettlementAm"/>
      <w:bookmarkEnd w:id="847"/>
      <w:r>
        <w:rPr>
          <w:rFonts w:ascii="Times New Roman;Times;Serif" w:hAnsi="Times New Roman;Times;Serif"/>
          <w:b w:val="false"/>
          <w:i w:val="false"/>
          <w:caps w:val="false"/>
          <w:smallCaps w:val="false"/>
          <w:sz w:val="20"/>
        </w:rPr>
        <w:t>11,249,000 (plus post-judgment interest), including the filing of liens on OSRX assets; however, due to uncertainty regarding the probability of collection, the Company has not recognized any gains associated with the judgment in the accompanying condensed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Professional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License and 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Approved Product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 In June 2025, the Company announced that it had entered into a license and supply agreement (the “Formosa Agreement”) with Formosa Pharmaceuticals, Inc. (“Formosa”). Under the terms of the Formosa Agreement, </w:t>
      </w:r>
      <w:bookmarkStart w:id="848" w:name="xdx_908_ecustom--DescriptionOfLicensesAg"/>
      <w:bookmarkEnd w:id="848"/>
      <w:r>
        <w:rPr>
          <w:rFonts w:ascii="Times New Roman;Times;Serif" w:hAnsi="Times New Roman;Times;Serif"/>
          <w:b w:val="false"/>
          <w:i w:val="false"/>
          <w:caps w:val="false"/>
          <w:smallCaps w:val="false"/>
          <w:sz w:val="20"/>
        </w:rPr>
        <w:t>the Company licensed from Formosa the exclusive rights and marketing authorization of BYQLOVI</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(clobetasol propionate ophthalmic suspension) 0.05% in the U.S. market. In consideration for such rights, the Company will make a one-time payment to Formosa equal to $500,000 at the time the Company makes its first commercial sale of BYQLOVI to a third party and Formosa will be eligible to receive other one-time payments based on achievement of commercial gross profit milestones along with royalties on gross profits of BYQLOVI.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2025, $</w:t>
      </w:r>
      <w:bookmarkStart w:id="849" w:name="xdx_904_eus-gaap--RoyaltyExpense_c202507"/>
      <w:bookmarkEnd w:id="849"/>
      <w:r>
        <w:rPr>
          <w:rFonts w:ascii="Times New Roman;Times;Serif" w:hAnsi="Times New Roman;Times;Serif"/>
          <w:b w:val="false"/>
          <w:i w:val="false"/>
          <w:caps w:val="false"/>
          <w:smallCaps w:val="false"/>
          <w:sz w:val="20"/>
        </w:rPr>
        <w:t>2,480,000 and $</w:t>
      </w:r>
      <w:bookmarkStart w:id="850" w:name="xdx_907_eus-gaap--RoyaltyExpense_c202501"/>
      <w:bookmarkEnd w:id="850"/>
      <w:r>
        <w:rPr>
          <w:rFonts w:ascii="Times New Roman;Times;Serif" w:hAnsi="Times New Roman;Times;Serif"/>
          <w:b w:val="false"/>
          <w:i w:val="false"/>
          <w:caps w:val="false"/>
          <w:smallCaps w:val="false"/>
          <w:sz w:val="20"/>
        </w:rPr>
        <w:t>6,853,000 were incurred under these agreements as royalty expenses, respectively, and $</w:t>
      </w:r>
      <w:bookmarkStart w:id="851" w:name="xdx_904_eus-gaap--RoyaltyExpense_c202407"/>
      <w:bookmarkEnd w:id="851"/>
      <w:r>
        <w:rPr>
          <w:rFonts w:ascii="Times New Roman;Times;Serif" w:hAnsi="Times New Roman;Times;Serif"/>
          <w:b w:val="false"/>
          <w:i w:val="false"/>
          <w:caps w:val="false"/>
          <w:smallCaps w:val="false"/>
          <w:sz w:val="20"/>
        </w:rPr>
        <w:t>730,000 and $</w:t>
      </w:r>
      <w:bookmarkStart w:id="852" w:name="xdx_906_eus-gaap--RoyaltyExpense_c202401"/>
      <w:bookmarkEnd w:id="852"/>
      <w:r>
        <w:rPr>
          <w:rFonts w:ascii="Times New Roman;Times;Serif" w:hAnsi="Times New Roman;Times;Serif"/>
          <w:b w:val="false"/>
          <w:i w:val="false"/>
          <w:caps w:val="false"/>
          <w:smallCaps w:val="false"/>
          <w:sz w:val="20"/>
        </w:rPr>
        <w:t>2,040,000, respectively, during the same period in 2024, which are presented as a component of cost of goods sold within the statement of operations. During the three and nine months ended September 30, 2024, $</w:t>
      </w:r>
      <w:bookmarkStart w:id="853" w:name="xdx_903_ecustom--UpfrontAndMilestonePaym"/>
      <w:bookmarkEnd w:id="853"/>
      <w:r>
        <w:rPr>
          <w:rFonts w:ascii="Times New Roman;Times;Serif" w:hAnsi="Times New Roman;Times;Serif"/>
          <w:b w:val="false"/>
          <w:i w:val="false"/>
          <w:caps w:val="false"/>
          <w:smallCaps w:val="false"/>
          <w:sz w:val="20"/>
        </w:rPr>
        <w:t>0 was incurred under these agreements related to upfront and milestone payments under these agreements., and $</w:t>
      </w:r>
      <w:bookmarkStart w:id="854" w:name="xdx_90A_ecustom--UpfrontAndMilestonePaym"/>
      <w:bookmarkEnd w:id="854"/>
      <w:r>
        <w:rPr>
          <w:rFonts w:ascii="Times New Roman;Times;Serif" w:hAnsi="Times New Roman;Times;Serif"/>
          <w:b w:val="false"/>
          <w:i w:val="false"/>
          <w:caps w:val="false"/>
          <w:smallCaps w:val="false"/>
          <w:sz w:val="20"/>
        </w:rPr>
        <w:t xml:space="preserve">0, during the same periods in 2024. As of September 30, 2025, the remaining contingent consideration payable pursuant to these agreements were not considered probable and reasonably estimable and therefore, </w:t>
      </w:r>
      <w:bookmarkStart w:id="855" w:name="xdx_90F_ecustom--UpfrontAndMilestonePaym"/>
      <w:bookmarkStart w:id="856" w:name="xdx_906_ecustom--UpfrontAndMilestonePaym"/>
      <w:bookmarkEnd w:id="855"/>
      <w:bookmarkEnd w:id="856"/>
      <w:r>
        <w:rPr>
          <w:rFonts w:ascii="Times New Roman;Times;Serif" w:hAnsi="Times New Roman;Times;Serif"/>
          <w:b w:val="false"/>
          <w:i w:val="false"/>
          <w:caps w:val="false"/>
          <w:smallCaps w:val="false"/>
          <w:sz w:val="20"/>
        </w:rPr>
        <w:t>no amount was accrued related to these contingent obligations during the nine months ended September 30, 2025. At the time contingent consideration payable becomes probable and reasonably estimable, the additional consideration, if any, paid will be allocated to the assets based on their initial estimated fair values as a percent of total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BYOOVIZ® and OPUVIZ</w:t>
      </w:r>
      <w:r>
        <w:rPr>
          <w:rFonts w:ascii="Times New Roman;Times;Serif" w:hAnsi="Times New Roman;Times;Serif"/>
          <w:b w:val="false"/>
          <w:i/>
          <w:caps w:val="false"/>
          <w:smallCaps w:val="false"/>
          <w:position w:val="7"/>
          <w:sz w:val="16"/>
          <w:sz w:val="20"/>
        </w:rPr>
        <w:t xml:space="preserve">TM </w:t>
      </w:r>
      <w:r>
        <w:rPr>
          <w:rFonts w:ascii="Times New Roman;Times;Serif" w:hAnsi="Times New Roman;Times;Serif"/>
          <w:b w:val="false"/>
          <w:i/>
          <w:caps w:val="false"/>
          <w:smallCaps w:val="false"/>
          <w:sz w:val="20"/>
        </w:rPr>
        <w:t>– Commercialization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development and commercialization agreement (the “Samsung Agreement”) with Samsung Bioepis Co., Ltd. (“Samsung”). Under the terms of the Samsung Agreement, following completion of the transition of commercial rights from Biogen, Inc. back to Samsung, Samsung will develop, manufacture, and supply BYOOVIZ (ranibizumab-nuna) and OPUVIZ (aflibercept-yszy) (individually, a “Product” and together, the “Products”) for Harrow to commercialize in the U.S. market (the “Rights”). In consideration of such Rights, Harrow will make a one-time upfront payment to Samsung, and Samsung will be eligible to receive additional one-time payments based on the achievement of net sales-based milestones of the Products. In addition to other mutually agreed terms, Harrow shall pay to Samsung a share of net sales from the Products generated in the U.S. 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Remaining Interests in Melt Pharmaceuticals, Inc.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an Agreement and Plan of Merger (the “Merger Agreement”) by and among the Company, Harrow Acquisition Sub, Inc., a wholly owned subsidiary of the Company, Melt Pharmaceuticals, Inc. (“Melt”), and D. Brad Osborne, as stockholder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Company owned approximately </w:t>
      </w:r>
      <w:bookmarkStart w:id="857" w:name="xdx_90E_eus-gaap--EquityMethodInvestment"/>
      <w:bookmarkEnd w:id="857"/>
      <w:r>
        <w:rPr>
          <w:rFonts w:ascii="Times New Roman;Times;Serif" w:hAnsi="Times New Roman;Times;Serif"/>
          <w:b w:val="false"/>
          <w:i w:val="false"/>
          <w:caps w:val="false"/>
          <w:smallCaps w:val="false"/>
          <w:sz w:val="20"/>
        </w:rPr>
        <w:t>46% of Melt’s outstanding equity and also had a mid-single digit royalty interest on future net sales of Melt’s primary product (MELT-300). Certain officers and directors of the Company, including Mark L. Baum, the Company’s Chairman and Chief Executive Officer, and Andrew R. Boll, the Company’s President and Chief Financial Officer, own additional equity interests in Melt, and Mr. Baum serves on the board of directors of Melt.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and related milestone payment agreement, the Company agreed to acquire the remaining equity interests of Melt in exchange for an initial cash payment of approximately $</w:t>
      </w:r>
      <w:bookmarkStart w:id="858" w:name="xdx_90A_eus-gaap--PaymentsToAcquireBusin"/>
      <w:bookmarkEnd w:id="858"/>
      <w:r>
        <w:rPr>
          <w:rFonts w:ascii="Times New Roman;Times;Serif" w:hAnsi="Times New Roman;Times;Serif"/>
          <w:b w:val="false"/>
          <w:i w:val="false"/>
          <w:caps w:val="false"/>
          <w:smallCaps w:val="false"/>
          <w:sz w:val="20"/>
        </w:rPr>
        <w:t>4,300,000 at closing, and contingent consideration consisting of cash and Company equity upon achievement of (i) U.S. Food and Drug Administration (“FDA”) approval of the MELT-300 product candidate, (ii) coding and reimbursement of the MELT-300 product candidate, and (iii) various one-time sales milestones,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FDA approval of MELT-300, the Company shall pay an aggregate amount in cash of approximately $</w:t>
            </w:r>
            <w:bookmarkStart w:id="859" w:name="xdx_906_ecustom--AaggregateAmountInCash_"/>
            <w:bookmarkEnd w:id="859"/>
            <w:r>
              <w:rPr>
                <w:rFonts w:ascii="Times New Roman;Times;Serif" w:hAnsi="Times New Roman;Times;Serif"/>
                <w:b w:val="false"/>
                <w:i w:val="false"/>
                <w:caps w:val="false"/>
                <w:smallCaps w:val="false"/>
                <w:sz w:val="20"/>
              </w:rPr>
              <w:t>87,200,000.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pass-through status awarded and J-Code (or any other similar designation) issued by the Center for Medicare &amp; Medicaid Services for MELT-300 the Company shall issue an aggregate of approximately </w:t>
            </w:r>
            <w:bookmarkStart w:id="860" w:name="xdx_905_eus-gaap--SharesIssued_iI_pid_c2"/>
            <w:bookmarkEnd w:id="860"/>
            <w:r>
              <w:rPr>
                <w:rFonts w:ascii="Times New Roman;Times;Serif" w:hAnsi="Times New Roman;Times;Serif"/>
                <w:b w:val="false"/>
                <w:i w:val="false"/>
                <w:caps w:val="false"/>
                <w:smallCaps w:val="false"/>
                <w:sz w:val="20"/>
              </w:rPr>
              <w:t>1,112,000 shares of the Company’s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achievement of various annual net sales milestones ranging from $</w:t>
            </w:r>
            <w:bookmarkStart w:id="861" w:name="xdx_90B_ecustom--AnnualNetSalesMilestone"/>
            <w:bookmarkEnd w:id="861"/>
            <w:r>
              <w:rPr>
                <w:rFonts w:ascii="Times New Roman;Times;Serif" w:hAnsi="Times New Roman;Times;Serif"/>
                <w:b w:val="false"/>
                <w:i w:val="false"/>
                <w:caps w:val="false"/>
                <w:smallCaps w:val="false"/>
                <w:sz w:val="20"/>
              </w:rPr>
              <w:t>100,000,000 to $</w:t>
            </w:r>
            <w:bookmarkStart w:id="862" w:name="xdx_90A_ecustom--AnnualNetSalesMilestone"/>
            <w:bookmarkEnd w:id="862"/>
            <w:r>
              <w:rPr>
                <w:rFonts w:ascii="Times New Roman;Times;Serif" w:hAnsi="Times New Roman;Times;Serif"/>
                <w:b w:val="false"/>
                <w:i w:val="false"/>
                <w:caps w:val="false"/>
                <w:smallCaps w:val="false"/>
                <w:sz w:val="20"/>
              </w:rPr>
              <w:t>1,000,000,000 per year, the Company shall make one-time cash payments that in the aggregate may total up to approximately $</w:t>
            </w:r>
            <w:bookmarkStart w:id="863" w:name="xdx_90E_ecustom--TotalAnnualNetSalesMile"/>
            <w:bookmarkEnd w:id="863"/>
            <w:r>
              <w:rPr>
                <w:rFonts w:ascii="Times New Roman;Times;Serif" w:hAnsi="Times New Roman;Times;Serif"/>
                <w:b w:val="false"/>
                <w:i w:val="false"/>
                <w:caps w:val="false"/>
                <w:smallCaps w:val="false"/>
                <w:sz w:val="20"/>
              </w:rPr>
              <w:t>261,000,000 if all annual net sales milestones are achieved.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and commercial milestones must be achieved on or before December 31,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includes representations and warranties and covenants of the parties customary for such a transaction. Until the earlier of the termination of the Merger Agreement and the effective time of the acquisition, Melt has agreed to operate its business in the ordinary course and has agreed to certain other operating covenants. In addition, Melt has agreed to use reasonable best efforts to obtain approval of the Merger Agreement and the transactions contemplated thereby by the requisite Melt stockholders needed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this acquisition has not yet occurred and is subject to certain customary closing conditions, including the approval of the requisite stockholders of Melt, the continued accuracy of representations and warranties and performance of covenants, and the absence of any material adverse effect. The Company expects to close this acquisition during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Formulation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acquired and sourced intellectual property rights related to certain proprietary innovations from certain inventors, innovator companies and related parties (the “Inventors”) through multiple asset purchase agreements and license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these intellectual property rights, the Company is obligated to make payments to the Inventors based on the completion of certain milestones, generally consisting of: (1) a payment payable within 30 to 45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nine months ended September 30, 2025, $</w:t>
      </w:r>
      <w:bookmarkStart w:id="864" w:name="xdx_908_eus-gaap--RoyaltyExpense_c202507"/>
      <w:bookmarkEnd w:id="864"/>
      <w:r>
        <w:rPr>
          <w:rFonts w:ascii="Times New Roman;Times;Serif" w:hAnsi="Times New Roman;Times;Serif"/>
          <w:b w:val="false"/>
          <w:i w:val="false"/>
          <w:caps w:val="false"/>
          <w:smallCaps w:val="false"/>
          <w:sz w:val="20"/>
        </w:rPr>
        <w:t>237,000 and $</w:t>
      </w:r>
      <w:bookmarkStart w:id="865" w:name="xdx_903_eus-gaap--RoyaltyExpense_c202501"/>
      <w:bookmarkEnd w:id="865"/>
      <w:r>
        <w:rPr>
          <w:rFonts w:ascii="Times New Roman;Times;Serif" w:hAnsi="Times New Roman;Times;Serif"/>
          <w:b w:val="false"/>
          <w:i w:val="false"/>
          <w:caps w:val="false"/>
          <w:smallCaps w:val="false"/>
          <w:sz w:val="20"/>
        </w:rPr>
        <w:t>801,000, respectively, were incurred under these agreements as royalty expenses, and $</w:t>
      </w:r>
      <w:bookmarkStart w:id="866" w:name="xdx_909_eus-gaap--RoyaltyExpense_c202407"/>
      <w:bookmarkEnd w:id="866"/>
      <w:r>
        <w:rPr>
          <w:rFonts w:ascii="Times New Roman;Times;Serif" w:hAnsi="Times New Roman;Times;Serif"/>
          <w:b w:val="false"/>
          <w:i w:val="false"/>
          <w:caps w:val="false"/>
          <w:smallCaps w:val="false"/>
          <w:sz w:val="20"/>
        </w:rPr>
        <w:t>453,000 and $</w:t>
      </w:r>
      <w:bookmarkStart w:id="867" w:name="xdx_907_eus-gaap--RoyaltyExpense_c202401"/>
      <w:bookmarkEnd w:id="867"/>
      <w:r>
        <w:rPr>
          <w:rFonts w:ascii="Times New Roman;Times;Serif" w:hAnsi="Times New Roman;Times;Serif"/>
          <w:b w:val="false"/>
          <w:i w:val="false"/>
          <w:caps w:val="false"/>
          <w:smallCaps w:val="false"/>
          <w:sz w:val="20"/>
        </w:rPr>
        <w:t>949,000, respectively, during the same periods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manufacturing agreements with respect to third-party contract manufacturers for its FDA approved pharmaceutical products. Some of these contract manufacturing agreements require minimum annual order amounts. The Company has committed to pay approximately $</w:t>
      </w:r>
      <w:bookmarkStart w:id="868" w:name="xdx_901_eus-gaap--PurchaseCommitmentRema"/>
      <w:bookmarkEnd w:id="868"/>
      <w:r>
        <w:rPr>
          <w:rFonts w:ascii="Times New Roman;Times;Serif" w:hAnsi="Times New Roman;Times;Serif"/>
          <w:b w:val="false"/>
          <w:i w:val="false"/>
          <w:caps w:val="false"/>
          <w:smallCaps w:val="false"/>
          <w:sz w:val="20"/>
        </w:rPr>
        <w:t>8,527,000 related to contract manufacturing agreements for the year ending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69" w:name="xdx_803_eus-gaap--SegmentReportingDisclo"/>
      <w:bookmarkEnd w:id="869"/>
      <w:r>
        <w:rPr>
          <w:rFonts w:ascii="Times New Roman;Times;Serif" w:hAnsi="Times New Roman;Times;Serif"/>
          <w:b/>
          <w:i w:val="false"/>
          <w:caps w:val="false"/>
          <w:smallCaps w:val="false"/>
          <w:sz w:val="20"/>
        </w:rPr>
        <w:t xml:space="preserve">NOTE 14. </w:t>
      </w:r>
      <w:bookmarkStart w:id="870" w:name="xdx_827_zLRO1rumbBB4"/>
      <w:bookmarkEnd w:id="870"/>
      <w:r>
        <w:rPr>
          <w:rFonts w:ascii="Times New Roman;Times;Serif" w:hAnsi="Times New Roman;Times;Serif"/>
          <w:b/>
          <w:i w:val="false"/>
          <w:caps w:val="false"/>
          <w:smallCaps w:val="false"/>
          <w:sz w:val="20"/>
        </w:rPr>
        <w:t>SEGMENTS AND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in </w:t>
      </w:r>
      <w:bookmarkStart w:id="871" w:name="xdx_906_eus-gaap--NumberOfReportableSegm"/>
      <w:bookmarkEnd w:id="871"/>
      <w:r>
        <w:rPr>
          <w:rFonts w:ascii="Times New Roman;Times;Serif" w:hAnsi="Times New Roman;Times;Serif"/>
          <w:b w:val="false"/>
          <w:i w:val="false"/>
          <w:caps w:val="false"/>
          <w:smallCaps w:val="false"/>
          <w:sz w:val="20"/>
        </w:rPr>
        <w:t>two reportable segments which are generally determined based on the decision-making structure of the Company and the grouping of similar products and services: Branded and ImprimisRx.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Branded</w:t>
            </w:r>
            <w:r>
              <w:rPr>
                <w:rFonts w:ascii="Times New Roman;Times;Serif" w:hAnsi="Times New Roman;Times;Serif"/>
                <w:b w:val="false"/>
                <w:i w:val="false"/>
                <w:caps w:val="false"/>
                <w:smallCaps w:val="false"/>
                <w:sz w:val="20"/>
              </w:rPr>
              <w:t xml:space="preserve"> segment includes activities of the Company’s FDA-approved ophthalmology pharmaceutical products, including the out-licensing of rights to certain of our branded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ImprimisRx</w:t>
            </w:r>
            <w:r>
              <w:rPr>
                <w:rFonts w:ascii="Times New Roman;Times;Serif" w:hAnsi="Times New Roman;Times;Serif"/>
                <w:b w:val="false"/>
                <w:i w:val="false"/>
                <w:caps w:val="false"/>
                <w:smallCaps w:val="false"/>
                <w:sz w:val="20"/>
              </w:rPr>
              <w:t xml:space="preserve"> segment represents activities in the Company’s ophthalmology-focused pharmaceutical compounding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that result from shared infrastructure, including certain expenses associated with legal matters, public company costs (e.g. investor relations), Board of Directors and principal executive officers and other shared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within selling, general and administrative expenses that result from the impact of corporate initiatives. Corporate initiatives primarily include integration, restructuring, acquisition and other shared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2" w:name="xdx_89F_eus-gaap--ScheduleOfSegmentRepor"/>
      <w:bookmarkEnd w:id="872"/>
      <w:r>
        <w:rPr>
          <w:rFonts w:ascii="Times New Roman;Times;Serif" w:hAnsi="Times New Roman;Times;Serif"/>
          <w:b w:val="false"/>
          <w:i w:val="false"/>
          <w:caps w:val="false"/>
          <w:smallCaps w:val="false"/>
          <w:sz w:val="20"/>
        </w:rPr>
        <w:t>Segment net revenues, segment operating expenses and segment contribution information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3" w:name="xdx_8BE_zpDMP5zUsWxf"/>
      <w:bookmarkEnd w:id="873"/>
      <w:r>
        <w:rPr>
          <w:rFonts w:ascii="Times New Roman;Times;Serif" w:hAnsi="Times New Roman;Times;Serif"/>
          <w:b w:val="false"/>
          <w:i w:val="false"/>
          <w:caps w:val="false"/>
          <w:smallCaps w:val="false"/>
          <w:sz w:val="20"/>
        </w:rPr>
        <w:t>SCHEDULE OF SEGMENT NET REVENUES</w:t>
      </w:r>
    </w:p>
    <w:tbl>
      <w:tblPr>
        <w:tblW w:w="10260" w:type="dxa"/>
        <w:jc w:val="left"/>
        <w:tblInd w:w="0" w:type="dxa"/>
        <w:tblLayout w:type="fixed"/>
        <w:tblCellMar>
          <w:top w:w="0" w:type="dxa"/>
          <w:left w:w="0" w:type="dxa"/>
          <w:bottom w:w="0" w:type="dxa"/>
          <w:right w:w="0" w:type="dxa"/>
        </w:tblCellMar>
      </w:tblPr>
      <w:tblGrid>
        <w:gridCol w:w="1355"/>
        <w:gridCol w:w="60"/>
        <w:gridCol w:w="140"/>
        <w:gridCol w:w="1100"/>
        <w:gridCol w:w="60"/>
        <w:gridCol w:w="60"/>
        <w:gridCol w:w="168"/>
        <w:gridCol w:w="1322"/>
        <w:gridCol w:w="60"/>
        <w:gridCol w:w="60"/>
        <w:gridCol w:w="152"/>
        <w:gridCol w:w="1203"/>
        <w:gridCol w:w="60"/>
        <w:gridCol w:w="60"/>
        <w:gridCol w:w="140"/>
        <w:gridCol w:w="1100"/>
        <w:gridCol w:w="60"/>
        <w:gridCol w:w="60"/>
        <w:gridCol w:w="168"/>
        <w:gridCol w:w="1322"/>
        <w:gridCol w:w="60"/>
        <w:gridCol w:w="60"/>
        <w:gridCol w:w="152"/>
        <w:gridCol w:w="1203"/>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874" w:name="xdx_491_20250701__20250930__us-gaap--Sta"/>
            <w:bookmarkEnd w:id="87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75" w:name="xdx_495_20250701__20250930__us-gaap--Sta"/>
            <w:bookmarkEnd w:id="875"/>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76" w:name="xdx_493_20250701__20250930_zVzVW3qbny67"/>
            <w:bookmarkEnd w:id="876"/>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77" w:name="xdx_491_20240701__20240930__us-gaap--Sta"/>
            <w:bookmarkEnd w:id="87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78" w:name="xdx_498_20240701__20240930__us-gaap--Sta"/>
            <w:bookmarkEnd w:id="878"/>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79" w:name="xdx_497_20240701__20240930_zTXcBMmVpOL5"/>
            <w:bookmarkEnd w:id="879"/>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 2024</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bookmarkStart w:id="880" w:name="xdx_409_eus-gaap--RevenueFromContractWit"/>
            <w:bookmarkEnd w:id="880"/>
          </w:p>
        </w:tc>
      </w:tr>
      <w:tr>
        <w:trPr/>
        <w:tc>
          <w:tcPr>
            <w:tcW w:w="1355" w:type="dxa"/>
            <w:tcBorders/>
            <w:shd w:fill="CCEEFF" w:val="clear"/>
            <w:vAlign w:val="center"/>
          </w:tcPr>
          <w:p>
            <w:pPr>
              <w:pStyle w:val="TableContents"/>
              <w:bidi w:val="0"/>
              <w:spacing w:before="0" w:after="283"/>
              <w:jc w:val="left"/>
              <w:rPr/>
            </w:pPr>
            <w:r>
              <w:rPr/>
              <w:t> </w:t>
            </w:r>
            <w:r>
              <w:rPr/>
              <w:t>Product sales,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51,441,000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20,056,000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71,497,000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28,314,000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20,705,000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49,019,000</w:t>
            </w:r>
          </w:p>
        </w:tc>
        <w:tc>
          <w:tcPr>
            <w:tcW w:w="75" w:type="dxa"/>
            <w:tcBorders/>
            <w:shd w:fill="CCEEFF" w:val="clear"/>
            <w:vAlign w:val="center"/>
          </w:tcPr>
          <w:p>
            <w:pPr>
              <w:pStyle w:val="TableContents"/>
              <w:bidi w:val="0"/>
              <w:spacing w:before="0" w:after="283"/>
              <w:jc w:val="left"/>
              <w:rPr/>
            </w:pPr>
            <w:r>
              <w:rPr/>
              <w:t> </w:t>
            </w:r>
            <w:bookmarkStart w:id="881" w:name="xdx_401_eus-gaap--RevenueFromContractWit"/>
            <w:bookmarkEnd w:id="881"/>
          </w:p>
        </w:tc>
      </w:tr>
      <w:tr>
        <w:trPr/>
        <w:tc>
          <w:tcPr>
            <w:tcW w:w="1355" w:type="dxa"/>
            <w:tcBorders/>
            <w:shd w:fill="FFFFFF" w:val="clear"/>
            <w:vAlign w:val="center"/>
          </w:tcPr>
          <w:p>
            <w:pPr>
              <w:pStyle w:val="TableContents"/>
              <w:bidi w:val="0"/>
              <w:spacing w:before="0" w:after="283"/>
              <w:jc w:val="left"/>
              <w:rPr/>
            </w:pPr>
            <w:r>
              <w:rPr/>
              <w:t> </w:t>
            </w: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141,000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238,000</w:t>
            </w:r>
          </w:p>
        </w:tc>
        <w:tc>
          <w:tcPr>
            <w:tcW w:w="75" w:type="dxa"/>
            <w:tcBorders/>
            <w:shd w:fill="FFFFFF" w:val="clear"/>
            <w:vAlign w:val="center"/>
          </w:tcPr>
          <w:p>
            <w:pPr>
              <w:pStyle w:val="TableContents"/>
              <w:bidi w:val="0"/>
              <w:spacing w:before="0" w:after="283"/>
              <w:jc w:val="left"/>
              <w:rPr/>
            </w:pPr>
            <w:r>
              <w:rPr/>
              <w:t> </w:t>
            </w:r>
            <w:bookmarkStart w:id="882" w:name="xdx_405_eus-gaap--RevenueFromContractWit"/>
            <w:bookmarkEnd w:id="882"/>
          </w:p>
        </w:tc>
      </w:tr>
      <w:tr>
        <w:trPr/>
        <w:tc>
          <w:tcPr>
            <w:tcW w:w="135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51,582,000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20,056,000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71,638,000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28,552,000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20,705,000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49,257,000</w:t>
            </w:r>
          </w:p>
        </w:tc>
        <w:tc>
          <w:tcPr>
            <w:tcW w:w="75" w:type="dxa"/>
            <w:tcBorders/>
            <w:shd w:fill="CCEEFF" w:val="clear"/>
            <w:vAlign w:val="center"/>
          </w:tcPr>
          <w:p>
            <w:pPr>
              <w:pStyle w:val="TableContents"/>
              <w:bidi w:val="0"/>
              <w:spacing w:before="0" w:after="283"/>
              <w:jc w:val="left"/>
              <w:rPr/>
            </w:pPr>
            <w:r>
              <w:rPr/>
              <w:t> </w:t>
            </w:r>
            <w:bookmarkStart w:id="883" w:name="xdx_405_eus-gaap--CostOfGoodsAndServices"/>
            <w:bookmarkEnd w:id="883"/>
          </w:p>
        </w:tc>
      </w:tr>
      <w:tr>
        <w:trPr/>
        <w:tc>
          <w:tcPr>
            <w:tcW w:w="1355" w:type="dxa"/>
            <w:tcBorders/>
            <w:shd w:fill="FFFFFF" w:val="clear"/>
            <w:vAlign w:val="center"/>
          </w:tcPr>
          <w:p>
            <w:pPr>
              <w:pStyle w:val="TableContents"/>
              <w:bidi w:val="0"/>
              <w:spacing w:before="0" w:after="283"/>
              <w:jc w:val="left"/>
              <w:rPr/>
            </w:pPr>
            <w:r>
              <w:rPr/>
              <w:t> </w:t>
            </w: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9,491,000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8,221,000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17,712,000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5,169,000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6,849,000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12,018,000</w:t>
            </w:r>
          </w:p>
        </w:tc>
        <w:tc>
          <w:tcPr>
            <w:tcW w:w="75" w:type="dxa"/>
            <w:tcBorders/>
            <w:shd w:fill="FFFFFF" w:val="clear"/>
            <w:vAlign w:val="center"/>
          </w:tcPr>
          <w:p>
            <w:pPr>
              <w:pStyle w:val="TableContents"/>
              <w:bidi w:val="0"/>
              <w:spacing w:before="0" w:after="283"/>
              <w:jc w:val="left"/>
              <w:rPr/>
            </w:pPr>
            <w:r>
              <w:rPr/>
              <w:t> </w:t>
            </w:r>
            <w:bookmarkStart w:id="884" w:name="xdx_404_eus-gaap--GrossProfit_zAchSf4xUv"/>
            <w:bookmarkEnd w:id="884"/>
          </w:p>
        </w:tc>
      </w:tr>
      <w:tr>
        <w:trPr/>
        <w:tc>
          <w:tcPr>
            <w:tcW w:w="13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42,091,000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11,835,000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53,926,000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23,383,000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13,856,000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37,239,000</w:t>
            </w:r>
          </w:p>
        </w:tc>
        <w:tc>
          <w:tcPr>
            <w:tcW w:w="75" w:type="dxa"/>
            <w:tcBorders/>
            <w:shd w:fill="CCEEFF" w:val="clear"/>
            <w:vAlign w:val="center"/>
          </w:tcPr>
          <w:p>
            <w:pPr>
              <w:pStyle w:val="TableContents"/>
              <w:bidi w:val="0"/>
              <w:spacing w:before="0" w:after="283"/>
              <w:jc w:val="left"/>
              <w:rPr/>
            </w:pPr>
            <w:r>
              <w:rPr/>
              <w:t> </w:t>
            </w:r>
            <w:bookmarkStart w:id="885" w:name="xdx_409_eus-gaap--OperatingExpensesAbstr"/>
            <w:bookmarkEnd w:id="885"/>
          </w:p>
        </w:tc>
      </w:tr>
      <w:tr>
        <w:trPr/>
        <w:tc>
          <w:tcPr>
            <w:tcW w:w="135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86" w:name="xdx_40D_eus-gaap--SellingGeneralAndAdmin"/>
            <w:bookmarkEnd w:id="886"/>
          </w:p>
        </w:tc>
      </w:tr>
      <w:tr>
        <w:trPr/>
        <w:tc>
          <w:tcPr>
            <w:tcW w:w="1355" w:type="dxa"/>
            <w:tcBorders/>
            <w:shd w:fill="CCEEFF" w:val="clear"/>
            <w:vAlign w:val="center"/>
          </w:tcPr>
          <w:p>
            <w:pPr>
              <w:pStyle w:val="TableContents"/>
              <w:bidi w:val="0"/>
              <w:spacing w:before="0" w:after="283"/>
              <w:jc w:val="left"/>
              <w:rPr/>
            </w:pPr>
            <w:r>
              <w:rPr/>
              <w:t> </w:t>
            </w: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7,344,000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27,429,000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5,427,000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19,465,000</w:t>
            </w:r>
          </w:p>
        </w:tc>
        <w:tc>
          <w:tcPr>
            <w:tcW w:w="75" w:type="dxa"/>
            <w:tcBorders/>
            <w:shd w:fill="CCEEFF" w:val="clear"/>
            <w:vAlign w:val="center"/>
          </w:tcPr>
          <w:p>
            <w:pPr>
              <w:pStyle w:val="TableContents"/>
              <w:bidi w:val="0"/>
              <w:spacing w:before="0" w:after="283"/>
              <w:jc w:val="left"/>
              <w:rPr/>
            </w:pPr>
            <w:r>
              <w:rPr/>
              <w:t> </w:t>
            </w:r>
            <w:bookmarkStart w:id="887" w:name="xdx_40B_eus-gaap--ResearchAndDevelopment"/>
            <w:bookmarkEnd w:id="887"/>
          </w:p>
        </w:tc>
      </w:tr>
      <w:tr>
        <w:trPr/>
        <w:tc>
          <w:tcPr>
            <w:tcW w:w="1355" w:type="dxa"/>
            <w:tcBorders/>
            <w:shd w:fill="FFFFFF" w:val="clear"/>
            <w:vAlign w:val="center"/>
          </w:tcPr>
          <w:p>
            <w:pPr>
              <w:pStyle w:val="TableContents"/>
              <w:bidi w:val="0"/>
              <w:spacing w:before="0" w:after="283"/>
              <w:jc w:val="left"/>
              <w:rPr/>
            </w:pPr>
            <w:r>
              <w:rPr/>
              <w:t> </w:t>
            </w: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2,929,000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378,000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3,307,000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84,000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296,000</w:t>
            </w:r>
          </w:p>
        </w:tc>
        <w:tc>
          <w:tcPr>
            <w:tcW w:w="75" w:type="dxa"/>
            <w:tcBorders/>
            <w:shd w:fill="FFFFFF" w:val="clear"/>
            <w:vAlign w:val="center"/>
          </w:tcPr>
          <w:p>
            <w:pPr>
              <w:pStyle w:val="TableContents"/>
              <w:bidi w:val="0"/>
              <w:spacing w:before="0" w:after="283"/>
              <w:jc w:val="left"/>
              <w:rPr/>
            </w:pPr>
            <w:r>
              <w:rPr/>
              <w:t> </w:t>
            </w:r>
            <w:bookmarkStart w:id="888" w:name="xdx_402_eus-gaap--OperatingExpenses_hsrt"/>
            <w:bookmarkEnd w:id="888"/>
          </w:p>
        </w:tc>
      </w:tr>
      <w:tr>
        <w:trPr/>
        <w:tc>
          <w:tcPr>
            <w:tcW w:w="1355" w:type="dxa"/>
            <w:tcBorders/>
            <w:shd w:fill="CCEEFF" w:val="clear"/>
            <w:vAlign w:val="center"/>
          </w:tcPr>
          <w:p>
            <w:pPr>
              <w:pStyle w:val="TableContents"/>
              <w:bidi w:val="0"/>
              <w:spacing w:before="0" w:after="283"/>
              <w:jc w:val="left"/>
              <w:rPr/>
            </w:pPr>
            <w:r>
              <w:rPr/>
              <w:t> </w:t>
            </w:r>
            <w:r>
              <w:rPr>
                <w:b/>
              </w:rPr>
              <w:t>Segment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19,077,000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4,113,000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23,190,000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8,345,000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17,478,000</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r>
              <w:rPr>
                <w:b/>
              </w:rPr>
              <w:t>Corporate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889" w:name="xdx_98E_eus-gaap--OperatingExpenses_pp0p"/>
            <w:bookmarkEnd w:id="889"/>
          </w:p>
        </w:tc>
        <w:tc>
          <w:tcPr>
            <w:tcW w:w="1203" w:type="dxa"/>
            <w:tcBorders/>
            <w:shd w:fill="FFFFFF" w:val="clear"/>
            <w:vAlign w:val="center"/>
          </w:tcPr>
          <w:p>
            <w:pPr>
              <w:pStyle w:val="TableContents"/>
              <w:bidi w:val="0"/>
              <w:spacing w:before="0" w:after="283"/>
              <w:jc w:val="right"/>
              <w:rPr/>
            </w:pPr>
            <w:r>
              <w:rPr/>
              <w:t>8,427,000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890" w:name="xdx_987_eus-gaap--OperatingExpenses_pp0p"/>
            <w:bookmarkEnd w:id="890"/>
          </w:p>
        </w:tc>
        <w:tc>
          <w:tcPr>
            <w:tcW w:w="1203" w:type="dxa"/>
            <w:tcBorders/>
            <w:shd w:fill="FFFFFF" w:val="clear"/>
            <w:vAlign w:val="center"/>
          </w:tcPr>
          <w:p>
            <w:pPr>
              <w:pStyle w:val="TableContents"/>
              <w:bidi w:val="0"/>
              <w:spacing w:before="0" w:after="283"/>
              <w:jc w:val="right"/>
              <w:rPr/>
            </w:pPr>
            <w:r>
              <w:rPr/>
              <w:t>14,180,000</w:t>
            </w:r>
          </w:p>
        </w:tc>
        <w:tc>
          <w:tcPr>
            <w:tcW w:w="7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 </w:t>
            </w: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1" w:name="xdx_98F_eus-gaap--OperatingExpenses_pp0p"/>
            <w:bookmarkEnd w:id="891"/>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2" w:name="xdx_986_eus-gaap--OperatingExpenses_pp0p"/>
            <w:bookmarkEnd w:id="892"/>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1,977,000</w:t>
            </w:r>
          </w:p>
        </w:tc>
        <w:tc>
          <w:tcPr>
            <w:tcW w:w="75" w:type="dxa"/>
            <w:tcBorders/>
            <w:shd w:fill="CCEEFF" w:val="clear"/>
            <w:vAlign w:val="center"/>
          </w:tcPr>
          <w:p>
            <w:pPr>
              <w:pStyle w:val="TableContents"/>
              <w:bidi w:val="0"/>
              <w:spacing w:before="0" w:after="283"/>
              <w:jc w:val="left"/>
              <w:rPr/>
            </w:pPr>
            <w:r>
              <w:rPr/>
              <w:t> </w:t>
            </w:r>
            <w:bookmarkStart w:id="893" w:name="xdx_408_eus-gaap--OperatingIncomeLoss_zg"/>
            <w:bookmarkEnd w:id="893"/>
          </w:p>
        </w:tc>
      </w:tr>
      <w:tr>
        <w:trPr/>
        <w:tc>
          <w:tcPr>
            <w:tcW w:w="1355"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14,747,000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1,321,000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425" w:type="dxa"/>
        <w:jc w:val="left"/>
        <w:tblInd w:w="0" w:type="dxa"/>
        <w:tblLayout w:type="fixed"/>
        <w:tblCellMar>
          <w:top w:w="0" w:type="dxa"/>
          <w:left w:w="0" w:type="dxa"/>
          <w:bottom w:w="0" w:type="dxa"/>
          <w:right w:w="0" w:type="dxa"/>
        </w:tblCellMar>
      </w:tblPr>
      <w:tblGrid>
        <w:gridCol w:w="1355"/>
        <w:gridCol w:w="60"/>
        <w:gridCol w:w="140"/>
        <w:gridCol w:w="1220"/>
        <w:gridCol w:w="60"/>
        <w:gridCol w:w="60"/>
        <w:gridCol w:w="168"/>
        <w:gridCol w:w="1322"/>
        <w:gridCol w:w="60"/>
        <w:gridCol w:w="60"/>
        <w:gridCol w:w="140"/>
        <w:gridCol w:w="1220"/>
        <w:gridCol w:w="60"/>
        <w:gridCol w:w="60"/>
        <w:gridCol w:w="140"/>
        <w:gridCol w:w="1100"/>
        <w:gridCol w:w="60"/>
        <w:gridCol w:w="60"/>
        <w:gridCol w:w="168"/>
        <w:gridCol w:w="1322"/>
        <w:gridCol w:w="60"/>
        <w:gridCol w:w="60"/>
        <w:gridCol w:w="140"/>
        <w:gridCol w:w="1220"/>
        <w:gridCol w:w="110"/>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bookmarkStart w:id="894" w:name="xdx_49C_20250101__20250930__us-gaap--Sta"/>
            <w:bookmarkEnd w:id="894"/>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Branded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95" w:name="xdx_496_20250101__20250930__us-gaap--Sta"/>
            <w:bookmarkEnd w:id="895"/>
          </w:p>
        </w:tc>
        <w:tc>
          <w:tcPr>
            <w:tcW w:w="149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Compounding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96" w:name="xdx_49D_20250101__20250930_z5ayRDFVHzni"/>
            <w:bookmarkEnd w:id="896"/>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Consolidated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97" w:name="xdx_495_20240101__20240930__us-gaap--Sta"/>
            <w:bookmarkEnd w:id="897"/>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Branded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98" w:name="xdx_497_20240101__20240930__us-gaap--Sta"/>
            <w:bookmarkEnd w:id="898"/>
          </w:p>
        </w:tc>
        <w:tc>
          <w:tcPr>
            <w:tcW w:w="149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Compounding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99" w:name="xdx_497_20240101__20240930_zlmv53uDEBme"/>
            <w:bookmarkEnd w:id="899"/>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Consolidated</w:t>
            </w:r>
          </w:p>
        </w:tc>
        <w:tc>
          <w:tcPr>
            <w:tcW w:w="110" w:type="dxa"/>
            <w:tcBorders/>
            <w:shd w:fill="FFFFFF" w:val="clear"/>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 2024</w:t>
            </w:r>
          </w:p>
        </w:tc>
        <w:tc>
          <w:tcPr>
            <w:tcW w:w="110"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bookmarkStart w:id="900" w:name="xdx_409_eus-gaap--RevenueFromContractWit"/>
            <w:bookmarkEnd w:id="900"/>
          </w:p>
        </w:tc>
      </w:tr>
      <w:tr>
        <w:trPr/>
        <w:tc>
          <w:tcPr>
            <w:tcW w:w="1355" w:type="dxa"/>
            <w:tcBorders/>
            <w:shd w:fill="CCEEFF" w:val="clear"/>
            <w:vAlign w:val="center"/>
          </w:tcPr>
          <w:p>
            <w:pPr>
              <w:pStyle w:val="TableContents"/>
              <w:bidi w:val="0"/>
              <w:spacing w:before="0" w:after="283"/>
              <w:jc w:val="left"/>
              <w:rPr/>
            </w:pPr>
            <w:r>
              <w:rPr/>
              <w:t> </w:t>
            </w:r>
            <w:r>
              <w:rPr/>
              <w:t>Product sales,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121,324,000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61,575,000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182,899,000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69,395,000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63,003,000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132,398,000</w:t>
            </w:r>
          </w:p>
        </w:tc>
        <w:tc>
          <w:tcPr>
            <w:tcW w:w="110" w:type="dxa"/>
            <w:tcBorders/>
            <w:shd w:fill="CCEEFF" w:val="clear"/>
            <w:vAlign w:val="center"/>
          </w:tcPr>
          <w:p>
            <w:pPr>
              <w:pStyle w:val="TableContents"/>
              <w:bidi w:val="0"/>
              <w:spacing w:before="0" w:after="283"/>
              <w:jc w:val="left"/>
              <w:rPr/>
            </w:pPr>
            <w:r>
              <w:rPr/>
              <w:t> </w:t>
            </w:r>
            <w:bookmarkStart w:id="901" w:name="xdx_401_eus-gaap--RevenueFromContractWit"/>
            <w:bookmarkEnd w:id="901"/>
          </w:p>
        </w:tc>
      </w:tr>
      <w:tr>
        <w:trPr/>
        <w:tc>
          <w:tcPr>
            <w:tcW w:w="1355" w:type="dxa"/>
            <w:tcBorders/>
            <w:shd w:fill="FFFFFF" w:val="clear"/>
            <w:vAlign w:val="center"/>
          </w:tcPr>
          <w:p>
            <w:pPr>
              <w:pStyle w:val="TableContents"/>
              <w:bidi w:val="0"/>
              <w:spacing w:before="0" w:after="283"/>
              <w:jc w:val="left"/>
              <w:rPr/>
            </w:pPr>
            <w:r>
              <w:rPr/>
              <w:t> </w:t>
            </w: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385,000</w:t>
            </w:r>
          </w:p>
        </w:tc>
        <w:tc>
          <w:tcPr>
            <w:tcW w:w="110" w:type="dxa"/>
            <w:tcBorders/>
            <w:shd w:fill="FFFFFF" w:val="clear"/>
            <w:vAlign w:val="center"/>
          </w:tcPr>
          <w:p>
            <w:pPr>
              <w:pStyle w:val="TableContents"/>
              <w:bidi w:val="0"/>
              <w:spacing w:before="0" w:after="283"/>
              <w:jc w:val="left"/>
              <w:rPr/>
            </w:pPr>
            <w:r>
              <w:rPr/>
              <w:t> </w:t>
            </w:r>
            <w:bookmarkStart w:id="902" w:name="xdx_405_eus-gaap--RevenueFromContractWit"/>
            <w:bookmarkEnd w:id="902"/>
          </w:p>
        </w:tc>
      </w:tr>
      <w:tr>
        <w:trPr/>
        <w:tc>
          <w:tcPr>
            <w:tcW w:w="135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121,636,000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61,575,000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183,211,000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69,780,000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63,003,000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132,783,000</w:t>
            </w:r>
          </w:p>
        </w:tc>
        <w:tc>
          <w:tcPr>
            <w:tcW w:w="110" w:type="dxa"/>
            <w:tcBorders/>
            <w:shd w:fill="CCEEFF" w:val="clear"/>
            <w:vAlign w:val="center"/>
          </w:tcPr>
          <w:p>
            <w:pPr>
              <w:pStyle w:val="TableContents"/>
              <w:bidi w:val="0"/>
              <w:spacing w:before="0" w:after="283"/>
              <w:jc w:val="left"/>
              <w:rPr/>
            </w:pPr>
            <w:r>
              <w:rPr/>
              <w:t> </w:t>
            </w:r>
            <w:bookmarkStart w:id="903" w:name="xdx_405_eus-gaap--CostOfGoodsAndServices"/>
            <w:bookmarkEnd w:id="903"/>
          </w:p>
        </w:tc>
      </w:tr>
      <w:tr>
        <w:trPr/>
        <w:tc>
          <w:tcPr>
            <w:tcW w:w="1355" w:type="dxa"/>
            <w:tcBorders/>
            <w:shd w:fill="FFFFFF" w:val="clear"/>
            <w:vAlign w:val="center"/>
          </w:tcPr>
          <w:p>
            <w:pPr>
              <w:pStyle w:val="TableContents"/>
              <w:bidi w:val="0"/>
              <w:spacing w:before="0" w:after="283"/>
              <w:jc w:val="left"/>
              <w:rPr/>
            </w:pPr>
            <w:r>
              <w:rPr/>
              <w:t> </w:t>
            </w: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26,406,000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23,060,000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49,466,000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14,406,000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20,704,000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35,110,000</w:t>
            </w:r>
          </w:p>
        </w:tc>
        <w:tc>
          <w:tcPr>
            <w:tcW w:w="110" w:type="dxa"/>
            <w:tcBorders/>
            <w:shd w:fill="FFFFFF" w:val="clear"/>
            <w:vAlign w:val="center"/>
          </w:tcPr>
          <w:p>
            <w:pPr>
              <w:pStyle w:val="TableContents"/>
              <w:bidi w:val="0"/>
              <w:spacing w:before="0" w:after="283"/>
              <w:jc w:val="left"/>
              <w:rPr/>
            </w:pPr>
            <w:r>
              <w:rPr/>
              <w:t> </w:t>
            </w:r>
            <w:bookmarkStart w:id="904" w:name="xdx_407_eus-gaap--GrossProfit_zwhau5q0mG"/>
            <w:bookmarkEnd w:id="904"/>
          </w:p>
        </w:tc>
      </w:tr>
      <w:tr>
        <w:trPr/>
        <w:tc>
          <w:tcPr>
            <w:tcW w:w="13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95,230,000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38,515,000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133,745,000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55,374,000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42,299,000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97,673,000</w:t>
            </w:r>
          </w:p>
        </w:tc>
        <w:tc>
          <w:tcPr>
            <w:tcW w:w="110" w:type="dxa"/>
            <w:tcBorders/>
            <w:shd w:fill="CCEEFF" w:val="clear"/>
            <w:vAlign w:val="center"/>
          </w:tcPr>
          <w:p>
            <w:pPr>
              <w:pStyle w:val="TableContents"/>
              <w:bidi w:val="0"/>
              <w:spacing w:before="0" w:after="283"/>
              <w:jc w:val="left"/>
              <w:rPr/>
            </w:pPr>
            <w:r>
              <w:rPr/>
              <w:t> </w:t>
            </w:r>
            <w:bookmarkStart w:id="905" w:name="xdx_409_eus-gaap--OperatingExpensesAbstr"/>
            <w:bookmarkEnd w:id="905"/>
          </w:p>
        </w:tc>
      </w:tr>
      <w:tr>
        <w:trPr/>
        <w:tc>
          <w:tcPr>
            <w:tcW w:w="135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6" w:name="xdx_40D_eus-gaap--SellingGeneralAndAdmin"/>
            <w:bookmarkEnd w:id="906"/>
          </w:p>
        </w:tc>
      </w:tr>
      <w:tr>
        <w:trPr/>
        <w:tc>
          <w:tcPr>
            <w:tcW w:w="1355" w:type="dxa"/>
            <w:tcBorders/>
            <w:shd w:fill="CCEEFF" w:val="clear"/>
            <w:vAlign w:val="center"/>
          </w:tcPr>
          <w:p>
            <w:pPr>
              <w:pStyle w:val="TableContents"/>
              <w:bidi w:val="0"/>
              <w:spacing w:before="0" w:after="283"/>
              <w:jc w:val="left"/>
              <w:rPr/>
            </w:pPr>
            <w:r>
              <w:rPr/>
              <w:t> </w:t>
            </w: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21,964,000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83,061,000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36,034,000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17,364,000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53,398,000</w:t>
            </w:r>
          </w:p>
        </w:tc>
        <w:tc>
          <w:tcPr>
            <w:tcW w:w="110" w:type="dxa"/>
            <w:tcBorders/>
            <w:shd w:fill="CCEEFF" w:val="clear"/>
            <w:vAlign w:val="center"/>
          </w:tcPr>
          <w:p>
            <w:pPr>
              <w:pStyle w:val="TableContents"/>
              <w:bidi w:val="0"/>
              <w:spacing w:before="0" w:after="283"/>
              <w:jc w:val="left"/>
              <w:rPr/>
            </w:pPr>
            <w:r>
              <w:rPr/>
              <w:t> </w:t>
            </w:r>
            <w:bookmarkStart w:id="907" w:name="xdx_40B_eus-gaap--ResearchAndDevelopment"/>
            <w:bookmarkEnd w:id="907"/>
          </w:p>
        </w:tc>
      </w:tr>
      <w:tr>
        <w:trPr/>
        <w:tc>
          <w:tcPr>
            <w:tcW w:w="1355" w:type="dxa"/>
            <w:tcBorders/>
            <w:shd w:fill="FFFFFF" w:val="clear"/>
            <w:vAlign w:val="center"/>
          </w:tcPr>
          <w:p>
            <w:pPr>
              <w:pStyle w:val="TableContents"/>
              <w:bidi w:val="0"/>
              <w:spacing w:before="0" w:after="283"/>
              <w:jc w:val="left"/>
              <w:rPr/>
            </w:pPr>
            <w:r>
              <w:rPr/>
              <w:t> </w:t>
            </w: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7,312,000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1,044,000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8,356,000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261,000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582,000</w:t>
            </w:r>
          </w:p>
        </w:tc>
        <w:tc>
          <w:tcPr>
            <w:tcW w:w="110" w:type="dxa"/>
            <w:tcBorders/>
            <w:shd w:fill="FFFFFF" w:val="clear"/>
            <w:vAlign w:val="center"/>
          </w:tcPr>
          <w:p>
            <w:pPr>
              <w:pStyle w:val="TableContents"/>
              <w:bidi w:val="0"/>
              <w:spacing w:before="0" w:after="283"/>
              <w:jc w:val="left"/>
              <w:rPr/>
            </w:pPr>
            <w:r>
              <w:rPr/>
              <w:t> </w:t>
            </w:r>
            <w:bookmarkStart w:id="908" w:name="xdx_402_eus-gaap--OperatingExpenses_hsrt"/>
            <w:bookmarkEnd w:id="908"/>
          </w:p>
        </w:tc>
      </w:tr>
      <w:tr>
        <w:trPr/>
        <w:tc>
          <w:tcPr>
            <w:tcW w:w="1355" w:type="dxa"/>
            <w:tcBorders/>
            <w:shd w:fill="CCEEFF" w:val="clear"/>
            <w:vAlign w:val="center"/>
          </w:tcPr>
          <w:p>
            <w:pPr>
              <w:pStyle w:val="TableContents"/>
              <w:bidi w:val="0"/>
              <w:spacing w:before="0" w:after="283"/>
              <w:jc w:val="left"/>
              <w:rPr/>
            </w:pPr>
            <w:r>
              <w:rPr/>
              <w:t> </w:t>
            </w:r>
            <w:r>
              <w:rPr>
                <w:b/>
              </w:rPr>
              <w:t>Segment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26,821,000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15,507,000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42,328,000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19,019,000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24,674,000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43,693,000</w:t>
            </w:r>
          </w:p>
        </w:tc>
        <w:tc>
          <w:tcPr>
            <w:tcW w:w="11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r>
              <w:rPr>
                <w:b/>
              </w:rPr>
              <w:t>Corporate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9" w:name="xdx_98D_eus-gaap--OperatingExpenses_pp0p"/>
            <w:bookmarkEnd w:id="909"/>
          </w:p>
        </w:tc>
        <w:tc>
          <w:tcPr>
            <w:tcW w:w="1220" w:type="dxa"/>
            <w:tcBorders/>
            <w:shd w:fill="FFFFFF" w:val="clear"/>
            <w:vAlign w:val="center"/>
          </w:tcPr>
          <w:p>
            <w:pPr>
              <w:pStyle w:val="TableContents"/>
              <w:bidi w:val="0"/>
              <w:spacing w:before="0" w:after="283"/>
              <w:jc w:val="right"/>
              <w:rPr/>
            </w:pPr>
            <w:r>
              <w:rPr/>
              <w:t>26,543,000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10" w:name="xdx_981_eus-gaap--OperatingExpenses_pp0p"/>
            <w:bookmarkEnd w:id="910"/>
          </w:p>
        </w:tc>
        <w:tc>
          <w:tcPr>
            <w:tcW w:w="1220" w:type="dxa"/>
            <w:tcBorders/>
            <w:shd w:fill="FFFFFF" w:val="clear"/>
            <w:vAlign w:val="center"/>
          </w:tcPr>
          <w:p>
            <w:pPr>
              <w:pStyle w:val="TableContents"/>
              <w:bidi w:val="0"/>
              <w:spacing w:before="0" w:after="283"/>
              <w:jc w:val="right"/>
              <w:rPr/>
            </w:pPr>
            <w:r>
              <w:rPr/>
              <w:t>40,877,000</w:t>
            </w:r>
          </w:p>
        </w:tc>
        <w:tc>
          <w:tcPr>
            <w:tcW w:w="110"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b/>
              </w:rPr>
            </w:pP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11" w:name="xdx_983_eus-gaap--OperatingExpenses_pp0p"/>
            <w:bookmarkEnd w:id="911"/>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12" w:name="xdx_984_eus-gaap--OperatingExpenses_pp0p"/>
            <w:bookmarkEnd w:id="91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6,893,000</w:t>
            </w:r>
          </w:p>
        </w:tc>
        <w:tc>
          <w:tcPr>
            <w:tcW w:w="110" w:type="dxa"/>
            <w:tcBorders/>
            <w:shd w:fill="CCEEFF" w:val="clear"/>
            <w:vAlign w:val="center"/>
          </w:tcPr>
          <w:p>
            <w:pPr>
              <w:pStyle w:val="TableContents"/>
              <w:bidi w:val="0"/>
              <w:spacing w:before="0" w:after="283"/>
              <w:jc w:val="left"/>
              <w:rPr/>
            </w:pPr>
            <w:r>
              <w:rPr/>
              <w:t> </w:t>
            </w:r>
            <w:bookmarkStart w:id="913" w:name="xdx_408_eus-gaap--OperatingIncomeLoss_zm"/>
            <w:bookmarkEnd w:id="913"/>
          </w:p>
        </w:tc>
      </w:tr>
      <w:tr>
        <w:trPr/>
        <w:tc>
          <w:tcPr>
            <w:tcW w:w="1355" w:type="dxa"/>
            <w:tcBorders/>
            <w:shd w:fill="FFFFFF" w:val="clear"/>
            <w:vAlign w:val="center"/>
          </w:tcPr>
          <w:p>
            <w:pPr>
              <w:pStyle w:val="TableContents"/>
              <w:bidi w:val="0"/>
              <w:spacing w:before="0" w:after="283"/>
              <w:jc w:val="left"/>
              <w:rPr>
                <w:b/>
              </w:rPr>
            </w:pPr>
            <w:r>
              <w:rPr>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14,924,000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(4,077,000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bookmarkStart w:id="914" w:name="xdx_8AB_zykycr8K6N4i"/>
      <w:bookmarkEnd w:id="9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revenue is attributable to the U.S. All long-lived assets at September 30, 2025 and December 31, 2024 were located in the U.S.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5" w:name="xdx_89A_ecustom--ScheduleOfSegmentReport"/>
      <w:bookmarkEnd w:id="915"/>
      <w:r>
        <w:rPr>
          <w:rFonts w:ascii="Times New Roman;Times;Serif" w:hAnsi="Times New Roman;Times;Serif"/>
          <w:b w:val="false"/>
          <w:i w:val="false"/>
          <w:caps w:val="false"/>
          <w:smallCaps w:val="false"/>
          <w:sz w:val="20"/>
        </w:rPr>
        <w:t>Revenues by segment are further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16" w:name="xdx_8B3_zBjEoXHRrTm7"/>
      <w:bookmarkEnd w:id="916"/>
      <w:r>
        <w:rPr>
          <w:rFonts w:ascii="Times New Roman;Times;Serif" w:hAnsi="Times New Roman;Times;Serif"/>
          <w:b w:val="false"/>
          <w:i w:val="false"/>
          <w:caps w:val="false"/>
          <w:smallCaps w:val="false"/>
          <w:sz w:val="20"/>
        </w:rPr>
        <w:t>SCHEDULE OF REVENUES BY SEGMENT</w:t>
      </w:r>
    </w:p>
    <w:tbl>
      <w:tblPr>
        <w:tblW w:w="8528" w:type="dxa"/>
        <w:jc w:val="left"/>
        <w:tblInd w:w="0" w:type="dxa"/>
        <w:tblLayout w:type="fixed"/>
        <w:tblCellMar>
          <w:top w:w="0" w:type="dxa"/>
          <w:left w:w="0" w:type="dxa"/>
          <w:bottom w:w="0" w:type="dxa"/>
          <w:right w:w="0" w:type="dxa"/>
        </w:tblCellMar>
      </w:tblPr>
      <w:tblGrid>
        <w:gridCol w:w="2375"/>
        <w:gridCol w:w="60"/>
        <w:gridCol w:w="162"/>
        <w:gridCol w:w="1277"/>
        <w:gridCol w:w="69"/>
        <w:gridCol w:w="69"/>
        <w:gridCol w:w="162"/>
        <w:gridCol w:w="1277"/>
        <w:gridCol w:w="60"/>
        <w:gridCol w:w="60"/>
        <w:gridCol w:w="142"/>
        <w:gridCol w:w="1239"/>
        <w:gridCol w:w="60"/>
        <w:gridCol w:w="60"/>
        <w:gridCol w:w="142"/>
        <w:gridCol w:w="1239"/>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vAlign w:val="center"/>
          </w:tcPr>
          <w:p>
            <w:pPr>
              <w:pStyle w:val="TableContents"/>
              <w:bidi w:val="0"/>
              <w:spacing w:before="0" w:after="283"/>
              <w:jc w:val="center"/>
              <w:rPr>
                <w:b/>
              </w:rPr>
            </w:pPr>
            <w:r>
              <w:rPr>
                <w:b/>
              </w:rPr>
              <w:t>For the Nine Months Ended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bookmarkStart w:id="917" w:name="xdx_987_eus-gaap--Revenues_c20250701__20"/>
            <w:bookmarkEnd w:id="917"/>
          </w:p>
        </w:tc>
        <w:tc>
          <w:tcPr>
            <w:tcW w:w="1277" w:type="dxa"/>
            <w:tcBorders/>
            <w:shd w:fill="CCEEFF" w:val="clear"/>
            <w:vAlign w:val="center"/>
          </w:tcPr>
          <w:p>
            <w:pPr>
              <w:pStyle w:val="TableContents"/>
              <w:bidi w:val="0"/>
              <w:spacing w:before="0" w:after="283"/>
              <w:jc w:val="right"/>
              <w:rPr/>
            </w:pPr>
            <w:r>
              <w:rPr/>
              <w:t>21,907,000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bookmarkStart w:id="918" w:name="xdx_986_eus-gaap--Revenues_c20240701__20"/>
            <w:bookmarkEnd w:id="918"/>
          </w:p>
        </w:tc>
        <w:tc>
          <w:tcPr>
            <w:tcW w:w="1277" w:type="dxa"/>
            <w:tcBorders/>
            <w:shd w:fill="CCEEFF" w:val="clear"/>
            <w:vAlign w:val="center"/>
          </w:tcPr>
          <w:p>
            <w:pPr>
              <w:pStyle w:val="TableContents"/>
              <w:bidi w:val="0"/>
              <w:spacing w:before="0" w:after="283"/>
              <w:jc w:val="right"/>
              <w:rPr/>
            </w:pPr>
            <w:r>
              <w:rPr/>
              <w:t>12,882,000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bookmarkStart w:id="919" w:name="xdx_980_eus-gaap--Revenues_c20250101__20"/>
            <w:bookmarkEnd w:id="919"/>
          </w:p>
        </w:tc>
        <w:tc>
          <w:tcPr>
            <w:tcW w:w="1239" w:type="dxa"/>
            <w:tcBorders/>
            <w:shd w:fill="CCEEFF" w:val="clear"/>
            <w:vAlign w:val="center"/>
          </w:tcPr>
          <w:p>
            <w:pPr>
              <w:pStyle w:val="TableContents"/>
              <w:bidi w:val="0"/>
              <w:spacing w:before="0" w:after="283"/>
              <w:jc w:val="right"/>
              <w:rPr/>
            </w:pPr>
            <w:r>
              <w:rPr/>
              <w:t>45,465,000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bookmarkStart w:id="920" w:name="xdx_984_eus-gaap--Revenues_c20240101__20"/>
            <w:bookmarkEnd w:id="920"/>
          </w:p>
        </w:tc>
        <w:tc>
          <w:tcPr>
            <w:tcW w:w="1239" w:type="dxa"/>
            <w:tcBorders/>
            <w:shd w:fill="CCEEFF" w:val="clear"/>
            <w:vAlign w:val="center"/>
          </w:tcPr>
          <w:p>
            <w:pPr>
              <w:pStyle w:val="TableContents"/>
              <w:bidi w:val="0"/>
              <w:spacing w:before="0" w:after="283"/>
              <w:jc w:val="right"/>
              <w:rPr/>
            </w:pPr>
            <w:r>
              <w:rPr/>
              <w:t>26,498,000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bookmarkStart w:id="921" w:name="xdx_984_eus-gaap--Revenues_c20250701__20"/>
            <w:bookmarkEnd w:id="921"/>
          </w:p>
        </w:tc>
        <w:tc>
          <w:tcPr>
            <w:tcW w:w="1277" w:type="dxa"/>
            <w:tcBorders/>
            <w:shd w:fill="FFFFFF" w:val="clear"/>
            <w:vAlign w:val="center"/>
          </w:tcPr>
          <w:p>
            <w:pPr>
              <w:pStyle w:val="TableContents"/>
              <w:bidi w:val="0"/>
              <w:spacing w:before="0" w:after="283"/>
              <w:jc w:val="right"/>
              <w:rPr/>
            </w:pPr>
            <w:r>
              <w:rPr/>
              <w:t>22,626,000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bookmarkStart w:id="922" w:name="xdx_98B_eus-gaap--Revenues_c20240701__20"/>
            <w:bookmarkEnd w:id="922"/>
          </w:p>
        </w:tc>
        <w:tc>
          <w:tcPr>
            <w:tcW w:w="1277" w:type="dxa"/>
            <w:tcBorders/>
            <w:shd w:fill="FFFFFF" w:val="clear"/>
            <w:vAlign w:val="center"/>
          </w:tcPr>
          <w:p>
            <w:pPr>
              <w:pStyle w:val="TableContents"/>
              <w:bidi w:val="0"/>
              <w:spacing w:before="0" w:after="283"/>
              <w:jc w:val="right"/>
              <w:rPr/>
            </w:pPr>
            <w:r>
              <w:rPr/>
              <w:t>5,186,000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923" w:name="xdx_98A_eus-gaap--Revenues_c20250101__20"/>
            <w:bookmarkEnd w:id="923"/>
          </w:p>
        </w:tc>
        <w:tc>
          <w:tcPr>
            <w:tcW w:w="1239" w:type="dxa"/>
            <w:tcBorders/>
            <w:shd w:fill="FFFFFF" w:val="clear"/>
            <w:vAlign w:val="center"/>
          </w:tcPr>
          <w:p>
            <w:pPr>
              <w:pStyle w:val="TableContents"/>
              <w:bidi w:val="0"/>
              <w:spacing w:before="0" w:after="283"/>
              <w:jc w:val="right"/>
              <w:rPr/>
            </w:pPr>
            <w:r>
              <w:rPr/>
              <w:t>62,783,000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924" w:name="xdx_985_eus-gaap--Revenues_c20240101__20"/>
            <w:bookmarkEnd w:id="924"/>
          </w:p>
        </w:tc>
        <w:tc>
          <w:tcPr>
            <w:tcW w:w="1239" w:type="dxa"/>
            <w:tcBorders/>
            <w:shd w:fill="FFFFFF" w:val="clear"/>
            <w:vAlign w:val="center"/>
          </w:tcPr>
          <w:p>
            <w:pPr>
              <w:pStyle w:val="TableContents"/>
              <w:bidi w:val="0"/>
              <w:spacing w:before="0" w:after="283"/>
              <w:jc w:val="right"/>
              <w:rPr/>
            </w:pPr>
            <w:r>
              <w:rPr/>
              <w:t>12,099,000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925" w:name="xdx_987_eus-gaap--Revenues_c20250701__20"/>
            <w:bookmarkEnd w:id="925"/>
          </w:p>
        </w:tc>
        <w:tc>
          <w:tcPr>
            <w:tcW w:w="1277" w:type="dxa"/>
            <w:tcBorders/>
            <w:shd w:fill="CCEEFF" w:val="clear"/>
            <w:vAlign w:val="center"/>
          </w:tcPr>
          <w:p>
            <w:pPr>
              <w:pStyle w:val="TableContents"/>
              <w:bidi w:val="0"/>
              <w:spacing w:before="0" w:after="283"/>
              <w:jc w:val="right"/>
              <w:rPr/>
            </w:pPr>
            <w:r>
              <w:rPr/>
              <w:t>6,908,000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926" w:name="xdx_989_eus-gaap--Revenues_c20240701__20"/>
            <w:bookmarkEnd w:id="926"/>
          </w:p>
        </w:tc>
        <w:tc>
          <w:tcPr>
            <w:tcW w:w="1277" w:type="dxa"/>
            <w:tcBorders/>
            <w:shd w:fill="CCEEFF" w:val="clear"/>
            <w:vAlign w:val="center"/>
          </w:tcPr>
          <w:p>
            <w:pPr>
              <w:pStyle w:val="TableContents"/>
              <w:bidi w:val="0"/>
              <w:spacing w:before="0" w:after="283"/>
              <w:jc w:val="right"/>
              <w:rPr/>
            </w:pPr>
            <w:r>
              <w:rPr/>
              <w:t>10,256,000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927" w:name="xdx_984_eus-gaap--Revenues_c20250101__20"/>
            <w:bookmarkEnd w:id="927"/>
          </w:p>
        </w:tc>
        <w:tc>
          <w:tcPr>
            <w:tcW w:w="1239" w:type="dxa"/>
            <w:tcBorders/>
            <w:shd w:fill="CCEEFF" w:val="clear"/>
            <w:vAlign w:val="center"/>
          </w:tcPr>
          <w:p>
            <w:pPr>
              <w:pStyle w:val="TableContents"/>
              <w:bidi w:val="0"/>
              <w:spacing w:before="0" w:after="283"/>
              <w:jc w:val="right"/>
              <w:rPr/>
            </w:pPr>
            <w:r>
              <w:rPr/>
              <w:t>13,076,000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928" w:name="xdx_98E_eus-gaap--Revenues_c20240101__20"/>
            <w:bookmarkEnd w:id="928"/>
          </w:p>
        </w:tc>
        <w:tc>
          <w:tcPr>
            <w:tcW w:w="1239" w:type="dxa"/>
            <w:tcBorders/>
            <w:shd w:fill="CCEEFF" w:val="clear"/>
            <w:vAlign w:val="center"/>
          </w:tcPr>
          <w:p>
            <w:pPr>
              <w:pStyle w:val="TableContents"/>
              <w:bidi w:val="0"/>
              <w:spacing w:before="0" w:after="283"/>
              <w:jc w:val="right"/>
              <w:rPr/>
            </w:pPr>
            <w:r>
              <w:rPr/>
              <w:t>30,808,000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9" w:name="xdx_98E_eus-gaap--Revenues_c20250701__20"/>
            <w:bookmarkEnd w:id="929"/>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141,000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0" w:name="xdx_986_eus-gaap--Revenues_c20240701__20"/>
            <w:bookmarkEnd w:id="930"/>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1" w:name="xdx_982_eus-gaap--Revenues_c20250101__20"/>
            <w:bookmarkEnd w:id="931"/>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312,000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2" w:name="xdx_981_eus-gaap--Revenues_c20240101__20"/>
            <w:bookmarkEnd w:id="932"/>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375,000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933" w:name="xdx_982_eus-gaap--Revenues_c20250701__20"/>
            <w:bookmarkEnd w:id="933"/>
          </w:p>
        </w:tc>
        <w:tc>
          <w:tcPr>
            <w:tcW w:w="1277" w:type="dxa"/>
            <w:tcBorders/>
            <w:shd w:fill="CCEEFF" w:val="clear"/>
            <w:vAlign w:val="center"/>
          </w:tcPr>
          <w:p>
            <w:pPr>
              <w:pStyle w:val="TableContents"/>
              <w:bidi w:val="0"/>
              <w:spacing w:before="0" w:after="283"/>
              <w:jc w:val="right"/>
              <w:rPr/>
            </w:pPr>
            <w:r>
              <w:rPr/>
              <w:t>51,582,000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934" w:name="xdx_989_eus-gaap--Revenues_c20240701__20"/>
            <w:bookmarkEnd w:id="934"/>
          </w:p>
        </w:tc>
        <w:tc>
          <w:tcPr>
            <w:tcW w:w="1277" w:type="dxa"/>
            <w:tcBorders/>
            <w:shd w:fill="CCEEFF" w:val="clear"/>
            <w:vAlign w:val="center"/>
          </w:tcPr>
          <w:p>
            <w:pPr>
              <w:pStyle w:val="TableContents"/>
              <w:bidi w:val="0"/>
              <w:spacing w:before="0" w:after="283"/>
              <w:jc w:val="right"/>
              <w:rPr/>
            </w:pPr>
            <w:r>
              <w:rPr/>
              <w:t>28,552,000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935" w:name="xdx_98E_eus-gaap--Revenues_c20250101__20"/>
            <w:bookmarkEnd w:id="935"/>
          </w:p>
        </w:tc>
        <w:tc>
          <w:tcPr>
            <w:tcW w:w="1239" w:type="dxa"/>
            <w:tcBorders/>
            <w:shd w:fill="CCEEFF" w:val="clear"/>
            <w:vAlign w:val="center"/>
          </w:tcPr>
          <w:p>
            <w:pPr>
              <w:pStyle w:val="TableContents"/>
              <w:bidi w:val="0"/>
              <w:spacing w:before="0" w:after="283"/>
              <w:jc w:val="right"/>
              <w:rPr/>
            </w:pPr>
            <w:r>
              <w:rPr/>
              <w:t>121,636,000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936" w:name="xdx_983_eus-gaap--Revenues_c20240101__20"/>
            <w:bookmarkEnd w:id="936"/>
          </w:p>
        </w:tc>
        <w:tc>
          <w:tcPr>
            <w:tcW w:w="1239" w:type="dxa"/>
            <w:tcBorders/>
            <w:shd w:fill="CCEEFF" w:val="clear"/>
            <w:vAlign w:val="center"/>
          </w:tcPr>
          <w:p>
            <w:pPr>
              <w:pStyle w:val="TableContents"/>
              <w:bidi w:val="0"/>
              <w:spacing w:before="0" w:after="283"/>
              <w:jc w:val="right"/>
              <w:rPr/>
            </w:pPr>
            <w:r>
              <w:rPr/>
              <w:t>69,780,000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7" w:name="xdx_988_eus-gaap--Revenues_c20250701__20"/>
            <w:bookmarkEnd w:id="937"/>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20,056,000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8" w:name="xdx_983_eus-gaap--Revenues_c20240701__20"/>
            <w:bookmarkEnd w:id="938"/>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20,705,000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9" w:name="xdx_981_eus-gaap--Revenues_c20250101__20"/>
            <w:bookmarkEnd w:id="939"/>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61,575,000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40" w:name="xdx_981_eus-gaap--Revenues_c20240101__20"/>
            <w:bookmarkEnd w:id="940"/>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63,003,000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b/>
              </w:rPr>
            </w:pPr>
            <w:r>
              <w:rPr>
                <w:b/>
              </w:rPr>
              <w:t>Total revenues,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41" w:name="xdx_98F_eus-gaap--RevenueFromContractWit"/>
            <w:bookmarkEnd w:id="941"/>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71,638,000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42" w:name="xdx_984_eus-gaap--RevenueFromContractWit"/>
            <w:bookmarkEnd w:id="942"/>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49,257,000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43" w:name="xdx_987_eus-gaap--RevenueFromContractWit"/>
            <w:bookmarkEnd w:id="943"/>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183,211,000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44" w:name="xdx_98E_eus-gaap--RevenueFromContractWit"/>
            <w:bookmarkEnd w:id="944"/>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132,783,000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45" w:name="xdx_8AF_zdJGUM6iH1j8"/>
      <w:bookmarkEnd w:id="9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IHEEZO and VEVYE, no other products accounted for more than 10% of total revenues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and Supplier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all of the Company’s Branded sales are made to third-party distributors who sell the products to pharmacies and to the end-users. There were two customers who comprised more than </w:t>
      </w:r>
      <w:bookmarkStart w:id="946" w:name="xdx_90A_eus-gaap--ConcentrationRiskPerce"/>
      <w:bookmarkStart w:id="947" w:name="xdx_90E_eus-gaap--ConcentrationRiskPerce"/>
      <w:bookmarkEnd w:id="946"/>
      <w:bookmarkEnd w:id="947"/>
      <w:r>
        <w:rPr>
          <w:rFonts w:ascii="Times New Roman;Times;Serif" w:hAnsi="Times New Roman;Times;Serif"/>
          <w:b w:val="false"/>
          <w:i w:val="false"/>
          <w:caps w:val="false"/>
          <w:smallCaps w:val="false"/>
          <w:sz w:val="20"/>
        </w:rPr>
        <w:t xml:space="preserve">10% of the Company’s Branded revenues for the three and nine months ended September 30, 2025 and one customer who comprised more than </w:t>
      </w:r>
      <w:bookmarkStart w:id="948" w:name="xdx_905_eus-gaap--ConcentrationRiskPerce"/>
      <w:bookmarkStart w:id="949" w:name="xdx_904_eus-gaap--ConcentrationRiskPerce"/>
      <w:bookmarkEnd w:id="948"/>
      <w:bookmarkEnd w:id="949"/>
      <w:r>
        <w:rPr>
          <w:rFonts w:ascii="Times New Roman;Times;Serif" w:hAnsi="Times New Roman;Times;Serif"/>
          <w:b w:val="false"/>
          <w:i w:val="false"/>
          <w:caps w:val="false"/>
          <w:smallCaps w:val="false"/>
          <w:sz w:val="20"/>
        </w:rPr>
        <w:t xml:space="preserve">10% of the Company’s Branded revenues for the three and nine months ended September 30, 2024. There were no customers who comprised more than </w:t>
      </w:r>
      <w:bookmarkStart w:id="950" w:name="xdx_905_eus-gaap--ConcentrationRiskPerce"/>
      <w:bookmarkStart w:id="951" w:name="xdx_905_eus-gaap--ConcentrationRiskPerce"/>
      <w:bookmarkStart w:id="952" w:name="xdx_90C_eus-gaap--ConcentrationRiskPerce"/>
      <w:bookmarkStart w:id="953" w:name="xdx_90B_eus-gaap--ConcentrationRiskPerce"/>
      <w:bookmarkEnd w:id="950"/>
      <w:bookmarkEnd w:id="951"/>
      <w:bookmarkEnd w:id="952"/>
      <w:bookmarkEnd w:id="953"/>
      <w:r>
        <w:rPr>
          <w:rFonts w:ascii="Times New Roman;Times;Serif" w:hAnsi="Times New Roman;Times;Serif"/>
          <w:b w:val="false"/>
          <w:i w:val="false"/>
          <w:caps w:val="false"/>
          <w:smallCaps w:val="false"/>
          <w:sz w:val="20"/>
        </w:rPr>
        <w:t xml:space="preserve">10% of ImprimisRx revenues for the three and nine months ended September 30, 2025 and 2024. As of September 30, 2025 and December 31, 2024, accounts receivable from two customers accounted for </w:t>
      </w:r>
      <w:bookmarkStart w:id="954" w:name="xdx_906_eus-gaap--ConcentrationRiskPerce"/>
      <w:bookmarkEnd w:id="954"/>
      <w:r>
        <w:rPr>
          <w:rFonts w:ascii="Times New Roman;Times;Serif" w:hAnsi="Times New Roman;Times;Serif"/>
          <w:b w:val="false"/>
          <w:i w:val="false"/>
          <w:caps w:val="false"/>
          <w:smallCaps w:val="false"/>
          <w:sz w:val="20"/>
        </w:rPr>
        <w:t xml:space="preserve">82% and </w:t>
      </w:r>
      <w:bookmarkStart w:id="955" w:name="xdx_904_eus-gaap--ConcentrationRiskPerce"/>
      <w:bookmarkEnd w:id="955"/>
      <w:r>
        <w:rPr>
          <w:rFonts w:ascii="Times New Roman;Times;Serif" w:hAnsi="Times New Roman;Times;Serif"/>
          <w:b w:val="false"/>
          <w:i w:val="false"/>
          <w:caps w:val="false"/>
          <w:smallCaps w:val="false"/>
          <w:sz w:val="20"/>
        </w:rPr>
        <w:t>94%, respectively, of total consolidated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received its active pharmaceutical ingredients from three main suppliers during the three and nine months ended September 30, 2025 and 2024. These suppliers collectively accounted for </w:t>
      </w:r>
      <w:bookmarkStart w:id="956" w:name="xdx_902_eus-gaap--ConcentrationRiskPerce"/>
      <w:bookmarkEnd w:id="956"/>
      <w:r>
        <w:rPr>
          <w:rFonts w:ascii="Times New Roman;Times;Serif" w:hAnsi="Times New Roman;Times;Serif"/>
          <w:b w:val="false"/>
          <w:i w:val="false"/>
          <w:caps w:val="false"/>
          <w:smallCaps w:val="false"/>
          <w:sz w:val="20"/>
        </w:rPr>
        <w:t xml:space="preserve">38% and </w:t>
      </w:r>
      <w:bookmarkStart w:id="957" w:name="xdx_902_eus-gaap--ConcentrationRiskPerce"/>
      <w:bookmarkEnd w:id="957"/>
      <w:r>
        <w:rPr>
          <w:rFonts w:ascii="Times New Roman;Times;Serif" w:hAnsi="Times New Roman;Times;Serif"/>
          <w:b w:val="false"/>
          <w:i w:val="false"/>
          <w:caps w:val="false"/>
          <w:smallCaps w:val="false"/>
          <w:sz w:val="20"/>
        </w:rPr>
        <w:t xml:space="preserve">68% of active pharmaceutical ingredient purchases during the three and nine months ended September 30, 2025, respectively, and </w:t>
      </w:r>
      <w:bookmarkStart w:id="958" w:name="xdx_901_eus-gaap--ConcentrationRiskPerce"/>
      <w:bookmarkEnd w:id="958"/>
      <w:r>
        <w:rPr>
          <w:rFonts w:ascii="Times New Roman;Times;Serif" w:hAnsi="Times New Roman;Times;Serif"/>
          <w:b w:val="false"/>
          <w:i w:val="false"/>
          <w:caps w:val="false"/>
          <w:smallCaps w:val="false"/>
          <w:sz w:val="20"/>
        </w:rPr>
        <w:t xml:space="preserve">50% and </w:t>
      </w:r>
      <w:bookmarkStart w:id="959" w:name="xdx_909_eus-gaap--ConcentrationRiskPerce"/>
      <w:bookmarkEnd w:id="959"/>
      <w:r>
        <w:rPr>
          <w:rFonts w:ascii="Times New Roman;Times;Serif" w:hAnsi="Times New Roman;Times;Serif"/>
          <w:b w:val="false"/>
          <w:i w:val="false"/>
          <w:caps w:val="false"/>
          <w:smallCaps w:val="false"/>
          <w:sz w:val="20"/>
        </w:rPr>
        <w:t>51% during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60" w:name="xdx_800_eus-gaap--SubsequentEventsTextBl"/>
      <w:bookmarkEnd w:id="960"/>
      <w:r>
        <w:rPr>
          <w:rFonts w:ascii="Times New Roman;Times;Serif" w:hAnsi="Times New Roman;Times;Serif"/>
          <w:b/>
          <w:i w:val="false"/>
          <w:caps w:val="false"/>
          <w:smallCaps w:val="false"/>
          <w:sz w:val="20"/>
        </w:rPr>
        <w:t xml:space="preserve">NOTE 15. </w:t>
      </w:r>
      <w:bookmarkStart w:id="961" w:name="xdx_820_z2XNEFsJMrD3"/>
      <w:bookmarkEnd w:id="96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an evaluation of events occurring subsequent to September 30, 2025 through the filing date of this Quarterly Report on Form 10-Q. Based on its evaluation, no events other than those described below need to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Company issued </w:t>
      </w:r>
      <w:bookmarkStart w:id="962" w:name="xdx_90F_eus-gaap--StockIssuedDuringPerio"/>
      <w:bookmarkEnd w:id="962"/>
      <w:r>
        <w:rPr>
          <w:rFonts w:ascii="Times New Roman;Times;Serif" w:hAnsi="Times New Roman;Times;Serif"/>
          <w:b w:val="false"/>
          <w:i w:val="false"/>
          <w:caps w:val="false"/>
          <w:smallCaps w:val="false"/>
          <w:sz w:val="20"/>
        </w:rPr>
        <w:t>1,658 shares of common stock and received proceeds of $</w:t>
      </w:r>
      <w:bookmarkStart w:id="963" w:name="xdx_909_eus-gaap--ProceedsFromStockOptio"/>
      <w:bookmarkEnd w:id="963"/>
      <w:r>
        <w:rPr>
          <w:rFonts w:ascii="Times New Roman;Times;Serif" w:hAnsi="Times New Roman;Times;Serif"/>
          <w:b w:val="false"/>
          <w:i w:val="false"/>
          <w:caps w:val="false"/>
          <w:smallCaps w:val="false"/>
          <w:sz w:val="20"/>
        </w:rPr>
        <w:t xml:space="preserve">20,000 upon the exercise of options to purchase </w:t>
      </w:r>
      <w:bookmarkStart w:id="964" w:name="xdx_90C_eus-gaap--StockIssuedDuringPerio"/>
      <w:bookmarkEnd w:id="964"/>
      <w:r>
        <w:rPr>
          <w:rFonts w:ascii="Times New Roman;Times;Serif" w:hAnsi="Times New Roman;Times;Serif"/>
          <w:b w:val="false"/>
          <w:i w:val="false"/>
          <w:caps w:val="false"/>
          <w:smallCaps w:val="false"/>
          <w:sz w:val="20"/>
        </w:rPr>
        <w:t>1,658 shares of common stock with exercise prices between $</w:t>
      </w:r>
      <w:bookmarkStart w:id="965" w:name="xdx_904_eus-gaap--ShareBasedCompensation"/>
      <w:bookmarkEnd w:id="965"/>
      <w:r>
        <w:rPr>
          <w:rFonts w:ascii="Times New Roman;Times;Serif" w:hAnsi="Times New Roman;Times;Serif"/>
          <w:b w:val="false"/>
          <w:i w:val="false"/>
          <w:caps w:val="false"/>
          <w:smallCaps w:val="false"/>
          <w:sz w:val="20"/>
        </w:rPr>
        <w:t>7.60 and $</w:t>
      </w:r>
      <w:bookmarkStart w:id="966" w:name="xdx_908_eus-gaap--ShareBasedCompensation"/>
      <w:bookmarkEnd w:id="966"/>
      <w:r>
        <w:rPr>
          <w:rFonts w:ascii="Times New Roman;Times;Serif" w:hAnsi="Times New Roman;Times;Serif"/>
          <w:b w:val="false"/>
          <w:i w:val="false"/>
          <w:caps w:val="false"/>
          <w:smallCaps w:val="false"/>
          <w:sz w:val="20"/>
        </w:rPr>
        <w:t>21.12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Company issued </w:t>
      </w:r>
      <w:bookmarkStart w:id="967" w:name="xdx_90D_eus-gaap--StockIssuedDuringPerio"/>
      <w:bookmarkEnd w:id="967"/>
      <w:r>
        <w:rPr>
          <w:rFonts w:ascii="Times New Roman;Times;Serif" w:hAnsi="Times New Roman;Times;Serif"/>
          <w:b w:val="false"/>
          <w:i w:val="false"/>
          <w:caps w:val="false"/>
          <w:smallCaps w:val="false"/>
          <w:sz w:val="20"/>
        </w:rPr>
        <w:t xml:space="preserve">1,546 shares of its common stock underlying RSUs held by employees of the Company, net of an aggregate of </w:t>
      </w:r>
      <w:bookmarkStart w:id="968" w:name="xdx_904_eus-gaap--StockIssuedDuringPerio"/>
      <w:bookmarkEnd w:id="968"/>
      <w:r>
        <w:rPr>
          <w:rFonts w:ascii="Times New Roman;Times;Serif" w:hAnsi="Times New Roman;Times;Serif"/>
          <w:b w:val="false"/>
          <w:i w:val="false"/>
          <w:caps w:val="false"/>
          <w:smallCaps w:val="false"/>
          <w:sz w:val="20"/>
        </w:rPr>
        <w:t>704 shares of the Company’s common stock were withheld from issuance by the Company for payroll tax obligations totaling $</w:t>
      </w:r>
      <w:bookmarkStart w:id="969" w:name="xdx_90A_eus-gaap--PaymentsRelatedToTaxWi"/>
      <w:bookmarkEnd w:id="969"/>
      <w:r>
        <w:rPr>
          <w:rFonts w:ascii="Times New Roman;Times;Serif" w:hAnsi="Times New Roman;Times;Serif"/>
          <w:b w:val="false"/>
          <w:i w:val="false"/>
          <w:caps w:val="false"/>
          <w:smallCaps w:val="false"/>
          <w:sz w:val="20"/>
        </w:rPr>
        <w:t>28,000.</w:t>
      </w:r>
    </w:p>
    <w:p>
      <w:pPr>
        <w:pStyle w:val="TextBody"/>
        <w:bidi w:val="0"/>
        <w:spacing w:before="0" w:after="0"/>
        <w:ind w:left="0" w:right="0" w:hanging="0"/>
        <w:jc w:val="both"/>
        <w:rPr>
          <w:caps w:val="false"/>
          <w:smallCaps w:val="false"/>
        </w:rPr>
      </w:pPr>
      <w:bookmarkStart w:id="970" w:name="xdx_81C_zPcusnoaxqKe"/>
      <w:bookmarkEnd w:id="97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1" w:name="m_001"/>
      <w:bookmarkEnd w:id="97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2024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refinance and otherwise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the ongoing communications with the U.S. Food and Drug Administration relating to compliance and quality plans at our outsourcing facility in New Jersey;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are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primary factors affecting our performance are our ability to increase revenues of our branded pharmaceutical products, proprietary compounded formulations and certain non-proprietary products, grow and gain operating efficiencies in our operations, avoid or mitigate any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may require significant costs and other resources, which we may not have or be able to obtain from operations or other sources. See “Liquidity and Capital Resources”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developments in 2025 to date that are important to understand our financial condition and results of operations. See the notes to our unaudited condensed consolidated financial statements included in this Quarterly Report for additional information about each of these developments.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Third Revolving Credit Facility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a Credit Agreement (the “5/3 Revolver”) with Fifth Third Bank, National Association, as administrative agent for itself and the other lenders (collectively, “Fifth Third”) providing for a senior secured revolving credit facility in the initial principal amount of $40,000,000, together with an uncommitted incremental revolving line of credit in the principal amount of up to $20,000,000. The 5/3 Revolver will mature on September 26, 2030, or, if earlier, the date that is 91 days prior to the earliest maturity date of the Company’s 2030 Notes (as defined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5/3 Revolver bear interest at a floating rate equal to, at the Company’s option, either (i) a base rate plus a margin ranging from 0.25% to 0.75%, or (ii) a Secured Overnight Financing Rate (“SOFR”) based rate plus a margin ranging from 1.25% to 1.75%. In addition, an unused fee of 0.25% per annum is payable monthly in arrears based on the undrawn portion of the commitments in respect of the 5/3 Revolver. Borrowings under the 5/3 Revolver are secured by a first priority lien in substantially all of the present and future property and assets, real and personal, of the Company, subject to customary exceptions.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5/3 Revolver, we are subject to certain customary affirmative and negative covenants. In addition, the 5/3 Revolver contains certain financial covenants requiring the Company to maintain, on a consolidated basis as of the last day of each month, a fixed charge coverage ratio of at least 1.10 to 1.0.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Harrow Access for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announced Harrow Access For All (“HAFA”) to expand our proprietary patient access model from a single product to encompass Harrow’s comprehensive ophthalmic portfolio of branded, authorized generics (AGx), and compounded ophthalmic medications. Beginning in late 2025 and expanding into 2027, HAFA will provide a single, unified access point for prescribers and patients, offering affordability, streamlined prescribing, and predictable access. The platform creates a simpler, more predictable path to treatment—supporting better outcomes for patients and greater efficiency for physicians.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Acquisition of Remaining Interests in Melt Pharmaceuticals, Inc.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entered into an Agreement and Plan of Merger (the “Merger Agreement”) by and among us, Harrow Acquisition Sub, Inc., a wholly owned subsidiary of Harrow, Melt Pharmaceuticals, Inc. (“Melt”), and D. Brad Osborne, as stockholder representative. Under the terms of the Merger Agreement and related milestone payment agreement, the Company agreed to acquire the remaining equity interests of Melt in exchange for an initial cash payment of approximately $4,300,000 at closing, and contingent consideration consisting of cash and Company equity upon achievement of (i) U.S. Food and Drug Administration (“FDA”) approval of the MELT-300 product candidate, (ii) coding and reimbursement of the MELT-300 product candidate, and (iii) various one-time sales milestones,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FDA approval of MELT-300, the Company shall pay an aggregate amount in cash of approximately $87,200,000.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pass-through status awarded and J-Code (or any other similar designation) issued by the Center for Medicare &amp; Medicaid Services for MELT-300 the Company shall issue an aggregate of approximately 1,112,000 shares of the Company’s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achievement of various annual net sales milestones ranging from $100,000,000 to $1,000,000,000 per year, the Company shall make one-time cash payments that in the aggregate may total up to approximately $261,000,000 if all annual net sales milestones are achieved.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and commercial milestones must be achieved, if at all, on or before December 31,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includes representations and warranties and covenants of the parties customary for such a transaction. Until the earlier of the termination of the Merger Agreement and the effective time of the acquisition, Melt has agreed to operate its business in the ordinary course and has agreed to certain other operating covenants. In addition, Melt has agreed to use reasonable best efforts to obtain approval of the Merger Agreement and the transactions contemplated thereby by the requisite Melt stockholders needed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this acquisition has not yet occurred and is subject to certain customary closing conditions, including the approval of the requisite stockholders of Melt, the continued accuracy of representations and warranties and performance of covenants, and the absence of any material adverse effect. We expect to close this acquisition before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8.625% Senior Notes Due 2030 and Payoff of Prior Debt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closed a private offering of $250,000,000, aggregate principal amount of 8.625% senior notes due 2030 (the “2030 Notes”). The 2030 Notes offering resulted in net proceeds to us of approximately $242,794,000 after deducting underwriting discounts and commissions and other offering expenses of $7,206,000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2030 Notes are senior unsecured obligations and are effectively subordinated to any of our secured indebtedness to the extent of the value of the assets securing such indebtedness. The 2030 Notes are guaranteed on a senior unsecured basis by us, subject to certain exceptions. The 2030 Notes bear interest at the rate of 8.625% per annum. Interest on the 2030 Notes is payable semi-annually in arrears on March 15, and September 15 of each year. The issuance costs were recorded as a debt discount and are being amortized as interest expense over the term of the 2030 Notes using the effective interest rate method.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the net proceeds from the 2030 Notes offering to prepay all then outstanding senior debt borrowings, exit costs, and accrued interest including $107,500,000 in total principal loan amount borrowed under the Credit Agreement and Guaranty (the “Oaktree Loan”) with Oaktree Fund Administration, LLC, as administrative agent for the lenders (together, “Oaktree”), $75,000,000 in total principal amount senior notes due 2026 (the “2026 Notes), and $40,250,000 in total principal amount senior notes due 2027 (the “2027 Notes”). The 2026 Notes and 2027 Notes were listed on The Nasdaq Stock Market under the symbols “HROWL” and “HROWM”, respectively. The 2026 Notes were delisted on October 10, 2025 and the 2027 Notes were delisted on October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BYOOVIZ® and OPUVIZ</w:t>
      </w:r>
      <w:r>
        <w:rPr>
          <w:rFonts w:ascii="Times New Roman;Times;Serif" w:hAnsi="Times New Roman;Times;Serif"/>
          <w:b w:val="false"/>
          <w:i/>
          <w:caps w:val="false"/>
          <w:smallCaps w:val="false"/>
          <w:position w:val="7"/>
          <w:sz w:val="16"/>
          <w:sz w:val="20"/>
        </w:rPr>
        <w:t xml:space="preserve">TM </w:t>
      </w:r>
      <w:r>
        <w:rPr>
          <w:rFonts w:ascii="Times New Roman;Times;Serif" w:hAnsi="Times New Roman;Times;Serif"/>
          <w:b w:val="false"/>
          <w:i/>
          <w:caps w:val="false"/>
          <w:smallCaps w:val="false"/>
          <w:sz w:val="20"/>
        </w:rPr>
        <w:t>– Commercialization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entered into a development and commercialization agreement (the “Samsung Agreement”) with Samsung Bioepis Co., Ltd. (“Samsung”). Under the terms of the Samsung Agreement, following completion of the transition of commercial rights from Biogen, Inc. back to Samsung, Samsung will develop, manufacture, and supply BYOOVIZ (ranibizumab-nuna) and OPUVIZ (aflibercept-yszy) (individually, a “Product” and together, the “Products”) for Harrow to commercialize in the U.S. market (the “Rights”). In consideration of such Rights, we will make a one-time upfront payment to Samsung, and Samsung will be eligible to receive additional one-time payments based on the achievement of net sales-based milestones of the Products. In addition to other mutually agreed terms, we shall pay to Samsung a share of net sales from the Products generated in the U.S. market.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Commercial Rights to BYQLOVI</w:t>
      </w:r>
      <w:r>
        <w:rPr>
          <w:rFonts w:ascii="Times New Roman;Times;Serif" w:hAnsi="Times New Roman;Times;Serif"/>
          <w:b w:val="false"/>
          <w:i/>
          <w:caps w:val="false"/>
          <w:smallCaps w:val="false"/>
          <w:position w:val="7"/>
          <w:sz w:val="16"/>
          <w:sz w:val="20"/>
        </w:rPr>
        <w:t>TM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announced a licensing agreement whereby we acquired the exclusive U.S. commercial rights to BYQLOVI (clobetasol propionate ophthalmic suspension) 0.05% from Taiwan-based Formosa Pharmaceuticals. BYQLOVI was recently approved by the FDA for the treatment of post-operative inflammation and pain following ocular surgery and is the first new ophthalmic steroid in its class in over 15 years. Harrow expects BYQLOVI to be available in the fourth quarter of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VEVYE® Access for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announced a patient access program called VEVYE Access for All. The program is designed to increase patient access to VEVYE at an out-of-pocket cost of $59 or below and, in many cases, reduce the need for prior authorizations, step edits, and other treatment obstacles facing dry eye patients and their prescribers.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Beagle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we initiated a 360-degree review of opportunities to offer ImprimisRx customers a Harrow-owned FDA-approved product alternative to a compounded formulation. We call this initiative Project Beagle. In that vein, we began implementing a continuity of care program to transition approximately 25,000 ImprimisRx patients from our Klarity-C (0.1% cyclosporine) compounded formulation to VEVYE (0.1% cyclosporine), and we discontinued compounding Klarity-C on June 30, 2025. We also discontinued another related compounded formulation called Klarity PF. Klarity PF was primarily purchased by a concentrated group of customers who have accepted our FRESHKOTE product as an alternative. We continue to review opportunities to reduce the size of our compounded formulary, improve and simplify our compounding capabilities, and transition other ImprimisRx customers from compounded formulations to Harrow’s FDA-approved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period-to-period comparisons of our financial results for the three and nine months ended September 30, 2025 and 2024 are not necessarily indicative of results for any future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revenues for the three and nine months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5"/>
        <w:gridCol w:w="60"/>
        <w:gridCol w:w="140"/>
        <w:gridCol w:w="1100"/>
        <w:gridCol w:w="60"/>
        <w:gridCol w:w="60"/>
        <w:gridCol w:w="140"/>
        <w:gridCol w:w="1100"/>
        <w:gridCol w:w="60"/>
        <w:gridCol w:w="60"/>
        <w:gridCol w:w="140"/>
        <w:gridCol w:w="1100"/>
        <w:gridCol w:w="95"/>
        <w:gridCol w:w="60"/>
        <w:gridCol w:w="140"/>
        <w:gridCol w:w="1220"/>
        <w:gridCol w:w="60"/>
        <w:gridCol w:w="60"/>
        <w:gridCol w:w="140"/>
        <w:gridCol w:w="1220"/>
        <w:gridCol w:w="60"/>
        <w:gridCol w:w="60"/>
        <w:gridCol w:w="140"/>
        <w:gridCol w:w="1175"/>
        <w:gridCol w:w="110"/>
      </w:tblGrid>
      <w:tr>
        <w:trPr/>
        <w:tc>
          <w:tcPr>
            <w:tcW w:w="1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vAlign w:val="center"/>
          </w:tcPr>
          <w:p>
            <w:pPr>
              <w:pStyle w:val="TableContents"/>
              <w:bidi w:val="0"/>
              <w:spacing w:before="0" w:after="283"/>
              <w:jc w:val="center"/>
              <w:rPr>
                <w:b/>
              </w:rPr>
            </w:pPr>
            <w:r>
              <w:rPr>
                <w:b/>
              </w:rPr>
              <w:t xml:space="preserve">For the </w:t>
              <w:b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vAlign w:val="center"/>
          </w:tcPr>
          <w:p>
            <w:pPr>
              <w:pStyle w:val="TableContents"/>
              <w:bidi w:val="0"/>
              <w:spacing w:before="0" w:after="283"/>
              <w:jc w:val="center"/>
              <w:rPr>
                <w:b/>
              </w:rPr>
            </w:pPr>
            <w:r>
              <w:rPr>
                <w:b/>
              </w:rPr>
              <w:t>For the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1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110" w:type="dxa"/>
            <w:tcBorders/>
            <w:vAlign w:val="center"/>
          </w:tcPr>
          <w:p>
            <w:pPr>
              <w:pStyle w:val="TableContents"/>
              <w:bidi w:val="0"/>
              <w:spacing w:before="0" w:after="283"/>
              <w:jc w:val="left"/>
              <w:rPr/>
            </w:pPr>
            <w:r>
              <w:rPr/>
              <w:t> </w:t>
            </w:r>
          </w:p>
        </w:tc>
      </w:tr>
      <w:tr>
        <w:trPr/>
        <w:tc>
          <w:tcPr>
            <w:tcW w:w="1645"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21,907,000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12,882,000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9,025,000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45,465,000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26,498,000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18,967,000</w:t>
            </w:r>
          </w:p>
        </w:tc>
        <w:tc>
          <w:tcPr>
            <w:tcW w:w="110" w:type="dxa"/>
            <w:tcBorders/>
            <w:shd w:fill="CCEEFF" w:val="clear"/>
            <w:vAlign w:val="center"/>
          </w:tcPr>
          <w:p>
            <w:pPr>
              <w:pStyle w:val="TableContents"/>
              <w:bidi w:val="0"/>
              <w:spacing w:before="0" w:after="283"/>
              <w:jc w:val="left"/>
              <w:rPr/>
            </w:pPr>
            <w:r>
              <w:rPr/>
              <w:t> </w:t>
            </w:r>
          </w:p>
        </w:tc>
      </w:tr>
      <w:tr>
        <w:trPr/>
        <w:tc>
          <w:tcPr>
            <w:tcW w:w="1645"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22,626,000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5,186,000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62,783,000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12,099,000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50,684,000</w:t>
            </w:r>
          </w:p>
        </w:tc>
        <w:tc>
          <w:tcPr>
            <w:tcW w:w="110" w:type="dxa"/>
            <w:tcBorders/>
            <w:shd w:fill="FFFFFF" w:val="clear"/>
            <w:vAlign w:val="center"/>
          </w:tcPr>
          <w:p>
            <w:pPr>
              <w:pStyle w:val="TableContents"/>
              <w:bidi w:val="0"/>
              <w:spacing w:before="0" w:after="283"/>
              <w:jc w:val="left"/>
              <w:rPr/>
            </w:pPr>
            <w:r>
              <w:rPr/>
              <w:t> </w:t>
            </w:r>
          </w:p>
        </w:tc>
      </w:tr>
      <w:tr>
        <w:trPr/>
        <w:tc>
          <w:tcPr>
            <w:tcW w:w="1645" w:type="dxa"/>
            <w:tcBorders/>
            <w:shd w:fill="CCEEFF" w:val="clear"/>
            <w:vAlign w:val="center"/>
          </w:tcPr>
          <w:p>
            <w:pPr>
              <w:pStyle w:val="TableContents"/>
              <w:bidi w:val="0"/>
              <w:spacing w:before="0" w:after="283"/>
              <w:jc w:val="left"/>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6,908,000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13,076,000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30,808,000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(17,732,000</w:t>
            </w:r>
          </w:p>
        </w:tc>
        <w:tc>
          <w:tcPr>
            <w:tcW w:w="110" w:type="dxa"/>
            <w:tcBorders/>
            <w:shd w:fill="CCEEFF" w:val="clear"/>
            <w:vAlign w:val="center"/>
          </w:tcPr>
          <w:p>
            <w:pPr>
              <w:pStyle w:val="TableContents"/>
              <w:bidi w:val="0"/>
              <w:spacing w:before="0" w:after="283"/>
              <w:jc w:val="left"/>
              <w:rPr/>
            </w:pPr>
            <w:r>
              <w:rPr/>
              <w:t>)</w:t>
            </w:r>
          </w:p>
        </w:tc>
      </w:tr>
      <w:tr>
        <w:trPr/>
        <w:tc>
          <w:tcPr>
            <w:tcW w:w="1645"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(63,000</w:t>
            </w:r>
          </w:p>
        </w:tc>
        <w:tc>
          <w:tcPr>
            <w:tcW w:w="110" w:type="dxa"/>
            <w:tcBorders/>
            <w:shd w:fill="FFFFFF" w:val="clear"/>
            <w:vAlign w:val="center"/>
          </w:tcPr>
          <w:p>
            <w:pPr>
              <w:pStyle w:val="TableContents"/>
              <w:bidi w:val="0"/>
              <w:spacing w:before="0" w:after="283"/>
              <w:jc w:val="left"/>
              <w:rPr/>
            </w:pPr>
            <w:r>
              <w:rPr/>
              <w:t>)</w:t>
            </w:r>
          </w:p>
        </w:tc>
      </w:tr>
      <w:tr>
        <w:trPr/>
        <w:tc>
          <w:tcPr>
            <w:tcW w:w="1645" w:type="dxa"/>
            <w:tcBorders/>
            <w:shd w:fill="CCEEFF" w:val="clear"/>
            <w:vAlign w:val="center"/>
          </w:tcPr>
          <w:p>
            <w:pPr>
              <w:pStyle w:val="TableContents"/>
              <w:bidi w:val="0"/>
              <w:spacing w:before="0" w:after="283"/>
              <w:jc w:val="left"/>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51,582,000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28,552,000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121,636,000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69,780,000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51,856,000</w:t>
            </w:r>
          </w:p>
        </w:tc>
        <w:tc>
          <w:tcPr>
            <w:tcW w:w="110" w:type="dxa"/>
            <w:tcBorders/>
            <w:shd w:fill="CCEEFF" w:val="clear"/>
            <w:vAlign w:val="center"/>
          </w:tcPr>
          <w:p>
            <w:pPr>
              <w:pStyle w:val="TableContents"/>
              <w:bidi w:val="0"/>
              <w:spacing w:before="0" w:after="283"/>
              <w:jc w:val="left"/>
              <w:rPr/>
            </w:pPr>
            <w:r>
              <w:rPr/>
              <w:t> </w:t>
            </w:r>
          </w:p>
        </w:tc>
      </w:tr>
      <w:tr>
        <w:trPr/>
        <w:tc>
          <w:tcPr>
            <w:tcW w:w="1645" w:type="dxa"/>
            <w:tcBorders/>
            <w:shd w:fill="FFFFFF" w:val="clear"/>
            <w:vAlign w:val="center"/>
          </w:tcPr>
          <w:p>
            <w:pPr>
              <w:pStyle w:val="TableContents"/>
              <w:bidi w:val="0"/>
              <w:spacing w:before="0" w:after="283"/>
              <w:jc w:val="left"/>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20,056,000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20,705,000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(649,000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61,575,000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63,003,000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(1,428,000</w:t>
            </w:r>
          </w:p>
        </w:tc>
        <w:tc>
          <w:tcPr>
            <w:tcW w:w="110" w:type="dxa"/>
            <w:tcBorders/>
            <w:shd w:fill="FFFFFF" w:val="clear"/>
            <w:vAlign w:val="center"/>
          </w:tcPr>
          <w:p>
            <w:pPr>
              <w:pStyle w:val="TableContents"/>
              <w:bidi w:val="0"/>
              <w:spacing w:before="0" w:after="283"/>
              <w:jc w:val="left"/>
              <w:rPr/>
            </w:pPr>
            <w:r>
              <w:rPr/>
              <w:t>)</w:t>
            </w:r>
          </w:p>
        </w:tc>
      </w:tr>
      <w:tr>
        <w:trPr/>
        <w:tc>
          <w:tcPr>
            <w:tcW w:w="1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5" w:type="dxa"/>
            <w:tcBorders/>
            <w:shd w:fill="FFFFFF" w:val="clear"/>
            <w:vAlign w:val="center"/>
          </w:tcPr>
          <w:p>
            <w:pPr>
              <w:pStyle w:val="TableContents"/>
              <w:bidi w:val="0"/>
              <w:spacing w:before="0" w:after="283"/>
              <w:jc w:val="left"/>
              <w:rPr>
                <w:b/>
              </w:rPr>
            </w:pPr>
            <w:r>
              <w:rPr>
                <w:b/>
              </w:rPr>
              <w:t>Total revenues,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49,257,000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22,381,000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183,211,000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132,783,000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50,428,000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between periods was related to an increase in sales and units sold of IHEEZO and VEVYE during the three and nine months ended September 30, 2025 compared to the prior year periods.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 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rights, and other 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Branded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0"/>
        <w:gridCol w:w="60"/>
        <w:gridCol w:w="140"/>
        <w:gridCol w:w="1100"/>
        <w:gridCol w:w="215"/>
        <w:gridCol w:w="60"/>
        <w:gridCol w:w="140"/>
        <w:gridCol w:w="1100"/>
        <w:gridCol w:w="215"/>
        <w:gridCol w:w="60"/>
        <w:gridCol w:w="140"/>
        <w:gridCol w:w="1100"/>
        <w:gridCol w:w="215"/>
        <w:gridCol w:w="60"/>
        <w:gridCol w:w="140"/>
        <w:gridCol w:w="1100"/>
        <w:gridCol w:w="215"/>
        <w:gridCol w:w="60"/>
        <w:gridCol w:w="140"/>
        <w:gridCol w:w="1100"/>
        <w:gridCol w:w="215"/>
        <w:gridCol w:w="60"/>
        <w:gridCol w:w="140"/>
        <w:gridCol w:w="1100"/>
        <w:gridCol w:w="23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3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9,491,000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5,169,000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4,322,000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26,406,000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14,406,000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12,000,000</w:t>
            </w:r>
          </w:p>
        </w:tc>
        <w:tc>
          <w:tcPr>
            <w:tcW w:w="23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42,091,000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23,383,000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18,708,000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95,230,000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55,374,000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39,856,000</w:t>
            </w:r>
          </w:p>
        </w:tc>
        <w:tc>
          <w:tcPr>
            <w:tcW w:w="23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Branded cost of sales was primarily attributable to an increase in units sold during the three and nine months ended September 30, 2025 compared to the prior year periods and an increase in our fixed expenses. The decrease in Branded gross margin between the three and nine months ended September 30, 2025 and 2024 was primarily attributable to an increase in our fixed expenses, in particular, acquired product rights amortizations related to the launch of TRIESENCE and a related contingent milestone payment that was capitalized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ImprimisRx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60"/>
        <w:gridCol w:w="140"/>
        <w:gridCol w:w="1100"/>
        <w:gridCol w:w="215"/>
        <w:gridCol w:w="60"/>
        <w:gridCol w:w="140"/>
        <w:gridCol w:w="1100"/>
        <w:gridCol w:w="215"/>
        <w:gridCol w:w="60"/>
        <w:gridCol w:w="140"/>
        <w:gridCol w:w="1055"/>
        <w:gridCol w:w="215"/>
        <w:gridCol w:w="60"/>
        <w:gridCol w:w="140"/>
        <w:gridCol w:w="1100"/>
        <w:gridCol w:w="215"/>
        <w:gridCol w:w="60"/>
        <w:gridCol w:w="140"/>
        <w:gridCol w:w="1100"/>
        <w:gridCol w:w="215"/>
        <w:gridCol w:w="60"/>
        <w:gridCol w:w="140"/>
        <w:gridCol w:w="1055"/>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8,221,000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6,849,000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1,372,000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23,060,000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20,704,000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2,356,000</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11,835,000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13,856,000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(2,021,000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38,515,000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42,299,000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(3,784,000</w:t>
            </w:r>
          </w:p>
        </w:tc>
        <w:tc>
          <w:tcPr>
            <w:tcW w:w="230" w:type="dxa"/>
            <w:tcBorders/>
            <w:shd w:fill="FFFFFF" w:val="clear"/>
            <w:vAlign w:val="center"/>
          </w:tcPr>
          <w:p>
            <w:pPr>
              <w:pStyle w:val="TableContents"/>
              <w:bidi w:val="0"/>
              <w:spacing w:before="0" w:after="283"/>
              <w:jc w:val="left"/>
              <w:rPr/>
            </w:pPr>
            <w:r>
              <w:rPr/>
              <w:t>)</w:t>
            </w:r>
          </w:p>
        </w:tc>
      </w:tr>
      <w:tr>
        <w:trPr/>
        <w:tc>
          <w:tcPr>
            <w:tcW w:w="119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ImprimisRx costs of sales between the three and nine months ended September 30, 2025 and 2024 was primarily attributable to product mix that included more sales of lower gross margin products and sales discounts. ImprimisRx gross margin decreased during the 2025 periods compared to the prior year period due to the previously mentioned product mix as related well as one-time costs that impacted our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(“SG&amp;A”)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SG&amp;A expenses for the three and nine months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0"/>
        <w:gridCol w:w="60"/>
        <w:gridCol w:w="140"/>
        <w:gridCol w:w="1100"/>
        <w:gridCol w:w="60"/>
        <w:gridCol w:w="60"/>
        <w:gridCol w:w="140"/>
        <w:gridCol w:w="1100"/>
        <w:gridCol w:w="60"/>
        <w:gridCol w:w="60"/>
        <w:gridCol w:w="140"/>
        <w:gridCol w:w="980"/>
        <w:gridCol w:w="60"/>
        <w:gridCol w:w="60"/>
        <w:gridCol w:w="140"/>
        <w:gridCol w:w="1220"/>
        <w:gridCol w:w="60"/>
        <w:gridCol w:w="60"/>
        <w:gridCol w:w="140"/>
        <w:gridCol w:w="1100"/>
        <w:gridCol w:w="60"/>
        <w:gridCol w:w="60"/>
        <w:gridCol w:w="140"/>
        <w:gridCol w:w="1100"/>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vAlign w:val="center"/>
          </w:tcPr>
          <w:p>
            <w:pPr>
              <w:pStyle w:val="TableContents"/>
              <w:bidi w:val="0"/>
              <w:spacing w:before="0" w:after="283"/>
              <w:jc w:val="center"/>
              <w:rPr>
                <w:b/>
              </w:rPr>
            </w:pPr>
            <w:r>
              <w:rPr>
                <w:b/>
              </w:rPr>
              <w:t xml:space="preserve">For the </w:t>
              <w:b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vAlign w:val="center"/>
          </w:tcPr>
          <w:p>
            <w:pPr>
              <w:pStyle w:val="TableContents"/>
              <w:bidi w:val="0"/>
              <w:spacing w:before="0" w:after="283"/>
              <w:jc w:val="center"/>
              <w:rPr>
                <w:b/>
              </w:rPr>
            </w:pPr>
            <w:r>
              <w:rPr>
                <w:b/>
              </w:rPr>
              <w:t xml:space="preserve">For the </w:t>
              <w:br/>
              <w:t>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b/>
              </w:rPr>
            </w:pPr>
            <w:r>
              <w:rPr>
                <w:b/>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35,856,000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33,645,000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109,604,000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94,275,000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15,329,000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SG&amp;A expenses between the three-month periods was primarily attributable to the addition of new employees in sales, marketing and other departments to support current and expected growth, which when combined contributed to a $3,434,000 increase in SG&amp;A expenses between the periods. These increases were offset by a $1,223,000 decrease in stock-based compensation expense between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SG&amp;A expenses between the nine-month periods was primarily attributable to an increase in certain seasonal expenses, such as increased costs associated with our annual audit and a special project that totaled $3,629,000 during the nine months ended September 30, 2025. In addition, the increase in SG&amp;A expenses between periods was attributable to the addition of new employees in sales, marketing and other departments to support current and expected growth, which when combined contributed to a $15,933,000 increase in SG&amp;A expenses between the periods. These increases were offset by a $4,233,000 decrease in stock-based compensation expense between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research and development expenses for the three and nine months ended September 30, 2025 and 2024:</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0"/>
        <w:gridCol w:w="60"/>
        <w:gridCol w:w="140"/>
        <w:gridCol w:w="980"/>
        <w:gridCol w:w="60"/>
        <w:gridCol w:w="60"/>
        <w:gridCol w:w="140"/>
        <w:gridCol w:w="980"/>
        <w:gridCol w:w="60"/>
        <w:gridCol w:w="60"/>
        <w:gridCol w:w="140"/>
        <w:gridCol w:w="980"/>
        <w:gridCol w:w="60"/>
        <w:gridCol w:w="60"/>
        <w:gridCol w:w="140"/>
        <w:gridCol w:w="980"/>
        <w:gridCol w:w="60"/>
        <w:gridCol w:w="60"/>
        <w:gridCol w:w="140"/>
        <w:gridCol w:w="980"/>
        <w:gridCol w:w="60"/>
        <w:gridCol w:w="60"/>
        <w:gridCol w:w="140"/>
        <w:gridCol w:w="980"/>
        <w:gridCol w:w="75"/>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vAlign w:val="center"/>
          </w:tcPr>
          <w:p>
            <w:pPr>
              <w:pStyle w:val="TableContents"/>
              <w:bidi w:val="0"/>
              <w:spacing w:before="0" w:after="283"/>
              <w:jc w:val="center"/>
              <w:rPr>
                <w:b/>
              </w:rPr>
            </w:pPr>
            <w:r>
              <w:rPr>
                <w:b/>
              </w:rPr>
              <w:t xml:space="preserve">For the </w:t>
              <w:b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vAlign w:val="center"/>
          </w:tcPr>
          <w:p>
            <w:pPr>
              <w:pStyle w:val="TableContents"/>
              <w:bidi w:val="0"/>
              <w:spacing w:before="0" w:after="283"/>
              <w:jc w:val="center"/>
              <w:rPr>
                <w:b/>
              </w:rPr>
            </w:pPr>
            <w:r>
              <w:rPr>
                <w:b/>
              </w:rPr>
              <w:t xml:space="preserve">For the </w:t>
              <w:br/>
              <w:t>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b/>
              </w:rPr>
            </w:pP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9,217,000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7,475,000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1,742,000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R&amp;D expenses between the three and nine month periods was primarily attributable to increased development activity related to our branded product portfolio, new product candidate development efforts, and clinical and medical support.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$6,038,000 and $18,994,000 for the three and nine months ended September 30, 2025, respectively, compared to $5,525,000 and $16,411,000 for the same periods in 2024, respectively. The increase during the three and nine months ended September 30, 2025 compared to the same periods in 2024 was primarily the result of an increase in the outstanding principal amount of our 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Loss from Eton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2024, we recorded a loss of $0 and $3,171,000, respectively, related to the change in fair market value of common stock of Eton Pharmaceuticals, Inc. (“Eton”) at the time of its sale, including trading expenses and commissions of approximately $436,000. In April 2024, we sold all of our shares of Eton.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Early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2025 we recorded a loss on extinguishment of debt of $7,750,000, related to the payoff of the 2026 Notes and 2027 Notes along with the Oaktree Loan. There were no extinguishments of debt during the three and nine months ended September 30, 2024.</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on hand at September 30, 2025 was $74,290,000, compared to $47,247,000 at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we believe that cash and cash equivalents of $74,290,000 at September 30, 2025 will be sufficient to sustain our planned level of operations and capital expenditures for at least the next 12 months.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consider the sale of certain assets.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and potential future milestone payments.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Flow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detailed information about our net cash flows for the nine months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7820" w:type="dxa"/>
        <w:jc w:val="left"/>
        <w:tblInd w:w="0" w:type="dxa"/>
        <w:tblLayout w:type="fixed"/>
        <w:tblCellMar>
          <w:top w:w="0" w:type="dxa"/>
          <w:left w:w="0" w:type="dxa"/>
          <w:bottom w:w="0" w:type="dxa"/>
          <w:right w:w="0" w:type="dxa"/>
        </w:tblCellMar>
      </w:tblPr>
      <w:tblGrid>
        <w:gridCol w:w="5015"/>
        <w:gridCol w:w="60"/>
        <w:gridCol w:w="140"/>
        <w:gridCol w:w="1100"/>
        <w:gridCol w:w="95"/>
        <w:gridCol w:w="60"/>
        <w:gridCol w:w="140"/>
        <w:gridCol w:w="1100"/>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35,453,000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(4,423,000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4,396,000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(7,680,000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(1,457,000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27,043,000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(1,484,000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47,247,000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74,085,000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74,290,000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72,601,000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 during the nine months ended September 30, 2025 was $35,453,000 compared to $(4,423,000) during the same period in the prior year. The increase in net cash provided by operating activities between the periods was mainly attributed to a decrease of $38,225,000 in accounts receivable as a result of collections during the nine months ended September 30, 2025, compared to an increase in accounts receivable of $17,453,000 during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provided by investing activities during the nine months ended September 30, 2025 was $(730,000) compared to $4,396,000 during the same period in the prior year. Cash used in investing activities in 2025 was primarily related to equipment and software purchases. Cash provided by investing activities in 2024 was primarily related to the sale of our investment position in Eton.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during the nine months ended September 30, 2025 and 2024 was $(7,680,000) and $(1,457,000), respectively. Cash used in financing activities during the nine months ended September 30, 2025 was primarily due to repayment of debt and payment of payroll taxes upon vesting of stock compensation mostly offset by proceeds from issuance of new debt. Cash used in financing activities in 2024, was primarily related to payment of payroll taxes upon vesting of PSUs in exchange for shares withheld from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our principal sources of cash came from proceeds from our operating activities. We expect future cash needs to be provided by operating activities, but our forecasts may not be accurate, and our plans may change. We may also sell some of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completed the sale of the 2030 Notes in a private offering and received net proceeds of $242,794,000. We used the net proceeds from the 2030 Notes to prepay all outstanding borrowings under the Oaktree Loan, the 2027 Notes, and the 2026 Notes, and to pay certain exit costs related thereto. The remaining funds will be used for general corporate purposes, which may include funding future strategic business development opportunities and related investments. We also entered into the 5/3 Revolver with Fifth Third in September 2025, which provided the Company with a secured revolving credit facility of $40,000,000, with an additional $20,000,000 of uncommitted incremental revolving line of credit. We have not drawn down any amounts under the 5/3 Revolver.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new products, product candidates and/or businesses and, as a result, we may need significant additional capital to support our business plan and fund our proposed business operations.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Ratings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8, 2025, Moody’s Investors Service assigned a Long-Term Corporate Family Rating of B3 to Harrow, Inc. and affirmed a Stable outlook. As of October 9, 2025, Fitch Ratings assigned a Long-Term Issuer Default Rating of B- (Outlook Stable) to Harrow, Inc., and a rating of B to our senior unsecured notes due September 2030. Credit ratings are subject to revision or withdrawal at any time by the issuing agencies and should not be construed as a recommendation to purchase, hold or sell securities or as a guarantee of our future performance. To the best of our knowledge, there have been no further changes to these ratings as of the date of this filing. Any downgrade in our corporate or senior unsecured debt rating may increase our cost of borrowing and may negatively impact our ability to raise additional debt capital.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condensed consolidated financial statements included in this Quarterly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2" w:name="m_002"/>
      <w:bookmarkEnd w:id="97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related to changes in interest rates on our cash and cash equivalents. The 2030 Notes issued in September 2025 are at a fixed coupon of 8.625% and do not expose us to interest rate risk. We do not utilize derivative financial instruments or other market risk-sensitive instruments to manage our exposure to interest rate changes. Borrowings made through the 5/3 Revolver, which is based on the SOFR plus an interest rate spread, will be exposed to interest rate risk; however, we currently have no borrowings against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interest rate risk related to our cash and cash equivalents is not material as our risk is that interest rates fall. Based on the current interest rates, we do not have a significant downside risk of a drop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3" w:name="m_003"/>
      <w:bookmarkEnd w:id="973"/>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2025. Based on this evaluation, our principal executive officer and principal financial officer have concluded that our disclosure controls and procedures were effective to achieve their stated purpose as of September 2025, the end of the period covered by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(as defined in Rule 13a-15(f) under the Exchange Act) during the quarter ended September 30, 2025, that has materially affected, or is reasonably likely to materially affect, our internal control over financial reporting.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74" w:name="m_004"/>
      <w:bookmarkEnd w:id="974"/>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5" w:name="m_005"/>
      <w:bookmarkEnd w:id="975"/>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13 to our unaudited condensed consolidated financial statements included in this Quarterly Report for information on various legal proceedings, which is incorporated into this Item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6" w:name="m_006"/>
      <w:bookmarkEnd w:id="976"/>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contained in this Quarterly Report you should consider the risk factors and the other information in our Annual Report on Form 10-K for the year ended December 31, 2024,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provide in supplemental form the material changes to our risk factors as previously disclosed in Part I, Item 1A, of our Annual Report on Form 10-K for the year ended December 31, 2024. Our risk factors disclosed in the Annual Report on Form 10-K provide additional disclosure for these supplemental risks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Disruptions at the FDA, CMS, the SEC, and other government agencies resulting from the U.S. government shutdown and reported staffing reductions could adversely affect our operations, regulatory interactions, and access to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prolonged or repeated shutdown of the U.S. federal government, or other significant disruptions to the operations of federal agencies, could adversely affect our business, financial condition, and results of operations. The U.S. government shutdown that began on October 1, 2025 has caused many federal agencies to scale back operations and furlough portions of their workforce. Certain agencies that are important to our business, including the U.S. Department of Health and Human Services (“HHS”) and its operating divisions such as the Centers for Medicare &amp; Medicaid Services (“CMS”) and the FDA, and the SEC, may experience resource constraints or temporary delays in certain activities as a result of the shutdown or related funding limitations. Any such disruptions could delay the FDA’s review and processing of submissions, the CMS’s issuance of reimbursement guidance, or the SEC’s review of our filings, which could in turn affect our ability to develop, market, and sell our products or raise capital in a timely manner.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reports of staffing and budget reductions at HHS and its agencies earlier in 2025 have created further uncertainty regarding the federal government’s capacity to carry out regulatory and policy functions. In March 2025, the Secretary of HHS announced a departmental reorganization and reduction-in-force initiative that included workforce adjustments at the FDA and other HHS components. Although the precise scope and timing of these changes remain uncertain, further reductions in agency staffing or funding could limit the government’s ability to provide timely guidance, review regulatory submissions, or issue reimbursement decisions. Similarly, proposed future budget constraints for HHS could affect CMS’s ability to update coverage and payment policies, which may influence healthcare providers’ adoption of our products.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to the operations, priorities, or funding of these agencies—whether resulting from shutdowns, staffing reductions, or shifting policy directives—could cause additional delays or disruptions. If the FDA, CMS, or other agencies are unable to maintain adequate staffing or operational continuity, it could result in increased regulatory uncertainty, slower review and approval timelines, or reimbursement decisions that negatively affect utilization of our products by healthcare providers.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continued or future government shutdowns or funding freezes could negatively affect broader economic conditions, including volatility in the capital markets and reduced liquidity, which could make it more difficult for us to access capital or maintain adequate financing for our operations. If these disruptions persist or worsen, our business, financial condition, results of operations, and ability to execute our strategic plans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sell our proprietary formulations primarily through pharmaceutical compounding facilities we own, and our results of operations may be negatively impacted if such facilities do not comply with regulatory requirements or lose their licenses.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two Imprimis compounding facilities in New Jersey. We have developed “ImprimisRx” as a uniform brand for our compounding pharmaceutical business. As we have in the past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delays and increased costs in relation to expansion efforts;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satisfy applicable federal licensing, state board of pharmacy licensing and other requirements for any of our pharmacy businesses in a timely manner or at 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federal and state pharmacy regulations may restrict compounding operations or make them more costly;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achieve or maintain a sufficient physician and patient customer base to sustain our pharmacy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acceptance of compounding pharmacies generally may be curtailed or delayed;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enter into licensing or other arrangements with third-party pharmacies or outsourcing facilities when desired, on acceptable terms, or at all.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ImprimisRx subsidiary completed an in-person meeting with the FDA in October 2025 regarding its efforts to remediate certain deficiencies at its New Jersey site. At the FDA meeting, ImprimisRx presented, among other data, its safety record, which includes an adverse event (ADE) rate of approximately 2 per million units, which is meaningfully better than known ADE rates for FDA-approved products. FDA ultimately decided to allow ImprimisRx to continue with its remediation efforts on a voluntary basis. Additionally, Imprimis is currently subject to an administrative accusation by the California State Board of Pharmacy relating to certain alleged regulatory compliance matters. ImprimisRx is actively engaged in discussions with the California Board of Pharmacy regarding a resolution to the administrative action and the potential denial of ImprimisRx’s 503B out-of-state outsourcing facility renewal application. Although the loss of the California nonresident outsourcing facility pharmacy license would restrict sales and dispensing of our compounded products in that state and would reduce revenues from the affected state, we believe that, based on our current concentration of sales and geographic diversification, such loss would not be material to our consolidated statement of operations. Nevertheless, if additional states were to take similar actions, or if broader or longer-term restrictions were imposed, the cumulative effect could be material</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federal government could pursue enforcement actions against us to the extent we are unable to demonstrate compliance with cGMPs and other required regulations, the effects of which could be costly to us and could result in adverse consequences to our business.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2017, the FDA issued a MedWatch notification regarding a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was due to mislabeling by the underlying supplier and not of our own misdoing. We no longer compound curcumin emulsion products. Separately, in December 2017, we were issued a warning letter from the FDA alleging that, in its interpretation of our public communications, we had made false or misleading claims and omitted risk and side effect information regarding certain of our ophthalmology-focused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remained in communication with the FDA and took steps to address the items outlined in the FDA letter. The Company received another warning letter from the FDA in June 2022 related to our alleged marketing activities. We immediately responded to the warning letter and the FDA sent the Company notice in January 2023 that our corrective actions appear adequate. In June 2019, our New Jersey-based outsourcing facility (“NJOF”) was issued a warning letter related to an April 2017 inspection and our use of certain active pharmaceutical ingredients in our compounded medications. During September 2020 through January 2021, our New Jersey based outsourcing facility was inspected by the FDA (the “2020 Inspection”) and certain observations were made by the FDA in a Form 483. Five observations made during the 2020 Inspection were considered repeat observations from a 2017 FDA inspection. In addition, during the 2020 inspection, the FDA noted that we were compounding drugs for which there is no change that produces a clinical difference for an individual patient,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 Our pharmacy was inspected in August 2022 and received a Form 483 with several observations from the FDA. In May 2023, our pharmacy received a warning letter related to the inspection that occurred in August 2022. The warning letter indicated that our corrective actions from the inspection had appeared to be adequate; however, the FDA could not fully evaluate the adequacy of our actions because we did not include sufficient information or supporting documentation. As an example, we stated that smoke studies related to airflow in our laminar airflow hoods had been redone to satisfy FDA requirements, however, we did not provide the FDA with supporting documentation (such as smoke study protocol, updated detailed report and/or videos). We have responded to this warning letter and provided the FDA with additional information requested. From March 2024 through April 2024, NJOF was inspected by the FDA (the “2024 Inspection”), and the FDA issued a Form 483 with five observations. Since January 2025, we engaged in separate but related discussions with the federal government regarding the NJOF quality system and the 2024 Inspection. NJOF voluntarily recalled certain products and provided regular updates to the FDA regarding its remediation activities and other commitments, including Project Beagle. The government has notified us that these discussions are now closed. Future regulatory actions could increase scrutiny and could create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For other reasons, including, but not limited to, the following, physicians may be unwilling to prescribe or patients may be unwilling to use our compounded formulations: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These factors and any future regulatory action could continue to limit our production, and our ability to dispense and distribute our compounded products, which would negatively affect sales of our compounded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sales depend on coverage and reimbursement from government and commercial third-party payers, and pricing and reimbursement pressures have affected, and are likely to continue to affect, our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Further, pressures on healthcare budgets from the economic downturn and inflation continue and are likely to increase, across the markets we serve. Payers are increasingly focused on costs, which has resulted, and is expected to continue to result, in lower reimbursement rates for our products and/or narrower patient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to lower drug prices. These include provisions in the Inflation Reduction Act that enable the U.S. government to set prices for certain drugs in Medicare, redesign Medicare Part D benefits to shift a greater proportion of the costs to manufacturers and health plans and enable the U.S. government to impose penalties if drug prices are increased at a rate faster than inflation. Additional proposals focused on drug pricing continue to be debated, and additional executive orders or regulatory initiatives focused on drug pricing and competition are likely to be adopted and implemented in some form. It is unclear what policies will advance with respect to other drug pricing proposals, including international reference pricing or changes to healthcare regulations affecting pharmaceuticals. Further, state government activity has been dynamic, including certain states enacting new laws limiting drug reimbursement under state run Medicaid programs and prohibiting restrictions on 340B Program use. Such state laws could also eventually be adopted at the federal level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conditions may negatively affect us and may magnify certain risks that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performance have been, and may continue to be, affected by global economic conditions. The economic downturn resulting from the COVID-19 pandemic precipitated a global recession, which was followed by high rates of inflation and actions taken by financial regulators to raise interest rates. Instability in the financial system, tighter lending standards and higher interest rates have added stress that may create additional vulnerabilities in the global economy, the effects of which may be of an extended duration. Additionally, with higher interest rates, deficits (including those associated with the pandemic), and other fiscal pressures, governments may be unable to sustain their previously high levels of fiscal spending.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could lead to reduced demand for our products, which could have a material adverse effect on our product sales, business and results of operations. The cumulative effects of inflationary pressures, an uncertain trade environment with escalating and rapidly-changing tariffs, and the effects from the armed conflict in Ukraine (including the effects of the sanctions that were implemented in response to the conflict and the resulting impacts on the commodity market and supply chains) and the Middle East may also increase our operating expenses. Some of our operational costs, including the cost of energy, cost of goods, other materials, labor, distribution and our other operational costs are subject to market conditions and have been adversely affected by inflationary pressures.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U.S. trade policy—including the possible imposition of significant tariffs on pharmaceuticals and raw materials—could materially increase our costs, disrupt our supply chain, and impair our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public statements by U.S. policymakers contemplate phased tariff rates of up to 150% (or more) on imported finished drugs, active pharmaceutical ingredients (“APIs”), and key excipients. Although we manufacture a significant amount of our finished ophthalmic products in the United States, we rely on third-party suppliers, many of which source APIs, sterile bottles, dropper tips, and other critical components from non-U.S. jurisdictions. If one or more rounds of tariffs are enacted, we could experience: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input costs that we may be unable to pass through to customers under existing supply and reimbursement arrangements, compressing gross margins;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Customs delays or shortages if overseas suppliers elect to redirect shipments to non-U.S. customers to avoid tariff exposure;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Retaliatory measures by foreign governments that could hinder our ability to procure specialized equipment or to out-license our products abroad;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Working-capital pressure, as we may need to build additional safety stock or advance-pay duties before goods clear U.S. customs.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evaluating mitigation strategies—including dual-sourcing, qualifying U.S. or free-trade-area suppliers, and tariff-engineering options—there can be no assurance that these actions will be successful or fully offset potential cost increases. Material tariff-related cost inflation or supply disruptions could adversely affect our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7" w:name="m_007"/>
      <w:bookmarkEnd w:id="977"/>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the Company withheld shares of common stock to satisfy employee minimum statutory tax withholding obligations payable upon the vesting of restricted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14"/>
        <w:gridCol w:w="60"/>
        <w:gridCol w:w="206"/>
        <w:gridCol w:w="1937"/>
        <w:gridCol w:w="60"/>
        <w:gridCol w:w="60"/>
        <w:gridCol w:w="376"/>
        <w:gridCol w:w="1504"/>
        <w:gridCol w:w="60"/>
        <w:gridCol w:w="60"/>
        <w:gridCol w:w="191"/>
        <w:gridCol w:w="1265"/>
        <w:gridCol w:w="60"/>
        <w:gridCol w:w="60"/>
        <w:gridCol w:w="198"/>
        <w:gridCol w:w="1315"/>
        <w:gridCol w:w="79"/>
      </w:tblGrid>
      <w:tr>
        <w:trPr/>
        <w:tc>
          <w:tcPr>
            <w:tcW w:w="2714" w:type="dxa"/>
            <w:tcBorders>
              <w:bottom w:val="single" w:sz="8" w:space="0" w:color="000000"/>
            </w:tcBorders>
            <w:vAlign w:val="center"/>
          </w:tcPr>
          <w:p>
            <w:pPr>
              <w:pStyle w:val="TableContents"/>
              <w:bidi w:val="0"/>
              <w:spacing w:before="0" w:after="283"/>
              <w:jc w:val="center"/>
              <w:rPr>
                <w:b/>
              </w:rPr>
            </w:pPr>
            <w:r>
              <w:rPr>
                <w:b/>
              </w:rPr>
              <w:t>Period</w:t>
            </w:r>
          </w:p>
        </w:tc>
        <w:tc>
          <w:tcPr>
            <w:tcW w:w="60" w:type="dxa"/>
            <w:tcBorders/>
            <w:tcMar>
              <w:bottom w:w="0" w:type="dxa"/>
            </w:tcMar>
            <w:vAlign w:val="center"/>
          </w:tcPr>
          <w:p>
            <w:pPr>
              <w:pStyle w:val="TableContents"/>
              <w:bidi w:val="0"/>
              <w:spacing w:before="0" w:after="283"/>
              <w:jc w:val="center"/>
              <w:rPr/>
            </w:pPr>
            <w:r>
              <w:rPr/>
              <w:t> </w:t>
            </w:r>
          </w:p>
        </w:tc>
        <w:tc>
          <w:tcPr>
            <w:tcW w:w="2143" w:type="dxa"/>
            <w:gridSpan w:val="2"/>
            <w:tcBorders>
              <w:bottom w:val="single" w:sz="8" w:space="0" w:color="000000"/>
            </w:tcBorders>
            <w:vAlign w:val="center"/>
          </w:tcPr>
          <w:p>
            <w:pPr>
              <w:pStyle w:val="TableContents"/>
              <w:bidi w:val="0"/>
              <w:spacing w:before="0" w:after="283"/>
              <w:jc w:val="center"/>
              <w:rPr>
                <w:b/>
              </w:rPr>
            </w:pPr>
            <w:r>
              <w:rPr>
                <w:b/>
              </w:rPr>
              <w:t>Total Number of</w:t>
              <w:br/>
              <w:t>Shares Purchased (a)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80" w:type="dxa"/>
            <w:gridSpan w:val="2"/>
            <w:tcBorders>
              <w:bottom w:val="single" w:sz="8" w:space="0" w:color="000000"/>
            </w:tcBorders>
            <w:vAlign w:val="center"/>
          </w:tcPr>
          <w:p>
            <w:pPr>
              <w:pStyle w:val="TableContents"/>
              <w:bidi w:val="0"/>
              <w:spacing w:before="0" w:after="283"/>
              <w:jc w:val="center"/>
              <w:rPr>
                <w:b/>
              </w:rPr>
            </w:pPr>
            <w:r>
              <w:rPr>
                <w:b/>
              </w:rPr>
              <w:t>Weighted Average</w:t>
              <w:br/>
              <w:t>Grant Date Fair</w:t>
              <w:br/>
              <w:t>Value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56"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br/>
              <w:t>Purchased as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of Publicly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Announced Plans</w:t>
              <w:br/>
              <w:t>or Programs (b)</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3"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br/>
              <w:t>That May Yet Be</w:t>
              <w:br/>
              <w:t>Purchased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Programs (b)</w:t>
            </w:r>
          </w:p>
        </w:tc>
        <w:tc>
          <w:tcPr>
            <w:tcW w:w="79" w:type="dxa"/>
            <w:tcBorders/>
            <w:tcMar>
              <w:bottom w:w="0" w:type="dxa"/>
            </w:tcMar>
            <w:vAlign w:val="center"/>
          </w:tcPr>
          <w:p>
            <w:pPr>
              <w:pStyle w:val="TableContents"/>
              <w:bidi w:val="0"/>
              <w:spacing w:before="0" w:after="283"/>
              <w:jc w:val="center"/>
              <w:rPr/>
            </w:pPr>
            <w:r>
              <w:rPr/>
              <w:t> </w:t>
            </w:r>
          </w:p>
        </w:tc>
      </w:tr>
      <w:tr>
        <w:trPr/>
        <w:tc>
          <w:tcPr>
            <w:tcW w:w="2714" w:type="dxa"/>
            <w:tcBorders/>
            <w:shd w:fill="CCEEFF" w:val="clear"/>
            <w:tcMar>
              <w:bottom w:w="0" w:type="dxa"/>
            </w:tcMar>
            <w:vAlign w:val="center"/>
          </w:tcPr>
          <w:p>
            <w:pPr>
              <w:pStyle w:val="TableContents"/>
              <w:bidi w:val="0"/>
              <w:spacing w:before="0" w:after="283"/>
              <w:jc w:val="left"/>
              <w:rPr/>
            </w:pPr>
            <w:r>
              <w:rPr/>
              <w:t>July 1 – July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 </w:t>
            </w:r>
          </w:p>
        </w:tc>
        <w:tc>
          <w:tcPr>
            <w:tcW w:w="15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714" w:type="dxa"/>
            <w:tcBorders/>
            <w:shd w:fill="FFFFFF" w:val="clear"/>
            <w:tcMar>
              <w:bottom w:w="0" w:type="dxa"/>
            </w:tcMar>
            <w:vAlign w:val="center"/>
          </w:tcPr>
          <w:p>
            <w:pPr>
              <w:pStyle w:val="TableContents"/>
              <w:bidi w:val="0"/>
              <w:spacing w:before="0" w:after="283"/>
              <w:jc w:val="left"/>
              <w:rPr/>
            </w:pPr>
            <w:r>
              <w:rPr/>
              <w:t>August 1 – August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6" w:type="dxa"/>
            <w:tcBorders/>
            <w:shd w:fill="FFFFFF" w:val="clear"/>
            <w:tcMar>
              <w:bottom w:w="0" w:type="dxa"/>
            </w:tcMar>
            <w:vAlign w:val="center"/>
          </w:tcPr>
          <w:p>
            <w:pPr>
              <w:pStyle w:val="TableContents"/>
              <w:bidi w:val="0"/>
              <w:spacing w:before="0" w:after="283"/>
              <w:jc w:val="left"/>
              <w:rPr/>
            </w:pPr>
            <w:r>
              <w:rPr/>
              <w:t> </w:t>
            </w:r>
          </w:p>
        </w:tc>
        <w:tc>
          <w:tcPr>
            <w:tcW w:w="15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     </w:t>
            </w: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714" w:type="dxa"/>
            <w:tcBorders/>
            <w:shd w:fill="CCEEFF" w:val="clear"/>
            <w:tcMar>
              <w:bottom w:w="0" w:type="dxa"/>
            </w:tcMar>
            <w:vAlign w:val="center"/>
          </w:tcPr>
          <w:p>
            <w:pPr>
              <w:pStyle w:val="TableContents"/>
              <w:bidi w:val="0"/>
              <w:spacing w:before="0" w:after="283"/>
              <w:jc w:val="left"/>
              <w:rPr/>
            </w:pPr>
            <w:r>
              <w:rPr/>
              <w:t>September 1 – September 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1937" w:type="dxa"/>
            <w:tcBorders>
              <w:bottom w:val="single" w:sz="8" w:space="0" w:color="000000"/>
            </w:tcBorders>
            <w:shd w:fill="CCEEFF" w:val="clear"/>
            <w:vAlign w:val="center"/>
          </w:tcPr>
          <w:p>
            <w:pPr>
              <w:pStyle w:val="TableContents"/>
              <w:bidi w:val="0"/>
              <w:spacing w:before="0" w:after="283"/>
              <w:jc w:val="right"/>
              <w:rPr/>
            </w:pPr>
            <w:r>
              <w:rPr/>
              <w:t>4,262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w:t>
            </w:r>
          </w:p>
        </w:tc>
        <w:tc>
          <w:tcPr>
            <w:tcW w:w="1504" w:type="dxa"/>
            <w:tcBorders/>
            <w:shd w:fill="CCEEFF" w:val="clear"/>
            <w:tcMar>
              <w:bottom w:w="0" w:type="dxa"/>
            </w:tcMar>
            <w:vAlign w:val="center"/>
          </w:tcPr>
          <w:p>
            <w:pPr>
              <w:pStyle w:val="TableContents"/>
              <w:bidi w:val="0"/>
              <w:spacing w:before="0" w:after="283"/>
              <w:jc w:val="right"/>
              <w:rPr/>
            </w:pPr>
            <w:r>
              <w:rPr/>
              <w:t>39.46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single" w:sz="8" w:space="0" w:color="000000"/>
            </w:tcBorders>
            <w:shd w:fill="CCEEFF" w:val="clear"/>
            <w:vAlign w:val="center"/>
          </w:tcPr>
          <w:p>
            <w:pPr>
              <w:pStyle w:val="TableContents"/>
              <w:bidi w:val="0"/>
              <w:spacing w:before="0" w:after="283"/>
              <w:jc w:val="left"/>
              <w:rPr/>
            </w:pPr>
            <w:r>
              <w:rPr/>
              <w:t> </w:t>
            </w:r>
          </w:p>
        </w:tc>
        <w:tc>
          <w:tcPr>
            <w:tcW w:w="126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1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714"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vAlign w:val="center"/>
          </w:tcPr>
          <w:p>
            <w:pPr>
              <w:pStyle w:val="TableContents"/>
              <w:bidi w:val="0"/>
              <w:spacing w:before="0" w:after="283"/>
              <w:jc w:val="left"/>
              <w:rPr/>
            </w:pPr>
            <w:r>
              <w:rPr/>
              <w:t> </w:t>
            </w:r>
          </w:p>
        </w:tc>
        <w:tc>
          <w:tcPr>
            <w:tcW w:w="1937" w:type="dxa"/>
            <w:tcBorders>
              <w:bottom w:val="double" w:sz="6" w:space="0" w:color="000000"/>
            </w:tcBorders>
            <w:shd w:fill="FFFFFF" w:val="clear"/>
            <w:vAlign w:val="center"/>
          </w:tcPr>
          <w:p>
            <w:pPr>
              <w:pStyle w:val="TableContents"/>
              <w:bidi w:val="0"/>
              <w:spacing w:before="0" w:after="283"/>
              <w:jc w:val="right"/>
              <w:rPr/>
            </w:pPr>
            <w:r>
              <w:rPr/>
              <w:t>4,262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6" w:type="dxa"/>
            <w:tcBorders/>
            <w:shd w:fill="FFFFFF" w:val="clear"/>
            <w:tcMar>
              <w:bottom w:w="0" w:type="dxa"/>
            </w:tcMar>
            <w:vAlign w:val="center"/>
          </w:tcPr>
          <w:p>
            <w:pPr>
              <w:pStyle w:val="TableContents"/>
              <w:bidi w:val="0"/>
              <w:spacing w:before="0" w:after="283"/>
              <w:jc w:val="left"/>
              <w:rPr/>
            </w:pPr>
            <w:r>
              <w:rPr/>
              <w:t>$</w:t>
            </w:r>
          </w:p>
        </w:tc>
        <w:tc>
          <w:tcPr>
            <w:tcW w:w="1504" w:type="dxa"/>
            <w:tcBorders/>
            <w:shd w:fill="FFFFFF" w:val="clear"/>
            <w:tcMar>
              <w:bottom w:w="0" w:type="dxa"/>
            </w:tcMar>
            <w:vAlign w:val="center"/>
          </w:tcPr>
          <w:p>
            <w:pPr>
              <w:pStyle w:val="TableContents"/>
              <w:bidi w:val="0"/>
              <w:spacing w:before="0" w:after="283"/>
              <w:jc w:val="right"/>
              <w:rPr/>
            </w:pPr>
            <w:r>
              <w:rPr/>
              <w:t>39.46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vAlign w:val="center"/>
          </w:tcPr>
          <w:p>
            <w:pPr>
              <w:pStyle w:val="TableContents"/>
              <w:bidi w:val="0"/>
              <w:spacing w:before="0" w:after="283"/>
              <w:jc w:val="left"/>
              <w:rPr/>
            </w:pPr>
            <w:r>
              <w:rPr/>
              <w:t> </w:t>
            </w:r>
          </w:p>
        </w:tc>
        <w:tc>
          <w:tcPr>
            <w:tcW w:w="1265"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15"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withheld to satisfy the payment of tax obligations related to the vesting of restricted stock awards</w:t>
            </w:r>
          </w:p>
        </w:tc>
      </w:tr>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no publicly announced repurchase programs for shares of our common stock during the three months ended September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8" w:name="m_008"/>
      <w:bookmarkEnd w:id="978"/>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9" w:name="m_009"/>
      <w:bookmarkEnd w:id="97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0" w:name="m_010"/>
      <w:bookmarkEnd w:id="980"/>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certain of our executive officers and directors may enter into, amend or terminate written trading arrangements pursuant to Rule 10b5-1 of the Exchange Act or otherwise. During the nine months ended September 30, 2025, none of our directors or officers </w:t>
      </w:r>
      <w:bookmarkStart w:id="981" w:name="xdx_90D_eecd--NonRule10b51ArrAdoptedFlag"/>
      <w:bookmarkStart w:id="982" w:name="xdx_905_eecd--Rule10b51ArrAdoptedFlag_db"/>
      <w:bookmarkEnd w:id="981"/>
      <w:bookmarkEnd w:id="982"/>
      <w:r>
        <w:rPr>
          <w:rFonts w:ascii="Times New Roman;Times;Serif" w:hAnsi="Times New Roman;Times;Serif"/>
          <w:b w:val="false"/>
          <w:i w:val="false"/>
          <w:caps w:val="false"/>
          <w:smallCaps w:val="false"/>
          <w:sz w:val="20"/>
        </w:rPr>
        <w:t xml:space="preserve">adopted or </w:t>
      </w:r>
      <w:bookmarkStart w:id="983" w:name="xdx_90F_eecd--NonRule10b51ArrTrmntdFlag_"/>
      <w:bookmarkStart w:id="984" w:name="xdx_903_eecd--Rule10b51ArrTrmntdFlag_dbF"/>
      <w:bookmarkEnd w:id="983"/>
      <w:bookmarkEnd w:id="984"/>
      <w:r>
        <w:rPr>
          <w:rFonts w:ascii="Times New Roman;Times;Serif" w:hAnsi="Times New Roman;Times;Serif"/>
          <w:b w:val="false"/>
          <w:i w:val="false"/>
          <w:caps w:val="false"/>
          <w:smallCaps w:val="false"/>
          <w:sz w:val="20"/>
        </w:rPr>
        <w:t>terminated any Rule 10b5-1 trading arrangement or non-Rule 10b5-1 trading arrangement (as such terms are defined in Item 408 of Regulation 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5" w:name="m_011"/>
      <w:bookmarkEnd w:id="985"/>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1"/>
        <w:gridCol w:w="60"/>
        <w:gridCol w:w="9374"/>
      </w:tblGrid>
      <w:tr>
        <w:trPr/>
        <w:tc>
          <w:tcPr>
            <w:tcW w:w="77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dated September 24, 2025, by and among Harrow, Inc., Harrow Acquisition Sub, Inc., Melt Pharmaceuticals, Inc., and D. Brad Osborne, as stockholder representative (“Merger Agreement”) (incorporated herein by reference to Exhibit 2.1 to the Current Report on Form 8-K of Harrow, Inc. filed with the Securities and Exchange Commission on October 1, 2025).</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and Restated Certificate of Incorporation, as amended (incorporated herein by reference to Exhibit 3.1 to the Current Report on Form 8-K of Harrow, Inc. filed with the Securities and Exchange Commission on September 29, 2023).</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Amended and Restated Bylaws of Harrow, Inc., dated as of August 21, 2025 (incorporated herein by reference to Exhibit 3.1 to the Current Report on Form 8-K of Harrow, Inc. filed with the Securities and Exchange Commission on August 25, 2025).</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Indenture, dated September 12, 2025, by and among the Company, the guarantors named therein and U.S. Bank Trust Company, National Association, as trustee (incorporated herein by reference to Exhibit 4.1 to the Current Report on Form 8-K of Harrow, Inc. filed with the Securities and Exchange Commission on September 12, 2025).</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8.625% Senior Note due 2030 (included in Exhibit 4.1).</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Offer Letter Agreement, dated as of August 15, 2025, by and between the Company and Randall E. Pollard.</w:t>
              </w:r>
            </w:hyperlink>
            <w:r>
              <w:rPr>
                <w:rFonts w:ascii="Times New Roman;Times;Serif" w:hAnsi="Times New Roman;Times;Serif"/>
                <w:b w:val="false"/>
                <w:i w:val="false"/>
                <w:caps w:val="false"/>
                <w:smallCaps w:val="false"/>
                <w:sz w:val="20"/>
              </w:rPr>
              <w:t xml:space="preserve"> </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Purchase Agreement, dated September 8, 2025, by and among the Company, the guarantors named therein and BTIG, LLC, as representative of the several initial purchasers named therein (incorporated herein by reference to Exhibit 10.1 to the Current Report on Form 8-K of Harrow, Inc. filed with the Securities and Exchange Commission on September 12, 2025).</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Milestone Payment Agreement, dated September 24, 2025, by and between Harrow, Inc. and Melt Pharmaceuticals, Inc. (incorporated herein by reference to Exhibit 10.1 to the Current Report on Form 8-K of Harrow, Inc. filed with the Securities and Exchange Commission on October 1, 2025).</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Commitment Letter, dated September 5, 2025, by and between the Company and Fifth Third Bank, National Association.</w:t>
              </w:r>
            </w:hyperlink>
            <w:r>
              <w:rPr>
                <w:rFonts w:ascii="Times New Roman;Times;Serif" w:hAnsi="Times New Roman;Times;Serif"/>
                <w:b w:val="false"/>
                <w:i w:val="false"/>
                <w:caps w:val="false"/>
                <w:smallCaps w:val="false"/>
                <w:sz w:val="20"/>
              </w:rPr>
              <w:t xml:space="preserve"> </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w:anchor="ex10-5.htm">
              <w:r>
                <w:rPr>
                  <w:rStyle w:val="InternetLink"/>
                  <w:rFonts w:ascii="Times New Roman;Times;Serif" w:hAnsi="Times New Roman;Times;Serif"/>
                  <w:b w:val="false"/>
                  <w:i w:val="false"/>
                  <w:caps w:val="false"/>
                  <w:smallCaps w:val="false"/>
                  <w:sz w:val="20"/>
                </w:rPr>
                <w:t>Credit Agreement, dated as of September 26, 2025, by and among the Company, certain subsidiaries of the Company, as guarantors, the other lenders as may from time to time become parties thereunder, and Fifth Third Bank, National Association, as administrative agent for itself and the other lenders, the letter of credit issuer, the swing line lender, the sole lead arranger and the sole bookrunner.</w:t>
              </w:r>
            </w:hyperlink>
            <w:r>
              <w:rPr>
                <w:rFonts w:ascii="Times New Roman;Times;Serif" w:hAnsi="Times New Roman;Times;Serif"/>
                <w:b w:val="false"/>
                <w:i w:val="false"/>
                <w:caps w:val="false"/>
                <w:smallCaps w:val="false"/>
                <w:sz w:val="20"/>
              </w:rPr>
              <w:t xml:space="preserve"> </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Mark L. Baum, principal executive officer, pursuant to Rule 13a-14(a) or 15d-14(a) of the Securities and Exchange Act of 1934, as adopted pursuant to Section 302 of the Sarbanes- Oxley Act of 2002.</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officer, pursuant to Rule 13a-14(a) or 15d-14(a) of the Securities and Exchange Act of 1934, as adopted pursuant to Section 302 of the Sarbanes- Oxley Act of 2002.</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Andrew R. Boll, principal financial officer.</w:t>
              </w:r>
            </w:hyperlink>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7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71"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September 30, 2025, has been formatted in Inline XBRL.</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86" w:name="m_012"/>
      <w:bookmarkEnd w:id="986"/>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890" w:type="dxa"/>
        <w:jc w:val="left"/>
        <w:tblInd w:w="0" w:type="dxa"/>
        <w:tblLayout w:type="fixed"/>
        <w:tblCellMar>
          <w:top w:w="0" w:type="dxa"/>
          <w:left w:w="0" w:type="dxa"/>
          <w:bottom w:w="0" w:type="dxa"/>
          <w:right w:w="0" w:type="dxa"/>
        </w:tblCellMar>
      </w:tblPr>
      <w:tblGrid>
        <w:gridCol w:w="2225"/>
        <w:gridCol w:w="320"/>
        <w:gridCol w:w="5345"/>
      </w:tblGrid>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6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10,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320"/>
        <w:gridCol w:w="4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Randall E. Pollard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Randall E Pollard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Accounting Officer (Principal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center"/>
        <w:rPr>
          <w:caps w:val="false"/>
          <w:smallCaps w:val="false"/>
        </w:rPr>
      </w:pPr>
      <w:bookmarkStart w:id="987" w:name="ex10-1.htm"/>
      <w:bookmarkStart w:id="988" w:name="ksex101"/>
      <w:bookmarkEnd w:id="987"/>
      <w:bookmarkEnd w:id="98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1800"/>
        <w:gridCol w:w="60"/>
        <w:gridCol w:w="1775"/>
      </w:tblGrid>
      <w:tr>
        <w:trPr/>
        <w:tc>
          <w:tcPr>
            <w:tcW w:w="180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953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095375" cy="571500"/>
                          </a:xfrm>
                          <a:prstGeom prst="rect">
                            <a:avLst/>
                          </a:prstGeom>
                        </pic:spPr>
                      </pic:pic>
                    </a:graphicData>
                  </a:graphic>
                </wp:inline>
              </w:drawing>
            </w: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Burton Hills Blvd</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858.704.4040</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858.345.1745</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www.harrowinc.com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Randy: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extend the offer of employment (the “Offer Letter”) to you to serve as the Chief Accounting Officer at Harrow, Inc. (hereinafter, “Harrow”), reporting to Andrew Boll, President &amp; CFO. Your target start date will be September [1], 2025. Your annual compensation will be $400,000. This is a full-time, exempt-level position with an annual discretionary target bonus of 40% of your salary (the “Target Bonus Amount”), earned during the year, and paid at a time consistent with other bonus payments made to senior Harrow leadership (the “Day of Payment”). While no bonus payment (a “Bonus Payment”) is guaranteed, your potential annual discretionary Target Bonus Amount will be based on the achievement of targets agreed upon by you and Mr. Boll. You must be employed with Harrow on the Day of Payment to receive a Bonus Payment of the Target Bonus Amount. In addition, Harrow will cover up to $20,000 in relocation expenses. If you leave the company within a year, you will be responsible for reimbursing relocation funds paid out. Upon completing 12 months of service to Harrow as its Chief Accounting Officer, if Harrow terminates your employment without cause, Harrow will pay you 6 months of base compensation through the normal course of payroll schedule (the “Involuntary Severance Payment”).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the Compensation Committee of the Harrow Board of Directors, you will be granted a stock option to purchase 30,000 shares of Harrow common stock subject to the terms of Harrow’s equity incentive award plan. These options will have an exercise price per share equal to the fair market value of the Harrow common stock as of the date of grant (e.g., following Harrow Board of Directors approval), and shall vest over a four-year period, with 25% vesting on the one-year anniversary of its grant and in equal quarterly installments thereafter, subject to your continued service as further described in the stock option agreement.</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your performance, other reasonable metrics, and factors determined by the Board of Directors, you may become eligible for additional equity awards in the future. Harrow has an excellent benefits program, including comprehensive medical, dental, and vision plans. You will be eligible to participate in our medical, dental, and vision plans on the first of the month following the first day of employment. In addition, you will have a 20-day/160 hours personal time off (PTO) account, which accrues bi-weekly. You are eligible to participate in our 401(k) plan if you are 21 years of age or older and following six months of employment and 500 hours of work. In addition, you will be entitled to indemnification in accordance with Harrow’s policies and applicable law, and Harrow will include you in coverage under any applicable director and officer insurance policy maintained by Harrow for its executive officers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intend to accept the terms of this Offer Letter, please sign in the space indicated below, and return it to us no later than Aug 18, 2025. This Offer Letter sets forth our entire agreement and understanding regarding the terms of your employment with Harrow and supersedes all prior or contemporaneous agreements, understandings, negotiations, or representations, whether oral or written, expressed or implied, on this subject. This Offer Letter may not be modified or amended except by a specific, written agreement signed by you and an authorized representative of Harrow.</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1 of 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1800"/>
        <w:gridCol w:w="60"/>
        <w:gridCol w:w="1775"/>
      </w:tblGrid>
      <w:tr>
        <w:trPr/>
        <w:tc>
          <w:tcPr>
            <w:tcW w:w="180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9537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095375" cy="571500"/>
                          </a:xfrm>
                          <a:prstGeom prst="rect">
                            <a:avLst/>
                          </a:prstGeom>
                        </pic:spPr>
                      </pic:pic>
                    </a:graphicData>
                  </a:graphic>
                </wp:inline>
              </w:drawing>
            </w: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Burton Hills Blvd</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858.704.4040</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858.345.1745</w:t>
            </w:r>
          </w:p>
          <w:p>
            <w:pPr>
              <w:pStyle w:val="TableContents"/>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www.harrowinc.com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offer and employment are contingent upon: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and abiding by the Company’s Confidentiality Agreement, Arbitration Agreement, and the Proprietary Information and Inventions Assignment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must establish your identity and authorization to work as required by the Immigration Reform and Control Act of 1986 (IRCA); Please bring the appropriate original documentation on your first day of 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Successful completion of a routine background check by an outside agency.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passage of a drug screening test.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or certification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other company policies and procedures, including, but not limited to, our Employee Manual, Code of Business Conduct and Ethics, and Insider Trading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with Harrow will be at will. This means you may resign at any time and for any reason. Likewise, Harrow may terminate the employment relationship at any time, with or without cause or advanced notice. In addition, Harrow reserves the right to modify your position, duties, and/or reporting relationship to meet business needs and to use its discretion in deciding on appropriate discipline. Any change to the at-will employment relationship must be by a specific, written agreement, signed by you and Harrow.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your employment with Harrow will prove mutually rewarding.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Sincerely,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28" w:type="dxa"/>
          <w:right w:w="0" w:type="dxa"/>
        </w:tblCellMar>
      </w:tblPr>
      <w:tblGrid>
        <w:gridCol w:w="1415"/>
        <w:gridCol w:w="75"/>
      </w:tblGrid>
      <w:tr>
        <w:trPr/>
        <w:tc>
          <w:tcPr>
            <w:tcW w:w="14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Date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this agreement in its entirety and agree to the terms and conditions of employment described in these documents. I understand and agree that my employment with Harrow is at-will. Your employment relationship with Harrow will be subject to the terms and conditions of this Offer Letter.</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28" w:type="dxa"/>
          <w:right w:w="0" w:type="dxa"/>
        </w:tblCellMar>
      </w:tblPr>
      <w:tblGrid>
        <w:gridCol w:w="890"/>
        <w:gridCol w:w="60"/>
        <w:gridCol w:w="1475"/>
      </w:tblGrid>
      <w:tr>
        <w:trPr/>
        <w:tc>
          <w:tcPr>
            <w:tcW w:w="8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8/14/2025</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Randy Pollard</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Randy Pollard</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Page 2 of 2</w:t>
            </w:r>
          </w:p>
        </w:tc>
      </w:tr>
    </w:tbl>
    <w:p>
      <w:pPr>
        <w:pStyle w:val="TextBody"/>
        <w:bidi w:val="0"/>
        <w:spacing w:before="0" w:after="0"/>
        <w:ind w:left="0" w:right="0" w:hanging="0"/>
        <w:jc w:val="left"/>
        <w:rPr>
          <w:caps w:val="false"/>
          <w:smallCaps w:val="false"/>
        </w:rPr>
      </w:pPr>
      <w:bookmarkStart w:id="989" w:name="ex10-4.htm"/>
      <w:bookmarkStart w:id="990" w:name="ksex104"/>
      <w:bookmarkEnd w:id="989"/>
      <w:bookmarkEnd w:id="99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A&amp;B Draft</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9/5/2025</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800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2095500" cy="800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Burton Hills Blvd., Suite 200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Mr. Andrew Boll, President and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$40,000,000 Senior Secured Revolving Credit Facility</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advised Fifth Third Bank, National Association (“</w:t>
      </w:r>
      <w:r>
        <w:rPr>
          <w:rFonts w:ascii="Times New Roman;Times;Serif" w:hAnsi="Times New Roman;Times;Serif"/>
          <w:b w:val="false"/>
          <w:i w:val="false"/>
          <w:caps w:val="false"/>
          <w:smallCaps w:val="false"/>
          <w:sz w:val="20"/>
          <w:u w:val="single"/>
        </w:rPr>
        <w:t>Fifth Third</w:t>
      </w:r>
      <w:r>
        <w:rPr>
          <w:rFonts w:ascii="Times New Roman;Times;Serif" w:hAnsi="Times New Roman;Times;Serif"/>
          <w:b w:val="false"/>
          <w:i w:val="false"/>
          <w:caps w:val="false"/>
          <w:smallCaps w:val="false"/>
          <w:sz w:val="20"/>
        </w:rPr>
        <w:t>”) that you would like to obtain financing for Harrow,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for working capital and general corporate purposes, in each case, on the terms set forth in this letter, the Summary of Terms and Conditions of the Credit Facility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Term Sheet</w:t>
      </w:r>
      <w:r>
        <w:rPr>
          <w:rFonts w:ascii="Times New Roman;Times;Serif" w:hAnsi="Times New Roman;Times;Serif"/>
          <w:b w:val="false"/>
          <w:i w:val="false"/>
          <w:caps w:val="false"/>
          <w:smallCaps w:val="false"/>
          <w:sz w:val="20"/>
        </w:rPr>
        <w:t>”) and the Additional Terms and Conditions (together with this letter and the Term Sheet, collectively, this “</w:t>
      </w:r>
      <w:r>
        <w:rPr>
          <w:rFonts w:ascii="Times New Roman;Times;Serif" w:hAnsi="Times New Roman;Times;Serif"/>
          <w:b w:val="false"/>
          <w:i w:val="false"/>
          <w:caps w:val="false"/>
          <w:smallCaps w:val="false"/>
          <w:sz w:val="20"/>
          <w:u w:val="single"/>
        </w:rPr>
        <w:t>Commitment Letter</w:t>
      </w:r>
      <w:r>
        <w:rPr>
          <w:rFonts w:ascii="Times New Roman;Times;Serif" w:hAnsi="Times New Roman;Times;Serif"/>
          <w:b w:val="false"/>
          <w:i w:val="false"/>
          <w:caps w:val="false"/>
          <w:smallCaps w:val="false"/>
          <w:sz w:val="20"/>
        </w:rPr>
        <w:t>”), subject only to the satisfaction or waiver of the Closing Conditions (as defined in the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is pleased to advise you of its commitment to provide to the Borrower 100% of the principal amount of a $40,000,000 revolving credit facility on the terms set forth in this Commitment Letter, subject only to the satisfaction or waiver of the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commitment and other agreements hereunder will terminate at 12:01 a.m. Eastern time on the date that is 30 days after the date of this Commitment Letter, unless the Closing Date (as defined in the Term Sheet) has occurred on or before such date and time, and on the terms and subject to the conditions set forth in this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is in accordance with your understanding by signing and returning to Fifth Third a copy of this Commitment Letter, on or before 11:59 p.m. Eastern time on September 5, 2025, whereupon this Commitment Letter will become a binding agreement between Fifth Third and the Borrower. If not signed and returned as described in the immediately preceding sentence by such date, this offer will terminate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Commitment Letter may be executed in any number of counterparts, each of which when executed will be an original and all of which, when taken together, will constitute one agreement. Delivery of an executed counterpart of a signature page of this Commitment Letter by email or other electronic transmission will be as effective as delivery of a manually executed counterpart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working with you.</w:t>
      </w:r>
    </w:p>
    <w:p>
      <w:pPr>
        <w:pStyle w:val="TextBody"/>
        <w:bidi w:val="0"/>
        <w:spacing w:before="0" w:after="0"/>
        <w:ind w:left="0" w:right="0" w:firstLine="720"/>
        <w:jc w:val="both"/>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746"/>
        <w:gridCol w:w="30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THIRD, NATIONAL ASSOCIATION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caps w:val="false"/>
                <w:smallCaps w:val="false"/>
              </w:rPr>
            </w:pPr>
            <w:r>
              <w:rPr>
                <w:caps w:val="false"/>
                <w:smallCaps w:val="false"/>
              </w:rPr>
              <w:t> </w:t>
            </w:r>
          </w:p>
        </w:tc>
        <w:tc>
          <w:tcPr>
            <w:tcW w:w="30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Eileen Watkins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Eileen Watkins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Duly Authorized Signatory</w:t>
            </w:r>
          </w:p>
        </w:tc>
      </w:tr>
    </w:tbl>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 the date first written above:</w:t>
      </w:r>
    </w:p>
    <w:p>
      <w:pPr>
        <w:pStyle w:val="TextBody"/>
        <w:bidi w:val="0"/>
        <w:spacing w:before="0" w:after="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560"/>
        <w:gridCol w:w="1535"/>
        <w:gridCol w:w="75"/>
      </w:tblGrid>
      <w:tr>
        <w:trPr/>
        <w:tc>
          <w:tcPr>
            <w:tcW w:w="20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c>
          <w:tcPr>
            <w:tcW w:w="75" w:type="dxa"/>
            <w:tcBorders/>
            <w:vAlign w:val="center"/>
          </w:tcPr>
          <w:p>
            <w:pPr>
              <w:pStyle w:val="TableContents"/>
              <w:bidi w:val="0"/>
              <w:spacing w:before="0" w:after="283"/>
              <w:jc w:val="left"/>
              <w:rPr/>
            </w:pPr>
            <w:r>
              <w:rPr/>
              <w:t> </w:t>
            </w:r>
          </w:p>
        </w:tc>
      </w:tr>
      <w:tr>
        <w:trPr/>
        <w:tc>
          <w:tcPr>
            <w:tcW w:w="20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Boll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Boll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Terms and Conditions of the Credit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otherwise defined herein have the meanings set forth in the Commitment Letter to which this Term Sheet is attached (the “</w:t>
      </w:r>
      <w:r>
        <w:rPr>
          <w:rFonts w:ascii="Times New Roman;Times;Serif" w:hAnsi="Times New Roman;Times;Serif"/>
          <w:b w:val="false"/>
          <w:i w:val="false"/>
          <w:caps w:val="false"/>
          <w:smallCaps w:val="false"/>
          <w:sz w:val="20"/>
          <w:u w:val="single"/>
        </w:rPr>
        <w:t>Commitment Letter</w:t>
      </w:r>
      <w:r>
        <w:rPr>
          <w:rFonts w:ascii="Times New Roman;Times;Serif" w:hAnsi="Times New Roman;Times;Serif"/>
          <w:b w:val="false"/>
          <w:i w:val="false"/>
          <w:caps w:val="false"/>
          <w:smallCaps w:val="false"/>
          <w:sz w:val="20"/>
        </w:rPr>
        <w:t>”) and of which it forms a part.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4"/>
        <w:gridCol w:w="9041"/>
      </w:tblGrid>
      <w:tr>
        <w:trPr/>
        <w:tc>
          <w:tcPr>
            <w:tcW w:w="1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w:t>
            </w:r>
          </w:p>
        </w:tc>
        <w:tc>
          <w:tcPr>
            <w:tcW w:w="9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w:t>
            </w:r>
          </w:p>
        </w:tc>
        <w:tc>
          <w:tcPr>
            <w:tcW w:w="9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under the Credit Facility (as defined below) will be unconditionally guaranteed by each direct and indirect subsidiary of the Borrower, but excluding certain foreign subsidiaries and certain immaterial subsidiaries, in each case, consistent with the Documentation Principles (such non-excluded subsidiaries, each, a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and together with the Borrower, the “</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Notwithstanding the foregoing, no subsidiary of the Borrower other than a Guarantor shall own or hold an exclusive license with respect to any intellectual property that is material to the business of the Borrower and its subsidiaries, taken as a whole.</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tc>
        <w:tc>
          <w:tcPr>
            <w:tcW w:w="9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 (“</w:t>
            </w:r>
            <w:r>
              <w:rPr>
                <w:rFonts w:ascii="Times New Roman;Times;Serif" w:hAnsi="Times New Roman;Times;Serif"/>
                <w:b w:val="false"/>
                <w:i w:val="false"/>
                <w:caps w:val="false"/>
                <w:smallCaps w:val="false"/>
                <w:sz w:val="20"/>
                <w:u w:val="single"/>
              </w:rPr>
              <w:t>Fifth Third</w:t>
            </w:r>
            <w:r>
              <w:rPr>
                <w:rFonts w:ascii="Times New Roman;Times;Serif" w:hAnsi="Times New Roman;Times;Serif"/>
                <w:b w:val="false"/>
                <w:i w:val="false"/>
                <w:caps w:val="false"/>
                <w:smallCaps w:val="false"/>
                <w:sz w:val="20"/>
              </w:rPr>
              <w:t>” and in its capacity as the administrative agent and the collateral agent,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Initial Lenders</w:t>
            </w:r>
            <w:r>
              <w:rPr>
                <w:rFonts w:ascii="Times New Roman;Times;Serif" w:hAnsi="Times New Roman;Times;Serif"/>
                <w:b w:val="false"/>
                <w:i w:val="false"/>
                <w:caps w:val="false"/>
                <w:smallCaps w:val="false"/>
                <w:sz w:val="20"/>
              </w:rPr>
              <w:t>:</w:t>
            </w:r>
          </w:p>
        </w:tc>
        <w:tc>
          <w:tcPr>
            <w:tcW w:w="9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and such other lenders as may be agreed to in writing by Fifth Third and the Borrower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Credit Facility</w:t>
            </w:r>
            <w:r>
              <w:rPr>
                <w:rFonts w:ascii="Times New Roman;Times;Serif" w:hAnsi="Times New Roman;Times;Serif"/>
                <w:b w:val="false"/>
                <w:i w:val="false"/>
                <w:caps w:val="false"/>
                <w:smallCaps w:val="false"/>
                <w:sz w:val="20"/>
              </w:rPr>
              <w:t>:</w:t>
            </w:r>
          </w:p>
        </w:tc>
        <w:tc>
          <w:tcPr>
            <w:tcW w:w="9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credit facility (the “</w:t>
            </w:r>
            <w:r>
              <w:rPr>
                <w:rFonts w:ascii="Times New Roman;Times;Serif" w:hAnsi="Times New Roman;Times;Serif"/>
                <w:b w:val="false"/>
                <w:i w:val="false"/>
                <w:caps w:val="false"/>
                <w:smallCaps w:val="false"/>
                <w:sz w:val="20"/>
                <w:u w:val="single"/>
              </w:rPr>
              <w:t>Credit Facility</w:t>
            </w:r>
            <w:r>
              <w:rPr>
                <w:rFonts w:ascii="Times New Roman;Times;Serif" w:hAnsi="Times New Roman;Times;Serif"/>
                <w:b w:val="false"/>
                <w:i w:val="false"/>
                <w:caps w:val="false"/>
                <w:smallCaps w:val="false"/>
                <w:sz w:val="20"/>
              </w:rPr>
              <w:t>”) made pursuant to a credit agreement, notes, guarantees, security agreements and certain other documents, instruments, and agreements (collectively, the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and providing for a revolving loan facility in an aggregate principal amount not to exceed $40,000,000. Subject to the terms and conditions of the Loan Documents, amounts available under the Credit Facility may be borrowed, repaid and reborrowed after the Closing Date until the Maturity Date. For the avoidance of doubt, no revolving loans may be made (or letters of credit issued) until after the Closing Date.</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Borrowing Availability</w:t>
            </w:r>
            <w:r>
              <w:rPr>
                <w:rFonts w:ascii="Times New Roman;Times;Serif" w:hAnsi="Times New Roman;Times;Serif"/>
                <w:b w:val="false"/>
                <w:i w:val="false"/>
                <w:caps w:val="false"/>
                <w:smallCaps w:val="false"/>
                <w:sz w:val="20"/>
              </w:rPr>
              <w:t>:</w:t>
            </w:r>
          </w:p>
        </w:tc>
        <w:tc>
          <w:tcPr>
            <w:tcW w:w="904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under the Credit Facility will not exceed the lesser of (a) the revolving loan commitment of all Lenders as of such date, and (b) the Borrowing Base as of such date. [</w:t>
            </w:r>
            <w:r>
              <w:rPr>
                <w:rFonts w:ascii="Times New Roman;Times;Serif" w:hAnsi="Times New Roman;Times;Serif"/>
                <w:b/>
                <w:i w:val="false"/>
                <w:caps w:val="false"/>
                <w:smallCaps w:val="false"/>
                <w:sz w:val="20"/>
              </w:rPr>
              <w:t>NOTE: See Credit Agreement.</w:t>
            </w:r>
            <w:r>
              <w:rPr>
                <w:rFonts w:ascii="Times New Roman;Times;Serif" w:hAnsi="Times New Roman;Times;Serif"/>
                <w:b w:val="false"/>
                <w:i w:val="false"/>
                <w:caps w:val="false"/>
                <w:smallCaps w:val="false"/>
                <w:sz w:val="20"/>
              </w:rPr>
              <w:t>]</w:t>
            </w:r>
          </w:p>
        </w:tc>
      </w:tr>
      <w:tr>
        <w:trPr/>
        <w:tc>
          <w:tcPr>
            <w:tcW w:w="1164" w:type="dxa"/>
            <w:tcBorders/>
            <w:vAlign w:val="center"/>
          </w:tcPr>
          <w:p>
            <w:pPr>
              <w:pStyle w:val="TableContents"/>
              <w:bidi w:val="0"/>
              <w:spacing w:before="0" w:after="283"/>
              <w:jc w:val="left"/>
              <w:rPr>
                <w:caps w:val="false"/>
                <w:smallCaps w:val="false"/>
              </w:rPr>
            </w:pPr>
            <w:r>
              <w:rPr>
                <w:caps w:val="false"/>
                <w:smallCaps w:val="false"/>
              </w:rPr>
              <w:t> </w:t>
            </w:r>
          </w:p>
        </w:tc>
        <w:tc>
          <w:tcPr>
            <w:tcW w:w="90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Borrowing Base</w:t>
            </w:r>
            <w:r>
              <w:rPr>
                <w:rFonts w:ascii="Times New Roman;Times;Serif" w:hAnsi="Times New Roman;Times;Serif"/>
                <w:b w:val="false"/>
                <w:i w:val="false"/>
                <w:caps w:val="false"/>
                <w:smallCaps w:val="false"/>
                <w:sz w:val="20"/>
              </w:rPr>
              <w:t>:</w:t>
            </w:r>
          </w:p>
        </w:tc>
        <w:tc>
          <w:tcPr>
            <w:tcW w:w="9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of determination by the Agent, with respect to the Loan Parties, an amount equal to the following (such amount, the “</w:t>
            </w:r>
            <w:r>
              <w:rPr>
                <w:rFonts w:ascii="Times New Roman;Times;Serif" w:hAnsi="Times New Roman;Times;Serif"/>
                <w:b w:val="false"/>
                <w:i w:val="false"/>
                <w:caps w:val="false"/>
                <w:smallCaps w:val="false"/>
                <w:sz w:val="20"/>
                <w:u w:val="single"/>
              </w:rPr>
              <w:t>Borrowing Base</w:t>
            </w:r>
            <w:r>
              <w:rPr>
                <w:rFonts w:ascii="Times New Roman;Times;Serif" w:hAnsi="Times New Roman;Times;Serif"/>
                <w:b w:val="false"/>
                <w:i w:val="false"/>
                <w:caps w:val="false"/>
                <w:smallCaps w:val="false"/>
                <w:sz w:val="20"/>
              </w:rPr>
              <w:t>”):</w:t>
            </w:r>
          </w:p>
        </w:tc>
      </w:tr>
    </w:tbl>
    <w:p>
      <w:pPr>
        <w:pStyle w:val="TextBody"/>
        <w:bidi w:val="0"/>
        <w:spacing w:before="0" w:after="0"/>
        <w:ind w:left="3120" w:right="0" w:hanging="31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245"/>
        <w:gridCol w:w="5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90% of the eligible investment grade accounts as of such date, </w:t>
            </w:r>
            <w:r>
              <w:rPr>
                <w:rFonts w:ascii="Times New Roman;Times;Serif" w:hAnsi="Times New Roman;Times;Serif"/>
                <w:b w:val="false"/>
                <w:i w:val="false"/>
                <w:caps w:val="false"/>
                <w:smallCaps w:val="false"/>
                <w:sz w:val="20"/>
                <w:u w:val="single"/>
              </w:rPr>
              <w:t>plus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9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90% of eligible credit insured accounts as of such date, </w:t>
            </w:r>
            <w:r>
              <w:rPr>
                <w:rFonts w:ascii="Times New Roman;Times;Serif" w:hAnsi="Times New Roman;Times;Serif"/>
                <w:b w:val="false"/>
                <w:i w:val="false"/>
                <w:caps w:val="false"/>
                <w:smallCaps w:val="false"/>
                <w:sz w:val="20"/>
                <w:u w:val="single"/>
              </w:rPr>
              <w:t>plus</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120" w:after="283"/>
        <w:jc w:val="left"/>
        <w:rPr/>
      </w:pPr>
      <w:r>
        <w:rPr/>
        <w:t> </w:t>
      </w:r>
    </w:p>
    <w:p>
      <w:pPr>
        <w:pStyle w:val="TextBody"/>
        <w:bidi w:val="0"/>
        <w:spacing w:before="0" w:after="283"/>
        <w:jc w:val="left"/>
        <w:rPr/>
      </w:pPr>
      <w:r>
        <w:rPr/>
        <w:t> </w:t>
      </w:r>
    </w:p>
    <w:tbl>
      <w:tblPr>
        <w:tblW w:w="6775" w:type="dxa"/>
        <w:jc w:val="left"/>
        <w:tblInd w:w="0" w:type="dxa"/>
        <w:tblLayout w:type="fixed"/>
        <w:tblCellMar>
          <w:top w:w="0" w:type="dxa"/>
          <w:left w:w="0" w:type="dxa"/>
          <w:bottom w:w="0" w:type="dxa"/>
          <w:right w:w="0" w:type="dxa"/>
        </w:tblCellMar>
      </w:tblPr>
      <w:tblGrid>
        <w:gridCol w:w="75"/>
        <w:gridCol w:w="245"/>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85% of the eligible non-investment grade accounts as of such date, </w:t>
            </w:r>
            <w:r>
              <w:rPr>
                <w:rFonts w:ascii="Times New Roman;Times;Serif" w:hAnsi="Times New Roman;Times;Serif"/>
                <w:b w:val="false"/>
                <w:i w:val="false"/>
                <w:caps w:val="false"/>
                <w:smallCaps w:val="false"/>
                <w:sz w:val="20"/>
                <w:u w:val="single"/>
              </w:rPr>
              <w:t>minus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4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established by the Agent in its permitted discretion.</w:t>
            </w:r>
          </w:p>
        </w:tc>
      </w:tr>
    </w:tbl>
    <w:p>
      <w:pPr>
        <w:pStyle w:val="TextBody"/>
        <w:bidi w:val="0"/>
        <w:spacing w:before="0" w:after="0"/>
        <w:ind w:left="3465"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0"/>
        <w:gridCol w:w="9075"/>
      </w:tblGrid>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9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may, in its permitted discretion, reduce or otherwise adjust the advance rates set forth above, establish or otherwise adjust reserves or reduce or otherwise adjust one or more of the other elements used in computing the Borrowing Base, including, without limitation, standards of eligibility consistent with the Loan Documents, concentration limitations, aging and cross-aging limitations and contra deductions. Eligibility criteria for the Borrowing Base is to be defined in a manner consistent with the Documentation Principles.</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9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Incremental Facility</w:t>
            </w:r>
            <w:r>
              <w:rPr>
                <w:rFonts w:ascii="Times New Roman;Times;Serif" w:hAnsi="Times New Roman;Times;Serif"/>
                <w:b w:val="false"/>
                <w:i w:val="false"/>
                <w:caps w:val="false"/>
                <w:smallCaps w:val="false"/>
                <w:sz w:val="20"/>
              </w:rPr>
              <w:t>:</w:t>
            </w:r>
          </w:p>
        </w:tc>
        <w:tc>
          <w:tcPr>
            <w:tcW w:w="9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Documents shall include an uncommitted incremental revolving credit facility of up to $20,000,000, subject to terms and conditions satisfactory to the Agent.</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9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tc>
        <w:tc>
          <w:tcPr>
            <w:tcW w:w="9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available under the Credit Facility will be used for working capital and general corporate purposes of the Loan Parties.</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9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tc>
        <w:tc>
          <w:tcPr>
            <w:tcW w:w="9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shall close on the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on which the Closing Conditions (as defined below) shall have been satisfied or waived.</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9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w:t>
            </w:r>
          </w:p>
        </w:tc>
        <w:tc>
          <w:tcPr>
            <w:tcW w:w="9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earlier to occur of (a) the date that is 91 days prior to the earliest maturity date of the notes issued pursuant to the Notes Offering (as defined below) and (b) the fifth anniversary of the Closing Date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tc>
      </w:tr>
      <w:tr>
        <w:trPr/>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9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w:t>
            </w:r>
          </w:p>
        </w:tc>
        <w:tc>
          <w:tcPr>
            <w:tcW w:w="9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amounts outstanding under the Credit Facility will bear interest, at the Borrower’s option, at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set forth below under the caption “SOFR Spread” or “Base Rate Spread,” as applicable, based on the Average Excess Availability Percentage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Term SOFR or the base rate, as applicable:</w:t>
            </w:r>
          </w:p>
        </w:tc>
      </w:tr>
    </w:tbl>
    <w:p>
      <w:pPr>
        <w:pStyle w:val="TextBody"/>
        <w:bidi w:val="0"/>
        <w:spacing w:before="0" w:after="0"/>
        <w:ind w:left="3120" w:right="0" w:hanging="3120"/>
        <w:jc w:val="both"/>
        <w:rPr>
          <w:caps w:val="false"/>
          <w:smallCaps w:val="false"/>
        </w:rPr>
      </w:pPr>
      <w:r>
        <w:rPr>
          <w:caps w:val="false"/>
          <w:smallCaps w:val="false"/>
        </w:rPr>
        <w:t> </w:t>
      </w:r>
    </w:p>
    <w:tbl>
      <w:tblPr>
        <w:tblW w:w="7878" w:type="dxa"/>
        <w:jc w:val="left"/>
        <w:tblInd w:w="0" w:type="dxa"/>
        <w:tblLayout w:type="fixed"/>
        <w:tblCellMar>
          <w:top w:w="0" w:type="dxa"/>
          <w:left w:w="0" w:type="dxa"/>
          <w:bottom w:w="28" w:type="dxa"/>
          <w:right w:w="0" w:type="dxa"/>
        </w:tblCellMar>
      </w:tblPr>
      <w:tblGrid>
        <w:gridCol w:w="1925"/>
        <w:gridCol w:w="60"/>
        <w:gridCol w:w="60"/>
        <w:gridCol w:w="1760"/>
        <w:gridCol w:w="215"/>
        <w:gridCol w:w="60"/>
        <w:gridCol w:w="174"/>
        <w:gridCol w:w="1285"/>
        <w:gridCol w:w="215"/>
        <w:gridCol w:w="60"/>
        <w:gridCol w:w="218"/>
        <w:gridCol w:w="1616"/>
        <w:gridCol w:w="230"/>
      </w:tblGrid>
      <w:tr>
        <w:trPr/>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Pricing Grid Level</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Average Excess</w:t>
            </w:r>
          </w:p>
          <w:p>
            <w:pPr>
              <w:pStyle w:val="TableContents"/>
              <w:bidi w:val="0"/>
              <w:jc w:val="center"/>
              <w:rPr>
                <w:rFonts w:ascii="Times New Roman;Times;Serif" w:hAnsi="Times New Roman;Times;Serif"/>
                <w:b/>
                <w:sz w:val="20"/>
              </w:rPr>
            </w:pPr>
            <w:r>
              <w:rPr>
                <w:rFonts w:ascii="Times New Roman;Times;Serif" w:hAnsi="Times New Roman;Times;Serif"/>
                <w:b/>
                <w:sz w:val="20"/>
              </w:rPr>
              <w:t>Availability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SOFR Spread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Base Rate Spread</w:t>
            </w:r>
          </w:p>
        </w:tc>
        <w:tc>
          <w:tcPr>
            <w:tcW w:w="230"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&gt;66.66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&gt;33.33% and </w:t>
            </w:r>
            <w:r>
              <w:rPr>
                <w:rFonts w:ascii="Times New Roman;Times;Serif" w:hAnsi="Times New Roman;Times;Serif"/>
                <w:sz w:val="20"/>
                <w:u w:val="single"/>
              </w:rPr>
              <w:t>&lt;</w:t>
            </w:r>
            <w:r>
              <w:rPr>
                <w:rFonts w:ascii="Times New Roman;Times;Serif" w:hAnsi="Times New Roman;Times;Serif"/>
                <w:sz w:val="20"/>
              </w:rPr>
              <w:t xml:space="preserve"> 66.66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u w:val="single"/>
              </w:rPr>
              <w:t>&lt;</w:t>
            </w:r>
            <w:r>
              <w:rPr>
                <w:rFonts w:ascii="Times New Roman;Times;Serif" w:hAnsi="Times New Roman;Times;Serif"/>
                <w:sz w:val="20"/>
              </w:rPr>
              <w:t>33.33</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Excess Availability Percentage</w:t>
            </w:r>
            <w:r>
              <w:rPr>
                <w:rFonts w:ascii="Times New Roman;Times;Serif" w:hAnsi="Times New Roman;Times;Serif"/>
                <w:b w:val="false"/>
                <w:i w:val="false"/>
                <w:caps w:val="false"/>
                <w:smallCaps w:val="false"/>
                <w:sz w:val="20"/>
              </w:rPr>
              <w:t xml:space="preserve">” means, with respect to any period, the </w:t>
            </w:r>
            <w:r>
              <w:rPr>
                <w:rFonts w:ascii="Times New Roman;Times;Serif" w:hAnsi="Times New Roman;Times;Serif"/>
                <w:b w:val="false"/>
                <w:i w:val="false"/>
                <w:caps w:val="false"/>
                <w:smallCaps w:val="false"/>
                <w:sz w:val="20"/>
                <w:u w:val="single"/>
              </w:rPr>
              <w:t>quotient</w:t>
            </w:r>
            <w:r>
              <w:rPr>
                <w:rFonts w:ascii="Times New Roman;Times;Serif" w:hAnsi="Times New Roman;Times;Serif"/>
                <w:b w:val="false"/>
                <w:i w:val="false"/>
                <w:caps w:val="false"/>
                <w:smallCaps w:val="false"/>
                <w:sz w:val="20"/>
              </w:rPr>
              <w:t xml:space="preserve"> (expressed as a percentage) of (a) the </w:t>
            </w:r>
            <w:r>
              <w:rPr>
                <w:rFonts w:ascii="Times New Roman;Times;Serif" w:hAnsi="Times New Roman;Times;Serif"/>
                <w:b w:val="false"/>
                <w:i w:val="false"/>
                <w:caps w:val="false"/>
                <w:smallCaps w:val="false"/>
                <w:sz w:val="20"/>
                <w:u w:val="single"/>
              </w:rPr>
              <w:t>quotient</w:t>
            </w:r>
            <w:r>
              <w:rPr>
                <w:rFonts w:ascii="Times New Roman;Times;Serif" w:hAnsi="Times New Roman;Times;Serif"/>
                <w:b w:val="false"/>
                <w:i w:val="false"/>
                <w:caps w:val="false"/>
                <w:smallCaps w:val="false"/>
                <w:sz w:val="20"/>
              </w:rPr>
              <w:t xml:space="preserve"> of (i) the aggregate amount of Excess Availability for each business day in such period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(ii) the number of business days in such period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Availability for such period.</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12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69"/>
        <w:gridCol w:w="8636"/>
      </w:tblGrid>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Availability</w:t>
            </w:r>
            <w:r>
              <w:rPr>
                <w:rFonts w:ascii="Times New Roman;Times;Serif" w:hAnsi="Times New Roman;Times;Serif"/>
                <w:b w:val="false"/>
                <w:i w:val="false"/>
                <w:caps w:val="false"/>
                <w:smallCaps w:val="false"/>
                <w:sz w:val="20"/>
              </w:rPr>
              <w:t xml:space="preserve">” means, as of any date of determination, the </w:t>
            </w:r>
            <w:r>
              <w:rPr>
                <w:rFonts w:ascii="Times New Roman;Times;Serif" w:hAnsi="Times New Roman;Times;Serif"/>
                <w:b w:val="false"/>
                <w:i w:val="false"/>
                <w:caps w:val="false"/>
                <w:smallCaps w:val="false"/>
                <w:sz w:val="20"/>
                <w:u w:val="single"/>
              </w:rPr>
              <w:t>difference</w:t>
            </w:r>
            <w:r>
              <w:rPr>
                <w:rFonts w:ascii="Times New Roman;Times;Serif" w:hAnsi="Times New Roman;Times;Serif"/>
                <w:b w:val="false"/>
                <w:i w:val="false"/>
                <w:caps w:val="false"/>
                <w:smallCaps w:val="false"/>
                <w:sz w:val="20"/>
              </w:rPr>
              <w:t xml:space="preserve"> of (a) Availability at such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aggregate revolving exposure at such time.</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no time will the base rate be deemed to be less than 1.00%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or Term SOFR be deemed to be less than 0.00%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 Payments</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determined by the Agent in accordance with the Loan Documents and the Agent’s loan systems and procedures periodically in effect (and subject to the terms of any BillPayer Service, as applicable), to occur in arrears on the first business day of each month and on the date of payment in full of the Credit Facility.</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when an event of default has occurred and is continuing, all amounts owing under the Credit Facility shall bear interest at 2.00%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above the interest rate otherwise applicable thereto.</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Funding Protection and Taxes</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Unused Line Fees</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Unused line fees equal to: (a) 0.25%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on (b) the daily amount of the </w:t>
            </w:r>
            <w:r>
              <w:rPr>
                <w:rFonts w:ascii="Times New Roman;Times;Serif" w:hAnsi="Times New Roman;Times;Serif"/>
                <w:b w:val="false"/>
                <w:i w:val="false"/>
                <w:caps w:val="false"/>
                <w:smallCaps w:val="false"/>
                <w:sz w:val="20"/>
                <w:u w:val="single"/>
              </w:rPr>
              <w:t>difference</w:t>
            </w:r>
            <w:r>
              <w:rPr>
                <w:rFonts w:ascii="Times New Roman;Times;Serif" w:hAnsi="Times New Roman;Times;Serif"/>
                <w:b w:val="false"/>
                <w:i w:val="false"/>
                <w:caps w:val="false"/>
                <w:smallCaps w:val="false"/>
                <w:sz w:val="20"/>
              </w:rPr>
              <w:t xml:space="preserve"> of the Credit Facility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sum of the aggregate outstanding amount of all revolving loans (including, without limitation, all swingline advances) and the outstanding amount of letter of credit obligations, which shall be payable in arrears on the first business day of each month and on the date of payment in full of the Credit Facility.</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amount equal to the applicable margin for Term SOFR under the Credit Facility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times the amount available from time to time to be drawn under each letter of credit, payable in cash in arrears on the first day of each month,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charges imposed by the letter of credit issuing bank</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Documentation Principles.</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Documentation Principles.</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 the obligations of the Loan Parties under the Credit Facility will be secured by perfected first priority security interests in substantially all now existing or hereafter acquired tangible and intangible assets of the Loan Parties, subject to customary exceptions consistent with the Documentation Principles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tc>
      </w:tr>
      <w:tr>
        <w:trPr/>
        <w:tc>
          <w:tcPr>
            <w:tcW w:w="1569" w:type="dxa"/>
            <w:tcBorders/>
            <w:vAlign w:val="center"/>
          </w:tcPr>
          <w:p>
            <w:pPr>
              <w:pStyle w:val="TableContents"/>
              <w:bidi w:val="0"/>
              <w:spacing w:before="0" w:after="283"/>
              <w:jc w:val="left"/>
              <w:rPr>
                <w:caps w:val="false"/>
                <w:smallCaps w:val="false"/>
              </w:rPr>
            </w:pPr>
            <w:r>
              <w:rPr>
                <w:caps w:val="false"/>
                <w:smallCaps w:val="false"/>
              </w:rPr>
              <w:t> </w:t>
            </w:r>
          </w:p>
        </w:tc>
        <w:tc>
          <w:tcPr>
            <w:tcW w:w="86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Documentation Principles</w:t>
            </w:r>
            <w:r>
              <w:rPr>
                <w:rFonts w:ascii="Times New Roman;Times;Serif" w:hAnsi="Times New Roman;Times;Serif"/>
                <w:b w:val="false"/>
                <w:i w:val="false"/>
                <w:caps w:val="false"/>
                <w:smallCaps w:val="false"/>
                <w:sz w:val="20"/>
              </w:rPr>
              <w:t>:</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Documents shall be (i) drafted by counsel to the Agent, (ii) consistent with the Commitment Letter (including, for the avoidance of doubt, this Term Sheet), and (iii) otherwise based on and substantially consistent with terms and conditions that are usual and customary for Fifth Third in transactions of this type (“</w:t>
            </w:r>
            <w:r>
              <w:rPr>
                <w:rFonts w:ascii="Times New Roman;Times;Serif" w:hAnsi="Times New Roman;Times;Serif"/>
                <w:b w:val="false"/>
                <w:i w:val="false"/>
                <w:caps w:val="false"/>
                <w:smallCaps w:val="false"/>
                <w:sz w:val="20"/>
                <w:u w:val="single"/>
              </w:rPr>
              <w:t>Documentation Principles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12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6"/>
        <w:gridCol w:w="8799"/>
      </w:tblGrid>
      <w:tr>
        <w:trPr/>
        <w:tc>
          <w:tcPr>
            <w:tcW w:w="1406" w:type="dxa"/>
            <w:tcBorders/>
            <w:vAlign w:val="center"/>
          </w:tcPr>
          <w:p>
            <w:pPr>
              <w:pStyle w:val="TableContents"/>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w:t>
            </w:r>
          </w:p>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Warranties:</w:t>
            </w:r>
          </w:p>
        </w:tc>
        <w:tc>
          <w:tcPr>
            <w:tcW w:w="8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w:t>
            </w:r>
          </w:p>
        </w:tc>
      </w:tr>
      <w:tr>
        <w:trPr/>
        <w:tc>
          <w:tcPr>
            <w:tcW w:w="1406" w:type="dxa"/>
            <w:tcBorders/>
            <w:vAlign w:val="center"/>
          </w:tcPr>
          <w:p>
            <w:pPr>
              <w:pStyle w:val="TableContents"/>
              <w:bidi w:val="0"/>
              <w:spacing w:before="0" w:after="283"/>
              <w:jc w:val="left"/>
              <w:rPr>
                <w:caps w:val="false"/>
                <w:smallCaps w:val="false"/>
              </w:rPr>
            </w:pPr>
            <w:r>
              <w:rPr>
                <w:caps w:val="false"/>
                <w:smallCaps w:val="false"/>
              </w:rPr>
              <w:t> </w:t>
            </w:r>
          </w:p>
        </w:tc>
        <w:tc>
          <w:tcPr>
            <w:tcW w:w="87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w:t>
            </w:r>
          </w:p>
        </w:tc>
        <w:tc>
          <w:tcPr>
            <w:tcW w:w="87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w:t>
            </w:r>
          </w:p>
        </w:tc>
      </w:tr>
      <w:tr>
        <w:trPr/>
        <w:tc>
          <w:tcPr>
            <w:tcW w:w="1406" w:type="dxa"/>
            <w:tcBorders/>
            <w:vAlign w:val="center"/>
          </w:tcPr>
          <w:p>
            <w:pPr>
              <w:pStyle w:val="TableContents"/>
              <w:bidi w:val="0"/>
              <w:spacing w:before="0" w:after="283"/>
              <w:jc w:val="left"/>
              <w:rPr>
                <w:caps w:val="false"/>
                <w:smallCaps w:val="false"/>
              </w:rPr>
            </w:pPr>
            <w:r>
              <w:rPr>
                <w:caps w:val="false"/>
                <w:smallCaps w:val="false"/>
              </w:rPr>
              <w:t> </w:t>
            </w:r>
          </w:p>
        </w:tc>
        <w:tc>
          <w:tcPr>
            <w:tcW w:w="87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w:t>
            </w:r>
          </w:p>
        </w:tc>
        <w:tc>
          <w:tcPr>
            <w:tcW w:w="87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Documentation Principles, including, without limitation, certain exceptions to the negative covenants in respect of certain specified debt incurrences, investments and restricted payments, so long as (a) immediately before and immediately after giving effect thereto, no event of default then exists or would arise as a result therefrom; (b) on a pro forma basis, immediately before and immediately after giving effect thereto, the fixed charge coverage ratio shall not be less than 1.20:1.00; (c) on a pro forma basis, Excess Availability would be at least equal to the greater of 20% of Availability and $7,200,000 on a pro forma basis immediately after giving effect thereto and for 30 consecutive days immediately prior thereto on a pro forma basis; and (d) the Borrower has delivered a certificate of a responsible officer to the Agent certifying that all conditions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have been satisfied.</w:t>
            </w:r>
          </w:p>
        </w:tc>
      </w:tr>
      <w:tr>
        <w:trPr/>
        <w:tc>
          <w:tcPr>
            <w:tcW w:w="1406" w:type="dxa"/>
            <w:tcBorders/>
            <w:vAlign w:val="center"/>
          </w:tcPr>
          <w:p>
            <w:pPr>
              <w:pStyle w:val="TableContents"/>
              <w:bidi w:val="0"/>
              <w:spacing w:before="0" w:after="283"/>
              <w:jc w:val="left"/>
              <w:rPr>
                <w:caps w:val="false"/>
                <w:smallCaps w:val="false"/>
              </w:rPr>
            </w:pPr>
            <w:r>
              <w:rPr>
                <w:caps w:val="false"/>
                <w:smallCaps w:val="false"/>
              </w:rPr>
              <w:t> </w:t>
            </w:r>
          </w:p>
        </w:tc>
        <w:tc>
          <w:tcPr>
            <w:tcW w:w="87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tc>
        <w:tc>
          <w:tcPr>
            <w:tcW w:w="87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covenants shall be limited to a minimum fixed charge coverage ratio, tested on the last day of each month, commencing with the month ending September 30, 2025, set at 1.10:1.00, which shall be defined in a manner consistent with the Documentation Principles.</w:t>
            </w:r>
          </w:p>
        </w:tc>
      </w:tr>
      <w:tr>
        <w:trPr/>
        <w:tc>
          <w:tcPr>
            <w:tcW w:w="1406" w:type="dxa"/>
            <w:tcBorders/>
            <w:vAlign w:val="center"/>
          </w:tcPr>
          <w:p>
            <w:pPr>
              <w:pStyle w:val="TableContents"/>
              <w:bidi w:val="0"/>
              <w:spacing w:before="0" w:after="283"/>
              <w:jc w:val="left"/>
              <w:rPr>
                <w:caps w:val="false"/>
                <w:smallCaps w:val="false"/>
              </w:rPr>
            </w:pPr>
            <w:r>
              <w:rPr>
                <w:caps w:val="false"/>
                <w:smallCaps w:val="false"/>
              </w:rPr>
              <w:t> </w:t>
            </w:r>
          </w:p>
        </w:tc>
        <w:tc>
          <w:tcPr>
            <w:tcW w:w="87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6" w:type="dxa"/>
            <w:tcBorders/>
            <w:vAlign w:val="center"/>
          </w:tcPr>
          <w:p>
            <w:pPr>
              <w:pStyle w:val="TableContents"/>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and Collateral</w:t>
            </w:r>
          </w:p>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Reporting:</w:t>
            </w:r>
          </w:p>
        </w:tc>
        <w:tc>
          <w:tcPr>
            <w:tcW w:w="8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 including, without limitation: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internally prepared financial statements and monthly compliance certificates;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audited financial statements and financial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borrowing base certificates and other collateral information (springing to weekly when Excess Availability is less than the greater of 15% of Availability as of such date and $5,400,000 for three consecutive business days, and continuing until the date, if any, on which Excess Availability is equal to or greater than the greater of 15% of Availability and $5,400,000 for 30 consecutive days);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shall have the right to conduct, at the expense of the Borrower, up to: (i) one collateral examination per year (plus one additional exam anytime Excess Availability is or has been less than the greater of 17.5% of Availability and $6,300,000 for three consecutive business days). Notwithstanding the foregoing, audits may be conducted more frequently, at the Borrower’s expense, if an event of default has occurred and is continuing.</w:t>
            </w:r>
          </w:p>
        </w:tc>
      </w:tr>
    </w:tbl>
    <w:p>
      <w:pPr>
        <w:pStyle w:val="TextBody"/>
        <w:bidi w:val="0"/>
        <w:spacing w:before="0" w:after="0"/>
        <w:ind w:left="3125" w:right="0" w:hanging="3125"/>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120" w:after="283"/>
        <w:jc w:val="left"/>
        <w:rPr/>
      </w:pPr>
      <w:r>
        <w:rPr/>
        <w:t> </w:t>
      </w:r>
    </w:p>
    <w:p>
      <w:pPr>
        <w:pStyle w:val="TextBody"/>
        <w:bidi w:val="0"/>
        <w:spacing w:before="0" w:after="0"/>
        <w:ind w:left="3125" w:right="0" w:hanging="31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4"/>
        <w:gridCol w:w="9031"/>
      </w:tblGrid>
      <w:tr>
        <w:trPr/>
        <w:tc>
          <w:tcPr>
            <w:tcW w:w="1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 Management</w:t>
            </w:r>
            <w:r>
              <w:rPr>
                <w:rFonts w:ascii="Times New Roman;Times;Serif" w:hAnsi="Times New Roman;Times;Serif"/>
                <w:b w:val="false"/>
                <w:i w:val="false"/>
                <w:caps w:val="false"/>
                <w:smallCaps w:val="false"/>
                <w:sz w:val="20"/>
              </w:rPr>
              <w:t>:</w:t>
            </w:r>
          </w:p>
        </w:tc>
        <w:tc>
          <w:tcPr>
            <w:tcW w:w="9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management systems acceptable to the Agent, including, without limitation, all deposit accounts and securities accounts to be maintained at Fifth Third (or such other financial institution acceptable to Fifth Third, and so long as such accounts are subject to the control of the Agent and are not used for any operations of the Loan Parties or their subsidiaries), and on terms acceptable to Agent and subject to customary exceptions consistent with the Documentation Principles. Agent shall have springing dominion over all collections accounts commencing on (a) the earlier of the date that (i) Excess Availability as of such date is less than the greater of 12.5% of Availability as of such date and $4,500,000 for a period of three consecutive business days and (ii) an event of default has occurred and is continuing, and (b) ending on the date that (i) Excess Availability is equal to or greater than 12.5% of Availability for 30 consecutive days and (ii) no event of default exists.</w:t>
            </w:r>
          </w:p>
        </w:tc>
      </w:tr>
      <w:tr>
        <w:trPr/>
        <w:tc>
          <w:tcPr>
            <w:tcW w:w="1174" w:type="dxa"/>
            <w:tcBorders/>
            <w:vAlign w:val="center"/>
          </w:tcPr>
          <w:p>
            <w:pPr>
              <w:pStyle w:val="TableContents"/>
              <w:bidi w:val="0"/>
              <w:spacing w:before="0" w:after="283"/>
              <w:jc w:val="left"/>
              <w:rPr>
                <w:caps w:val="false"/>
                <w:smallCaps w:val="false"/>
              </w:rPr>
            </w:pPr>
            <w:r>
              <w:rPr>
                <w:caps w:val="false"/>
                <w:smallCaps w:val="false"/>
              </w:rPr>
              <w:t> </w:t>
            </w:r>
          </w:p>
        </w:tc>
        <w:tc>
          <w:tcPr>
            <w:tcW w:w="90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tc>
        <w:tc>
          <w:tcPr>
            <w:tcW w:w="9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w:t>
            </w:r>
          </w:p>
        </w:tc>
      </w:tr>
      <w:tr>
        <w:trPr/>
        <w:tc>
          <w:tcPr>
            <w:tcW w:w="1174" w:type="dxa"/>
            <w:tcBorders/>
            <w:vAlign w:val="center"/>
          </w:tcPr>
          <w:p>
            <w:pPr>
              <w:pStyle w:val="TableContents"/>
              <w:bidi w:val="0"/>
              <w:spacing w:before="0" w:after="283"/>
              <w:jc w:val="left"/>
              <w:rPr>
                <w:caps w:val="false"/>
                <w:smallCaps w:val="false"/>
              </w:rPr>
            </w:pPr>
            <w:r>
              <w:rPr>
                <w:caps w:val="false"/>
                <w:smallCaps w:val="false"/>
              </w:rPr>
              <w:t> </w:t>
            </w:r>
          </w:p>
        </w:tc>
        <w:tc>
          <w:tcPr>
            <w:tcW w:w="90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w:t>
            </w:r>
          </w:p>
        </w:tc>
        <w:tc>
          <w:tcPr>
            <w:tcW w:w="9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precedent to the Credit Facility shall be limited to the following (collectively, the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tc>
      </w:tr>
    </w:tbl>
    <w:p>
      <w:pPr>
        <w:pStyle w:val="TextBody"/>
        <w:bidi w:val="0"/>
        <w:spacing w:before="0" w:after="0"/>
        <w:ind w:left="3125" w:right="0" w:hanging="31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unsecured notes offered pursuant to that certain Draft Preliminary Offering Memorandum, dated September __, 2025, as delivered to the Agent on September 4, 2025 (the “</w:t>
            </w:r>
            <w:r>
              <w:rPr>
                <w:rFonts w:ascii="Times New Roman;Times;Serif" w:hAnsi="Times New Roman;Times;Serif"/>
                <w:b w:val="false"/>
                <w:i w:val="false"/>
                <w:caps w:val="false"/>
                <w:smallCaps w:val="false"/>
                <w:sz w:val="20"/>
                <w:u w:val="single"/>
              </w:rPr>
              <w:t>POM</w:t>
            </w:r>
            <w:r>
              <w:rPr>
                <w:rFonts w:ascii="Times New Roman;Times;Serif" w:hAnsi="Times New Roman;Times;Serif"/>
                <w:b w:val="false"/>
                <w:i w:val="false"/>
                <w:caps w:val="false"/>
                <w:smallCaps w:val="false"/>
                <w:sz w:val="20"/>
              </w:rPr>
              <w:t>”), shall have been issued on terms and conditions consistent with the POM or otherwise reasonably acceptable to the Agent and in an aggregate amount of no less than $250,000,000 (the “</w:t>
            </w:r>
            <w:r>
              <w:rPr>
                <w:rFonts w:ascii="Times New Roman;Times;Serif" w:hAnsi="Times New Roman;Times;Serif"/>
                <w:b w:val="false"/>
                <w:i w:val="false"/>
                <w:caps w:val="false"/>
                <w:smallCaps w:val="false"/>
                <w:sz w:val="20"/>
                <w:u w:val="single"/>
              </w:rPr>
              <w:t>Notes Offering</w:t>
            </w:r>
            <w:r>
              <w:rPr>
                <w:rFonts w:ascii="Times New Roman;Times;Serif" w:hAnsi="Times New Roman;Times;Serif"/>
                <w:b w:val="false"/>
                <w:i w:val="false"/>
                <w:caps w:val="false"/>
                <w:smallCaps w:val="false"/>
                <w:sz w:val="20"/>
              </w:rPr>
              <w:t>”). The Notes Offering shall have been consummated or will be consummated substantially concurrently with the execution and delivery of the Loan Documents.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concurrently with the consummation of the Notes Offering, the principal, accrued and unpaid interest, fees, premium, if any, and other amounts (other than obligations not then due and payable or that by their terms survive the termination thereof) outstanding pursuant to (i) that certain Credit Agreement and Guaranty, dated as of March 27, 2023, by and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Borrower, as borrower thereunder, and certain subsidiaries of the Borrower as subsidiary guarantors, and Oaktree Fund Administration, LLC, as the administrative agent, and (ii) that certain Indenture, dated as of April 20, 2021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made by the Borrower to U.S. Bank Trust Company, National Association, as trustee, with respect to the issuance of certain senior debt securities, including (A) those certain 8.625% Senior Notes due 2026, as authorized in that certain First Supplemental Indenture, dated as of April 20, 2021, and (B) those certain 11.875% Senior Notes due 2027, as authorized in that certain Second Supplemental Indenture, dated as of December 20, 2022; in each case, as amended, restated, supplemented or otherwise modified from time to time, as in effect on the Closing Date immediately prior to giving effect to any payment of such indebtedness on the Closing Date, shall have, in each case, been repaid in full, and all commitments, options, warrants or any other obligation of the Loan Parties relating thereto shall have been terminated and all liens or security interests related thereto shall have been terminated or released (it being understood and agreed that the satisfaction and discharge of the Indenture shall satisfy this clause (b) with respect to the obligations described in subclause (ii) of this clause (b)).</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12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shall have received (i) satisfactory evidence that the Loan Parties have obtained all required consents and approvals of all persons or entities including all requisite governmental authorities, to the execution, delivery and performance of the Loan Documents or (ii) an officer’s certificate in form and substance reasonably satisfactory to the Agent affirming that no such consents or approvals are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delivery by the Loan Parties of the Loan Documents, which shall contain only the Closing Conditions as conditions to the effectiveness of the Credit Facility, together with other terms and provisions consistent with the Documentation Principles. Without limiting the foregoing, the Loan Parties shall have provided or caused to be provided to Fifth Third: (a) customary legal opinions, corporate records and officer’s certificates; (b) perfection of liens on the Collateral that may be perfected by the filing of financing statements under the Uniform Commercial Code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or the filing of an intellectual property security agreement with the United States Patent and Trademark Office or the United States Copyright Office, free and clear of all liens, subject to customary exceptions and other exceptions to be mutually agreed upon subject to the Documentation Principles; (c) evidence of authority; (d) evidence of insurance (it being understood that endorsements shall be subject to delivery post-closing); and (e) at least three business days prior to the Closing Date all documentation (including satisfactory background checks) and other information required by bank regulatory authorities under applicable “know-your-customer” and anti-terrorism statutes, sanctions, anti-corruption laws and anti-money laundering rules and regulations, including, without limitation, the Patriot Act, OFAC and FCPA that has been reasonably requested by the Agent in writing.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and documented out-of-pocket costs, fees and expenses required to be paid by the Borrower under the Commitment Letter to Fifth Third, the Agent or the Lenders shall have been paid or shall be contemporaneously paid to the extent due and payable on the Closing Date.</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12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Specified Representations shall be true and correct in all material respects except that the failure of any representation or warranty (other than the Specified Representations) to be true and correct on the Closing Date will not constitute the failure of a condition precedent to closing the Credit Facility, but will instead constitute an event of default as of the Closing Date which may be cured within 30 days after the Closing Date and which will not, in and of itself, constitute the failure of a condition precedent to closing the Credit Facility on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the Closing Date and during the continuance of such default, amounts available under the Credit Facility may not be borrowed. “</w:t>
            </w:r>
            <w:r>
              <w:rPr>
                <w:rFonts w:ascii="Times New Roman;Times;Serif" w:hAnsi="Times New Roman;Times;Serif"/>
                <w:b w:val="false"/>
                <w:i w:val="false"/>
                <w:caps w:val="false"/>
                <w:smallCaps w:val="false"/>
                <w:sz w:val="20"/>
                <w:u w:val="single"/>
              </w:rPr>
              <w:t>Specified Representations</w:t>
            </w:r>
            <w:r>
              <w:rPr>
                <w:rFonts w:ascii="Times New Roman;Times;Serif" w:hAnsi="Times New Roman;Times;Serif"/>
                <w:b w:val="false"/>
                <w:i w:val="false"/>
                <w:caps w:val="false"/>
                <w:smallCaps w:val="false"/>
                <w:sz w:val="20"/>
              </w:rPr>
              <w:t>” means the representations and warranties in the Loan Documents relating to corporate or other organizational existence, organizational power, qualification and authority of the Borrower and the Guarantors (as they relate to due authorization, execution, delivery and performance of the Loan Documents); due authorization, execution, delivery and enforceability, in each case relating to the entering into and performance of such Loan Documents by the Borrower and the Guarantors; solvency (after giving effect to the Notes Offering) of the Borrower and its subsidiaries on a consolidated basis; no violations of, or conflicts with, (x) charter documents or (y) to the extent such violation or conflict results in a Material Adverse Effect, applicable law, in each case, as it relates to the Loan Documents; status of the Credit Facility and the guaranties thereof as senior debt; absence of litigation seeking to enjoin the consummation of the Credit Facility; Federal Reserve margin regulations; the Investment Company Act; use of proceeds on the Closing Date not in violation of OFAC, FCPA, PATRIOT Act or other anti-terrorism and anti-corruption laws; and the creation, perfection and first priority status of the security interests (subject to permitted liens) and subject in all respects to the foregoing provisions of this definition of “Closing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shall have completed and be satisfied in its reasonable discretion with (i) the final Loan Documents; (ii) review of the final sources &amp; uses, which shall be materially consistent with information provided by the Borrower to Fifth Third; and (iii) collateral due diligence.</w:t>
            </w:r>
          </w:p>
        </w:tc>
      </w:tr>
    </w:tbl>
    <w:p>
      <w:pPr>
        <w:pStyle w:val="TextBody"/>
        <w:bidi w:val="0"/>
        <w:spacing w:before="0" w:after="0"/>
        <w:ind w:left="34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0"/>
        <w:gridCol w:w="8505"/>
      </w:tblGrid>
      <w:tr>
        <w:trPr/>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Subsequent Borrowings:</w:t>
            </w:r>
          </w:p>
        </w:tc>
        <w:tc>
          <w:tcPr>
            <w:tcW w:w="8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 including, without limitation, that the aggregate principal amount of all revolving loans will not result in (a) any Lender’s revolving exposure exceeding such Lender’s revolving loan commitment or (b) the aggregate revolving exposure of all Lenders exceeding Availability, subject in all cases to the Agent’s authority, in its permitted discretion, to make protective advances and overadvances in a manner consistent with the Documentation Principles.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Assignments and Participations:</w:t>
            </w:r>
          </w:p>
        </w:tc>
        <w:tc>
          <w:tcPr>
            <w:tcW w:w="8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Required Lenders:</w:t>
            </w:r>
          </w:p>
        </w:tc>
        <w:tc>
          <w:tcPr>
            <w:tcW w:w="8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 and Expenses:</w:t>
            </w:r>
          </w:p>
        </w:tc>
        <w:tc>
          <w:tcPr>
            <w:tcW w:w="8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Documentation Principles.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Jurisdiction:</w:t>
            </w:r>
          </w:p>
        </w:tc>
        <w:tc>
          <w:tcPr>
            <w:tcW w:w="8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Documents will provide that the Loan Parties will submit to the exclusive jurisdiction and venue of the federal and state courts of the County and State of New York (except to the extent the Agent requires submission to any other jurisdiction in connection with the exercise of any rights under any security document or the enforcement of any judgment) and will waive any right to trial by jury. New York law will govern the Loan Documents, except with respect to certain security documents where applicable local law is necessary for enforceability or perfection.</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8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Counsel to the Agent:</w:t>
            </w:r>
          </w:p>
        </w:tc>
        <w:tc>
          <w:tcPr>
            <w:tcW w:w="8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r>
          </w:p>
        </w:tc>
      </w:tr>
    </w:tbl>
    <w:p>
      <w:pPr>
        <w:pStyle w:val="TextBody"/>
        <w:bidi w:val="0"/>
        <w:spacing w:before="0" w:after="0"/>
        <w:ind w:left="3125" w:right="0" w:hanging="3125"/>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Terms and 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otherwise defined herein have the meanings set forth in the Commitment Letter or the Term Sheet to which these Additional Terms and Conditions are attached (the “</w:t>
      </w:r>
      <w:r>
        <w:rPr>
          <w:rFonts w:ascii="Times New Roman;Times;Serif" w:hAnsi="Times New Roman;Times;Serif"/>
          <w:b w:val="false"/>
          <w:i w:val="false"/>
          <w:caps w:val="false"/>
          <w:smallCaps w:val="false"/>
          <w:sz w:val="20"/>
          <w:u w:val="single"/>
        </w:rPr>
        <w:t>Commitment Letter</w:t>
      </w:r>
      <w:r>
        <w:rPr>
          <w:rFonts w:ascii="Times New Roman;Times;Serif" w:hAnsi="Times New Roman;Times;Serif"/>
          <w:b w:val="false"/>
          <w:i w:val="false"/>
          <w:caps w:val="false"/>
          <w:smallCaps w:val="false"/>
          <w:sz w:val="20"/>
        </w:rPr>
        <w:t>”) and of which these form a part.</w:t>
      </w:r>
    </w:p>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170"/>
        <w:gridCol w:w="3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Expense Reimbursement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Fifth Third to enter into the Commitment Letter and to proceed with the documentation of the Credit Facility, you hereby agree to indemnify upon demand and hold harmless Fifth Third and its affiliates and each partner, member, trustee, shareholder, director, officer, employee, advisor, representative, agent, attorney and controlling person thereof (each of the above,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xml:space="preserve">”) from and against any and all actions, suits, proceedings (including, without limitation, any investigations or inquiries), claims, losses, damages, liabilities or reasonable and documented out-of-pocket expenses, joint or several, of any kind or nature whatsoever that may be brought or threatened by any Loan Party, any of their respective affiliates or any other person or entity and which may be incurred by or asserted against or involve any Indemnified Person (whether or not any Indemnified Person is a party to such action, suit, proceeding or claim) as a result of or arising out of or in any way related to or resulting from the Notes Offering, the Commitment Letter, the Credit Facility or any related transaction contemplated hereby or thereby or any use or intended use of the proceeds of the Credit Facility (but limited, in the case of legal fees and expenses, to the reasonable and documented out-of-pocket fees, disbursements and other charges of one counsel to all Indemnified Persons (taken as a whole) and, if reasonably necessary, a single local counsel for all Indemnified Persons (taken as a whole) in each relevant jurisdiction and with respect to each relevant specialty, and in the case of an actual or perceived conflict of interest, one additional counsel in each relevant jurisdiction to the affected Indemnified Persons similarly situated (and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you will not have to indemnify an Indemnified Person against any claim, loss, damage, liability or expense to the extent the same resulted from (i) the gross negligence or willful misconduct of such Indemnified Person (to the extent determined by a court of competent jurisdiction in a final and non-appealable judgment), (ii) the material breach of the Commitment Letter or any Loan Document by any Indemnified Person (to the extent determined by a court of competent jurisdiction in a final and non-appealable judgment) or (iii) any disputes solely among Indemnified Persons (other than any claims against Fifth Third in its capacity as the Agent under the Credit Facility unless such claim would otherwise be excluded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Notwithstanding any other provision of the Commitment Letter, no Indemnified Person will be responsible or liable to you or any other person or entity for damages arising from the use by others of any information or other materials obtained through internet, electronic, telecommunications or other information transmission systems (other than to the extent such damages resulted from the gross negligence or willful misconduct of such Indemnified Person (to the extent determined by a court of competent jurisdiction in a final and non-appealable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not be liable for any settlement of any proceedings (or costs and expenses solely in respect of such settlement) effected without your written consent (which consent shall not be unreasonably conditioned, withheld or delayed), but if settled with your written consent or if there is a final judgment against the Indemnified Person and for the plaintiff in any such proceedings, you agree to indemnify and hold harmless each Indemnified Person from and against any and all losses, claims, damages, liabilities and expenses by reason of such settlement or judgment in accordance with the preceding paragraph.</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issuance of this letter by Fifth Third and recognizing that, in connection with the Credit Facility, Fifth Third has been and will be incurring reasonable and documented out-of-pocket costs and expenses (including, without limitation, reasonable and documented fees and disbursements of outside legal counsel, search and filing fees, costs and expenses of due diligence, transportation, duplication, messenger, appraisal, audit and consultant costs and expenses)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you hereby agree to pay or reimburse Fifth Third for all such Expenses;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appraisal, audit and consultant costs and expenses, your obligations shall be limited to such costs and expenses which have been incurred with your prior written consent. Notwithstanding anything to the contrary herein or otherwise, if the Closing Date does not occur, so long as Fifth Third has not breached its material obligations under the Commitment Letter, you agree to reimburse Fifth Third as set forth in this paragraph within 30 days following written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agree to pay all costs and expenses of Fifth Third (including, without limitation, reasonable and documented fees and disbursements of outside counsel, subject to the limitations set forth above) incurred in connection with the enforcement of any of its rights and remedies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indemnity and reimbursement obligations under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will be in addition to (but without duplication of) any liability which you may otherwise have and will be binding upon and inure to the benefit of the successors, assigns, heirs and personal representatives of you and the Indemnified Persons. None of the parties to the Commitment Letter nor any Guarantor nor any Indemnified Person will be responsible or liable to any party to the Commitment Letter or any other person or entity for any indirect, special, punitive or consequential damages which may be alleged as a result of the Notes Offering, the Commitment Letter, the Credit Facility or any related transaction contemplated hereby or thereby or any use or intended use of the proceeds of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expiration nor termination of the Commitment Letter (or Fifth Third’s commitments hereunder) shall affect your indemnification and reimbursement obligations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which shall remain operative and continue in full force and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your obligations under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terminate automatically and be superseded by the indemnification and expense reimbursement provisions in the definitive documentation relating to the Credit Facility upon the execution of the definitive documentation in respect thereof.</w:t>
      </w:r>
    </w:p>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8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 Sharing Information; Affiliate Activities; Absence of Fiduciary Relationship</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note that the Commitment Letter is exclusively for your confidential use and may not be disclosed to any person or entity or circulated or referred to publicly without our prior written consent except, pursuant to applicable law or compulsory legal process (and to the extent practicable and not prohibited by law, after providing written notice to Fifth Third and with appropriate redactions as may be requested by Fifth Third);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Fifth Third hereby consents to your disclosure of (a) the Commitment Letter and such communications to your affiliates and your and your affiliates’ respective officers, directors, employees, accountants, co-investors, attorneys and other advisors (in each case, in their respective capacities as such), including, without limitation, to BTIG, LLC, as well as to any third party beneficiaries who are directly involved in the consideration of the Credit Facility to the extent you notify such persons of their obligation to keep the Commitment Letter and such communications confidential and such persons agree to hold the same in confidence, (b) the Commitment Letter or the information contained herein to ratings agencies in connection with the Notes Offering, in each case on a confidential basis, (c) the Commitment Letter or the information contained herein in any legal, judicial or administrative proceeding or as otherwise required by law or regulation or as requested by a government authority (and to the extent practicable and not prohibited by law, after providing written notice to Fifth Third and with appropriate redactions as may be requested by Fifth Third), (d) the Commitment Letter or the information contained herein in connection with the exercise of remedies to the extent relating to the Commitment Letter or the enforcement of rights hereunder, and (e) the Commitment Letter or the information contained herein (i) with Fifth Third’s prior written consent, and (ii) to the extent any such information becomes publicly available other than by reason of disclosure by you, your subsidiaries or affiliates and any of their respective representatives in violation of the Commitment Letter;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you may disclose generally the existence and amount of commitments hereunder and the identity of the Agent. The confidentiality provisions set forth in this paragraph shall expire and shall be of no further effect after the second anniversary of the date hereof.</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Fifth Third and each of its affiliates will use all information provided to such person or such affiliates by or on behalf of you hereunder or in connection with the Notes Offering and the Credit Facility solely for the purpose of providing the commitments or services that are the subject of the Commitment Letter and shall treat confidentially all such information and shall not publish, disclose or otherwise divulge, such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prevent Fifth Third or any of its affiliates from disclosing any such information (a) pursuant to the order of any court or administrative agency or in any pending legal, judicial or administrative proceeding, or otherwise as required by applicable law or compulsory legal process based on the advice of counsel (in which case Fifth Third agrees (except with respect to any audit or examination conducted by bank accountants, insurance regulators or any or regulatory authority exercising routine examination or authority), to the extent practicable and not prohibited by applicable law, to inform you promptly thereof prior to disclosure), (b) upon the request or demand of any regulatory authority having jurisdiction over Fifth Third or any of its affiliates (in which case Fifth Third agrees (except with respect to any audit or examination conducted by bank accountants, insurance regulators or any regulatory authority exercising routine examination or regulatory authority), to the extent practicable and not prohibited by applicable law, to inform you promptly thereof prior to disclosure), (c) to the extent that such information becomes publicly available other than by reason of disclosure by Fifth Third or any of its affiliates or any related parties thereto in violation of any confidentiality obligations owing to you or any of your or their respective affiliates (including those set forth in this paragraph), (d) to the extent that such information is received by Fifth Third from a third party that is not, to Fifth Third’s knowledge, subject to contractual or fiduciary confidentiality obligations owing to you or any of your or its respective affiliates or related parties, (e) to the extent that such information is independently developed by Fifth Third, (f) to Fifth Third’s affiliates and to its and their respective employees, legal counsel, independent auditors, professionals and other experts or agents who need to know such information in connection with the Credit Facility and who are informed of the confidential nature of such information and are or have been advised of their obligation to keep such information confidential (with Fifth Third responsible for such person’s compliance with this paragraph), (g) for purposes of establishing a “due diligence” defense or (h) with your prior written consent. The obligation of Fifth Third and its affiliates, if any, under this paragraph shall terminate automatically and be superseded by the confidentiality provisions in the definitive documentation relating to the Credit Facility upon the initial funding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Closing Date does not occur, this paragraph shall automatically terminate on the second anniversary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our policies to hold in confidence the affairs of Fifth Third’s customers, Fifth Third will not use or disclose confidential information obtained from you by virtue of the Credit Facility in connection with Fifth Third’s performance of services for any of our other customers (other than as permitted to be disclosed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Furthermore, you acknowledge that neither Fifth Third nor any of its affiliates have an obligation to use in connection with the Credit Facility, or to furnish to you, confidential information obtained or that may be obtained by Fifth Third from any other person.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acknowledge that some or all of Fifth Third and its affiliates are or may be full service securities firms and as such may from time to time effect transactions, for their own account or the account of customers, and may hold positions in securities or indebtedness, or options thereon, of the Borrower and other companies that may be the subject of the Credit Facility. Fifth Third and its affiliates will have economic or other interests that are different from or conflict with those of you and the other Loan Parties regarding the transactions contemplated hereby, and you acknowledge and agree that none of Fifth Third or any of its affiliates have any obligation to disclose such interests to you. You further acknowledge and agree that nothing in the Commitment Letter or the nature of our commitments or services or in any prior relationship will be deemed to create an advisory, fiduciary or agency relationship between Fifth Third, on the one hand, and you, your equity holders or your affiliates, on the other hand, and you waive, to the fullest extent permitted by law, any claims you may have against Fifth Third and each of its affiliates for breach of fiduciary duty or alleged breach of fiduciary duty and agree that Fifth Third and its affiliates will have no liability (whether direct or indirect) to you in respect of such a fiduciary duty claim or to any person asserting a fiduciary duty claim on your behalf, including your equity holders, employees or creditors. You acknowledge that the Commitment Letter and the Credit Facility (including the exercise of rights and remedies hereunder) are arms’ length commercial transactions and that Fifth Third and its affiliates are acting as principal and in their own best interest. You are relying on your own experts and advisors to determine whether the Credit Facility and related transactions are in your best interests and are capable of evaluating and understanding, and you understand and accept, the terms, risks and conditions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neither Fifth Third nor its affiliates provide tax, accounting or legal advice.</w:t>
      </w:r>
    </w:p>
    <w:p>
      <w:pPr>
        <w:pStyle w:val="TextBody"/>
        <w:bidi w:val="0"/>
        <w:spacing w:before="0" w:after="0"/>
        <w:ind w:left="0" w:right="0" w:firstLine="72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170"/>
        <w:gridCol w:w="3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6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etc.; Surviving Provisions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to trial by jury with respect to any action, suit, proceeding or claim arising in connection with or as a result of any matter referred to in the Commitment Letter is hereby irrevocably waived by the parties hereto. The Commitment Letter will be governed by and construed in accordance with the laws of the State of New York. Each of the parties hereto hereby irrevocably (i) submits, for itself and its property, to the exclusive jurisdiction of (a) the Supreme Court of the State of New York, New York County and (b) the United States District Court for the Southern District of New York, located in the Borough of Manhattan, and any appellate court from any such court, in any action, suit, proceeding or claim arising out of or relating to the Commitment Letter or the Credit Facility or the performance of services contemplated hereunder, or for recognition or enforcement of any judgment, and agrees that all claims in respect of any such action, suit, proceeding or claim may be heard and determined in such New York State court or such Federal court, (ii) waives, to the fullest extent permitted by law, any objection that it may now or hereafter have to the laying of venue of any action, suit, proceeding or claim arising out of or relating to the Commitment Letter, the Credit Facility or the performance of services contemplated hereunder in any such New York State or Federal court and (iii) waives, to the fullest extent permitted by law, the defense of an inconvenient forum to the maintenance of any such action, suit, proceeding or claim in any such court. Each of the parties hereto agrees to commence any such action, suit, proceeding or claim either in the United States District Court for the Southern District of New York or in the Supreme Court of the State of New York, New York County located in the Borough of Manhattan.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above and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remain in full force and effect regardless of whether definitive financing documentation shall be executed and delivered and notwithstanding the termination or expiration of the Commitment Letter or the commitments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your obligations under the Commitment Letter (other than (a) the confidentiality obligations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(b) your understandings and agreements regarding no agency or fiduciary duty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which,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shall terminate in accordance with their respective terms) shall automatically terminate and be superseded by the provisions of the Loan Documents upon the initial funding thereunder and the payment of all amounts owed pursuant to the Commitment Letter on the Closing Date, and you shall automatically be released from all liability in connection therewith at such time.</w:t>
      </w:r>
    </w:p>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170"/>
        <w:gridCol w:w="2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Amendment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Letter and the commitments hereunder shall not be assignable by you without the prior written consent of Fifth Third, and any attempted assignment without such consent shall be null and void. The Commitment Letter and the commitments hereunder are intended to be solely for the benefit of the parties hereto (and Indemnified Persons to the extent expressly set forth herein) and are not intended to and do not confer any benefits upon, or create any rights in favor of, any person other than the parties hereto (and Indemnified Persons to the extent expressly set forth herein). The Commitment Letter may not be amended or any term or provision hereof waived or modified except by an instrument in writing signed by each of the parties hereto.</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991" w:name="ex10-5.htm"/>
      <w:bookmarkStart w:id="992" w:name="ksex105"/>
      <w:bookmarkEnd w:id="991"/>
      <w:bookmarkEnd w:id="99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26,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br/>
      </w:r>
      <w:r>
        <w:rPr>
          <w:rFonts w:ascii="Times New Roman;Times;Serif" w:hAnsi="Times New Roman;Times;Serif"/>
          <w:b w:val="false"/>
          <w:i w:val="false"/>
          <w:caps w:val="false"/>
          <w:smallCaps w:val="false"/>
          <w:sz w:val="20"/>
        </w:rPr>
        <w:t>as the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Loan Parties from time to time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from time to time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THIRD BANK, NATIONAL ASSOCIATION</w:t>
        <w:br/>
      </w:r>
      <w:r>
        <w:rPr>
          <w:rFonts w:ascii="Times New Roman;Times;Serif" w:hAnsi="Times New Roman;Times;Serif"/>
          <w:b w:val="false"/>
          <w:i w:val="false"/>
          <w:caps w:val="false"/>
          <w:smallCaps w:val="false"/>
          <w:sz w:val="20"/>
        </w:rPr>
        <w:t>as the Agent, the L/C Issuer, the Swing Line Lender, the Sole Lead Arranger and the Sole Bookrunner</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155" w:type="dxa"/>
        <w:jc w:val="left"/>
        <w:tblInd w:w="0" w:type="dxa"/>
        <w:tblLayout w:type="fixed"/>
        <w:tblCellMar>
          <w:top w:w="0" w:type="dxa"/>
          <w:left w:w="0" w:type="dxa"/>
          <w:bottom w:w="0" w:type="dxa"/>
          <w:right w:w="0" w:type="dxa"/>
        </w:tblCellMar>
      </w:tblPr>
      <w:tblGrid>
        <w:gridCol w:w="215"/>
        <w:gridCol w:w="380"/>
        <w:gridCol w:w="5135"/>
        <w:gridCol w:w="425"/>
      </w:tblGrid>
      <w:tr>
        <w:trPr/>
        <w:tc>
          <w:tcPr>
            <w:tcW w:w="21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caps w:val="false"/>
                <w:smallCaps w:val="false"/>
              </w:rPr>
            </w:pPr>
            <w:r>
              <w:rPr>
                <w:caps w:val="false"/>
                <w:smallCaps w:val="false"/>
              </w:rPr>
              <w:t> </w:t>
            </w:r>
          </w:p>
        </w:tc>
        <w:tc>
          <w:tcPr>
            <w:tcW w:w="5135" w:type="dxa"/>
            <w:tcBorders/>
            <w:vAlign w:val="center"/>
          </w:tcPr>
          <w:p>
            <w:pPr>
              <w:pStyle w:val="TableContents"/>
              <w:bidi w:val="0"/>
              <w:spacing w:before="0" w:after="283"/>
              <w:jc w:val="righ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2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5515"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DEFINITIONS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1</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Defined Terms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Terms and Determinations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Treatment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Definitional Provisions and References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215" w:type="dxa"/>
            <w:tcBorders/>
            <w:shd w:fill="FFFFFF" w:val="clear"/>
            <w:vAlign w:val="center"/>
          </w:tcPr>
          <w:p>
            <w:pPr>
              <w:pStyle w:val="TableContents"/>
              <w:bidi w:val="0"/>
              <w:spacing w:before="0" w:after="283"/>
              <w:jc w:val="left"/>
              <w:rPr>
                <w:b/>
              </w:rPr>
            </w:pPr>
            <w:r>
              <w:rPr>
                <w:b/>
              </w:rPr>
              <w:t>2.</w:t>
            </w:r>
          </w:p>
        </w:tc>
        <w:tc>
          <w:tcPr>
            <w:tcW w:w="5515" w:type="dxa"/>
            <w:gridSpan w:val="2"/>
            <w:tcBorders/>
            <w:shd w:fill="FFFF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ADVANCES AND LETTERS OF CREDIT</w:t>
            </w:r>
          </w:p>
        </w:tc>
        <w:tc>
          <w:tcPr>
            <w:tcW w:w="425" w:type="dxa"/>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46</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Credit Advances and Borrowings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Prepayments/Commitment Termination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Swing Line Advances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Applicable Margin; Fees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 Provisions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Credit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Provisions Regarding Payment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Account; Account Debit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Adequacy</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Mitigation Obligations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Defaulting Lenders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Defaulting Lender</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Revolving Loan Commitments; Additional Lenders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Loan Party Representative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215" w:type="dxa"/>
            <w:tcBorders/>
            <w:shd w:fill="CCEEFF" w:val="clear"/>
            <w:vAlign w:val="center"/>
          </w:tcPr>
          <w:p>
            <w:pPr>
              <w:pStyle w:val="TableContents"/>
              <w:bidi w:val="0"/>
              <w:spacing w:before="0" w:after="283"/>
              <w:jc w:val="left"/>
              <w:rPr>
                <w:b/>
              </w:rPr>
            </w:pPr>
            <w:r>
              <w:rPr>
                <w:b/>
              </w:rPr>
              <w:t>3.</w:t>
            </w:r>
          </w:p>
        </w:tc>
        <w:tc>
          <w:tcPr>
            <w:tcW w:w="5515"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CONDITIONS PRECEDENT.</w:t>
            </w:r>
          </w:p>
        </w:tc>
        <w:tc>
          <w:tcPr>
            <w:tcW w:w="42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65</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Initial Advances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Conditions to Each Advance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215" w:type="dxa"/>
            <w:tcBorders/>
            <w:shd w:fill="FFFFFF" w:val="clear"/>
            <w:vAlign w:val="center"/>
          </w:tcPr>
          <w:p>
            <w:pPr>
              <w:pStyle w:val="TableContents"/>
              <w:bidi w:val="0"/>
              <w:spacing w:before="0" w:after="283"/>
              <w:jc w:val="left"/>
              <w:rPr>
                <w:b/>
              </w:rPr>
            </w:pPr>
            <w:r>
              <w:rPr>
                <w:b/>
              </w:rPr>
              <w:t>4.</w:t>
            </w:r>
          </w:p>
        </w:tc>
        <w:tc>
          <w:tcPr>
            <w:tcW w:w="5515" w:type="dxa"/>
            <w:gridSpan w:val="2"/>
            <w:tcBorders/>
            <w:shd w:fill="FFFF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66</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 and Power; Affected Financial Institution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Authorization; No Contravention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Effect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Subsidiaries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Information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05" w:type="dxa"/>
        <w:jc w:val="left"/>
        <w:tblInd w:w="0" w:type="dxa"/>
        <w:tblLayout w:type="fixed"/>
        <w:tblCellMar>
          <w:top w:w="0" w:type="dxa"/>
          <w:left w:w="0" w:type="dxa"/>
          <w:bottom w:w="0" w:type="dxa"/>
          <w:right w:w="0" w:type="dxa"/>
        </w:tblCellMar>
      </w:tblPr>
      <w:tblGrid>
        <w:gridCol w:w="215"/>
        <w:gridCol w:w="380"/>
        <w:gridCol w:w="5165"/>
        <w:gridCol w:w="245"/>
      </w:tblGrid>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Property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Entities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Regulations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Anti-Terrorism Laws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 Interests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Trade Relations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Bonding; Licenses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in Loan Documents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Care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215" w:type="dxa"/>
            <w:tcBorders/>
            <w:shd w:fill="CCEEFF" w:val="clear"/>
            <w:vAlign w:val="center"/>
          </w:tcPr>
          <w:p>
            <w:pPr>
              <w:pStyle w:val="TableContents"/>
              <w:bidi w:val="0"/>
              <w:spacing w:before="0" w:after="283"/>
              <w:jc w:val="left"/>
              <w:rPr>
                <w:b/>
              </w:rPr>
            </w:pPr>
            <w:r>
              <w:rPr>
                <w:b/>
              </w:rPr>
              <w:t>5.</w:t>
            </w:r>
          </w:p>
        </w:tc>
        <w:tc>
          <w:tcPr>
            <w:tcW w:w="5545"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AFFIRMATIVE COVENANTS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75</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Existence and Conduct of Business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Charges.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Damage to or Destruction of Collateral.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Access Agreements; Certain Real Estate Deliverables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Management Systems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Property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Property and Books and Records; Appraisals.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5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5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065" w:type="dxa"/>
        <w:jc w:val="left"/>
        <w:tblInd w:w="0" w:type="dxa"/>
        <w:tblLayout w:type="fixed"/>
        <w:tblCellMar>
          <w:top w:w="0" w:type="dxa"/>
          <w:left w:w="0" w:type="dxa"/>
          <w:bottom w:w="0" w:type="dxa"/>
          <w:right w:w="0" w:type="dxa"/>
        </w:tblCellMar>
      </w:tblPr>
      <w:tblGrid>
        <w:gridCol w:w="335"/>
        <w:gridCol w:w="380"/>
        <w:gridCol w:w="5105"/>
        <w:gridCol w:w="245"/>
      </w:tblGrid>
      <w:tr>
        <w:trPr/>
        <w:tc>
          <w:tcPr>
            <w:tcW w:w="335" w:type="dxa"/>
            <w:tcBorders/>
            <w:shd w:fill="CCEEFF" w:val="clear"/>
            <w:vAlign w:val="center"/>
          </w:tcPr>
          <w:p>
            <w:pPr>
              <w:pStyle w:val="TableContents"/>
              <w:bidi w:val="0"/>
              <w:spacing w:before="0" w:after="283"/>
              <w:jc w:val="left"/>
              <w:rPr>
                <w:b/>
              </w:rPr>
            </w:pPr>
            <w:r>
              <w:rPr>
                <w:b/>
              </w:rPr>
              <w:t>6.</w:t>
            </w:r>
          </w:p>
        </w:tc>
        <w:tc>
          <w:tcPr>
            <w:tcW w:w="5485"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NEGATIVE COVENANTS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81</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Loans and Advances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Loans and Affiliate Transactions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and Business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Consolidations and Mergers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Hazardous Materials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Leasebacks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Payments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Corporate Name or Location; Change of Fiscal Year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Restriction on Distributions; No Negative Pledges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Stock; Use of Proceeds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Sanctions; Use of Proceeds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of Other Indebtedness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335" w:type="dxa"/>
            <w:tcBorders/>
            <w:shd w:fill="FFFFFF" w:val="clear"/>
            <w:vAlign w:val="center"/>
          </w:tcPr>
          <w:p>
            <w:pPr>
              <w:pStyle w:val="TableContents"/>
              <w:bidi w:val="0"/>
              <w:spacing w:before="0" w:after="283"/>
              <w:jc w:val="left"/>
              <w:rPr>
                <w:b/>
              </w:rPr>
            </w:pPr>
            <w:r>
              <w:rPr>
                <w:b/>
              </w:rPr>
              <w:t>7.</w:t>
            </w:r>
          </w:p>
        </w:tc>
        <w:tc>
          <w:tcPr>
            <w:tcW w:w="5485" w:type="dxa"/>
            <w:gridSpan w:val="2"/>
            <w:tcBorders/>
            <w:shd w:fill="FFFF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FINANCIAL COVENANT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93</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Fixed Charge Coverage Ratio</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Right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335" w:type="dxa"/>
            <w:tcBorders/>
            <w:shd w:fill="CCEEFF" w:val="clear"/>
            <w:vAlign w:val="center"/>
          </w:tcPr>
          <w:p>
            <w:pPr>
              <w:pStyle w:val="TableContents"/>
              <w:bidi w:val="0"/>
              <w:spacing w:before="0" w:after="283"/>
              <w:jc w:val="left"/>
              <w:rPr>
                <w:b/>
              </w:rPr>
            </w:pPr>
            <w:r>
              <w:rPr>
                <w:b/>
              </w:rPr>
              <w:t>8.</w:t>
            </w:r>
          </w:p>
        </w:tc>
        <w:tc>
          <w:tcPr>
            <w:tcW w:w="5485"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FINANCIAL STATEMENTS AND INFORMATION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93</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and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with Accountants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335" w:type="dxa"/>
            <w:tcBorders/>
            <w:shd w:fill="FFFFFF" w:val="clear"/>
            <w:vAlign w:val="center"/>
          </w:tcPr>
          <w:p>
            <w:pPr>
              <w:pStyle w:val="TableContents"/>
              <w:bidi w:val="0"/>
              <w:spacing w:before="0" w:after="283"/>
              <w:jc w:val="left"/>
              <w:rPr>
                <w:b/>
              </w:rPr>
            </w:pPr>
            <w:r>
              <w:rPr>
                <w:b/>
              </w:rPr>
              <w:t>9.</w:t>
            </w:r>
          </w:p>
        </w:tc>
        <w:tc>
          <w:tcPr>
            <w:tcW w:w="5485" w:type="dxa"/>
            <w:gridSpan w:val="2"/>
            <w:tcBorders/>
            <w:shd w:fill="FFFF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EVENTS OF DEFAULT; RIGHTS AND REMEDIES</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94</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in Concert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by Loan Parties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335" w:type="dxa"/>
            <w:tcBorders/>
            <w:shd w:fill="FFFFFF" w:val="clear"/>
            <w:vAlign w:val="center"/>
          </w:tcPr>
          <w:p>
            <w:pPr>
              <w:pStyle w:val="TableContents"/>
              <w:bidi w:val="0"/>
              <w:spacing w:before="0" w:after="283"/>
              <w:jc w:val="left"/>
              <w:rPr>
                <w:b/>
              </w:rPr>
            </w:pPr>
            <w:r>
              <w:rPr>
                <w:b/>
              </w:rPr>
              <w:t>10.</w:t>
            </w:r>
          </w:p>
        </w:tc>
        <w:tc>
          <w:tcPr>
            <w:tcW w:w="5485" w:type="dxa"/>
            <w:gridSpan w:val="2"/>
            <w:tcBorders/>
            <w:shd w:fill="FFFF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EXPENSES AND 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98</w:t>
            </w:r>
          </w:p>
        </w:tc>
      </w:tr>
      <w:tr>
        <w:trPr/>
        <w:tc>
          <w:tcPr>
            <w:tcW w:w="33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33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805" w:type="dxa"/>
        <w:jc w:val="left"/>
        <w:tblInd w:w="0" w:type="dxa"/>
        <w:tblLayout w:type="fixed"/>
        <w:tblCellMar>
          <w:top w:w="0" w:type="dxa"/>
          <w:left w:w="0" w:type="dxa"/>
          <w:bottom w:w="0" w:type="dxa"/>
          <w:right w:w="0" w:type="dxa"/>
        </w:tblCellMar>
      </w:tblPr>
      <w:tblGrid>
        <w:gridCol w:w="335"/>
        <w:gridCol w:w="485"/>
        <w:gridCol w:w="6635"/>
        <w:gridCol w:w="350"/>
      </w:tblGrid>
      <w:tr>
        <w:trPr/>
        <w:tc>
          <w:tcPr>
            <w:tcW w:w="335" w:type="dxa"/>
            <w:tcBorders/>
            <w:shd w:fill="CCEEFF" w:val="clear"/>
            <w:vAlign w:val="center"/>
          </w:tcPr>
          <w:p>
            <w:pPr>
              <w:pStyle w:val="TableContents"/>
              <w:bidi w:val="0"/>
              <w:spacing w:before="0" w:after="283"/>
              <w:jc w:val="left"/>
              <w:rPr>
                <w:b/>
              </w:rPr>
            </w:pPr>
            <w:r>
              <w:rPr>
                <w:b/>
              </w:rPr>
              <w:t>11.</w:t>
            </w:r>
          </w:p>
        </w:tc>
        <w:tc>
          <w:tcPr>
            <w:tcW w:w="7120"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AGENT</w:t>
            </w:r>
          </w:p>
        </w:tc>
        <w:tc>
          <w:tcPr>
            <w:tcW w:w="35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98</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Authorization</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and Affiliates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by the Agent; Actions through Subagents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 with Experts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Agent</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Request and Act on Instructions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Decision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Matters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Agency for Perfection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Agent</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of Revolving Credit Advances; Payment and Sharing of Payment</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and Settlement Provisions Applicable When Non-Funding Lenders Exist</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May File Proof of Claim</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in Individual Capacity</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Fiduciary Representations and Warranties.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Acknowledgments Regarding Erroneous Payments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335" w:type="dxa"/>
            <w:tcBorders/>
            <w:shd w:fill="CCEEFF" w:val="clear"/>
            <w:vAlign w:val="center"/>
          </w:tcPr>
          <w:p>
            <w:pPr>
              <w:pStyle w:val="TableContents"/>
              <w:bidi w:val="0"/>
              <w:spacing w:before="0" w:after="283"/>
              <w:jc w:val="left"/>
              <w:rPr>
                <w:b/>
              </w:rPr>
            </w:pPr>
            <w:r>
              <w:rPr>
                <w:b/>
              </w:rPr>
              <w:t>12.</w:t>
            </w:r>
          </w:p>
        </w:tc>
        <w:tc>
          <w:tcPr>
            <w:tcW w:w="7120"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MISCELLANEOUS</w:t>
            </w:r>
          </w:p>
        </w:tc>
        <w:tc>
          <w:tcPr>
            <w:tcW w:w="35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108</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and Waivers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Assignments; Participations; Replacement of Lenders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Consequential and Other Damages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Marshaling; Payments Set Aside</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6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SUBMISSION TO JURISDICTION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6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JURY TRIAL</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Advertisement</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Integration</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Strict Construction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 Notification</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33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and Consent to Bail-In of Affected Financial Institutions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3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Regarding Any Supported QFCs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ANNEXES, EXHIBITS AND SCHEDULES</w:t>
      </w:r>
    </w:p>
    <w:p>
      <w:pPr>
        <w:pStyle w:val="TextBody"/>
        <w:bidi w:val="0"/>
        <w:spacing w:before="0" w:after="0"/>
        <w:ind w:left="0" w:right="0" w:hanging="0"/>
        <w:jc w:val="center"/>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1190"/>
        <w:gridCol w:w="80"/>
        <w:gridCol w:w="4415"/>
      </w:tblGrid>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Credit</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Management Systems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Projections and other Reporting</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D</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Reports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E</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Loan Commitments</w:t>
            </w:r>
          </w:p>
        </w:tc>
      </w:tr>
      <w:tr>
        <w:trPr/>
        <w:tc>
          <w:tcPr>
            <w:tcW w:w="1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7.1(b)</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Base Certificate</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Agreement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Borrowing</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tc>
      </w:tr>
      <w:tr>
        <w:trPr/>
        <w:tc>
          <w:tcPr>
            <w:tcW w:w="1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Subsidiaries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Compliance</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Interests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Bonding; Licenses</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Care Permits; Overpayments; FD&amp;C Permits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Dispositions</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Loans and Affiliate Transactions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Obligations</w:t>
            </w:r>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Pledges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xml:space="preserve">, dated as of September 26, 2025, is entered into by and among </w:t>
      </w:r>
      <w:r>
        <w:rPr>
          <w:rFonts w:ascii="Times New Roman;Times;Serif" w:hAnsi="Times New Roman;Times;Serif"/>
          <w:b/>
          <w:i w:val="false"/>
          <w:caps w:val="false"/>
          <w:smallCaps w:val="false"/>
          <w:sz w:val="20"/>
        </w:rPr>
        <w:t>HARROW,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the other Loan Parties from time to time party hereto, the Lenders from time to time party hereto, and </w:t>
      </w:r>
      <w:r>
        <w:rPr>
          <w:rFonts w:ascii="Times New Roman;Times;Serif" w:hAnsi="Times New Roman;Times;Serif"/>
          <w:b/>
          <w:i w:val="false"/>
          <w:caps w:val="false"/>
          <w:smallCaps w:val="false"/>
          <w:sz w:val="20"/>
        </w:rPr>
        <w:t>FIFTH THIRD BANK, NATIONAL ASSOCIATION</w:t>
      </w:r>
      <w:r>
        <w:rPr>
          <w:rFonts w:ascii="Times New Roman;Times;Serif" w:hAnsi="Times New Roman;Times;Serif"/>
          <w:b w:val="false"/>
          <w:i w:val="false"/>
          <w:caps w:val="false"/>
          <w:smallCaps w:val="false"/>
          <w:sz w:val="20"/>
        </w:rPr>
        <w:t>, as the Agent, the L/C Issuer and the Swing Line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Lenders have agreed to extend certain revolving credit facilities to the Borrower, the proceeds of which shall be used for the purposes specified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Loan Party desires to secure all of the Obligations by granting to the Agent, for the benefit of the Secured Parties, a perfected Lien on substantially all of its personal property and certain real property, in each case, pursuant to the terms of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mutual covenants hereinafter contained, and for other good and valuable consideration, the parties hereto agree as follows:</w:t>
      </w:r>
    </w:p>
    <w:p>
      <w:pPr>
        <w:pStyle w:val="TextBody"/>
        <w:bidi w:val="0"/>
        <w:spacing w:before="0" w:after="0"/>
        <w:ind w:left="0" w:right="0" w:firstLine="144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including the introductory paragraph, recitals, annexes, exhibits and schedules hereto, and the other Loan Documents, capitalized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Debtor</w:t>
      </w:r>
      <w:r>
        <w:rPr>
          <w:rFonts w:ascii="Times New Roman;Times;Serif" w:hAnsi="Times New Roman;Times;Serif"/>
          <w:b w:val="false"/>
          <w:i w:val="false"/>
          <w:caps w:val="false"/>
          <w:smallCaps w:val="false"/>
          <w:sz w:val="20"/>
        </w:rPr>
        <w:t>” means any Person who may become obligated to a Loan Party under, with respect to, or on account of, any Accounts, any Chattel Paper or any General Intangibles (including a payment intangible).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means all rights, titles and interests of each Loan Party in all of such Loan Party’s “accounts,” as such term is defined in the UCC, whether now owned, existing, hereafter acquired or arising, including all of such Loan Party’s (a) accounts receivable, other receivables, book debts and other forms of obligations (including any such obligations that may be characterized as an account or contract right under the UCC), (b) rights in, to and under all purchase orders or receipts for Goods or services, (c) rights to any Goods represented by any of the foregoing (including unpaid sellers’ rights of rescission, replevin, reclamation and stoppage in transit and rights to returned, reclaimed or repossessed Goods), (d) rights to payment due to any Loan Party for property sold, leased, licensed, assigned or otherwise disposed of, for a policy of insurance issued or to be issued, for a secondary obligation incurred or to be incurred, for energy provided or to be provided, for the use or hire of a vessel under a charter or other contract, arising out of the use of a credit card or charge card, or for services rendered or to be rendered by such Loan Party or in connection with any other transaction (whether or not yet earned by performance on the part of such Loan Party), (e) healthcare insurance receivables, and (f) Supporting Obligations and other collateral security of any kind, now or hereafter in existence, given by any Account Debtor or other Person with respect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for the purpose of or resulting, directly or indirectly, in (a) the acquisition of all or substantially all of the assets of a Person, or of any business or division of a Person, (b) the acquisition of in excess of 50% of the Stock of any Person or otherwise causing any Person to become a Subsidiary of the Borrower, or (c) a merger or consolidation or any other combination with another Person where the surviving Person is the Borrower or a Subsidiary of the Borrower.</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w:t>
      </w:r>
      <w:r>
        <w:rPr>
          <w:rFonts w:ascii="Times New Roman;Times;Serif" w:hAnsi="Times New Roman;Times;Serif"/>
          <w:b w:val="false"/>
          <w:i w:val="false"/>
          <w:caps w:val="false"/>
          <w:smallCaps w:val="false"/>
          <w:sz w:val="20"/>
        </w:rPr>
        <w:t>” means any Revolving Credit Advance and/or Swing Line Advance, as the context may require.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any EEA Financial Institution or any UK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12.6(c)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any Person, each Person that controls, is controlled by or is under common control with such Person. For the purposes of this definition, “control” of a Person shall mean the possession, directly or indirectly, of the power to direct or cause the direction of its management or policies, whether through the ownership of voting securities, by contract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term “Affiliate” shall specifically exclude the Agent, the L/C Issuer, the Swing Line Lender and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xml:space="preserve">” means Fifth Third Bank, National Association, in its capacity as administrative agent and collateral agent for the Lenders under the Loan Documents or any successor thereto appointed pursuant to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any applicable law or regulation in the U.S. or any other applicable jurisdiction regarding bribery or any other corrupt activity, including the U.S. Foreign Corrupt Practices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Anti-Terrorism Laws</w:t>
      </w:r>
      <w:r>
        <w:rPr>
          <w:rFonts w:ascii="Times New Roman;Times;Serif" w:hAnsi="Times New Roman;Times;Serif"/>
          <w:b w:val="false"/>
          <w:i w:val="false"/>
          <w:caps w:val="false"/>
          <w:smallCaps w:val="false"/>
          <w:sz w:val="20"/>
        </w:rPr>
        <w:t>” means any applicable Laws relating to terrorism financing or money laundering, including Executive Order No. 13224 (effective September 24, 2001), the USA PATRIOT Act, and the Laws comprising or implementing the Bank Secrecy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xml:space="preserve">” means, as of any date of determination, the applicable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rate in the applicable column set forth in the table below based on the Average Excess Availability Percentage.</w:t>
      </w:r>
    </w:p>
    <w:p>
      <w:pPr>
        <w:pStyle w:val="TextBody"/>
        <w:bidi w:val="0"/>
        <w:spacing w:before="0" w:after="0"/>
        <w:ind w:left="0" w:right="0" w:firstLine="1440"/>
        <w:jc w:val="both"/>
        <w:rPr>
          <w:caps w:val="false"/>
          <w:smallCaps w:val="false"/>
        </w:rPr>
      </w:pPr>
      <w:r>
        <w:rPr>
          <w:caps w:val="false"/>
          <w:smallCaps w:val="false"/>
        </w:rPr>
        <w:t> </w:t>
      </w:r>
    </w:p>
    <w:tbl>
      <w:tblPr>
        <w:tblW w:w="7040" w:type="dxa"/>
        <w:jc w:val="left"/>
        <w:tblInd w:w="0" w:type="dxa"/>
        <w:tblLayout w:type="fixed"/>
        <w:tblCellMar>
          <w:top w:w="0" w:type="dxa"/>
          <w:left w:w="0" w:type="dxa"/>
          <w:bottom w:w="28" w:type="dxa"/>
          <w:right w:w="0" w:type="dxa"/>
        </w:tblCellMar>
      </w:tblPr>
      <w:tblGrid>
        <w:gridCol w:w="1640"/>
        <w:gridCol w:w="60"/>
        <w:gridCol w:w="2030"/>
        <w:gridCol w:w="60"/>
        <w:gridCol w:w="1745"/>
        <w:gridCol w:w="60"/>
        <w:gridCol w:w="1445"/>
      </w:tblGrid>
      <w:tr>
        <w:trPr/>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Grid Level</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Excess</w:t>
              <w:br/>
              <w:t>Availability Percentage</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SOFR Loans and</w:t>
              <w:br/>
              <w:t>Tranche Rate Loans</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Rate Loans</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 66.66%</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&gt; 33.33% and </w:t>
            </w:r>
            <w:r>
              <w:rPr>
                <w:rFonts w:ascii="Times New Roman;Times;Serif" w:hAnsi="Times New Roman;Times;Serif"/>
                <w:b w:val="false"/>
                <w:i w:val="false"/>
                <w:caps w:val="false"/>
                <w:smallCaps w:val="false"/>
                <w:sz w:val="20"/>
                <w:u w:val="single"/>
              </w:rPr>
              <w:t>&lt;</w:t>
            </w:r>
            <w:r>
              <w:rPr>
                <w:rFonts w:ascii="Times New Roman;Times;Serif" w:hAnsi="Times New Roman;Times;Serif"/>
                <w:b w:val="false"/>
                <w:i w:val="false"/>
                <w:caps w:val="false"/>
                <w:smallCaps w:val="false"/>
                <w:sz w:val="20"/>
              </w:rPr>
              <w:t xml:space="preserve"> 66.66%</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r>
      <w:tr>
        <w:trPr/>
        <w:tc>
          <w:tcPr>
            <w:tcW w:w="16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&lt;</w:t>
            </w:r>
            <w:r>
              <w:rPr>
                <w:rFonts w:ascii="Times New Roman;Times;Serif" w:hAnsi="Times New Roman;Times;Serif"/>
                <w:b w:val="false"/>
                <w:i w:val="false"/>
                <w:caps w:val="false"/>
                <w:smallCaps w:val="false"/>
                <w:sz w:val="20"/>
              </w:rPr>
              <w:t xml:space="preserve"> 33.33%</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Closing Date until the Fiscal Quarter ending December 31, 2025 (such date, the “</w:t>
      </w:r>
      <w:r>
        <w:rPr>
          <w:rFonts w:ascii="Times New Roman;Times;Serif" w:hAnsi="Times New Roman;Times;Serif"/>
          <w:b w:val="false"/>
          <w:i w:val="false"/>
          <w:caps w:val="false"/>
          <w:smallCaps w:val="false"/>
          <w:sz w:val="20"/>
          <w:u w:val="single"/>
        </w:rPr>
        <w:t>First Pricing Grid Determination Date</w:t>
      </w:r>
      <w:r>
        <w:rPr>
          <w:rFonts w:ascii="Times New Roman;Times;Serif" w:hAnsi="Times New Roman;Times;Serif"/>
          <w:b w:val="false"/>
          <w:i w:val="false"/>
          <w:caps w:val="false"/>
          <w:smallCaps w:val="false"/>
          <w:sz w:val="20"/>
        </w:rPr>
        <w:t>”), the Applicable Margin shall be determined by reference to “Pricing Grid Level II” as set forth above. From and after the First Pricing Grid Determination Date, the Applicable Margin shall be determined as of the end of each Fiscal Quarter ending on or after the First Pricing Grid Determination Date (each such date, a “</w:t>
      </w:r>
      <w:r>
        <w:rPr>
          <w:rFonts w:ascii="Times New Roman;Times;Serif" w:hAnsi="Times New Roman;Times;Serif"/>
          <w:b w:val="false"/>
          <w:i w:val="false"/>
          <w:caps w:val="false"/>
          <w:smallCaps w:val="false"/>
          <w:sz w:val="20"/>
          <w:u w:val="single"/>
        </w:rPr>
        <w:t>Determination Date</w:t>
      </w:r>
      <w:r>
        <w:rPr>
          <w:rFonts w:ascii="Times New Roman;Times;Serif" w:hAnsi="Times New Roman;Times;Serif"/>
          <w:b w:val="false"/>
          <w:i w:val="false"/>
          <w:caps w:val="false"/>
          <w:smallCaps w:val="false"/>
          <w:sz w:val="20"/>
        </w:rPr>
        <w:t>”). Upon Agent’s receipt of the applicable Financial Statements and a corresponding Borrowing Base Certificate, the Applicable Margin will be subject to adjustment in accordance with the table set forth above based on the Average Excess Availability Percentage for the applicable Fiscal Quarter so long as no Event of Default is existing as of the applicable Determination Date (and, if any such Event of Default is then existing and continuing, including the failure to timely deliver the applicable Financial Statements and a corresponding Borrowing Base Certificate, the Applicable Margin shall be determined by reference to “Pricing Grid Level III” as set forth above, commencing on the first date of such Event of Default). The foregoing adjustment, if applicable, will become effective on the first Business Day of the first calendar month after Agent’s receipt of the applicable Financial Statements and a corresponding Borrowing Base Certificate until the next succeeding effective date of adjustment pursuant to this definition.</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any applicable Borrowing Base Certificate is inaccurate, and such inaccuracy, if corrected, would have led to the imposition of a higher Applicable Margin for any period than the Applicable Margin applied for that period, then (i) Borrower shall promptly deliver to Agent a corrected Borrowing Base Certificate for that period, (ii) the Applicable Margin shall be determined based on the corrected Borrowing Base Certificate for that period, and (iii) Borrower shall promptly pay to Agent (for the account of the Lenders that hold the Revolving Loan Commitments and Advances at the time such payment is received, regardless of whether those Lenders held the Revolving Loan Commitments and Advances during the relevant period) the accrued additional interest owing as a result of such increased Applicable Margin for that period. This paragraph shall not limit the rights of Agent or the Lenders with respect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shall survive the termination of this Agreement until the payment in full in cash of the aggregate outstanding principal balance of the Advances.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Application Event</w:t>
      </w:r>
      <w:r>
        <w:rPr>
          <w:rFonts w:ascii="Times New Roman;Times;Serif" w:hAnsi="Times New Roman;Times;Serif"/>
          <w:b w:val="false"/>
          <w:i w:val="false"/>
          <w:caps w:val="false"/>
          <w:smallCaps w:val="false"/>
          <w:sz w:val="20"/>
        </w:rPr>
        <w:t xml:space="preserve">” means (a) the failure by the Borrower to repay all of the Obligations in full on the Commitment Termination Date, or (b) the occurrence and continuance of an Event of Default and the election by the Agent or the Required Lenders to require that payments and proceeds of Collateral be applied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xml:space="preserve">” means any (a) investment company, fund, trust, securitization vehicle or conduit that is (or will be) engaged in making, purchasing, holding or otherwise investing in commercial loans and similar extensions of credit in the ordinary course of its business, or (b) any Person (other than a natural person) which temporarily warehouses loans for any Lender or any entity described in the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that, with respect to each of the preceding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is administered or managed by (i) a Lender, (ii) an Affiliate of a Lender, or (iii) a Person (other than a natural person) or an Affiliate of a Person (other than a natural person) that administers or manages a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Agreement</w:t>
      </w:r>
      <w:r>
        <w:rPr>
          <w:rFonts w:ascii="Times New Roman;Times;Serif" w:hAnsi="Times New Roman;Times;Serif"/>
          <w:b w:val="false"/>
          <w:i w:val="false"/>
          <w:caps w:val="false"/>
          <w:smallCaps w:val="false"/>
          <w:sz w:val="20"/>
        </w:rPr>
        <w:t xml:space="preserve">” means an assignment agreement substantially in the form of </w:t>
      </w:r>
      <w:r>
        <w:rPr>
          <w:rFonts w:ascii="Times New Roman;Times;Serif" w:hAnsi="Times New Roman;Times;Serif"/>
          <w:b w:val="false"/>
          <w:i w:val="false"/>
          <w:caps w:val="false"/>
          <w:smallCaps w:val="false"/>
          <w:sz w:val="20"/>
          <w:u w:val="single"/>
        </w:rPr>
        <w:t>Exhibit 12.6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means, as of any date of determination, the lesser of (a) the Maximum Revolver Amount as of such date and (b) the Borrowing Base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Excess Availability Percentage</w:t>
      </w:r>
      <w:r>
        <w:rPr>
          <w:rFonts w:ascii="Times New Roman;Times;Serif" w:hAnsi="Times New Roman;Times;Serif"/>
          <w:b w:val="false"/>
          <w:i w:val="false"/>
          <w:caps w:val="false"/>
          <w:smallCaps w:val="false"/>
          <w:sz w:val="20"/>
        </w:rPr>
        <w:t xml:space="preserve">” means, with respect to any period, the </w:t>
      </w:r>
      <w:r>
        <w:rPr>
          <w:rFonts w:ascii="Times New Roman;Times;Serif" w:hAnsi="Times New Roman;Times;Serif"/>
          <w:b w:val="false"/>
          <w:i w:val="false"/>
          <w:caps w:val="false"/>
          <w:smallCaps w:val="false"/>
          <w:sz w:val="20"/>
          <w:u w:val="single"/>
        </w:rPr>
        <w:t>quotient</w:t>
      </w:r>
      <w:r>
        <w:rPr>
          <w:rFonts w:ascii="Times New Roman;Times;Serif" w:hAnsi="Times New Roman;Times;Serif"/>
          <w:b w:val="false"/>
          <w:i w:val="false"/>
          <w:caps w:val="false"/>
          <w:smallCaps w:val="false"/>
          <w:sz w:val="20"/>
        </w:rPr>
        <w:t xml:space="preserve"> (expressed as a percentage) of (a) the </w:t>
      </w:r>
      <w:r>
        <w:rPr>
          <w:rFonts w:ascii="Times New Roman;Times;Serif" w:hAnsi="Times New Roman;Times;Serif"/>
          <w:b w:val="false"/>
          <w:i w:val="false"/>
          <w:caps w:val="false"/>
          <w:smallCaps w:val="false"/>
          <w:sz w:val="20"/>
          <w:u w:val="single"/>
        </w:rPr>
        <w:t>quotient</w:t>
      </w:r>
      <w:r>
        <w:rPr>
          <w:rFonts w:ascii="Times New Roman;Times;Serif" w:hAnsi="Times New Roman;Times;Serif"/>
          <w:b w:val="false"/>
          <w:i w:val="false"/>
          <w:caps w:val="false"/>
          <w:smallCaps w:val="false"/>
          <w:sz w:val="20"/>
        </w:rPr>
        <w:t xml:space="preserve"> of (i) the aggregate amount of Excess Availability for each Business Day in such period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(ii) the number of Business Days in such period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Availability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Product</w:t>
      </w:r>
      <w:r>
        <w:rPr>
          <w:rFonts w:ascii="Times New Roman;Times;Serif" w:hAnsi="Times New Roman;Times;Serif"/>
          <w:b w:val="false"/>
          <w:i w:val="false"/>
          <w:caps w:val="false"/>
          <w:smallCaps w:val="false"/>
          <w:sz w:val="20"/>
        </w:rPr>
        <w:t xml:space="preserve">” means any of the following products, services or facilities extended to any Loan Party from time to time by the Agent, any Lender or any of Affiliate of the Agent or any Lender or any Person who was the Agent, a Lender or an Affiliate of the Agent or a Lender at the time it provided such products, services or facilities: (a) any services in connection with operating, collections, payroll, trust, or other depository or disbursement accounts, including automated clearinghouse, e-payable, electronic funds transfer, wire transfer, controlled disbursement, overdraft, depository, information reporting, lockbox services, stop payment services, and other treasury management services; (b) commercial credit card and merchant card services; and (c) other banking products or services as may be requested by any Loan Party, other than Letters of Credit and Rate Contracts;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products, services or facilities provided by any Lender (other than any Lender that is also the Agent or an Affiliate of the Agent) or any of its respective Affiliates shall be deemed to be “</w:t>
      </w:r>
      <w:r>
        <w:rPr>
          <w:rFonts w:ascii="Times New Roman;Times;Serif" w:hAnsi="Times New Roman;Times;Serif"/>
          <w:b w:val="false"/>
          <w:i w:val="false"/>
          <w:caps w:val="false"/>
          <w:smallCaps w:val="false"/>
          <w:sz w:val="20"/>
          <w:u w:val="single"/>
        </w:rPr>
        <w:t>Bank Products</w:t>
      </w:r>
      <w:r>
        <w:rPr>
          <w:rFonts w:ascii="Times New Roman;Times;Serif" w:hAnsi="Times New Roman;Times;Serif"/>
          <w:b w:val="false"/>
          <w:i w:val="false"/>
          <w:caps w:val="false"/>
          <w:smallCaps w:val="false"/>
          <w:sz w:val="20"/>
        </w:rPr>
        <w:t>” hereunder until the Agent has been notified in writing by the applicable Lender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xml:space="preserve">” means the provisions of Title 11 of the United States Code, 11 U.S.C. §§ 101 </w:t>
      </w:r>
      <w:r>
        <w:rPr>
          <w:rFonts w:ascii="Times New Roman;Times;Serif" w:hAnsi="Times New Roman;Times;Serif"/>
          <w:b w:val="false"/>
          <w:i/>
          <w:caps w:val="false"/>
          <w:smallCaps w:val="false"/>
          <w:sz w:val="20"/>
        </w:rPr>
        <w:t>et seq.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w:t>
      </w:r>
      <w:r>
        <w:rPr>
          <w:rFonts w:ascii="Times New Roman;Times;Serif" w:hAnsi="Times New Roman;Times;Serif"/>
          <w:b w:val="false"/>
          <w:i w:val="false"/>
          <w:caps w:val="false"/>
          <w:smallCaps w:val="false"/>
          <w:sz w:val="20"/>
        </w:rPr>
        <w:t xml:space="preserve">” means a variable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rate, as of any date of determination, equal to the greater of: (a) 1.00% or (b) the rate that Fifth Third publicly announces, publishes or designates from time to time as its index rate or prime rate, or any successor rate thereto, in effect at its principal office. The Base Rate is a reference rate and does not necessarily represent the lowest or best rate actually charged to any customer. Fifth Third may make commercial loans or other loans at rates of interest at, above or below the Base Rate. Any change in the Base Rate shall be effective for purposes of this Agreement on the date of such change without notice to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 Loans</w:t>
      </w:r>
      <w:r>
        <w:rPr>
          <w:rFonts w:ascii="Times New Roman;Times;Serif" w:hAnsi="Times New Roman;Times;Serif"/>
          <w:b w:val="false"/>
          <w:i w:val="false"/>
          <w:caps w:val="false"/>
          <w:smallCaps w:val="false"/>
          <w:sz w:val="20"/>
        </w:rPr>
        <w:t>” means Advances that accrue interest by reference to the Base Rate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2.5(b)(i)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has the meaning ascribed to such term in </w:t>
      </w:r>
      <w:r>
        <w:rPr>
          <w:rFonts w:ascii="Times New Roman;Times;Serif" w:hAnsi="Times New Roman;Times;Serif"/>
          <w:b w:val="false"/>
          <w:i w:val="false"/>
          <w:caps w:val="false"/>
          <w:smallCaps w:val="false"/>
          <w:sz w:val="20"/>
          <w:u w:val="single"/>
        </w:rPr>
        <w:t>Section 2.5(b)(ii)(A)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the United States 31 C.F.R. § 1010.230.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IRC, or (c) any Person whose assets include (for purposes of ERISA Section 3(42) or otherwise for purposes of Title I of ERISA or Section 4975 of the IRC) the assets of any such “employee benefit plan” or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BillPayer Service</w:t>
      </w:r>
      <w:r>
        <w:rPr>
          <w:rFonts w:ascii="Times New Roman;Times;Serif" w:hAnsi="Times New Roman;Times;Serif"/>
          <w:b w:val="false"/>
          <w:i w:val="false"/>
          <w:caps w:val="false"/>
          <w:smallCaps w:val="false"/>
          <w:sz w:val="20"/>
        </w:rPr>
        <w:t>” means the Agent’s (or, as applicable, its Affiliate’s) then current automated bill paying service, as established and implemented by the Agent (or such Affiliate) in accordance with its methods and procedures periodically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as defined in the introductory paragraph hereto.</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w:t>
      </w:r>
      <w:r>
        <w:rPr>
          <w:rFonts w:ascii="Times New Roman;Times;Serif" w:hAnsi="Times New Roman;Times;Serif"/>
          <w:b w:val="false"/>
          <w:i w:val="false"/>
          <w:caps w:val="false"/>
          <w:smallCaps w:val="false"/>
          <w:sz w:val="20"/>
        </w:rPr>
        <w:t>” means, as of any date of determination by the Agent, with respect to the Loan Parties, the sum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 to 90% of the Eligible Investment Grade Accounts as of such date,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 to 90% of Eligible Credit Insured Accounts as of such date,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 to 85% of the Eligible Non-Investment Grade Accounts as of such date, </w:t>
      </w:r>
      <w:r>
        <w:rPr>
          <w:rFonts w:ascii="Times New Roman;Times;Serif" w:hAnsi="Times New Roman;Times;Serif"/>
          <w:b w:val="false"/>
          <w:i w:val="false"/>
          <w:caps w:val="false"/>
          <w:smallCaps w:val="false"/>
          <w:sz w:val="20"/>
          <w:u w:val="single"/>
        </w:rPr>
        <w:t>minus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Reserves established by the Agent as of such date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Agent may, in its Permitted Discretion, reduce or otherwise adjust the advance rates set forth above applicable to specific Account Debtors or classes of Account Debtors, establish or otherwise adjust Reserves or reduce or otherwise adjust one or more of the other elements used in computing the Borrowing Base, including standards of eligibility consistent with the terms of this Agreement, including concentration limitations, aging and cross-aging limitations and contra deductions, in each case, based upon its review and analysis of the Loan Parties’ historical collection history, contractual allowances, returns, rebates, discounts, credits and other allowances with such payors, all in a manner consistent with Agent’s underwriting practices and procedures. The Borrowing Base at any time shall be determined by reference to the most recent Borrowing Base Certificate delivered to the Agent pursuant to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during Exigent Circumstances, during the continuance of an Event of Default or as required by law, the Agent shall provide the Borrower with not less than two Business Days’ prior written notice of the establishment or increase of any new Reserve, and shall consult in good faith with the Borrower regarding the basis for such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xml:space="preserve">” means a certificate in the form of </w:t>
      </w:r>
      <w:r>
        <w:rPr>
          <w:rFonts w:ascii="Times New Roman;Times;Serif" w:hAnsi="Times New Roman;Times;Serif"/>
          <w:b w:val="false"/>
          <w:i w:val="false"/>
          <w:caps w:val="false"/>
          <w:smallCaps w:val="false"/>
          <w:sz w:val="20"/>
          <w:u w:val="single"/>
        </w:rPr>
        <w:t>Exhibit 7.1(b)</w:t>
      </w:r>
      <w:r>
        <w:rPr>
          <w:rFonts w:ascii="Times New Roman;Times;Serif" w:hAnsi="Times New Roman;Times;Serif"/>
          <w:b w:val="false"/>
          <w:i w:val="false"/>
          <w:caps w:val="false"/>
          <w:smallCaps w:val="false"/>
          <w:sz w:val="20"/>
        </w:rPr>
        <w:t xml:space="preserve"> and delivered to the Agent pursuant to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that commercial banks in New York, New York and/or Cincinnati, Ohio are required by law to be open for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notwithstanding anything to the contrary in this definition, at any time during which a Rate Contract with any Secured Party is then in effect with respect to all or a portion of the Obligations, then the definition of “Business Day” pursuant to such Rate Contract shall govern with respect to all applicable notices and determinations in connection with such portion of the Obligations arising under such Rate Contract. Periods of days referred to in the Loan Documents will be counted in calendar days unless Business Days or U.S. Government Securities Business Days are expressly prescribed.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xml:space="preserve">” means, with respect to any Person, all expenditures (by the expenditure of cash or the incurrence of Indebtedness) by such Person during any period for any fixed assets or improvements, or for replacements, substitutions or additions thereto, that have a useful life of more than one year and that are required to be capitalized under GAAP; excluding, without duplication, any such expenditures or liabilities to the extent constituting (a) expenditures of insurance proceeds to acquire or repair any asset, (b) leasehold improvements for which the Borrower or any Subsidiary is reimbursed by the lessor, sublessor or sublessee, (c) expenditures made with the proceeds of any amount reinvested pursuant to </w:t>
      </w:r>
      <w:r>
        <w:rPr>
          <w:rFonts w:ascii="Times New Roman;Times;Serif" w:hAnsi="Times New Roman;Times;Serif"/>
          <w:b w:val="false"/>
          <w:i w:val="false"/>
          <w:caps w:val="false"/>
          <w:smallCaps w:val="false"/>
          <w:sz w:val="20"/>
          <w:u w:val="single"/>
        </w:rPr>
        <w:t>Section 2.2(b)(ii)</w:t>
      </w:r>
      <w:r>
        <w:rPr>
          <w:rFonts w:ascii="Times New Roman;Times;Serif" w:hAnsi="Times New Roman;Times;Serif"/>
          <w:b w:val="false"/>
          <w:i w:val="false"/>
          <w:caps w:val="false"/>
          <w:smallCaps w:val="false"/>
          <w:sz w:val="20"/>
        </w:rPr>
        <w:t>, (d) consideration for Permitted Acquisitions (including for this purpose Acquisitions that closed prior to the Closing Date), or (e) consideration for Permitted Intellectual Property Acquisitions (including for this purpose any Acquisitions that closed prior to the Closing Date). Capital Expenditures shall include the total principal portion of Capital Lease Obligations.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xml:space="preserve">” means, with respect to any Person, any lease of any property (whether real, personal or mixed) by such Person as lessee that, in accordance with GAAP, would be required to be classified and accounted for as a capital lease or finance lease on a balance sheet of such Person, subject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w:t>
      </w:r>
      <w:r>
        <w:rPr>
          <w:rFonts w:ascii="Times New Roman;Times;Serif" w:hAnsi="Times New Roman;Times;Serif"/>
          <w:b w:val="false"/>
          <w:i w:val="false"/>
          <w:caps w:val="false"/>
          <w:smallCaps w:val="false"/>
          <w:sz w:val="20"/>
        </w:rPr>
        <w:t xml:space="preserve">” means, with respect to any Capital Lease of any Person, the amount of the obligation of the lessee thereunder that, in accordance with GAAP, would appear on a balance sheet of such lessee in respect of such Capital Lease, subject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Dominion Period</w:t>
      </w:r>
      <w:r>
        <w:rPr>
          <w:rFonts w:ascii="Times New Roman;Times;Serif" w:hAnsi="Times New Roman;Times;Serif"/>
          <w:b w:val="false"/>
          <w:i w:val="false"/>
          <w:caps w:val="false"/>
          <w:smallCaps w:val="false"/>
          <w:sz w:val="20"/>
        </w:rPr>
        <w:t>” means the period (a) commencing on the earlier of the date that (i) Excess Availability as of such date is less than the greater of 12.5% of Availability as of such date and $4,500,000 for a period of three consecutive business days and (ii) an Event of Default has occurred and is continuing, and (b) ending on the date that (i) Excess Availability is equal to or greater than 12.5% of Availability for 30 consecutive days and (ii) no Event of Default exists</w:t>
      </w:r>
      <w:r>
        <w:rPr>
          <w:rFonts w:ascii="Times New Roman;Times;Serif" w:hAnsi="Times New Roman;Times;Serif"/>
          <w:b/>
          <w:i/>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xml:space="preserve">” means (a) any readily-marketable securities (i) issued by, or directly, unconditionally and fully guaranteed or insured by the United States federal government or (ii) issued by any agency of the United States federal government or an agency of the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“A-1” from S&amp;P or at least “P-1” from Moody’s, (c) any commercial paper rated at least “A-1” by S&amp;P or “P-1” by Moody’s and issued by any Person organized under the Laws of any state of the United States, (d) any Dollar-denominated time deposit, insured certificate of deposit, overnight bank deposit or bankers’ acceptance issued or accepted by (i) any Lender or (ii) 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$500,000,000 having combined capital and surplus and undivided profits not less than $500,000,000 and is rated at least A-3 by S&amp;P or at least P-3 by Moody’s, and (e) shares of any United States money market fund that (i) has substantially all of its assets invested continuously in the types of investments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with maturities as set forth in the proviso below, (ii) has net assets in excess of $500,000,000 and (iii) has obtained from either S&amp;P or Moody’s the highest rating obtainable for money market funds in the United States;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maturities of all obligations specified in any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shall not exceed 365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Systems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CCP</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5.6(c)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 means the Comprehensive Environmental Response, Compensation and Liability Act of 1980.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“person” or “group” (as such terms are used in Sections 13(d) and 14(d) of the Exchange Act) (i) is or shall at any time become the “beneficial owner” (as defined in Rules 13(d)-3 and 13(d)-5 under the Exchange Act), directly or indirectly, of 50% or more on a fully diluted basis of the voting interests in the Borrower’s Stock or (ii) shall have acquired the power (whether or not exercised) to elect a majority of the members of the board of directors of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means all federal, state, county, city, municipal, local, foreign or other governmental Taxes (including Taxes owed to the PBGC at the time due and payable), levies, assessments, charges, Liens, claims or encumbrances upon or relating to (a) the Collateral, (b) the Obligations, (c) the employees, payroll, income or gross receipts of any Loan Party, (d) any Loan Party’s ownership or use of any properties or other assets, or (e) any other aspect of any Loan Party’s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Chattel Paper</w:t>
      </w:r>
      <w:r>
        <w:rPr>
          <w:rFonts w:ascii="Times New Roman;Times;Serif" w:hAnsi="Times New Roman;Times;Serif"/>
          <w:b w:val="false"/>
          <w:i w:val="false"/>
          <w:caps w:val="false"/>
          <w:smallCaps w:val="false"/>
          <w:sz w:val="20"/>
        </w:rPr>
        <w:t>” means all rights, titles and interests of each Loan Party in all of such Loan Party’s “chattel paper,” as such term is defined in the UCC, including electronic chattel paper, whether now owned or existing or hereafter acquired or arising, wherever located.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the property covered by the Guaranty and Security Agreement, any Mortgages and the other Collateral Documents and any other property, real or personal, tangible or intangible, whether now owned or existing or hereafter acquired or arising, that may at any time be or become subject to a security interest or Lien in favor of the Agent, on behalf of itself and Lenders, to secure the Obligations, but specifically excluding the Excluded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Access Agreement</w:t>
      </w:r>
      <w:r>
        <w:rPr>
          <w:rFonts w:ascii="Times New Roman;Times;Serif" w:hAnsi="Times New Roman;Times;Serif"/>
          <w:b w:val="false"/>
          <w:i w:val="false"/>
          <w:caps w:val="false"/>
          <w:smallCaps w:val="false"/>
          <w:sz w:val="20"/>
        </w:rPr>
        <w:t>” means a landlord waiver of any lessor of Real Estate leased to any Loan Party, in form and substance satisfactory to the Agent in its Permitted Discretion and pursuant to which the lessor waives or subordinates any Lien it may have on the Collateral, and agrees to permit the Agent to enter upon the premises and remove the Collateral or to use the premises to store or dispose of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means the Guaranty and Security Agreement, the Perfection Certificate, the Copyright Security Agreements, the Patent Security Agreements, the Trademark Security Agreements, any Mortgages, the Collateral Access Agreements, the Deposit Account Control Agreements, the Securities Account Control Agreements, and all other agreements heretofore, now or hereafter entered into in favor of the Agent or any Lender guarantying payment of, or granting a Lien upon property as security for payment of,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Reports</w:t>
      </w:r>
      <w:r>
        <w:rPr>
          <w:rFonts w:ascii="Times New Roman;Times;Serif" w:hAnsi="Times New Roman;Times;Serif"/>
          <w:b w:val="false"/>
          <w:i w:val="false"/>
          <w:caps w:val="false"/>
          <w:smallCaps w:val="false"/>
          <w:sz w:val="20"/>
        </w:rPr>
        <w:t xml:space="preserve">” means the reports with respect to the Collateral referred to in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means one or more Deposit Accounts of a Loan Party as may be specified by the Agent to and in consultation with the Borrower as a “Collection Account” from time to time.</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Termination Date</w:t>
      </w:r>
      <w:r>
        <w:rPr>
          <w:rFonts w:ascii="Times New Roman;Times;Serif" w:hAnsi="Times New Roman;Times;Serif"/>
          <w:b w:val="false"/>
          <w:i w:val="false"/>
          <w:caps w:val="false"/>
          <w:smallCaps w:val="false"/>
          <w:sz w:val="20"/>
        </w:rPr>
        <w:t xml:space="preserve">” means the earliest of (a) the Stated Maturity Date, (b) the date of termination of Lenders’ obligations to make Advances and to incur Letter of Credit Obligations or permit existing Advances to remain outstanding pursuant to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xml:space="preserve">, and (c) the date of prepayment in full by the Borrower of the outstanding Advances and the cancellation and return (or stand-by guaranty) of all Letters of Credit or the cash collateralization of all Letter of Credit Obligations pursuant to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and the termination and permanent reduction of the Revolving Loan Commitments to $0.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xml:space="preserve">” means the Commodity Exchange Act (7 U.S.C. §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 and any successor statute.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compliance certificate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2.5(b)(ii)(B)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Adjusted EBITDA</w:t>
      </w:r>
      <w:r>
        <w:rPr>
          <w:rFonts w:ascii="Times New Roman;Times;Serif" w:hAnsi="Times New Roman;Times;Serif"/>
          <w:b w:val="false"/>
          <w:i w:val="false"/>
          <w:caps w:val="false"/>
          <w:smallCaps w:val="false"/>
          <w:sz w:val="20"/>
        </w:rPr>
        <w:t>” means, for any Test Period, an amount determined for the Borrower and its Subsidiaries on a consolidated basis equal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Consolidated Net Income for such Test Period;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reducing Consolidated Net Income for such Test Period (other than with respect to the adjustments set forth in </w:t>
      </w:r>
      <w:r>
        <w:rPr>
          <w:rFonts w:ascii="Times New Roman;Times;Serif" w:hAnsi="Times New Roman;Times;Serif"/>
          <w:b w:val="false"/>
          <w:i w:val="false"/>
          <w:caps w:val="false"/>
          <w:smallCaps w:val="false"/>
          <w:sz w:val="20"/>
          <w:u w:val="single"/>
        </w:rPr>
        <w:t>clauses (b)(x)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xml:space="preserve"> below), the sum, without duplication, of the following for such Test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consolidated interest expense;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provision for taxes based on income, profits, or capital, including federal, foreign, state, provincial, territorial, local, franchise, excise, and similar taxes paid or accrued;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consolidated depreciation and amortization expense (including write-off of debt discount and debt issuance costs and commissions, discounts and the fees and charges associated with Indebtedness);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transaction costs paid in connection with the negotiation, execution and delivery of (A) the Loan Documents and the Senior Unsecured Notes (I) on or before the Closing Date or (II) within 90 days thereafter up to an aggregate </w:t>
      </w:r>
      <w:r>
        <w:rPr>
          <w:rFonts w:ascii="Times New Roman;Times;Serif" w:hAnsi="Times New Roman;Times;Serif"/>
          <w:b w:val="false"/>
          <w:i w:val="false"/>
          <w:caps w:val="false"/>
          <w:smallCaps w:val="false"/>
          <w:spacing w:val="-1"/>
          <w:sz w:val="20"/>
        </w:rPr>
        <w:t xml:space="preserve">amount with respect to fees, costs expenses pursuant to this </w:t>
      </w:r>
      <w:r>
        <w:rPr>
          <w:rFonts w:ascii="Times New Roman;Times;Serif" w:hAnsi="Times New Roman;Times;Serif"/>
          <w:b w:val="false"/>
          <w:i w:val="false"/>
          <w:caps w:val="false"/>
          <w:smallCaps w:val="false"/>
          <w:spacing w:val="-1"/>
          <w:sz w:val="20"/>
          <w:u w:val="single"/>
        </w:rPr>
        <w:t>clause (II)</w:t>
      </w:r>
      <w:r>
        <w:rPr>
          <w:rFonts w:ascii="Times New Roman;Times;Serif" w:hAnsi="Times New Roman;Times;Serif"/>
          <w:b w:val="false"/>
          <w:i w:val="false"/>
          <w:caps w:val="false"/>
          <w:smallCaps w:val="false"/>
          <w:spacing w:val="-1"/>
          <w:sz w:val="20"/>
        </w:rPr>
        <w:t xml:space="preserve"> of $250,000</w:t>
      </w:r>
      <w:r>
        <w:rPr>
          <w:rFonts w:ascii="Times New Roman;Times;Serif" w:hAnsi="Times New Roman;Times;Serif"/>
          <w:b w:val="false"/>
          <w:i w:val="false"/>
          <w:caps w:val="false"/>
          <w:smallCaps w:val="false"/>
          <w:sz w:val="20"/>
        </w:rPr>
        <w:t xml:space="preserve"> and (B) any amendments, waivers, consents or other modifications to any Loan Documents or the Senior Unsecured Notes after the Closing Date;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fees, payments and expenses incurred by the Borrower or its Subsidiaries in connection with any Permitted Acquisition, Permitted Intellectual Property Acquisition or similar Investment (including Acquisitions or Investments that closed prior to the Closing Date) that are payable to unaffiliated third parties, in each case, solely to the extent attributable to a transaction permitted by this Agreement, whether or not any such transaction has been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added back pursuant to this </w:t>
      </w:r>
      <w:r>
        <w:rPr>
          <w:rFonts w:ascii="Times New Roman;Times;Serif" w:hAnsi="Times New Roman;Times;Serif"/>
          <w:b w:val="false"/>
          <w:i w:val="false"/>
          <w:caps w:val="false"/>
          <w:smallCaps w:val="false"/>
          <w:sz w:val="20"/>
          <w:u w:val="single"/>
        </w:rPr>
        <w:t>clause (b)(v)</w:t>
      </w:r>
      <w:r>
        <w:rPr>
          <w:rFonts w:ascii="Times New Roman;Times;Serif" w:hAnsi="Times New Roman;Times;Serif"/>
          <w:b w:val="false"/>
          <w:i w:val="false"/>
          <w:caps w:val="false"/>
          <w:smallCaps w:val="false"/>
          <w:sz w:val="20"/>
        </w:rPr>
        <w:t xml:space="preserve"> in any Test Period for any such transaction that is not consummated shall not exceed $1,000,000;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any non-cash charges, expenses or losses, including non-cash adjustments resulting from the application of purchase accounting, any non-cash asset retirement costs, non-cash expenses arising from grants of stock appreciation rights, stock options or restricted stock or the vesting of warrants, non-cash impairment of good will and other long term intangible assets, non-cash compensation charges, and non-cash translation loss, but excluding any such non-cash charges, expenses or losses (A) that relate to a write-down, write-off or reserve with respect to accounts receivable or inventory and (B) that represent an accrual or reserve for a potential cash charge in any future period or amortization of a prepaid cash charge that was paid in a prior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non-cash Stock-based compensation and expenses incurred in connection therewith for such Test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[reserved];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non-recurring or unusual fees, costs and expenses, including lease termination costs, integration costs, restructuring charges, business optimization costs, new product design, development and introductions (including intellectual property development), project start-up costs (including entry into new market/channels, new service offerings or new platforms) and consolidation costs, charges and losses, signing costs, consulting fees, advisory fees and other non-recurring expenses not otherwise added back to Consolidated Adjusted EBITDA, in an aggregate amount not to exceed, together with the amounts added back under </w:t>
      </w:r>
      <w:r>
        <w:rPr>
          <w:rFonts w:ascii="Times New Roman;Times;Serif" w:hAnsi="Times New Roman;Times;Serif"/>
          <w:b w:val="false"/>
          <w:i w:val="false"/>
          <w:caps w:val="false"/>
          <w:smallCaps w:val="false"/>
          <w:sz w:val="20"/>
          <w:u w:val="single"/>
        </w:rPr>
        <w:t>clause (b)(xiii)</w:t>
      </w:r>
      <w:r>
        <w:rPr>
          <w:rFonts w:ascii="Times New Roman;Times;Serif" w:hAnsi="Times New Roman;Times;Serif"/>
          <w:b w:val="false"/>
          <w:i w:val="false"/>
          <w:caps w:val="false"/>
          <w:smallCaps w:val="false"/>
          <w:sz w:val="20"/>
        </w:rPr>
        <w:t xml:space="preserve">, 10% of Consolidated Adjusted EBITDA (calculated before giving effect to such add-backs) in the aggregate for any Test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losses or expenses incurred which are reimbursable to the Borrower or one of its Subsidiaries in respect of indemnification or reimbursement obligations owing from any unaffiliated third party or insurance policies (other than any business interruption insurance policy) so long as such losses or expenses are reimbursed to the applicable Loan Party within 270 days (or such later date as may be consented to by Agent) of the incurrence thereof (or prior to such date be subject to a written confirmation by the applicable third party or insurance company to so reimburse the applicable Loan Party within 365 days (or such later date as may be consented to by Agent) of the incurrence of such losses or expenses);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compensation paid to members of the board of directors of any Loan Party, and reimbursement of expenses incurred by members of the board of directors of any Loan Party, in each case for their service thereupon, collectively, in an aggregate amount not to exceed $500,000 during any Test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costs associated with recruiting and retaining management personnel, including sign-on and relocation expenses, signing and performance bonuses and severance costs in an aggregate amount not to exceed $500,000 during any Test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costs, losses or expenses incurred in connection with new locations, Products or lines of business, in each case incurred during the first six months immediately prior to, and during the first 12 months immediately following, the opening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aggregate amount added back with respect to any new location or line of business pursuant to this clause shall not exceed 5% of Consolidated Adjusted EBITDA (calculated before any such add-back) and (B) in no event shall the aggregate amount added to Consolidated Adjusted EBITDA under this </w:t>
      </w:r>
      <w:r>
        <w:rPr>
          <w:rFonts w:ascii="Times New Roman;Times;Serif" w:hAnsi="Times New Roman;Times;Serif"/>
          <w:b w:val="false"/>
          <w:i w:val="false"/>
          <w:caps w:val="false"/>
          <w:smallCaps w:val="false"/>
          <w:sz w:val="20"/>
          <w:u w:val="single"/>
        </w:rPr>
        <w:t>clause (b)(xiii)</w:t>
      </w:r>
      <w:r>
        <w:rPr>
          <w:rFonts w:ascii="Times New Roman;Times;Serif" w:hAnsi="Times New Roman;Times;Serif"/>
          <w:b w:val="false"/>
          <w:i w:val="false"/>
          <w:caps w:val="false"/>
          <w:smallCaps w:val="false"/>
          <w:sz w:val="20"/>
        </w:rPr>
        <w:t xml:space="preserve">, together with the amounts added back under </w:t>
      </w:r>
      <w:r>
        <w:rPr>
          <w:rFonts w:ascii="Times New Roman;Times;Serif" w:hAnsi="Times New Roman;Times;Serif"/>
          <w:b w:val="false"/>
          <w:i w:val="false"/>
          <w:caps w:val="false"/>
          <w:smallCaps w:val="false"/>
          <w:sz w:val="20"/>
          <w:u w:val="single"/>
        </w:rPr>
        <w:t>clause (b)(ix)</w:t>
      </w:r>
      <w:r>
        <w:rPr>
          <w:rFonts w:ascii="Times New Roman;Times;Serif" w:hAnsi="Times New Roman;Times;Serif"/>
          <w:b w:val="false"/>
          <w:i w:val="false"/>
          <w:caps w:val="false"/>
          <w:smallCaps w:val="false"/>
          <w:sz w:val="20"/>
        </w:rPr>
        <w:t xml:space="preserve">, exceed 10% of Consolidated Adjusted EBITDA (calculated before giving effect to such add-backs) in the aggregate for any Test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earn-out and similar payments to the extent expensed during such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subject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solely for purposes of determining actual compliance with the Financial Covenant for such Test Period, the amount of any Specified Cure Contribution made in respect of any Fiscal Month during such Test Period;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such other adjustments as the Agent may agree in writing in its sole discretion; </w:t>
      </w:r>
      <w:r>
        <w:rPr>
          <w:rFonts w:ascii="Times New Roman;Times;Serif" w:hAnsi="Times New Roman;Times;Serif"/>
          <w:b w:val="false"/>
          <w:i w:val="false"/>
          <w:caps w:val="false"/>
          <w:smallCaps w:val="false"/>
          <w:sz w:val="20"/>
          <w:u w:val="single"/>
        </w:rPr>
        <w:t>minus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increasing Consolidated Net Income for such Test Period, the sum, without duplication, of the following for such Test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interest income;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income tax refunds and credits;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unusual, one-time or non-recurring gains;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non-cash gains (excluding any such non-cash gain to the extent it represents the reversal of an accrual or reserve for potential cash items that reduced net income in any prior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for any period, (a) the net income (or loss) of the Borrower and its Subsidiaries on a consolidated basis for such period taken as a single accounting period determined in conformity with GAAP,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(with respect to any gains or incomes) or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(with respect to any losses or expenses) (b)(i) the income of any Person that is not a Subsidiary in which any other Person (other than a Loan Party) has a joint interest, except to the extent of the amount of dividends or other distributions actually received by a Loan Party from such Person during such period, (ii) the income (or loss) of any Person accrued prior to the date it becomes a Loan Party or is merged into or consolidated with the Loan Parties or that Person’s assets are acquired by a Loan Party, (iii) any after-tax gains or losses attributable to dispositions or returned surplus assets of any Pension Plan, (iv) non-cash gains and losses resulting from any reappraisal, revaluation or write-up or write-down of assets (other than non-cash losses resulting from the write-down of accounts receivable or inventory), and (v) the income of any Person that is a Subsidiary of the Borrower (other than a Loan Party) to the extent that the declaration of payment of cash dividends or similar cash distributions by any such Person of that income is not permitted by operation of the terms of its Organizational Documents or any agreement, instrument, judgment, decree or Law applicable to such Person or its Stockholders (unless such restriction or limitation has been waived).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means, as of any date of determination, the total property and assets of the Borrower and its Subsidiaries, determined in accordance with GAAP, as set forth on the consolidated balance sheet of the Borrower and its Subsidiaries for the most recently ended Test Period, on a pro forma basis after giving effect to any Investments or dispositions.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Acquisition Consideration</w:t>
      </w:r>
      <w:r>
        <w:rPr>
          <w:rFonts w:ascii="Times New Roman;Times;Serif" w:hAnsi="Times New Roman;Times;Serif"/>
          <w:b w:val="false"/>
          <w:i w:val="false"/>
          <w:caps w:val="false"/>
          <w:smallCaps w:val="false"/>
          <w:sz w:val="20"/>
        </w:rPr>
        <w:t>” means any earnout obligation or similar deferred or contingent obligation of any Loan Party or any of its Subsidiaries incurred or created in connection with a Permitted Acquisition or Permitted Intellectual Property Acquisition (including for this purpose Acquisitions that closed prior to the Closing Date).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means, as to any Person, any direct or indirect liability, contingent or otherwise, of that Person: (a)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(c) under any Rate Contracts; (d) to make take-or-pay or similar payments if required regardless of nonperformance by any other party or parties to an agreement; or (e) for the obligations of another Person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Person. The amount of any Contingent Obligation shall be equal to the amount of the obligation so guaranteed or otherwise supported or, if not a fixed and determined amount, the maximum amount so guaranteed or supported.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means all rights, titles and interests of each Loan Party in such Loan Party’s “contracts,” as such term is defined in the UCC, whether now owned or existing or hereafter acquired or arising, in any event, including all contracts, undertakings, or agreements (other than rights evidenced by Chattel Paper, Documents or Instruments) in or under which any Loan Party may now or hereafter have any right, title or interest, including any agreement relating to the terms of payment or the terms of performance of any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License</w:t>
      </w:r>
      <w:r>
        <w:rPr>
          <w:rFonts w:ascii="Times New Roman;Times;Serif" w:hAnsi="Times New Roman;Times;Serif"/>
          <w:b w:val="false"/>
          <w:i w:val="false"/>
          <w:caps w:val="false"/>
          <w:smallCaps w:val="false"/>
          <w:sz w:val="20"/>
        </w:rPr>
        <w:t>” means any and all rights now owned or hereafter acquired by any Loan Party under any written agreement granting any right to use any Copyright or Copyright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Security Agreements</w:t>
      </w:r>
      <w:r>
        <w:rPr>
          <w:rFonts w:ascii="Times New Roman;Times;Serif" w:hAnsi="Times New Roman;Times;Serif"/>
          <w:b w:val="false"/>
          <w:i w:val="false"/>
          <w:caps w:val="false"/>
          <w:smallCaps w:val="false"/>
          <w:sz w:val="20"/>
        </w:rPr>
        <w:t>” means, collectively, each Copyright Security Agreement made in favor of the Agent, on behalf of itself and Lenders, by each applicable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means all of the following now owned or hereafter adopted or acquired by any Loan Party: (a) all copyrights and General Intangibles of like nature (whether registered or unregistered), all registrations and recordings thereof, and all applications in connection therewith, including all registrations, recordings and applications in the United States Copyright Office or in any similar office or agency of the United States, any state or territory thereof, or in any other country or any political subdivision thereof, and (b) all reissues, extensions or renewals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of interest (adjusted for reserves if the Agent is required to maintain reserves with respect to relevant advances) per annum equal to the greater of (a) SOFR for the day (such day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Index Floor. If by 5:00 pm (New York City time) on the second U.S. Government Securities Business Day immediately following any day “i”, the SOFR in respect of such day “i” has not been published on the SOFR Administrator’s Website and a Benchmark Replacement with respect to the Daily Simple SOFR has not occurred, then the SOFR for such day “i” will be the SOFR as published in respect of the first preceding U.S. Government Securities Business Day for which such SOFR was published on the SOFR Administrator’s Website. Any change in Daily Simple SOFR due to a change in SOFR shall be effective from and including the effective date of such change in SOFR without notice to the Borrower. Each determination by Agent of Daily Simple SOFR shall be conclusive and binding in the absence of manifest error.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and all other liquidation, conservatorship, bankruptcy, assignment for the benefit of creditors, moratorium, rearrangement, receivership, insolvency, reorganization, or similar debtor relief Laws of the United States, any state, province or territory thereof, or other applicable jurisdictions from time to time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with the passage of time or notice or both, would, unless cured or waived, become an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any Lender that (a) has failed to (i) fund all or any portion of its Advances within two Business Days of the date such Advances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any the L/C Issuer, any the Swing Line Lender or any other Lender any other amount required to be paid by it hereunder (including in respect of its participation in Letters of Credit or Swing Line Advance) within two Business Days of the date when due, (b) has notified the Borrower, the Agent or any the L/C Issuer or the Swing Line Lender in writing that it does not intend to comply with its funding obligations hereunder, or has made a public statement to that effect (unless such writing or public statement relates to such Lender’s obligation to fund an Advance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Agent or the Borrower, to confirm in writing to the Agent and the Borrower that it will comply with its prospective funding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upon receipt of such written confirmation by the Agent and the Borrower), or (d) has, or has a direct or indirect parent company that has, (i) become the subject of any Insolvency Event, (ii) had appointed for it a receiver, interim receiver, custodian, conservator, trustee, monitor,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upon delivery of written notice of such determination to the Borrower, each the L/C Issuer, each the Swing Line Lender, and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Account Control Agreement</w:t>
      </w:r>
      <w:r>
        <w:rPr>
          <w:rFonts w:ascii="Times New Roman;Times;Serif" w:hAnsi="Times New Roman;Times;Serif"/>
          <w:b w:val="false"/>
          <w:i w:val="false"/>
          <w:caps w:val="false"/>
          <w:smallCaps w:val="false"/>
          <w:sz w:val="20"/>
        </w:rPr>
        <w:t>” means, with respect to any Deposit Account, an agreement in form and substance reasonably satisfactory to the Agent, among the Agent, the financial institution or other Person at which such Deposit Account is maintained and the Loan Party maintaining such account, effective for the Agent to obtain “control” (within the meaning of Articles 8 and 9 under the UCC) of such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Accounts</w:t>
      </w:r>
      <w:r>
        <w:rPr>
          <w:rFonts w:ascii="Times New Roman;Times;Serif" w:hAnsi="Times New Roman;Times;Serif"/>
          <w:b w:val="false"/>
          <w:i w:val="false"/>
          <w:caps w:val="false"/>
          <w:smallCaps w:val="false"/>
          <w:sz w:val="20"/>
        </w:rPr>
        <w:t>” means all “deposit accounts” as such term in defined in the UCC, now or hereafter held in the name of any Loan Party.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Disbursement Account</w:t>
      </w:r>
      <w:r>
        <w:rPr>
          <w:rFonts w:ascii="Times New Roman;Times;Serif" w:hAnsi="Times New Roman;Times;Serif"/>
          <w:b w:val="false"/>
          <w:i w:val="false"/>
          <w:caps w:val="false"/>
          <w:smallCaps w:val="false"/>
          <w:sz w:val="20"/>
        </w:rPr>
        <w:t>” means one or more Deposit Accounts of a Loan Party as may be specified by the Agent to and in consultation with the Borrower as the “Disbursement Account”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xml:space="preserve">” means any Stock which, by its terms (or by the terms of any security or any other Stock into which it is convertible or for which it is exchangeable) or upon the happening of any event or condition, would (a) mature or be mandatorily redeemable (other than solely for Qualified Stock) pursuant to a sinking fund obligation or otherwise (except as a result of a customarily defined change of control, asset sale or insolvency event and only so long as any rights of the holders thereof after such change of control, asset sale or insolvency event shall be subject to the occurrence of the Termination Date), (b) be redeemable at the option of the holder thereof (other than solely for Qualified Stock), in whole or in part, (c) provide for scheduled payments of dividends in cash, or (d) be or become convertible into or exchangeable for Indebtedness or any other Disqualified Stock, in whole or in part, in each case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on or prior to the date that is 91 days after the Stated Maturity Date at the time of issuance or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means all rights, titles and interests of each Loan Party in such Loan Party’s “documents,” as such term is defined in the UCC, whether now owned or existing or hereafter acquired or arising, wherever located.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lawful currency of the United States of America.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Subsidiary other than a Foreign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 or (c) any financial institution established in an EEA Member Country which is a subsidiary of an institution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definition and is subject to consolidated supervision with its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Accounts</w:t>
      </w:r>
      <w:r>
        <w:rPr>
          <w:rFonts w:ascii="Times New Roman;Times;Serif" w:hAnsi="Times New Roman;Times;Serif"/>
          <w:b w:val="false"/>
          <w:i w:val="false"/>
          <w:caps w:val="false"/>
          <w:smallCaps w:val="false"/>
          <w:sz w:val="20"/>
        </w:rPr>
        <w:t xml:space="preserve">” means the Accounts of the Loan Parties that the Agent determines in its Permitted Discretion are eligible as the basis for the extension of Advances and the issuance of Letters of Credit. Without limiting the Agent’s discretion provided herein, Eligible Accounts shall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include any of the following Accounts of the Loan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Accounts that are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Eligible Credit Insured Accounts, (i) Accounts that are not paid within the earlier of 60 days following the due date for such Accounts or 90 days following the original invoice date of such Accounts and (ii) Accounts that specify a due date more than 60 days after original invoice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Accounts that are Eligible Credit Insured Accounts, Accounts that are due and unpaid for more than 120 days after the original invoice date thereof;</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Accounts that are the obligations of an Account Debtor if 25% or more of the Dollar amount of all Accounts owing by that Account Debtor are ineligible under clause (a) or (b) of this definition;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Accounts that are the obligations of an Account Debtor located in a foreign country other than Canada unless such Accounts qualify as Eligible Credit Insured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Accounts that are the obligation of an Account Debtor that is the United States government or a political subdivision thereof, or any state, county or municipality or department, agency or instrumentality thereof unless the Agent, in its Permitted Discretion, has agreed to the contrary in writing, or the applicable Loan Party has complied with respect to such obligation with the Federal Assignment of Claims Act of 1940, or any applicable state, county or municipal law restricting the assignment thereof with respect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Accounts that are owed by an Account Debtor or any Affiliate of such Account Debtor to which a Loan Party or any Subsidiary is liable for Goods sold or services rendered by the applicable Account Debtor or Affiliate thereof to such Loan Party or Subsidiary but only to the extent of the potential offset;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Accounts to the extent that any defense, counterclaim, setoff or dispute is asserted as to such Accounts, but only to the extent of the maximum potential amount of such defense, counterclaim setoff or dispute against the applicable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Accounts that arise from a sale to any Affiliate of any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any date of determination prior to March 31, 2026, Accounts to the extent that such Accounts, together with all other Accounts owing by such Account Debtor and its Affiliates as of any date of determination exceed, (i) solely with respect to Cardinal Health, Inc. and its Affiliates, 75% of all Eligible Accounts if such date of determination is prior to February 28, 2026, and 50% of all Eligible Accounts if such date of determination is on or after February 28, 2026, but prior to March 31, 2026, and (ii) with respect to any other Account Debtor and its Affiliates, 15% of all Eligible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for any date of determination on and after March 31, 2026, Accounts to the extent that such Accounts, together with all other Accounts owing by such Account Debtor and its Affiliates as of any date of determination exceed, (i) solely with respect to Cencora, Inc. and its Affiliates, 35% of all Eligible Accounts, (ii) solely with respect to McKesson Corporation and its Affiliates, 25% of all Eligible Accounts, (iii) solely with respect to Cardinal Health, Inc. and its Affiliates, 25% of all Eligible Accounts, and (iv) with respect to any other Account Debtor and its Affiliates, 15% of all Eligible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Accounts with respect to which an invoice, reasonably acceptable to the Agent in form and substance, has not been sent to the applicable Account Debtor;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Accounts where (i) the Account Debtor obligated upon such Account suspends business, makes a general assignment for the benefit of creditors or fails to pay its debts generally as they come due, or (ii) a petition is filed by or against any Account Debtor obligated upon such Account under any Debtor Relief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Accounts as to which a Loan Party is not able to bring suit or otherwise enforce its remedies against the Account Debtor through judicial process, (ii) Accounts that represent a progress billing consisting of an invoice for Goods sold or used or services rendered pursuant to a contract under which the Account Debtor’s obligation to pay that invoice is subject to such Loan Party’s completion of further performance under such contract or is subject to the equitable lien of a surety bond issuer, or (iii) Accounts that represent a pre-billing;</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Accounts that arise with respect to Goods that are sold on a bill and hold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Accounts that arise with respect to Goods that are sold on a cash-on-delivery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Accounts to the extent such Account exceeds any credit limit established by the Agent, in its Permitted Discretion, following prior written notice of such limit by the Agent to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Accounts that are payable in any currency other than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Accounts that (i) are not owned by a Loan Party or (ii) are subject to any Lien of any other Person, other than Liens permitted by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(to the extent applicable) and other than Liens in favor of the Agent, securing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Accounts that arise with respect to Goods that are placed on consignment, guaranteed sale or other terms by reason of which the payment by the Account Debtor is conditional;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Accounts that are evidenced by a judgment, Instrument or Chattel Paper;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Accounts that are not true and correct statements of bona fide obligations incurred in the amount of such Account for merchandise sold to or services rendered and accepted by the applicable Account Debtor;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Accounts that do not arise from the sale of Goods or the performance of services by a Loan Party in the Ordinary Course of Business, including sales of Equipment and bulk sales;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Accounts that are not subject to a first priority perfected Lien in favor of the Agent, on behalf of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Accounts that consist (but solely to the extent consisting) of (i) deposits, (ii) vendor warranty claims, (iii) finance charges, service charges, or interest on delinquent Account, (iv) proceeds of consigned Inventory, (v) debit memoranda, (vi) retainage, (vii) credit memos, (viii) unreconciled amounts, or (ix) any credit balances due the Account Debtor thereof that have been on the Loan Parties’ books and records for 90 or more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Accounts with respect to which any of the representations, warranties, covenants, and agreements contained in this Agreement, any Collateral Document or any other Loan Documents are incorrect in any material respect (without duplication of any materiality qualifier) as determined by the Agent in its Permitted Discretion or have been breached;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Accounts the Agent otherwise deems to be ineligible in its Permitted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Account at any time ceases to be an Eligible Account, such Account shall immediately be excluded from the calculation of Eligible Accounts.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xml:space="preserve">” means (a) a Lender, (b) an Affiliate of a Lender, (c) an Approved Fund, and (d) any other Person (other than a natural person, a Loan Party or an Affiliate of a Loan Party) approved by (i) the Agent (such approval not to be unreasonably withheld), (ii) the Swing Line Lender and the L/C Issuer, and (iii) unless an Event of Default has occurred and is continuing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the Borrower (such approval not to be unreasonably withheld, and shall be deemed provided unless expressly withheld by the Borrower within 10 Business Days of request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“Eligible Assignee” shall not include (A) any Loan Party, (B) any shareholder of the Borrower or any of their respective Affiliates or Subsidiaries or (C) any Person that is an operating company and is engaged primarily in substantially the same or similar business as any Loan Party or any Subsidiary of any Loan Party or an Affiliate of such Person that is either (I) separately identified in writing by the Borrower from time to time (without retroactive effect) or (II) with respect to Affiliates, readily identifiable as an Affiliate of a Person identified pursuant to </w:t>
      </w:r>
      <w:r>
        <w:rPr>
          <w:rFonts w:ascii="Times New Roman;Times;Serif" w:hAnsi="Times New Roman;Times;Serif"/>
          <w:b w:val="false"/>
          <w:i w:val="false"/>
          <w:caps w:val="false"/>
          <w:smallCaps w:val="false"/>
          <w:sz w:val="20"/>
          <w:u w:val="single"/>
        </w:rPr>
        <w:t>clause (C)(I)</w:t>
      </w:r>
      <w:r>
        <w:rPr>
          <w:rFonts w:ascii="Times New Roman;Times;Serif" w:hAnsi="Times New Roman;Times;Serif"/>
          <w:b w:val="false"/>
          <w:i w:val="false"/>
          <w:caps w:val="false"/>
          <w:smallCaps w:val="false"/>
          <w:sz w:val="20"/>
        </w:rPr>
        <w:t xml:space="preserve"> solely on the basis of such Affiliate’s name (other than any Person that is a bona fide debt fund primarily engaged in the making, purchasing, holding or other investing in commercial loans, notes, bonds or similar extensions of credit or securities in the ordinary course of its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Credit Insured Accounts</w:t>
      </w:r>
      <w:r>
        <w:rPr>
          <w:rFonts w:ascii="Times New Roman;Times;Serif" w:hAnsi="Times New Roman;Times;Serif"/>
          <w:b w:val="false"/>
          <w:i w:val="false"/>
          <w:caps w:val="false"/>
          <w:smallCaps w:val="false"/>
          <w:sz w:val="20"/>
        </w:rPr>
        <w:t>” means, at any time, Eligible Accounts that are the obligations of an Account Debtor with respect to which payment thereof (a) is covered by trade credit insurance maintained by a Loan Party for which the Agent is a loss payee that is satisfactory to the Agent in its Permitted Discretion as to the form, amount and issuer, or (b) is fully backed by a letter of credit assigned and delivered to the Agent, satisfactory to the Agent in its Permitted Discretion as to form, amount and issuer. If any applicable Account at any time ceases to be an Eligible Credit Insured Account, such Account shall immediately be excluded from the calculation of Eligible Credit Insured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Investment Grade Accounts</w:t>
      </w:r>
      <w:r>
        <w:rPr>
          <w:rFonts w:ascii="Times New Roman;Times;Serif" w:hAnsi="Times New Roman;Times;Serif"/>
          <w:b w:val="false"/>
          <w:i w:val="false"/>
          <w:caps w:val="false"/>
          <w:smallCaps w:val="false"/>
          <w:sz w:val="20"/>
        </w:rPr>
        <w:t>” means, at any time, Eligible Accounts (other than Eligible Credit Insured Accounts) if the Account Debtor in respect of such Eligible Account is an Investment Grade Account Debtor.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Non-Investment Grade Accounts</w:t>
      </w:r>
      <w:r>
        <w:rPr>
          <w:rFonts w:ascii="Times New Roman;Times;Serif" w:hAnsi="Times New Roman;Times;Serif"/>
          <w:b w:val="false"/>
          <w:i w:val="false"/>
          <w:caps w:val="false"/>
          <w:smallCaps w:val="false"/>
          <w:sz w:val="20"/>
        </w:rPr>
        <w:t>” means, at any time, Eligible Accounts (other than Eligible Credit Insured Accounts) if the Account Debtor in respect of such Eligible Account is not an Investment Grade Account Debtor.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Swap Counterparty</w:t>
      </w:r>
      <w:r>
        <w:rPr>
          <w:rFonts w:ascii="Times New Roman;Times;Serif" w:hAnsi="Times New Roman;Times;Serif"/>
          <w:b w:val="false"/>
          <w:i w:val="false"/>
          <w:caps w:val="false"/>
          <w:smallCaps w:val="false"/>
          <w:sz w:val="20"/>
        </w:rPr>
        <w:t>” means the Agent, any Affiliate of the Agent, any Lender and/or any Affiliate of any Lender that (a) at any time it occupies such role or capacity (whether or not it remains in such capacity) enters into (or has entered into), at the time such Person (or such Person’s Affiliate) becomes a Lender under this Agreement, a Rate Contract permitted hereunder with the Borrower or any Subsidiary of the Borrower and (b) in the case of a Lender or an Affiliate of a Lender (other than an Affiliate of the Agent), maintains a reporting system acceptable to the Agent with respect to Rate Contract exposure and agrees with the Agent to provide regular reporting to the Agent in form and substance reasonably satisfactory to the Agent, with respect to such exposure. In addition thereto, any Affiliate of a Lender shall, upon the Agent’s request, execute and deliver to the Agent a letter agreement pursuant to which such Affiliate designates the Agent as its agent and agrees to share, pro rata, all expenses relating to liquidation of the Collateral for the benefit of such Affiliate;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WHT Payments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6.12(h)</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xml:space="preserve">” means all applicable federal, state, local and foreign Laws, now or hereafter in effect, and any applicable judicial or administrative interpretation thereof, including any applicable judicial or administrative order, consent decree, order or judgment, imposing liability or standards of conduct for or relating to the regulation and protection of human health and safety (as it relates to Hazardous Materials), the environment and natural resources (including ambient air, surface water, groundwater, wetlands, land surface or subsurface strata, wildlife, aquatic species and vegetation). Environmental Laws include CERCLA; the Hazardous Materials Transportation Authorization Act of 1994 (49 U.S.C. §§ 5101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Federal Insecticide, Fungicide, and Rodenticide Act (7 U.S.C. §§ 136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Solid Waste Disposal Act (42 U.S.C. §§ 6901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Toxic Substance Control Act (15 U.S.C. §§ 2601 et seq.); the Clean Air Act (42 U.S.C. §§ 7401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Federal Water Pollution Control Act (33 U.S.C. §§ 1251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Occupational Safety and Health Act (29 U.S.C. §§ 651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Safe Drinking Water Act (42 U.S.C. §§ 300(f)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the Texas Water Code; the Texas Health &amp; Safety Code; and in each case any and all regulations promulgated thereunder, and all analogous state, local and foreign counterparts or equivalents and any transfer of ownership notification or approval statutes.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Liabilities</w:t>
      </w:r>
      <w:r>
        <w:rPr>
          <w:rFonts w:ascii="Times New Roman;Times;Serif" w:hAnsi="Times New Roman;Times;Serif"/>
          <w:b w:val="false"/>
          <w:i w:val="false"/>
          <w:caps w:val="false"/>
          <w:smallCaps w:val="false"/>
          <w:sz w:val="20"/>
        </w:rPr>
        <w:t>” means, with respect to any Person, all liabilities, obligations, responsibilities, response, remedial and removal costs, investigation and feasibility study costs, capital costs, operation and maintenance costs, losses, damages, punitive damages, property damages, natural resource damages, consequential damages, treble damages, costs and expenses (including all reasonable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arising under or related to any actual or alleged violation of, or liabilities arising under, Environmental Laws or Environmental Permits, or in connection with any Release or threatened Release or presence of a Hazardous Material whether on, at, in, under, from or about or in the vicinity of any real or personal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all permits, licenses, authorizations, certificates, approvals or registrations required by any Governmental Authority under any Environmental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Equipment</w:t>
      </w:r>
      <w:r>
        <w:rPr>
          <w:rFonts w:ascii="Times New Roman;Times;Serif" w:hAnsi="Times New Roman;Times;Serif"/>
          <w:b w:val="false"/>
          <w:i w:val="false"/>
          <w:caps w:val="false"/>
          <w:smallCaps w:val="false"/>
          <w:sz w:val="20"/>
        </w:rPr>
        <w:t>” means all rights, titles and interests of each Loan Party in such Loan Party’s “equipment,” as such term is defined in the UCC, whether now owned or existing or hereafter acquired or arising, wherever located and, in any event, including all such Loan Party’s machinery and equipment, including processing equipment, conveyors, machine tools, data processing and computer equipment, including embedded Software and peripheral equipment and all engineering, processing and manufacturing equipment, office machinery, furniture, materials handling equipment, tools, attachments, accessories, automotive equipment, trailers, trucks, forklifts, molds, dies, stamps, motor vehicles, rolling stock and other equipment of every kind and nature, trade fixtures and fixtures not forming a part of real property, together with all additions and accessions thereto, replacements therefor, all parts therefor, all substitutes for any of the foregoing, fuel therefor, and all manuals, drawings, instructions, warranties and rights with respect thereto, and all products and proceeds thereof and condemnation awards and insurance proceeds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Loan Party, any trade or business (whether or not incorporated) that, together with such Loan Party, are treated as a single employer within the meaning of Sections 414(b), (c), (m) or (o) of the IRC.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with respect to any Loan Party or any ERISA Affiliate, (a) any event described in Section 4043(c) of ERISA with respect to a Pension Plan; (b) the withdrawal of any Loan Party or ERISA Affiliate from a Pension Plan subject to Section 4063 of ERISA during a plan year in which it was a substantial employer, as defined in Section 4001(a)(2) of ERISA; (c) the complete or partial withdrawal of any Loan Party or any ERISA Affiliate from any Multiemployer Plan; (d) the filing of a notice of intent to terminate a Pension Plan or the treatment of a plan amendment as a termination under Section 4041 of ERISA; (e) the institution of proceedings to terminate a Pension Plan or Multiemployer Plan by the PBGC; (f) the failure by any Loan Party or ERISA Affiliate to make when due required contributions to a Multiemployer Plan or Pension Plan unless such failure is cured within 30 days; (g) any other event or condition that would reasonably be expected to constitute grounds under Section 4042 of ERISA for the termination of, or the appointment of a trustee to administer, any Pension Plan or Multiemployer Plan or for the imposition of liability under Section 4069 or 4212(c) of ERISA; (h) the termination of a Multiemployer Plan under Section 4041A of ERISA or the insolvency of a Multiemployer Plan under Section 4241 or 4245 of ERISA; or (i) the termination of an ERISA Plan described in Section 4064 of ERISA.</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Plan</w:t>
      </w:r>
      <w:r>
        <w:rPr>
          <w:rFonts w:ascii="Times New Roman;Times;Serif" w:hAnsi="Times New Roman;Times;Serif"/>
          <w:b w:val="false"/>
          <w:i w:val="false"/>
          <w:caps w:val="false"/>
          <w:smallCaps w:val="false"/>
          <w:sz w:val="20"/>
        </w:rPr>
        <w:t>” means any “employee benefit plan”, as such term is defined in Section 3(3) of ERISA (other than a Multiemployer Plan), which any Loan Party maintains, sponsors or contributes to, or, in the case of an employee benefit plan which is subject to Section 412 of the IRC or Title IV of ERISA, to which the Borrower or any ERISA Affiliate may have any liability, including any liability by reason of having been a substantial employer within the meaning of Section 4063 of ERISA at any time during the preceding 5 years, or by reason of being deemed to be a contributing sponsor under Section 4069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Evergreen Letter of Credit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Availability</w:t>
      </w:r>
      <w:r>
        <w:rPr>
          <w:rFonts w:ascii="Times New Roman;Times;Serif" w:hAnsi="Times New Roman;Times;Serif"/>
          <w:b w:val="false"/>
          <w:i w:val="false"/>
          <w:caps w:val="false"/>
          <w:smallCaps w:val="false"/>
          <w:sz w:val="20"/>
        </w:rPr>
        <w:t xml:space="preserve">” means, as of any date of determination, the </w:t>
      </w:r>
      <w:r>
        <w:rPr>
          <w:rFonts w:ascii="Times New Roman;Times;Serif" w:hAnsi="Times New Roman;Times;Serif"/>
          <w:b w:val="false"/>
          <w:i w:val="false"/>
          <w:caps w:val="false"/>
          <w:smallCaps w:val="false"/>
          <w:sz w:val="20"/>
          <w:u w:val="single"/>
        </w:rPr>
        <w:t>difference</w:t>
      </w:r>
      <w:r>
        <w:rPr>
          <w:rFonts w:ascii="Times New Roman;Times;Serif" w:hAnsi="Times New Roman;Times;Serif"/>
          <w:b w:val="false"/>
          <w:i w:val="false"/>
          <w:caps w:val="false"/>
          <w:smallCaps w:val="false"/>
          <w:sz w:val="20"/>
        </w:rPr>
        <w:t xml:space="preserve"> of (a) Availability at such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aggregate Revolving Exposure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xml:space="preserve">” means (a) Deposit Accounts of Subsidiaries exclusively used for payroll, payroll Taxes and other employee wage and benefit payments to or for the benefit of such Subsidiary’s employees;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balance maintained in such Deposit Accounts does not exceed the amount necessary to make the next two immediate succeeding payrolls, payroll tax or benefit payments (and such minimum account as may be required by any applicable Law or the applicable financial institution with respect to such account), (b) zero balance accounts, (c) Deposit Accounts (including trust accounts) used exclusively for bona fide escrow purposes, insurance or fiduciary purposes, and (d) Deposit Accounts in which pledges of cash deposits permitted by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are maintained to the extent such Deposit Accounts contain only pledged amounts and deposits.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Domestic Holdco</w:t>
      </w:r>
      <w:r>
        <w:rPr>
          <w:rFonts w:ascii="Times New Roman;Times;Serif" w:hAnsi="Times New Roman;Times;Serif"/>
          <w:b w:val="false"/>
          <w:i w:val="false"/>
          <w:caps w:val="false"/>
          <w:smallCaps w:val="false"/>
          <w:sz w:val="20"/>
        </w:rPr>
        <w:t>” means a Domestic Subsidiary substantially all of the assets of which consist of Stock of one or more Excluded Foreign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Domestic Subsidiary</w:t>
      </w:r>
      <w:r>
        <w:rPr>
          <w:rFonts w:ascii="Times New Roman;Times;Serif" w:hAnsi="Times New Roman;Times;Serif"/>
          <w:b w:val="false"/>
          <w:i w:val="false"/>
          <w:caps w:val="false"/>
          <w:smallCaps w:val="false"/>
          <w:sz w:val="20"/>
        </w:rPr>
        <w:t>” means any Domestic Subsidiary that is (a) a direct or indirect Subsidiary of an Excluded Foreign Subsidiary or (b) an Excluded Domestic Holdco.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Equity Interests</w:t>
      </w:r>
      <w:r>
        <w:rPr>
          <w:rFonts w:ascii="Times New Roman;Times;Serif" w:hAnsi="Times New Roman;Times;Serif"/>
          <w:b w:val="false"/>
          <w:i w:val="false"/>
          <w:caps w:val="false"/>
          <w:smallCaps w:val="false"/>
          <w:sz w:val="20"/>
        </w:rPr>
        <w:t>” means Stock (a) in excess of 65% of the voting Stock issued by any Excluded Foreign Subsidiary or Excluded Domestic Holdco, in each case, owned directly by a Loan Party, (b) of any direct or indirect Subsidiary of an Excluded Foreign Subsidiary or Excluded Domestic Holdco, and (c) Stock in any joint venture (with any party other than any Loan Party or Subsidiary), but only to the extent that the creation of a security interest in such Stock is prohibited or restricted by the Organizational Documents of such joint venture or by any contractual restriction contained in any agreement with third party holders of other Stock in such joint venture which holders are not Affiliates of the Borrower (except to the extent any such prohibition or restriction is deemed ineffective under the UCC).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Foreign Subsidiary</w:t>
      </w:r>
      <w:r>
        <w:rPr>
          <w:rFonts w:ascii="Times New Roman;Times;Serif" w:hAnsi="Times New Roman;Times;Serif"/>
          <w:b w:val="false"/>
          <w:i w:val="false"/>
          <w:caps w:val="false"/>
          <w:smallCaps w:val="false"/>
          <w:sz w:val="20"/>
        </w:rPr>
        <w:t xml:space="preserve">” means a Foreign Subsidiary which is (a) a controlled foreign corporation (as defined in the IRC) that has not guaranteed or pledged any of its assets to secure, or with respect to which there shall not have been pledged two-thirds or more of the voting Stock to secure, any Indebtedness (other than the Advances) of a Loan Party or (b) a Foreign Subsidiary owned by a Foreign Subsidiary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 xml:space="preserve">” means, collectively, (a) Excluded Equity Interests; (b) any permit, license or contractual obligation entered into by any Loan Party (i) to the extent that any such permit, license or contractual obligation or any requirement of Law applicable thereto prohibits the creation of a Lien thereon (other than to the extent that any such prohibition would be rendered ineffective pursuant to Sections 9-406, 9-407, 9-408 or 9-409 of the UCC (or any successor provision or provisions) of any relevant jurisdiction or any other applicable law or principles of equity), (ii) which would be abandoned, invalidated, or unenforceable as a result of the creation of a Lien in favor of the Agent (other than to the extent that any such consequences set forth in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would be rendered ineffective pursuant to Sections 9-406, 9-407, 9-408 or 9-409 of the UCC (or any successor provision or provisions) of any relevant jurisdiction or any other applicable law or principles of equity), or (iii) to the extent that the creation of a Lien in favor of the Agent would result in a breach or termination pursuant to the terms of or a default under any such permit, license or contractual obligation (other than to the extent that any such consequences set forth in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would be rendered ineffective pursuant to Sections 9-406, 9-407, 9-408 or 9-409 of the UCC (or any successor provision or provisions) of any relevant jurisdiction or any other applicable law or principles of equity); (c) property owned by any Loan Party that is subject to a Lien permitted by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 xml:space="preserve"> or a Capital Lease if the contractual obligation pursuant to which such Lien is granted (or in the document providing for such Capital Lease) prohibits or requires the consent of any Person other than a Loan Party or its Affiliates which has not been obtained as a condition to the creation of any other Lien on such equipment; (d) any “intent to use” Trademark applications for which a statement of use has not been filed (but only until such statement is filed); (e) vehicles or other goods which are subject to a certificate of title law; and (f) Collateral for which the benefits of obtaining such Collateral are outweighed by the costs or burdens of providing the same in the Agent’s Permitted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means each (a) Excluded Domestic Subsidiary, (b) Excluded Foreign Subsidiary, (c) Immaterial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aggregate amount of Consolidated Adjusted EBITDA or Consolidated Total Assets for the Test Period most recently ended attributable to all Immaterial Subsidiaries that are Excluded Subsidiaries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exceeds 5% of Consolidated Adjusted EBITDA or Consolidated Total Assets for such Test Period, the Borrower shall designate one or more such Subsidiaries as Guarantors to sufficiently eliminate such excess, and such designated Subsidiaries shall no longer constitute Excluded Subsidiaries), and (d) any Subsidiary for which the benefits of obtaining a Guaranty are outweighed by the costs or burdens of providing the same in the Agent’s Permitted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Person that has guaranteed a Swap Obligation, including the grant of a Lien to secure the guaranty of such Swap Obligation, any Swap Obligation if, and to the extent that, such Swap Obligation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or grant of such Lien becomes effective with respect to such Swap Obligation. If a Swap Obligation arises under a master agreement governing more than one swap, such exclusion shall apply only to the portion of such Swap Obligation that is attributable to swaps for which such Swap Obligation or security interest is or becomes illegal.</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 any of the following Taxes imposed on or with respect to the Agent, any Lender or any other recipient of a payment under any Loan Document or required to be withheld or deducted from a payment to such recipient, (a) Taxes imposed on or measured by net income (however denominated), franchise Taxes, and branch profits Taxes, in each case, (i) imposed as a result of such recipient being organized under the Laws of, or having its principal office in or, in the case of any Lender its applicable lending office located in, the jurisdiction imposing such Tax (or any political subdivision thereof) or (ii) that are Other Connection Taxes; (b) in the case of a Lender, any United States federal withholding Tax that is imposed on amounts payable to or for the account of such Lender with respect to an applicable interest in the Obligations under this Agreement pursuant to a law in effect at the time such Lender (i) acquires such interest in the Obligations under this Agreement (other than pursuant to an assignment request by the Borrower under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(ii) designates a new lending office, except to the extent that, pursuant to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 xml:space="preserve">, additional amounts from Loan Parties with respect to such withholding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 and (d) any United States federal withholding Taxes imposed under FATCA.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 Order No. 13224</w:t>
      </w:r>
      <w:r>
        <w:rPr>
          <w:rFonts w:ascii="Times New Roman;Times;Serif" w:hAnsi="Times New Roman;Times;Serif"/>
          <w:b w:val="false"/>
          <w:i w:val="false"/>
          <w:caps w:val="false"/>
          <w:smallCaps w:val="false"/>
          <w:sz w:val="20"/>
        </w:rPr>
        <w:t>” means Executive Order No. 13224 (effective September 24, 2001).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Exigent Circumstances</w:t>
      </w:r>
      <w:r>
        <w:rPr>
          <w:rFonts w:ascii="Times New Roman;Times;Serif" w:hAnsi="Times New Roman;Times;Serif"/>
          <w:b w:val="false"/>
          <w:i w:val="false"/>
          <w:caps w:val="false"/>
          <w:smallCaps w:val="false"/>
          <w:sz w:val="20"/>
        </w:rPr>
        <w:t>” means circumstances that the Agent, in its Permitted Discretion, believes render necessary or appropriate the imposition of Reserves to prevent or mitigate fraud in respect of any Borrowing Base Certificate or the Collateral or the impairment of the Collateral or the rights and interests of the Secured Parties therein (including any loss of priority of the Liens of Agent, for the benefit of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Indebtedness</w:t>
      </w:r>
      <w:r>
        <w:rPr>
          <w:rFonts w:ascii="Times New Roman;Times;Serif" w:hAnsi="Times New Roman;Times;Serif"/>
          <w:b w:val="false"/>
          <w:i w:val="false"/>
          <w:caps w:val="false"/>
          <w:smallCaps w:val="false"/>
          <w:sz w:val="20"/>
        </w:rPr>
        <w:t>” means the Indebtedness outstanding pursuant to (a) that certain Credit Agreement and Guaranty, dated as of March 27, 2023, by and among the Borrower, as borrower thereunder, and certain Subsidiaries of the Borrower as subsidiary guarantors, and Oaktree Fund Administration, LLC, as the administrative agent; and (b) that certain Indenture, dated as of April 20, 2021, made by the Borrower to U.S. Bank Trust Company, National Association, as trustee, with respect to the issuance of certain senior debt securities, including (i) those certain 8.625% Senior Notes due 2026, as authorized in that certain First Supplemental Indenture, dated as of April 20, 2021, and (ii) those certain 11.875% Senior Notes due 2027, as authorized in that certain Second Supplemental Indenture, dated as of December 20, 2022; in each case, as amended, restated, supplemented or otherwise modified from time to time, as in effect on the Closing Date immediately prior to giving effect to any payment of such Indebtedness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Labor Standards Act</w:t>
      </w:r>
      <w:r>
        <w:rPr>
          <w:rFonts w:ascii="Times New Roman;Times;Serif" w:hAnsi="Times New Roman;Times;Serif"/>
          <w:b w:val="false"/>
          <w:i w:val="false"/>
          <w:caps w:val="false"/>
          <w:smallCaps w:val="false"/>
          <w:sz w:val="20"/>
        </w:rPr>
        <w:t xml:space="preserve">” means the Fair Labor Standards Act, 29 U.S.C. §201 </w:t>
      </w:r>
      <w:r>
        <w:rPr>
          <w:rFonts w:ascii="Times New Roman;Times;Serif" w:hAnsi="Times New Roman;Times;Serif"/>
          <w:b w:val="false"/>
          <w:i/>
          <w:caps w:val="false"/>
          <w:smallCaps w:val="false"/>
          <w:sz w:val="20"/>
        </w:rPr>
        <w:t>et seq.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IRC, as of the Closing Date (or any amended or successor version after the date of this Agreement that is substantively comparable and not materially more onerous to comply with), any intergovernmental agreements entered into by the United States with respect thereto, current or future regulations or official interpretations thereof, in each case implementing such IRC Sections, and any agreement entered into pursuant to Section 1471(b)(1) of the IRC.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FD&amp;C Act</w:t>
      </w:r>
      <w:r>
        <w:rPr>
          <w:rFonts w:ascii="Times New Roman;Times;Serif" w:hAnsi="Times New Roman;Times;Serif"/>
          <w:b w:val="false"/>
          <w:i w:val="false"/>
          <w:caps w:val="false"/>
          <w:smallCaps w:val="false"/>
          <w:sz w:val="20"/>
        </w:rPr>
        <w:t xml:space="preserve">” means the Federal Food, Drug, and Cosmetic Act, 21 U.S.C. §§ 301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FD&amp;C Permits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Federal Food and Drug Administration.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 Law and Regulation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means, for any day, a floating rate equal to the weighted average of the rates on overnight federal funds transactions among members of the Federal Reserve System, as determined by the Agent in its sole discretion, which determination shall be final, binding and conclusive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means the Board of Governors of the Federal Reserve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means any and all fees payable to the Agent or any Lender pursuant to this Agreement or any other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Fifth Third</w:t>
      </w:r>
      <w:r>
        <w:rPr>
          <w:rFonts w:ascii="Times New Roman;Times;Serif" w:hAnsi="Times New Roman;Times;Serif"/>
          <w:b w:val="false"/>
          <w:i w:val="false"/>
          <w:caps w:val="false"/>
          <w:smallCaps w:val="false"/>
          <w:sz w:val="20"/>
        </w:rPr>
        <w:t>” means Fifth Third Bank, National Association.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xml:space="preserve">” means the financial covenant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means the consolidated balance sheets, statements of operations, statements of stockholders’ equity, and statements of cash flows of the Loan Parties and their Subsidiaries delivered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FIRREA</w:t>
      </w:r>
      <w:r>
        <w:rPr>
          <w:rFonts w:ascii="Times New Roman;Times;Serif" w:hAnsi="Times New Roman;Times;Serif"/>
          <w:b w:val="false"/>
          <w:i w:val="false"/>
          <w:caps w:val="false"/>
          <w:smallCaps w:val="false"/>
          <w:sz w:val="20"/>
        </w:rPr>
        <w:t>” means the Financial Institutions Reform, Recovery and Enforcement Act of 1989.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Month</w:t>
      </w:r>
      <w:r>
        <w:rPr>
          <w:rFonts w:ascii="Times New Roman;Times;Serif" w:hAnsi="Times New Roman;Times;Serif"/>
          <w:b w:val="false"/>
          <w:i w:val="false"/>
          <w:caps w:val="false"/>
          <w:smallCaps w:val="false"/>
          <w:sz w:val="20"/>
        </w:rPr>
        <w:t>” means any of the monthly accounting periods of the Borrower and its Subsidiaries ending on the last day of each calendar month of each calendar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Quarter</w:t>
      </w:r>
      <w:r>
        <w:rPr>
          <w:rFonts w:ascii="Times New Roman;Times;Serif" w:hAnsi="Times New Roman;Times;Serif"/>
          <w:b w:val="false"/>
          <w:i w:val="false"/>
          <w:caps w:val="false"/>
          <w:smallCaps w:val="false"/>
          <w:sz w:val="20"/>
        </w:rPr>
        <w:t>” means any of the quarterly accounting periods of the Borrower and its Subsidiaries ending on March 31, June 30, September 30 and December 31 of each calendar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Borrower and its Subsidiaries ending on December 31 of each calendar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xml:space="preserve">” means, as of any date of determination, in each case, for the Test Period most recently ended, the ratio of (a) Consolidated Adjusted EBITDA for such Test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Unfinanced Capital Expenditures made during such Test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Unfinanced Employee WHT Payments paid in cash during such Test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Unfinanced Milestone Payments paid in cash during such Test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Taxes paid in cash during such Test Period, to (b) all Fixed Charges for such Test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Charges</w:t>
      </w:r>
      <w:r>
        <w:rPr>
          <w:rFonts w:ascii="Times New Roman;Times;Serif" w:hAnsi="Times New Roman;Times;Serif"/>
          <w:b w:val="false"/>
          <w:i w:val="false"/>
          <w:caps w:val="false"/>
          <w:smallCaps w:val="false"/>
          <w:sz w:val="20"/>
        </w:rPr>
        <w:t xml:space="preserve">” means, for any Test Period, in each case, (a) all cash actually expended by the Borrower or any Subsidiary during such period to make (i) interest payments on any Advances,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payments for all recurring fees, commissions and charges set forth herein,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scheduled payments on Capital Lease Obligations,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(iv) scheduled payments (whether for principal, interest or otherwise) with respect to any other Indebtedness for borrowed money,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(v) scheduled payments (whether for principal, interest or otherwise) with respect to any obligations evidenced by notes, bonds, debentures or similar instruments, including the Senior Unsecured Notes,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cash distributions and dividends made by the Borrower during such Test Period (other than cash distributions and dividends made concurrently with the proceeds of the issuance by the Borrower of any Qualified Stock),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Restricted Payments paid in cash during such Test Period pursuant to </w:t>
      </w:r>
      <w:r>
        <w:rPr>
          <w:rFonts w:ascii="Times New Roman;Times;Serif" w:hAnsi="Times New Roman;Times;Serif"/>
          <w:b w:val="false"/>
          <w:i w:val="false"/>
          <w:caps w:val="false"/>
          <w:smallCaps w:val="false"/>
          <w:sz w:val="20"/>
          <w:u w:val="single"/>
        </w:rPr>
        <w:t>Section 6.12(i)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Fixtures</w:t>
      </w:r>
      <w:r>
        <w:rPr>
          <w:rFonts w:ascii="Times New Roman;Times;Serif" w:hAnsi="Times New Roman;Times;Serif"/>
          <w:b w:val="false"/>
          <w:i w:val="false"/>
          <w:caps w:val="false"/>
          <w:smallCaps w:val="false"/>
          <w:sz w:val="20"/>
        </w:rPr>
        <w:t>” means all rights, titles and interests of each Loan Party in such Loan Party’s “fixtures” as such term is defined in the UCC, whether now owned or existing or hereafter acquired or arising, wherever located.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with respect to any Person, a Subsidiary of such Person that is a “controlled foreign corporation” under Section 957 of the IRC.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consistently applied.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Intangibles</w:t>
      </w:r>
      <w:r>
        <w:rPr>
          <w:rFonts w:ascii="Times New Roman;Times;Serif" w:hAnsi="Times New Roman;Times;Serif"/>
          <w:b w:val="false"/>
          <w:i w:val="false"/>
          <w:caps w:val="false"/>
          <w:smallCaps w:val="false"/>
          <w:sz w:val="20"/>
        </w:rPr>
        <w:t>” means all rights, titles and interests of each Loan Party in such Loan Party’s “general intangibles,” as such term is defined in the UCC, whether now owned or existing or hereafter acquired or arising, including all right, title and interest that such Loan Party may now or hereafter have in or under any Contract, all payment intangibles, customer lists, Intellectual Property Licenses, Copyrights, Trademarks, Patents, and all applications therefor and reissues, extensions or renewals thereof, rights in Intellectual Property, interests in partnerships, joint ventures and other business associations, licenses, permits, copyrights, trade secrets, proprietary or confidential information, inventions (whether or not patented or patentable), technical information, procedures, designs, knowledge, know how, software, data bases, data, skill, expertise, experience, processes, models, drawings, materials and records, goodwill (including the goodwill associated with any Trademark or Trademark License), all rights and claims in or under insurance policies (including insurance for fire, damage, loss and casualty, whether covering personal property, real property, tangible rights or intangible rights, all liability, life, key man and business interruption insurance, and all unearned premiums), uncertificated securities, chooses in action, deposit, checking and other bank accounts, rights to receive tax refunds and other payments, rights to receive dividends, distributions, cash, Instruments and other property in respect of or in exchange for pledged Stock and Investment Property, rights of indemnification, all books and records, correspondence, credit files, invoices and other papers, including all tapes, cards, computer runs and other papers and documents in the possession or under the control of such Loan Party or any computer bureau or service company from time to time acting for such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Goods</w:t>
      </w:r>
      <w:r>
        <w:rPr>
          <w:rFonts w:ascii="Times New Roman;Times;Serif" w:hAnsi="Times New Roman;Times;Serif"/>
          <w:b w:val="false"/>
          <w:i w:val="false"/>
          <w:caps w:val="false"/>
          <w:smallCaps w:val="false"/>
          <w:sz w:val="20"/>
        </w:rPr>
        <w:t>” means all rights, titles and interests of each Loan Party in such Loan Party’s “goods” as defined in the UCC, whether now owned or existing or hereafter acquired or arising, wherever located, including embedded software to the extent included in “goods” as defined in the UCC, manufactured homes, standing timber that is cut and removed for sale and unborn young of animals.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and any agency, department or other entity exercising executive, legislative, judicial, regulatory or administrative functions of or pertaining to government. Governmental Authority shall include any agency, branch or other governmental body charged with the responsibility and/or vested with the authority to administer and/or enforce any Health Care Laws, including any Medicare or Medicaid contractors, intermediaries or carriers.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Payor</w:t>
      </w:r>
      <w:r>
        <w:rPr>
          <w:rFonts w:ascii="Times New Roman;Times;Serif" w:hAnsi="Times New Roman;Times;Serif"/>
          <w:b w:val="false"/>
          <w:i w:val="false"/>
          <w:caps w:val="false"/>
          <w:smallCaps w:val="false"/>
          <w:sz w:val="20"/>
        </w:rPr>
        <w:t>” means any “federal health care program” as defined in 42 U.S.C. § 1320a-7b(f), including Medicare and Medicaid.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means each Subsidiary of the Borrower that from time to time Guaranties the Obligations, whether signatory hereto on the Closing Date or joined as a party hereto after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xml:space="preserve">” by any Person, means any obligation, contingent or otherwise, of such Person directly or indirectly guarantying any Indebtedness or other obligation of any other Person and, without limiting the generality of the foregoing, any obligations, direct or indirect, contingent or otherwise, of such Person (a) to purchase or pay (or advance or supply funds for the purchase or payment of) such Indebtedness or other obligation (whether arising by virtue of partnership arrangements, by agreement to keep well, to purchase assets, Goods, securities or services, to take or pay, or to maintain financial statement conditions or otherwise) or (b) entered into for the purpose of assuring in any other manner the obligee of such Indebtedness or other obligation of the payment thereof or to protect such obligee against loss in respect thereof (in whole or in part);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term Guaranty shall not include endorsement for collection or deposit in the ordinary course of business. The term “Guaranty” used as a verb has a corresponding meaning.</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 and Security Agreement</w:t>
      </w:r>
      <w:r>
        <w:rPr>
          <w:rFonts w:ascii="Times New Roman;Times;Serif" w:hAnsi="Times New Roman;Times;Serif"/>
          <w:b w:val="false"/>
          <w:i w:val="false"/>
          <w:caps w:val="false"/>
          <w:smallCaps w:val="false"/>
          <w:sz w:val="20"/>
        </w:rPr>
        <w:t>” means the Guaranty and Security Agreement, dated as of the Closing Date, by and among the Agent and each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 any “hazardous substance” as defined in CERCLA, (b) any “hazardous waste” as defined by the Resource Conservation and Recovery Act, (c) asbestos, (d) polychlorinated biphenyls, (e) petroleum, its derivatives, by products and other hydrocarbons, (f) toxic mold, and (g) any other pollutant, toxic, radioactive, caustic or otherwise hazardous substance regulated under Environmental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 Contamination</w:t>
      </w:r>
      <w:r>
        <w:rPr>
          <w:rFonts w:ascii="Times New Roman;Times;Serif" w:hAnsi="Times New Roman;Times;Serif"/>
          <w:b w:val="false"/>
          <w:i w:val="false"/>
          <w:caps w:val="false"/>
          <w:smallCaps w:val="false"/>
          <w:sz w:val="20"/>
        </w:rPr>
        <w:t>” means contamination (whether now existing or hereafter occurring) of the improvements, buildings, facilities,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xml:space="preserve">” means, to the extent applicable to the business of any Loan Party, all applicable Laws relating to (a) fraud and abuse (including the following statutes, as amended, modified or supplemented from time to time and any successor statutes thereto and regulations promulgated from time to time thereunder: the federal Anti-Kickback Statute (42 U.S.C. § 1320a-7b(b)); the civil False Claims Act (31 U.S.C. § 3729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Sections 1320a-7 and 1320a-7a and 1320a-7b of Title 42 of the United States Code); (b) Governmental Payors; (c) the licensure or regulation of health care providers, suppliers, professionals or facilities; (d) the provision of, or payment for, health care services, items or supplies; (e) patient health care; (f) quality, safety certification and accreditation standards and requirements; (g) the billing, coding or submission of claims or collection of accounts receivable or refund of overpayments; (h) HIPAA; (i) the practice of medicine and other health care professions or the organization of medical or professional health care entities; (j) fee-splitting prohibitions; (k) laws regulating the provision of free or discounted care or services; (l) the FD&amp;C Act, including current Good Manufacturing Practices, and similar standards of the FDA, and any related state laws and regulations; (m) the Clinical Laboratory Improvement Amendments and the regulations promulgated thereunder and similar state laws; and (n) any and all other applicable health care laws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Permits</w:t>
      </w:r>
      <w:r>
        <w:rPr>
          <w:rFonts w:ascii="Times New Roman;Times;Serif" w:hAnsi="Times New Roman;Times;Serif"/>
          <w:b w:val="false"/>
          <w:i w:val="false"/>
          <w:caps w:val="false"/>
          <w:smallCaps w:val="false"/>
          <w:sz w:val="20"/>
        </w:rPr>
        <w:t>” means any and all Permits required under applicable Health Care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Hedged Tranche Rate Loan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2.5(b)(v)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xml:space="preserve">” means the (a) Health Insurance Portability and Accountability Act of 1996; (b) the Health Information Technology for Economic and Clinical Health Act (Title XIII of the American Recovery and Reinvestment Act of 2009); and (c) any state and local laws regulating the privacy and/or security of individually identifiable information, including state laws providing for notification of breach of privacy or security of individually identifiable information, in each case with respect to the laws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definition, as the same may be amended, modified or supplemented from time to time, any successor statutes thereto, any and all rules or regulations promulgated from time to time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means any Subsidiary that satisfies the following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such Subsidiary shall have contributed greater than (i) 2.5% Consolidated Adjusted EBITDA or (ii) 2.5% of Consolidated Total Assets, in each case, for the Test Period most recently ended;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such Subsidiary shall directly or indirectly own any Stock of, or Indebtedness issued by, or hold any Lien on any property of, the Borrower or any of its Subsidiaries (other than leases, non-exclusive licenses and other Liens existing in the ordinary course of business and not securing Indebtedness);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such Subsidiary shall own or hold an exclusive license with respect to any Material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Increased Amount Date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Increased Reporting Period</w:t>
      </w:r>
      <w:r>
        <w:rPr>
          <w:rFonts w:ascii="Times New Roman;Times;Serif" w:hAnsi="Times New Roman;Times;Serif"/>
          <w:b w:val="false"/>
          <w:i w:val="false"/>
          <w:caps w:val="false"/>
          <w:smallCaps w:val="false"/>
          <w:sz w:val="20"/>
        </w:rPr>
        <w:t xml:space="preserve">” means each of, and collectively, the following: (a) each period commencing on any date on which Excess Availability as of such date is less than the greater of 15% of Availability as of such date and $5,400,000 for three consecutive Business Days, and continuing until the date, if any, on which Excess Availability is equal to or greater than the greater of 15% of Availability and $5,400,000 for 30 consecutive days, and (b) each period commencing on the date on which the Agent notifies the Borrower that it is electing to implement an Increased Reporting Period as a result of the occurrence (and during the continuation) of an Event of Default, and continuing thereafter until such time (if any) that such Event of Default is cured by the Borrower or waived by the Required Lenders, in each case subject to, and in accordance with, the terms of this Agreement. Notwithstanding anything to the contrary herein, and for the avoidance of any doubt, the Agent’s election to implement an Increased Reporting Period pursuant to the foregoing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is not intended, and shall not be deemed, to constitute a waiver of any other rights or remedies of the Agent or any Lender in connection with the Event of Default giving rise to such election.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without duplication (a) all indebtedness of such Person for borrowed money or for the deferred purchase price of property or services, including Contingent Acquisition Consideration, in each case to the extent required to be reflected as a liability on the balance sheet in accordance with GAAP, but excluding (i) obligations to trade creditors incurred in the ordinary course of business that are not represented by a promissory note or other evidence of Indebtedness, and (ii) any royalty payments, milestone payments or similar payments based on a percentage of sales under any license or other agreement, (b) all reimbursement and other obligations with respect to letters of credit, bankers’ acceptances and surety bonds, whether or not matured, (c) all obligations evidenced by notes, bonds, debentures or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the present value (discounted at the Base Rate as in effect on the Closing Date) of future rental payments under all synthetic leases, (f) the net obligations of such Person under commodity purchase or option agreements or other commodity price hedging arrangements, in each case whether contingent or matured, (g) the net obligations of such Person under any foreign exchange contract, currency swap agreement, interest rate swap, cap or collar agreement or other similar agreement or arrangement designed to alter the risks of that Person arising from fluctuations in currency values or interest rates, in each case whether contingent or matured, (h) all obligations of such Person to purchase, redeem, retire, defease or otherwise make any payment in respect of any Disqualified Stock, and (i) all Indebtedness referred to above secured by (or for which the holder of such Indebtedness has an existing right, contingent or otherwise, to be secured by) any Lien upon or in property or other assets (including accounts and contract rights) owned by such Person, even though such Person has not assumed or become liable for the payment of such Indebtedness (the amount of which shall be deemed to be equal to the lesser of (i) the aggregate unpaid amount of such Indebtedness and (ii) the fair market value of the property encumbered thereby as determined by such Person in good faith).</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Other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 Floor</w:t>
      </w:r>
      <w:r>
        <w:rPr>
          <w:rFonts w:ascii="Times New Roman;Times;Serif" w:hAnsi="Times New Roman;Times;Serif"/>
          <w:b w:val="false"/>
          <w:i w:val="false"/>
          <w:caps w:val="false"/>
          <w:smallCaps w:val="false"/>
          <w:sz w:val="20"/>
        </w:rPr>
        <w:t>” means 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Event</w:t>
      </w:r>
      <w:r>
        <w:rPr>
          <w:rFonts w:ascii="Times New Roman;Times;Serif" w:hAnsi="Times New Roman;Times;Serif"/>
          <w:b w:val="false"/>
          <w:i w:val="false"/>
          <w:caps w:val="false"/>
          <w:smallCaps w:val="false"/>
          <w:sz w:val="20"/>
        </w:rPr>
        <w:t xml:space="preserve">” means, with respect to any Person, when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 Insolvency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Instruments</w:t>
      </w:r>
      <w:r>
        <w:rPr>
          <w:rFonts w:ascii="Times New Roman;Times;Serif" w:hAnsi="Times New Roman;Times;Serif"/>
          <w:b w:val="false"/>
          <w:i w:val="false"/>
          <w:caps w:val="false"/>
          <w:smallCaps w:val="false"/>
          <w:sz w:val="20"/>
        </w:rPr>
        <w:t>” means all rights, titles and interests of each Loan Party in such Loan Party’s “instruments,” as such term is defined in the UCC, whether now owned or existing or hereafter acquired or arising, wherever located, and, in any event, including all certificated securities, all certificates of deposit, and all promissory notes and other evidences of indebtedness, other than instruments that constitute, or are a part of a group of writings that constitute, Chattel Paper.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and all Copyrights, Patents, Trademarks, and Intellectual Property Licenses.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License</w:t>
      </w:r>
      <w:r>
        <w:rPr>
          <w:rFonts w:ascii="Times New Roman;Times;Serif" w:hAnsi="Times New Roman;Times;Serif"/>
          <w:b w:val="false"/>
          <w:i w:val="false"/>
          <w:caps w:val="false"/>
          <w:smallCaps w:val="false"/>
          <w:sz w:val="20"/>
        </w:rPr>
        <w:t>” means any Copyright License, Patent License, Trademark License or other license of rights or interests in respect of Intellectual Property now held or hereafter acquired by any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means, all as determined by the Agent in accordance with the Loan Documents and the Agent’s loan systems and procedures periodically in effect (and subject to the terms of any BillPayer Service, as applicable): (a) as to any Base Rate Loan and the Unused Line Fee, the first Business Day of each month, (b) as to any SOFR Loan, the first Business Day of each month, and (c) with respect to any Tranche Rate Loan, the last day of each Interest Period (or in the case of Interest Periods longer than three months, the date that is three months, and integral multiples thereof, after the commencement of such Interest Periods);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addition to the foregoing, each of (i) the date upon which all of the Revolving Loan Commitments have been terminated and the Advances have been paid in full and (ii) the Commitment Termination Date shall be deemed to be an “Interest Payment Date” with respect to any interest and any applicable Unused Line Fee that has then accrued under this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with respect to any Tranche Rate Loan, a period commencing on the date of such Tranche Rate Loan and ending on the numerically corresponding day in the calendar month that is 1, 3 or 6 months thereafter or as otherwise set pursuant to the terms of this Agreement, as applicable, determined by the Agent in accordance with this Agreement and the Agent’s loan systems and procedures periodically in effect, including in accordance with the following terms and conditions, as applicable, (a) in the case of immediately successive Interest Periods with respect to a continued Tranche Rate Loan, each successive Interest Period shall commence on the day on which the immediately preceding Interest Period expires, with interest for such day to be calculated based upon the interest rate in effect for the new Interest Period; (b) if an Interest Period would otherwise end on a day that is not a Business Day, such Interest Period shall end on the next succeeding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next succeeding Business Day falls in a new month, such Interest Period shall end on the immediately preceding Business Day; and (c) if any Interest Period begins on a Business Day for which there is no numerically corresponding day in the calendar month at the end of such Interest Period, then the Interest Period shall end on the last Business Day of the calendar month ending at the end of such Interest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means all rights, titles and interest of each Loan Party in such Loan Party’s “inventory,” as such term is defined in the UCC, whether now owned or existing or hereafter acquired or arising, wherever located, and in any event including inventory, merchandise, Goods and other personal property that are held by or on behalf of any Loan Party for sale or lease or are furnished or are to be furnished under a contract of service, or that constitute raw materials, work in process, finished Goods, returned Goods, supplies or materials of any kind, nature or description used or consumed or to be used or consumed in such Loan Party’s business or in the processing, production, packaging, promotion, delivery or shipping of the same, including all supplies and embedded software.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bona fide Accounts arising in the Ordinary Course of Business), or acquisitions of Indebtedness, Stock, or all or substantially all of the assets of such other Person (or of any division or business line of such other Person, or the purchase or exclusive license of Intellectual Property constituting a Product, whether or not representing a business line or all or substantially all of the business of a Person), and any other items that are or would be classified as investments on a balance sheet prepared in accordance with GAAP.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amount be less than zero or increase any basket or amount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above the fixed amount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Account Debtor</w:t>
      </w:r>
      <w:r>
        <w:rPr>
          <w:rFonts w:ascii="Times New Roman;Times;Serif" w:hAnsi="Times New Roman;Times;Serif"/>
          <w:b w:val="false"/>
          <w:i w:val="false"/>
          <w:caps w:val="false"/>
          <w:smallCaps w:val="false"/>
          <w:sz w:val="20"/>
        </w:rPr>
        <w:t>” means, at any time, an Account Debtor that at such time has a corporate credit rating of BBB- or higher by S&amp;P or Baa3 or higher by Moody’s.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Property</w:t>
      </w:r>
      <w:r>
        <w:rPr>
          <w:rFonts w:ascii="Times New Roman;Times;Serif" w:hAnsi="Times New Roman;Times;Serif"/>
          <w:b w:val="false"/>
          <w:i w:val="false"/>
          <w:caps w:val="false"/>
          <w:smallCaps w:val="false"/>
          <w:sz w:val="20"/>
        </w:rPr>
        <w:t>” means all rights, titles and interests of each Loan Party in such Loan Party’s “investment property” as such term is defined in the UCC, whether now owned or existing or hereafter acquired or arising, wherever located, including (a) all securities, whether certificated or uncertificated, including stocks, bonds, interests in limited liability companies, partnership interests, treasuries, certificates of deposit, and mutual fund shares; (b) all securities entitlements of any Loan Party, including the rights of such Loan Party to any Securities Account and the financial assets held by a securities intermediary in such Securities Account and any free credit balance or other money owing by any securities intermediary with respect to that account; (c) all Securities Accounts of any Loan Party; (d) all commodity contracts of any Loan Party; and (e) all commodity accounts held by any Loan Party.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IRC</w:t>
      </w:r>
      <w:r>
        <w:rPr>
          <w:rFonts w:ascii="Times New Roman;Times;Serif" w:hAnsi="Times New Roman;Times;Serif"/>
          <w:b w:val="false"/>
          <w:i w:val="false"/>
          <w:caps w:val="false"/>
          <w:smallCaps w:val="false"/>
          <w:sz w:val="20"/>
        </w:rPr>
        <w:t>” means the Internal Revenue Code of 1986, as amended, and all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ISDA Definitions</w:t>
      </w:r>
      <w:r>
        <w:rPr>
          <w:rFonts w:ascii="Times New Roman;Times;Serif" w:hAnsi="Times New Roman;Times;Serif"/>
          <w:b w:val="false"/>
          <w:i w:val="false"/>
          <w:caps w:val="false"/>
          <w:smallCaps w:val="false"/>
          <w:sz w:val="20"/>
        </w:rPr>
        <w:t>” means the 2006 ISDA Definitions or the 2021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and all federal, state, local and foreign statutes, laws, judicial decisions, regulations, binding guidelines, ordinances, rules, judgments, orders, decrees, codes, injunctions, permits, concessions, grants, franchises, governmental agreements and governmental restrictions, whether now or hereafter in effect, including all Health Care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Issuer</w:t>
      </w:r>
      <w:r>
        <w:rPr>
          <w:rFonts w:ascii="Times New Roman;Times;Serif" w:hAnsi="Times New Roman;Times;Serif"/>
          <w:b w:val="false"/>
          <w:i w:val="false"/>
          <w:caps w:val="false"/>
          <w:smallCaps w:val="false"/>
          <w:sz w:val="20"/>
        </w:rPr>
        <w:t>” means Fifth Third, in its capacity as the issuer of Letters of Credit for the Borrower’s account as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Sublimit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means each of (a) each Person party hereto as a lender, (b) each Eligible Assignee that becomes a party hereto pursuant to </w:t>
      </w:r>
      <w:r>
        <w:rPr>
          <w:rFonts w:ascii="Times New Roman;Times;Serif" w:hAnsi="Times New Roman;Times;Serif"/>
          <w:b w:val="false"/>
          <w:i w:val="false"/>
          <w:caps w:val="false"/>
          <w:smallCaps w:val="false"/>
          <w:sz w:val="20"/>
          <w:u w:val="single"/>
        </w:rPr>
        <w:t>Section 12.6</w:t>
      </w:r>
      <w:r>
        <w:rPr>
          <w:rFonts w:ascii="Times New Roman;Times;Serif" w:hAnsi="Times New Roman;Times;Serif"/>
          <w:b w:val="false"/>
          <w:i w:val="false"/>
          <w:caps w:val="false"/>
          <w:smallCaps w:val="false"/>
          <w:sz w:val="20"/>
        </w:rPr>
        <w:t xml:space="preserve"> (upon such Person becoming a party hereto), (c) the Agent, to the extent of any Revolving Credit Advances made by the Agent which have not been settled among Lenders pursuant to </w:t>
      </w:r>
      <w:r>
        <w:rPr>
          <w:rFonts w:ascii="Times New Roman;Times;Serif" w:hAnsi="Times New Roman;Times;Serif"/>
          <w:b w:val="false"/>
          <w:i w:val="false"/>
          <w:caps w:val="false"/>
          <w:smallCaps w:val="false"/>
          <w:sz w:val="20"/>
          <w:u w:val="single"/>
        </w:rPr>
        <w:t>Section 12.6</w:t>
      </w:r>
      <w:r>
        <w:rPr>
          <w:rFonts w:ascii="Times New Roman;Times;Serif" w:hAnsi="Times New Roman;Times;Serif"/>
          <w:b w:val="false"/>
          <w:i w:val="false"/>
          <w:caps w:val="false"/>
          <w:smallCaps w:val="false"/>
          <w:sz w:val="20"/>
        </w:rPr>
        <w:t>, and (d) the respective successors of each of the foregoing, and “Lenders” means all of the foregoing. In addition to the foregoing, solely for the purpose of identifying the Persons entitled to share in payments and collections from the Collateral as more fully set forth in this Agreement and the Collateral Documents, the term “Lender” shall include Eligible Swap Counterparties and any provider of Bank Products. In connection with any such distribution of payments and collections, the Agent shall be entitled to assume that no amounts are due to any Eligible Swap Counterparty or provider of Bank Products in respect of Rate Contracts, other Swap Contracts or Bank Products unless such Eligible Swap Counterparty or provider of Bank Products has notified the Agent of the amount of any such liability owed to it prior to such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Fee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2.4(e)(iii)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Obligations</w:t>
      </w:r>
      <w:r>
        <w:rPr>
          <w:rFonts w:ascii="Times New Roman;Times;Serif" w:hAnsi="Times New Roman;Times;Serif"/>
          <w:b w:val="false"/>
          <w:i w:val="false"/>
          <w:caps w:val="false"/>
          <w:smallCaps w:val="false"/>
          <w:sz w:val="20"/>
        </w:rPr>
        <w:t xml:space="preserve">” means all outstanding obligations incurred by the Agent, Lenders and the L/C Issuer at the request of the Borrower, whether direct or indirect, contingent or otherwise, due or not due, in connection with the issuance of Letters of Credit by the L/C Issuer or the purchase of a participation as set forth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with respect to any Letter of Credit. The amount of the Letter of Credit Obligations at any time shall equal the maximum amount that may be payable by the L/C Issuer, the Agent or Lenders thereupon or pursuant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means commercial or standby letters of credit issued for the account of the Borrower or any Subsidiary by the L/C Issuer, for which the Agent and Lenders have incurred Letter of Credit Obligations.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Personnel</w:t>
      </w:r>
      <w:r>
        <w:rPr>
          <w:rFonts w:ascii="Times New Roman;Times;Serif" w:hAnsi="Times New Roman;Times;Serif"/>
          <w:b w:val="false"/>
          <w:i w:val="false"/>
          <w:caps w:val="false"/>
          <w:smallCaps w:val="false"/>
          <w:sz w:val="20"/>
        </w:rPr>
        <w:t>” means any Person (including any physician) involved in the delivery of health care or medical items, services or supplies, employed or retained by any Loan Party or any Subsidiary for which a Permit is required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or deed of trust, pledge, deed of hypothec, hypothecation, collateral assignment, lien, charge, claim, security interest, easement or encumbrance, or preference, priority or other security agreement or preferential arrangement of any kind or nature whatsoever (including any lease or title retention agreement, any financing lease having substantially the same economic effect as any of the foregoing, and the filing of, or agreement to give, any financing statement perfecting a security interest under the UCC or comparable Law of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means any action, suit or proceeding before any court, mediator, arbitrator or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collectively, this Agreement, the Collateral Documents, the Notes, each agreement entered into in respect of Bank Products, each Rate Contract with an Eligible Swap Counterparty, and all other agreements, instruments, documents and certificates executed and delivered to, or in favor of, the Agent or any Lenders and including all other pledges, powers of attorney, consents, assignments, contracts, notices, letter of credit agreements and all other written matter whether heretofore, now or hereafter executed by or on behalf of any Loan Party, and delivered to the Agent or any Lender in connection with this Agreement or the transactions contemplated thereby. Any reference in this Agreement or any other Loan Document to a Loan Document shall include all appendices, exhibits or schedules thereto, and all amendments, restatements, amendments and restatements, supplements or other modifications thereto, and shall refer to this Agreement or such Loan Document as the same may be in effect at any and all times such reference becomes operative.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collectively, the Borrower and each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 Representative</w:t>
      </w:r>
      <w:r>
        <w:rPr>
          <w:rFonts w:ascii="Times New Roman;Times;Serif" w:hAnsi="Times New Roman;Times;Serif"/>
          <w:b w:val="false"/>
          <w:i w:val="false"/>
          <w:caps w:val="false"/>
          <w:smallCaps w:val="false"/>
          <w:sz w:val="20"/>
        </w:rPr>
        <w:t xml:space="preserve">” means the Borrower, for itself and on behalf of the other Loan Parties, in its capacity as “Loan Party Representative”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 Boxes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as defined in Regulation U of the Federal Reserve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business, assets, operations or financial condition of the Loan Parties taken as a whole, (b) the Borrower’s ability to pay any of the Advances or any of the other Obligations in accordance with the terms of this Agreement, (c) the Collateral or the enforceability or priority of Agent’s Liens with respect to all or a material portion of the Collateral, or (d) the Agent’s or Lenders’ (taken as a whole) rights and remedies under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any agreements or instruments to which any Loan Party or any Subsidiary is a party, the breach, nonperformance or cancellation of which, or the failure of which to renew,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means (a) any Indebtedness or Contingent Obligations evidenced by the Senior Unsecured Notes and any Permitted Refinancing thereof, and (b) any other Indebtedness or Contingent Obligations with respect to Indebtedness (in either case, other than the Obligations) of any Loan Party or any of its Subsidiaries having an aggregate principal amount (including undrawn committed or available amounts and including amounts owing to all creditors under any combined or syndicated credit arrangement) of $5,000,000 or more.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Intellectual Property</w:t>
      </w:r>
      <w:r>
        <w:rPr>
          <w:rFonts w:ascii="Times New Roman;Times;Serif" w:hAnsi="Times New Roman;Times;Serif"/>
          <w:b w:val="false"/>
          <w:i w:val="false"/>
          <w:caps w:val="false"/>
          <w:smallCaps w:val="false"/>
          <w:sz w:val="20"/>
        </w:rPr>
        <w:t>” means any Intellectual Property that is material to the business of the Borrower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Real Estate Asset</w:t>
      </w:r>
      <w:r>
        <w:rPr>
          <w:rFonts w:ascii="Times New Roman;Times;Serif" w:hAnsi="Times New Roman;Times;Serif"/>
          <w:b w:val="false"/>
          <w:i w:val="false"/>
          <w:caps w:val="false"/>
          <w:smallCaps w:val="false"/>
          <w:sz w:val="20"/>
        </w:rPr>
        <w:t>” means all Real Estate owned in fee by any Loan Party, in each case, with a fair market value in excess of $2,500,000 (as determined by the Borrower in good faith), as determined (a) with respect to any Real Estate owned by any Loan Party on the Closing Date, as of the Closing Date, and (b) with respect to any Real Estate acquired by a Loan Party after the Closing Date, as of the date of such acquisition.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Lawful Rate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Revolver Amount</w:t>
      </w:r>
      <w:r>
        <w:rPr>
          <w:rFonts w:ascii="Times New Roman;Times;Serif" w:hAnsi="Times New Roman;Times;Serif"/>
          <w:b w:val="false"/>
          <w:i w:val="false"/>
          <w:caps w:val="false"/>
          <w:smallCaps w:val="false"/>
          <w:sz w:val="20"/>
        </w:rPr>
        <w:t>” means, as of any date of determination, the Revolving Loan Commitment of all Lenders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Medicaid</w:t>
      </w:r>
      <w:r>
        <w:rPr>
          <w:rFonts w:ascii="Times New Roman;Times;Serif" w:hAnsi="Times New Roman;Times;Serif"/>
          <w:b w:val="false"/>
          <w:i w:val="false"/>
          <w:caps w:val="false"/>
          <w:smallCaps w:val="false"/>
          <w:sz w:val="20"/>
        </w:rPr>
        <w:t xml:space="preserve">” means, collectively, the health care assistance program established by Title XIX of the Social Security Act (42 U.S.C. 1396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and any statutes succeeding thereto, and all laws, rules and regulations including (a) all federal statutes affecting such program, (b) all state statutes and plans for medical assistance enacted in connection with such program and federal rules and regulations promulgated in connection with such program, and (c) all applicable provisions of all rules and regulations in each case as the same may be amended, supplemented or otherwise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Medicare</w:t>
      </w:r>
      <w:r>
        <w:rPr>
          <w:rFonts w:ascii="Times New Roman;Times;Serif" w:hAnsi="Times New Roman;Times;Serif"/>
          <w:b w:val="false"/>
          <w:i w:val="false"/>
          <w:caps w:val="false"/>
          <w:smallCaps w:val="false"/>
          <w:sz w:val="20"/>
        </w:rPr>
        <w:t xml:space="preserve">” means, collectively, the health insurance program for the aged and disabled established by Title XVIII of the Social Security Act (42 U.S.C. 1395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any statutes succeeding thereto, and all laws, rules or regulations pertaining to such program, including (a) all federal statutes (whether set forth in Title XVIII of the Social Security Act (42 U.S.C. 1395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or elsewhere) affecting such program, and (b) all applicable provisions of all laws, rules and regulations of all Governmental Authorities promulgated in connection with such program, in each case as the same may be amended, supplemented or otherwise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Mortgages</w:t>
      </w:r>
      <w:r>
        <w:rPr>
          <w:rFonts w:ascii="Times New Roman;Times;Serif" w:hAnsi="Times New Roman;Times;Serif"/>
          <w:b w:val="false"/>
          <w:i w:val="false"/>
          <w:caps w:val="false"/>
          <w:smallCaps w:val="false"/>
          <w:sz w:val="20"/>
        </w:rPr>
        <w:t>” means each of the mortgages, deeds of trust, leasehold mortgages, leasehold deeds of trust, collateral assignments of leases or other real estate Collateral Documents delivered by any Loan Party to the Agent with respect to fee-owned Real Estate, all in form and substance reasonably satisfactory to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that is intended to meet the definition set forth in Section 4001(a)(3) of ERISA, to which any Loan Party or any ERISA Affiliate may have any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a Lender that is not a Defaulting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Non-Extension Notice Date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Non-Funding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xml:space="preserve">” means a notice of borrowing with respect to any Advance, which notice shall be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and delivered by the Borrower to the Agent in a manner, acceptable to the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xml:space="preserve">” means a notice of conversion with respect to any Advance, which notice shall be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and delivered by the Borrower to the Agent in a manner, acceptable to the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loans, advances, debts, liabilities and obligations for the performance of covenants, tasks or duties or for payment of monetary amounts (whether or not such performance is then required or contingent, or such amounts are liquidated or determinable) owing by any Loan Party to the Agent, any Lender, the Swing Line Lender or the L/C Issuer, or any Affiliate of the Agent, any Lender, the Swing Line Lender or the L/C Issuer, and all covenants and duties regarding such amounts, of any kind or nature, present or future, whether direct or indirect (including acquired by assignment), related or unrelated, absolute or contingent, due or to become due, now existing or hereafter arising and however acquired, and whether or not evidenced by any note, agreement, letter of credit agreement or other instrument, in each case, arising under this Agreement, any other Loan Documents, any Rate Contracts entered into with any Eligible Swap Counterparty and all agreements entered into in respect of Bank Products. The term “Obligations” includes all principal, interest, Fees, reasonable and documented out-of-pocket expenses (including reasonable and documented out-of-pocket attorneys’ fees) required to reimbursed by the Loan Parties pursuant to this Agreement and the other Loan Documents, and any other sum chargeable to any Loan Party under this Agreement, any other Loan Documents or any agreement entered into in respect of Bank Products, all reimbursement and other obligations related to Letters of Credit, and all Rate Contract Obligations (including all amounts that accrue after the commencement of any case or proceeding by or against any Loan Party in bankruptcy, whether or not allowed in such case or proceeding). Notwithstanding the foregoing, “Obligations” of a Guarantor shall not include Excluded Swap Obligations with respect to such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in respect of any transaction involving any Loan Party or Subsidiary, the ordinary course of such Loan Party’s or Subsidiary’s business, as conducted by such Loan Party or Subsidiary in accordance with past practices or otherwise customary for the business of such Loan Party or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any Person other than a natural person, the documents by which such Person was organized (such as a certificate of incorporation, certificate of limited partnership or articles of organization, and including any certificates of designation for preferred stock or other forms of preferred equity) and which relate to the internal governance of such Person (such as bylaws, a partnership agreement or an operating, limited liability company or members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of a payment under this Agreement or any Loan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or other Loan Document, or sold or assigned an interest in any Obligation, this Agreement or other Loan Document).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transfer, excise, value added,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other than Other Connection Taxes that are imposed with respect to an assignment, other than any assignment made at the request of Borrower under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Overadvance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12.6(b)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12.6(b)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License</w:t>
      </w:r>
      <w:r>
        <w:rPr>
          <w:rFonts w:ascii="Times New Roman;Times;Serif" w:hAnsi="Times New Roman;Times;Serif"/>
          <w:b w:val="false"/>
          <w:i w:val="false"/>
          <w:caps w:val="false"/>
          <w:smallCaps w:val="false"/>
          <w:sz w:val="20"/>
        </w:rPr>
        <w:t>” means rights under any written agreement now owned or hereafter acquired by any Loan Party granting any right with respect to any invention on which a Patent is in existence.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Security Agreements</w:t>
      </w:r>
      <w:r>
        <w:rPr>
          <w:rFonts w:ascii="Times New Roman;Times;Serif" w:hAnsi="Times New Roman;Times;Serif"/>
          <w:b w:val="false"/>
          <w:i w:val="false"/>
          <w:caps w:val="false"/>
          <w:smallCaps w:val="false"/>
          <w:sz w:val="20"/>
        </w:rPr>
        <w:t>” means, collectively, each Patent Security Agreement made in favor of the Agent, on behalf of itself and Lenders, by each applicable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all of the following in which any Loan Party now holds or hereafter acquires any interest: (a) all letters patent of the United States or any other country, all registrations and recordings thereof, and all applications for letters patent of the United States or of any other country, including registrations, recordings and applications in the United States Patent and Trademark Office or in any similar office or agency of the United States, any State or any other country, and (b) all reissues, continuations, continuations in part or extensions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Conditions</w:t>
      </w:r>
      <w:r>
        <w:rPr>
          <w:rFonts w:ascii="Times New Roman;Times;Serif" w:hAnsi="Times New Roman;Times;Serif"/>
          <w:b w:val="false"/>
          <w:i w:val="false"/>
          <w:caps w:val="false"/>
          <w:smallCaps w:val="false"/>
          <w:sz w:val="20"/>
        </w:rPr>
        <w:t>” means, as of any date of determination with respect to any proposed payment to fund a Specified Transaction or incurrence of any Indebtedness constituting a Permitted Debt Issuance,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before and immediately after giving effect thereto, no Event of Default then exists or would arise as a result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 pro forma basis, immediately before and immediately after giving effect thereto, the Fixed Charge Coverage Ratio for the Test Period most recently ended shall not be less than 1.20:1.00;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a pro forma basis, Excess Availability would be at least equal to the greater of 20% of Availability and $7,200,000 on a pro forma basis immediately after giving effect thereto and for 30 consecutive days immediately prior thereto on a pro forma basis;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has delivered a certificate of a Responsible Officer to the Agent certifying that all conditions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 ERISA Plan described in Section 3(2) of ERISA which is covered by Title IV of ERISA or is subject to the minimum funding standards under Section 412 of the IRC.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means that certain Perfection Certificate, dated as of the Closing Date, executed and delivered by the Borrower to the Agent.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any Acquisition by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is consented to by the Agent (acting at the direction of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is financed entirely with net cash proceeds of the issuance of Qualified Stock of the Borrower or a Permitted Debt Issuance;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additional Stock in Melt Pharmaceuticals, Inc., a Delaware corporation (“</w:t>
      </w:r>
      <w:r>
        <w:rPr>
          <w:rFonts w:ascii="Times New Roman;Times;Serif" w:hAnsi="Times New Roman;Times;Serif"/>
          <w:b w:val="false"/>
          <w:i w:val="false"/>
          <w:caps w:val="false"/>
          <w:smallCaps w:val="false"/>
          <w:sz w:val="20"/>
          <w:u w:val="single"/>
        </w:rPr>
        <w:t>Melt</w:t>
      </w:r>
      <w:r>
        <w:rPr>
          <w:rFonts w:ascii="Times New Roman;Times;Serif" w:hAnsi="Times New Roman;Times;Serif"/>
          <w:b w:val="false"/>
          <w:i w:val="false"/>
          <w:caps w:val="false"/>
          <w:smallCaps w:val="false"/>
          <w:sz w:val="20"/>
        </w:rPr>
        <w:t>”), if, after giving effect to such Acquisition, Melt will be a Subsidiary of the Borrower where each of the following conditions is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Acquisition shall not be hostile and shall have been approved by the board of directors (or other similar body) and/or the Stockholders of Melt;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Payment Conditions (other than clause (b) of the definition thereof) shall have been satisfied as of the date of such Acquisition;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before and after giving pro forma effect to such Acquisition, no Default or Event of Default shall have occurred and be continuing.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where each of the following conditions is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Acquisition shall not be hostile and shall have been approved by the board of directors (or other similar body) and/or the Stockholders of the Target;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Target is (A) useful or engaged in a Similar Business and (B) located in, or organized or formed under the laws of, the United States or any state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before and after giving pro forma effect to such Acquisition, no Default or Event of Default shall have occurred and be continuing;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Payment Conditions shall have been satisfied as of the date of such Acquisition;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 respect to each Acquisition with a purchase price (including any deferred portion thereof, but excluding any Contingent Acquisition Consideration) in excess of $5,000,000, the Borrower shall deliver to the Agent, at least five Business Days prior to such Acquisition (or such later date as the Agent may agree to in writing, which may be via email), copies of all material agreements relating thereto and a certificate, in form and substance reasonably satisfactory to the Agent, stating that such Acquisition is a “Permitted Acquisition” and demonstrating compliance with the foregoing requirements.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 Accounts acquired by a Loan Party in a Permitted Acquisition shall be included as Eligible Investment Grade Accounts, Eligible Credit Insured Accounts or Eligible Non-Investment Grade Accounts until a field examination with respect thereto has been completed to the satisfaction of the Agent, including the establishment of Reserves required in the Agent’s Permitted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field examinations and appraisals in connection with Permitted Acquisitions shall not count against the limited number of field examinations or appraisals for which expense reimbursement may be sought.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Contest</w:t>
      </w:r>
      <w:r>
        <w:rPr>
          <w:rFonts w:ascii="Times New Roman;Times;Serif" w:hAnsi="Times New Roman;Times;Serif"/>
          <w:b w:val="false"/>
          <w:i w:val="false"/>
          <w:caps w:val="false"/>
          <w:smallCaps w:val="false"/>
          <w:sz w:val="20"/>
        </w:rPr>
        <w:t xml:space="preserve">” means a contest maintained in good faith by appropriate proceedings promptly instituted and diligently conducted and with respect to which such reserve or other appropriate provision, if any, as shall be required in conformity with GAAP shall have been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compliance with the obligation that is the subject of such contest is effectively stayed during such challenge.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Debt Issuance</w:t>
      </w:r>
      <w:r>
        <w:rPr>
          <w:rFonts w:ascii="Times New Roman;Times;Serif" w:hAnsi="Times New Roman;Times;Serif"/>
          <w:b w:val="false"/>
          <w:i w:val="false"/>
          <w:caps w:val="false"/>
          <w:smallCaps w:val="false"/>
          <w:sz w:val="20"/>
        </w:rPr>
        <w:t xml:space="preserve">” means any Indebtedness of any Loan Party for borrowed money or all obligations evidenced by notes, bonds, debentures or similar instruments, so long as (a) such Indebtedness is unsecured, (b) does not mature earlier than the date that is 91 days after the Stated Maturity Date, (c) the Payment Conditions are satisfied as of the date of incurrence thereof, and (d) the proceeds of such Indebtedness are applied solely for the purpose of (i) financing one or more Permitted Acquisitions, Permitted Intellectual Property Acquisitions and transactions fees and expenses related thereto, (ii) making royalty payments, milestone payments or similar payments based on a percentage of sales under any license or other agreement, (iii) making Employee WHT Payments, (iv) purchase price, milestone or similar payments paid in connection with the purchase or exclusive license of Intellectual Property and other intangibles, in each case of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substantially concurrently with the consummation thereof, or (v) replenishing balance sheet cash or repaying Revolving Loans previously utilized for any of the foregoing purposes, in each case, no more than 15 days prior to the date on which such Permitted Debt Issuance is funded.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Intellectual Property Acquisitions</w:t>
      </w:r>
      <w:r>
        <w:rPr>
          <w:rFonts w:ascii="Times New Roman;Times;Serif" w:hAnsi="Times New Roman;Times;Serif"/>
          <w:b w:val="false"/>
          <w:i w:val="false"/>
          <w:caps w:val="false"/>
          <w:smallCaps w:val="false"/>
          <w:sz w:val="20"/>
        </w:rPr>
        <w:t>” means the purchase or exclusive license of Intellectual Property whether or not representing a business line or all or substantially all of the business of a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is consented to by the Agent (acting at the direction of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is financed entirely with net cash proceeds of the issuance of Qualified Stock of the Borrower or a Permitted Debt Issuance;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 each of the following conditions is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purchase price (i) is paid through royalty payments, milestone payments or similar payments based on a percentage of sales under any license or other agreement, or (ii) does not consist of payments of the type described in the foregoing clause (i) and is less than $10,000,000 per Fiscal Year and $30,000,000 in the aggregate during the term of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Intellectual Property is useful or engaged in or reasonably related or supportive or complementary to the business of the Loan Parties or any business, service or activity that is related, complementary, synergistic, incidental, ancillary or similar thereto or is an extension or development of any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each Acquisition with a purchase price (including any deferred portion thereof, but excluding any Contingent Acquisition Consideration) in excess of $5,000,000, the Borrower shall deliver to the Agent, at least five Business Days prior to such transaction (or such later date as the Agent may agree to in writing, which may be via email), copies of all material agreements relating thereto and a certificate, in form and substance reasonably satisfactory to the Agent, stating that such transaction is a “Permitted Intellectual Property Acquisition” and demonstrating compliance with the foregoing requirements;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Payment Conditions shall have been satisfied as of the date of such transaction.</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Discretion</w:t>
      </w:r>
      <w:r>
        <w:rPr>
          <w:rFonts w:ascii="Times New Roman;Times;Serif" w:hAnsi="Times New Roman;Times;Serif"/>
          <w:b w:val="false"/>
          <w:i w:val="false"/>
          <w:caps w:val="false"/>
          <w:smallCaps w:val="false"/>
          <w:sz w:val="20"/>
        </w:rPr>
        <w:t>” means a determination made in good faith and in the exercise (from the perspective of a secured asset-based lender) of commercially reasonably business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xml:space="preserve">” means the following encumbrances: (a) Liens for taxes or assessments or other governmental Charges not yet due and payable or which are being contested in accordance with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(b) pledges or deposits of money securing statutory obligations under workmen’s compensation, unemployment insurance, social security or public liability Laws or similar legislation (excluding Liens under ERISA); (c) pledges or deposits of money securing bids, tenders, contracts (other than contracts for the payment of money) or leases to which any Loan Party is a party as lessee made in the Ordinary Course of Business; (d) inchoate and unperfected workers’, mechanics’ or similar Liens arising in the Ordinary Course of Business, so long as such Liens attach only to Equipment, Fixtures and/or Real Estate; (e) landlords’, carriers’, warehousemen’s, suppliers’ or other similar possessory Liens arising in the Ordinary Course of Business and securing liabilities that are not yet due and payable (unless such liabilities are being contested in good faith by appropriate proceedings and appropriate reserves have been established in accordance with GAAP); (f) cash deposits securing, or in lieu of, surety, appeal or customs bonds in proceedings to which any Loan Party is a party; (g) any attachment or judgment Lien not constituting an Event of Default under </w:t>
      </w:r>
      <w:r>
        <w:rPr>
          <w:rFonts w:ascii="Times New Roman;Times;Serif" w:hAnsi="Times New Roman;Times;Serif"/>
          <w:b w:val="false"/>
          <w:i w:val="false"/>
          <w:caps w:val="false"/>
          <w:smallCaps w:val="false"/>
          <w:sz w:val="20"/>
          <w:u w:val="single"/>
        </w:rPr>
        <w:t>Section 9.1(j)</w:t>
      </w:r>
      <w:r>
        <w:rPr>
          <w:rFonts w:ascii="Times New Roman;Times;Serif" w:hAnsi="Times New Roman;Times;Serif"/>
          <w:b w:val="false"/>
          <w:i w:val="false"/>
          <w:caps w:val="false"/>
          <w:smallCaps w:val="false"/>
          <w:sz w:val="20"/>
        </w:rPr>
        <w:t xml:space="preserve">; (h) zoning restrictions, easements, licenses, or other restrictions on the use of any Real Estate or other minor irregularities in title (including leasehold title) thereto, so long as the same do not materially interfere with the ordinary conduct of the business of the Loan Parties; (i) presently existing or hereafter created Liens in favor of the Agent, on behalf of the Secured Parties; and (j) Liens securing obligations in respect of Indebtedness permitted under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w:t>
      </w:r>
      <w:r>
        <w:rPr>
          <w:rFonts w:ascii="Times New Roman;Times;Serif" w:hAnsi="Times New Roman;Times;Serif"/>
          <w:b w:val="false"/>
          <w:i w:val="false"/>
          <w:caps w:val="false"/>
          <w:smallCaps w:val="false"/>
          <w:sz w:val="20"/>
        </w:rPr>
        <w:t xml:space="preserve">” means, with respect to any Person, any modification, refinancing, refunding, renewal, replacement or extension of any Indebtedness of such Person;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other amounts paid, and fees, expenses, commissions, underwriting discounts and expenses incurred, in connection with such modification, refinancing, refunding, renewal, replacement or extension and by an amount equal to any existing commitments unutilized thereunder; (b) other than with respect to a Permitted Refinancing of Indebtedness permitted pursuant to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such modification, refinancing, refunding, renewal, replacement or extension shall be on terms and conditions (other than (i) provisions applicable only to periods after the Stated Maturity Date (as of the date of incurrence of the Permitted Refinancing) and (ii) pricing, fees, rate floors, premiums, optional prepayment or redemption terms (which shall be determined by the Borrower)) are not materially less favorable (taken as a whole) to any Loan Party, the Agent or any Lender than the terms of the Indebtedness being modified, refinanced, refunded, renewed, replaced or extended; (d) neither the Borrower nor any of its Subsidiaries shall be an obligor or guarantor of any such refinancings, replacements, refundings, renewals, replacements or extensions except to the extent that such Person was such an obligor or guarantor in respect of the applicable Indebtedness being modified, refinanced, refunded, renewed, replaced or extended; (e) such modification, refinancing, refunding, renewal, replacement or extension shall not be secured by any Lien on any asset other than (if secured) the assets that secured such Indebtedness being modified, refinanced, refunded, renewed, replaced or extended; and (f) such modification, refinancing, refunding, renewal, replacement or extension shall not (if secured) have a higher Lien priority than such Indebtedness being modified, refinanced, refunded, renewed, replaced or extended.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with respect to all matters relating to any Lender: (a) prior to the Commitment Termination Date, the </w:t>
      </w:r>
      <w:r>
        <w:rPr>
          <w:rFonts w:ascii="Times New Roman;Times;Serif" w:hAnsi="Times New Roman;Times;Serif"/>
          <w:b w:val="false"/>
          <w:i w:val="false"/>
          <w:caps w:val="false"/>
          <w:smallCaps w:val="false"/>
          <w:sz w:val="20"/>
          <w:u w:val="single"/>
        </w:rPr>
        <w:t>quotient</w:t>
      </w:r>
      <w:r>
        <w:rPr>
          <w:rFonts w:ascii="Times New Roman;Times;Serif" w:hAnsi="Times New Roman;Times;Serif"/>
          <w:b w:val="false"/>
          <w:i w:val="false"/>
          <w:caps w:val="false"/>
          <w:smallCaps w:val="false"/>
          <w:sz w:val="20"/>
        </w:rPr>
        <w:t xml:space="preserve"> (expressed as a percentage) of (i) the Revolving Loan Commitment of that Lender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(ii) the aggregate Revolving Loan Commitments of all Lenders, and (b) on and after the Commitment Termination Date, the </w:t>
      </w:r>
      <w:r>
        <w:rPr>
          <w:rFonts w:ascii="Times New Roman;Times;Serif" w:hAnsi="Times New Roman;Times;Serif"/>
          <w:b w:val="false"/>
          <w:i w:val="false"/>
          <w:caps w:val="false"/>
          <w:smallCaps w:val="false"/>
          <w:sz w:val="20"/>
          <w:u w:val="single"/>
        </w:rPr>
        <w:t>quotient</w:t>
      </w:r>
      <w:r>
        <w:rPr>
          <w:rFonts w:ascii="Times New Roman;Times;Serif" w:hAnsi="Times New Roman;Times;Serif"/>
          <w:b w:val="false"/>
          <w:i w:val="false"/>
          <w:caps w:val="false"/>
          <w:smallCaps w:val="false"/>
          <w:sz w:val="20"/>
        </w:rPr>
        <w:t xml:space="preserve"> (expressed as a percentage) of (i) the aggregate outstanding principal balance of the Advances held by that Lender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(ii) the outstanding principal balance of the Advances held by all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investigation, inquiry, litigation, review, hearing, suit, claim, audit, arbitration, proceeding or action (in each case, whether civil, criminal, administrative, investigative or informal) commenced, brought, conducted or heard by or before, or otherwise involving, any Governmental Authority or arbitrator.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Proceeds</w:t>
      </w:r>
      <w:r>
        <w:rPr>
          <w:rFonts w:ascii="Times New Roman;Times;Serif" w:hAnsi="Times New Roman;Times;Serif"/>
          <w:b w:val="false"/>
          <w:i w:val="false"/>
          <w:caps w:val="false"/>
          <w:smallCaps w:val="false"/>
          <w:sz w:val="20"/>
        </w:rPr>
        <w:t>” means all “proceeds,” as such term is defined in the UCC, including (a) any and all proceeds of any insurance, indemnity, warranty or guaranty payable to any Loan Party from time to time with respect to any of the Collateral, (b) any and all payments (in any form whatsoever) made or due and payable to any Loan Party from time to time in connection with any requisition, confiscation, condemnation, seizure or forfeiture of all or any part of the Collateral by any Governmental Authority (or any Person acting under color of governmental authority), (c) any claim of any Loan Party against third parties (i) for past, present or future infringement of any Patent or Patent License, or (ii) for past, present or future infringement or dilution of any Copyright, Copyright License, Trademark or Trademark License, or for injury to the goodwill associated with any Trademark or Trademark License, (d) any recoveries by any Loan Party against third parties with respect to any litigation or dispute concerning any of the Collateral including claims arising out of the loss or nonconformity of, interference with the use of, defects in, or infringement of rights in, or damage to, Collateral, (e) all amounts collected on, or distributed on account of, other Collateral, including dividends, interest, distributions and Instruments with respect to Investment Property and pledged Stock, and (f) any and all other amounts, rights to payment or other property acquired upon the sale, lease, license, exchange or other disposition of Collateral and all rights arising out of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w:t>
      </w:r>
      <w:r>
        <w:rPr>
          <w:rFonts w:ascii="Times New Roman;Times;Serif" w:hAnsi="Times New Roman;Times;Serif"/>
          <w:b w:val="false"/>
          <w:i w:val="false"/>
          <w:caps w:val="false"/>
          <w:smallCaps w:val="false"/>
          <w:sz w:val="20"/>
        </w:rPr>
        <w:t>” means any material pharmaceutical or biological product that is, or upon consummation of a Permitted Intellectual Property Acquisition will be, commercialized by the Borrower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means, with respect to the Loan Parties, the forecasted consolidated balance sheets, statements of operations and statements of cash flows of the Loan Parties and their Subsidiaries, all prepared in a manner consistent with the historical Financial Statements, together with appropriate supporting details and a statement of underlying assumptions.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Protective Advances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Stock</w:t>
      </w:r>
      <w:r>
        <w:rPr>
          <w:rFonts w:ascii="Times New Roman;Times;Serif" w:hAnsi="Times New Roman;Times;Serif"/>
          <w:b w:val="false"/>
          <w:i w:val="false"/>
          <w:caps w:val="false"/>
          <w:smallCaps w:val="false"/>
          <w:sz w:val="20"/>
        </w:rPr>
        <w:t>” means any Stock of any Person that is not Disqualified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Rate Contract</w:t>
      </w:r>
      <w:r>
        <w:rPr>
          <w:rFonts w:ascii="Times New Roman;Times;Serif" w:hAnsi="Times New Roman;Times;Serif"/>
          <w:b w:val="false"/>
          <w:i w:val="false"/>
          <w:caps w:val="false"/>
          <w:smallCaps w:val="false"/>
          <w:sz w:val="20"/>
        </w:rPr>
        <w:t>” means any agreement, device or arrangement providing for payments which are related to fluctuations of commodities, currencies, or interest rates, exchange rates, forward rates, or equity prices, including Dollar denominated or cross currency interest rate exchange agreements, forward currency exchange agreements, interest rate cap or collar protection agreements, forward rate currency or interest rate options, puts and warrants, and any agreement pertaining to equity derivative transactions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equity or equity index swaps, options, caps, floors, collars and forwards), including any ISDA Master Agreement, and any schedules, confirmations and documents and other confirming evidence between the parties confirming transactions thereunder, all whether now existing or hereafter arising, and in each case as amended, modified or supplemented from time to time.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Rate Contract Obligations</w:t>
      </w:r>
      <w:r>
        <w:rPr>
          <w:rFonts w:ascii="Times New Roman;Times;Serif" w:hAnsi="Times New Roman;Times;Serif"/>
          <w:b w:val="false"/>
          <w:i w:val="false"/>
          <w:caps w:val="false"/>
          <w:smallCaps w:val="false"/>
          <w:sz w:val="20"/>
        </w:rPr>
        <w:t>” means any and all obligations of a Loan Party to an Eligible Swap Counterparty, whether absolute, contingent or otherwise and howsoever and whensoever (whether now or hereafter) created, arising, evidenced or acquired (including all renewals, extensions and modifications thereof and substitutions therefor), under or in connection with (a) any and all Rate Contracts between a Loan Party and an Eligible Swap Counterparty, and (b) any and all cancellations, buy-backs, reversals, terminations or assignments of any such Rate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w:t>
      </w:r>
      <w:r>
        <w:rPr>
          <w:rFonts w:ascii="Times New Roman;Times;Serif" w:hAnsi="Times New Roman;Times;Serif"/>
          <w:b w:val="false"/>
          <w:i w:val="false"/>
          <w:caps w:val="false"/>
          <w:smallCaps w:val="false"/>
          <w:sz w:val="20"/>
        </w:rPr>
        <w:t>” means any real property owned, leased, subleased or otherwise operated or occupied by the Borrower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 Deliverables</w:t>
      </w:r>
      <w:r>
        <w:rPr>
          <w:rFonts w:ascii="Times New Roman;Times;Serif" w:hAnsi="Times New Roman;Times;Serif"/>
          <w:b w:val="false"/>
          <w:i w:val="false"/>
          <w:caps w:val="false"/>
          <w:smallCaps w:val="false"/>
          <w:sz w:val="20"/>
        </w:rPr>
        <w:t>” means each of the following agreements, instruments and other documents in respect of each Material Real Estate Asset in form and substance reasonably satisfactory to the Agent: (a) a Mortgage duly executed by the applicable Loan Party; (b) evidence of the recording of such Mortgage in such office or offices as may be necessary or, in the opinion of the Agent, desirable to perfect the Lien purported to be created thereby or to otherwise protect the rights of the Agent and Lenders thereunder; (c) a title insurance policy or bring-down of the existing title insurance policy with respect to such Mortgage, dated as of the Closing Date or the date on which such Mortgage is required to be delivered pursuant to the Agreement, as applicable; (d) a current ALTA survey and a surveyor’s certificate, in form and substance satisfactory to the Agent, certified to the Agent and to the title company that issued the title insurance policy with respect thereto by a licensed professional surveyor satisfactory to the Agent; (e) flood insurance documentation (and, as applicable, evidence of flood insurance) with respect to such Material Real Estate Asset in form and substance reasonably satisfactory to the Agent; (f) an appraisal in compliance with FIRREA; (g) an opinion of counsel, satisfactory to the Agent, in the state where such premises is located with respect to the enforceability of the Mortgage to be recorded and such other matters as the Agent may reasonably request; (h) Phase I Environmental Site Assessments (and, if requested by the Agent, Phase II Environmental Site Assessments) with respect to such real property, certified to the Agent by a company reasonably satisfactory to the Agent (together with a duly executed reliance letter from such company); and (i) such other agreements, instruments and other documents (including instruments of indemnification and subordination and non-disturbance agreements) as the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12.6(a)(iii)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Obligations</w:t>
      </w:r>
      <w:r>
        <w:rPr>
          <w:rFonts w:ascii="Times New Roman;Times;Serif" w:hAnsi="Times New Roman;Times;Serif"/>
          <w:b w:val="false"/>
          <w:i w:val="false"/>
          <w:caps w:val="false"/>
          <w:smallCaps w:val="false"/>
          <w:sz w:val="20"/>
        </w:rPr>
        <w:t>” means, at any date, the obligations of the Borrower then outstanding to reimburse the L/C Issuer, for payments made by the L/C Issuer under a Letter of Credit.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Persons</w:t>
      </w:r>
      <w:r>
        <w:rPr>
          <w:rFonts w:ascii="Times New Roman;Times;Serif" w:hAnsi="Times New Roman;Times;Serif"/>
          <w:b w:val="false"/>
          <w:i w:val="false"/>
          <w:caps w:val="false"/>
          <w:smallCaps w:val="false"/>
          <w:sz w:val="20"/>
        </w:rPr>
        <w:t xml:space="preserve">” means, with respect to any Person, each Affiliate of such Person and each director, officer, employee, manager, member, agent, trustee, representative, attorney, accountant and each insurance, environmental, legal, financial and other advisor (including those retained in connection with the satisfaction or attempted satisfaction of any condition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other consultants and agents of or to such Person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threatened release, spill, emission, leaking, pumping, pouring, emitting, emptying, escape, injection, disposal, discharge, dumping, leaching or migration of Hazardous Material in the indoor or outdoor environment, including the movement of Hazardous Material through or in the air, soil, surface water, or ground water.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Remittances</w:t>
      </w:r>
      <w:r>
        <w:rPr>
          <w:rFonts w:ascii="Times New Roman;Times;Serif" w:hAnsi="Times New Roman;Times;Serif"/>
          <w:b w:val="false"/>
          <w:i w:val="false"/>
          <w:caps w:val="false"/>
          <w:smallCaps w:val="false"/>
          <w:sz w:val="20"/>
        </w:rPr>
        <w:t>” means all checks, drafts, money orders, and other items and all cash, electronic transfers, and other remittances of every kind due a Loan Party on its Accounts or other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12.6(c)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Lenders having (a) more than 50% of the Revolving Loan Commitments of all Lenders, or (b) if the Revolving Loan Commitments have been terminated, more than 50% of the aggregate outstanding amount of the Revolving Exposure held by all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Reserves</w:t>
      </w:r>
      <w:r>
        <w:rPr>
          <w:rFonts w:ascii="Times New Roman;Times;Serif" w:hAnsi="Times New Roman;Times;Serif"/>
          <w:b w:val="false"/>
          <w:i w:val="false"/>
          <w:caps w:val="false"/>
          <w:smallCaps w:val="false"/>
          <w:sz w:val="20"/>
        </w:rPr>
        <w:t>” means any and all reserves that the Agent deems necessary, in its Permitted Discretion, to establish and/or maintain with respect to the Collateral or any Loan Party, including reserves for returns, rebates, discounts, credit and other allowances with payors and copay assistance, reserves for accrued and unpaid interest on the Obligations, Bank Product reserves, volatility reserves, reserves for rent at locations leased by any Loan Party and for consignee’s, warehousemen’s, bailee’s and processor’s charges, reserves for dilution of Accounts, reserves for Inventory shrinkage, reserves for customs charges and shipping charges related to any Inventory in transit, reserves for Rate Contract Obligations, reserves for contingent liabilities of any Loan Party, reserves for uninsured losses of any Loan Party, reserves for uninsured, underinsured, un-indemnified or under-indemnified liabilities or potential liabilities with respect to any litigation and reserves for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any of the Chief Executive Officer, Chief Financial Officer or any other officer of the Borrower designated by the Borrower and acceptable to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Debt Payment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6.18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with respect to the Borrower or Subsidiary, (a) the declaration or payment of any dividend or distribution of cash or other property or assets in respect of Stock; (b) any payment on account of the purchase, redemption, defeasance, sinking fund or other retirement of such Person’s Stock or any other payment or distribution made in respect thereof, either directly or indirectly; (c) any payment or prepayment of principal of, premium, if any, or interest, fees or other charges on or with respect to, and any redemption, purchase, retirement, defeasance, sinking fund or similar payment and any claim for rescission with respect to, any Subordinated Debt; (d) any payment made to redeem, purchase, repurchase or retire, or to obtain the surrender of, any outstanding warrants, options or other rights to acquire Stock of such Person now or hereafter outstanding; and (e) any payment of a claim for the rescission of the purchase or sale of, or for material damages arising from the purchase or sale of, any shares of such Person’s Stock or of a claim for reimbursement, indemnification or contribution arising out of or related to any such claim for damages or rescission.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Advance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and may, as the context may require, include Protective Advances and Overadvances.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Exposure</w:t>
      </w:r>
      <w:r>
        <w:rPr>
          <w:rFonts w:ascii="Times New Roman;Times;Serif" w:hAnsi="Times New Roman;Times;Serif"/>
          <w:b w:val="false"/>
          <w:i w:val="false"/>
          <w:caps w:val="false"/>
          <w:smallCaps w:val="false"/>
          <w:sz w:val="20"/>
        </w:rPr>
        <w:t xml:space="preserve">” means, (a) with respect to any Lender at any time, the sum, without duplication, of (i) the outstanding principal amount of such Lender’s Revolving Credit Advances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such Lender’s Pro Rata Share of the aggregate Letter of Credit Obligations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such Lenders’ Pro Rata Share of the aggregate principal amount of all Swing Line Advances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(iv) such Lender’s Pro Rata Share of the aggregate principal amount of Protective Advances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(v) such Lender’s Pro Rata Share of the aggregate principal amount of Overadvances outstanding at such time, and (b) with respect to all Lenders at any time, the sum, without duplication, of (i) the aggregate outstanding principal amount of Revolving Credit Advances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the aggregate Letter of Credit Obligations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the aggregate principal amount of all Swing Line Advances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(iv) the aggregate principal amount of Protective Advances outstanding at such time,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(v) the aggregate principal amount of Overadvances outstanding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 Commitments</w:t>
      </w:r>
      <w:r>
        <w:rPr>
          <w:rFonts w:ascii="Times New Roman;Times;Serif" w:hAnsi="Times New Roman;Times;Serif"/>
          <w:b w:val="false"/>
          <w:i w:val="false"/>
          <w:caps w:val="false"/>
          <w:smallCaps w:val="false"/>
          <w:sz w:val="20"/>
        </w:rPr>
        <w:t xml:space="preserve">” means (a) as to any Lender, the aggregate commitment of such Lender to make Revolving Credit Advances, incur (or participate in) Letter of Credit Obligations and participate in Swing Line Advances, as set forth on </w:t>
      </w:r>
      <w:r>
        <w:rPr>
          <w:rFonts w:ascii="Times New Roman;Times;Serif" w:hAnsi="Times New Roman;Times;Serif"/>
          <w:b w:val="false"/>
          <w:i w:val="false"/>
          <w:caps w:val="false"/>
          <w:smallCaps w:val="false"/>
          <w:sz w:val="20"/>
          <w:u w:val="single"/>
        </w:rPr>
        <w:t>Annex E</w:t>
      </w:r>
      <w:r>
        <w:rPr>
          <w:rFonts w:ascii="Times New Roman;Times;Serif" w:hAnsi="Times New Roman;Times;Serif"/>
          <w:b w:val="false"/>
          <w:i w:val="false"/>
          <w:caps w:val="false"/>
          <w:smallCaps w:val="false"/>
          <w:sz w:val="20"/>
        </w:rPr>
        <w:t xml:space="preserve"> or in the most recent Assignment Agreement executed by such Lender and (b) as to all Lenders, the aggregate commitment of all Lenders to make Revolving Credit Advances, incur (or participate in) Letter of Credit Obligations and participate in Swing Line Advances, which aggregate commitment shall be $40,000,000 on the Closing Date, as such amount may be increased, reduced or adjusted, if at all, from time to time in accordance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Loans</w:t>
      </w:r>
      <w:r>
        <w:rPr>
          <w:rFonts w:ascii="Times New Roman;Times;Serif" w:hAnsi="Times New Roman;Times;Serif"/>
          <w:b w:val="false"/>
          <w:i w:val="false"/>
          <w:caps w:val="false"/>
          <w:smallCaps w:val="false"/>
          <w:sz w:val="20"/>
        </w:rPr>
        <w:t xml:space="preserve">” means, at any time, the sum of (a) the aggregate amount of Revolving Credit Advances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aggregate Letter of Credit Obligations. Unless the context otherwise requires, references to the outstanding principal balance of the Revolving Loans shall include the outstanding balance of Letter of Credit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territory that is the target of comprehensive Sanctions (currently, Cuba, Iran, North Korea, Russia, Syria, Crimea and the so-called Donetsk People’s Republic and Luhansk People’s Republic of Ukraine).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SDN List</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successor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each of, and collectively, (a) the Agent, (b) the Lenders, and (c) each Affiliate of the Agent or any Lender with respect to Bank Products and/or Rate Contract Obligations pursuant to, and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Account Control Agreement</w:t>
      </w:r>
      <w:r>
        <w:rPr>
          <w:rFonts w:ascii="Times New Roman;Times;Serif" w:hAnsi="Times New Roman;Times;Serif"/>
          <w:b w:val="false"/>
          <w:i w:val="false"/>
          <w:caps w:val="false"/>
          <w:smallCaps w:val="false"/>
          <w:sz w:val="20"/>
        </w:rPr>
        <w:t>” means, with respect to any Securities Account, an agreement in form and substance reasonably satisfactory to the Agent, among the Agent, the financial institution or other Person at which such Securities Account is maintained and the Loan Party maintaining such Securities Account, effective for the Agent to obtain “control” (within the meaning of Articles 8 and 9 under the UCC) of such Securities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Accounts</w:t>
      </w:r>
      <w:r>
        <w:rPr>
          <w:rFonts w:ascii="Times New Roman;Times;Serif" w:hAnsi="Times New Roman;Times;Serif"/>
          <w:b w:val="false"/>
          <w:i w:val="false"/>
          <w:caps w:val="false"/>
          <w:smallCaps w:val="false"/>
          <w:sz w:val="20"/>
        </w:rPr>
        <w:t>” means all “securities accounts” as such term in defined in the UCC, now or hereafter held in the name of any Loan Party.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Notes</w:t>
      </w:r>
      <w:r>
        <w:rPr>
          <w:rFonts w:ascii="Times New Roman;Times;Serif" w:hAnsi="Times New Roman;Times;Serif"/>
          <w:b w:val="false"/>
          <w:i w:val="false"/>
          <w:caps w:val="false"/>
          <w:smallCaps w:val="false"/>
          <w:sz w:val="20"/>
        </w:rPr>
        <w:t>” means any promissory note or notes issued by a Loan Party or a Subsidiary of such Loan Party in respect of any Permitted Acquisition or Permitted Intellectual Property Acquisition as partial consideration in connection with such Permitted Acquisition or Permitted Intellectual Property Acquisition, other than Contingent Acquisition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Unsecured Notes</w:t>
      </w:r>
      <w:r>
        <w:rPr>
          <w:rFonts w:ascii="Times New Roman;Times;Serif" w:hAnsi="Times New Roman;Times;Serif"/>
          <w:b w:val="false"/>
          <w:i w:val="false"/>
          <w:caps w:val="false"/>
          <w:smallCaps w:val="false"/>
          <w:sz w:val="20"/>
        </w:rPr>
        <w:t>” means the Senior Notes due 2030, issued pursuant to the Senior Unsecured Notes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Unsecured Notes Indenture</w:t>
      </w:r>
      <w:r>
        <w:rPr>
          <w:rFonts w:ascii="Times New Roman;Times;Serif" w:hAnsi="Times New Roman;Times;Serif"/>
          <w:b w:val="false"/>
          <w:i w:val="false"/>
          <w:caps w:val="false"/>
          <w:smallCaps w:val="false"/>
          <w:sz w:val="20"/>
        </w:rPr>
        <w:t>” means the Indenture, dated as of September 12, 2025, by and among the Loan Parties and U.S. Trust Company, National Association, as the trustee, registrar and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11.13(a)(ii)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Similar Business</w:t>
      </w:r>
      <w:r>
        <w:rPr>
          <w:rFonts w:ascii="Times New Roman;Times;Serif" w:hAnsi="Times New Roman;Times;Serif"/>
          <w:b w:val="false"/>
          <w:i w:val="false"/>
          <w:caps w:val="false"/>
          <w:smallCaps w:val="false"/>
          <w:sz w:val="20"/>
        </w:rPr>
        <w:t>” means (a) any businesses, services or activities engaged in by the Borrower or any of its Subsidiaries on the Closing Date, (b) any businesses, services and activities engaged in by the Borrower or any of its Subsidiaries that are related, complementary, incidental, ancillary or similar to any of the foregoing or are extensions or developments of any thereof, including without limitation adjacent therapeutic areas, delivery technologies, or distribution platforms, and (c) a Person conducting a business, service or activity specified in clauses (a) and (b), and any Subsidiary thereof. For the avoidance of doubt, any Person that invests in or owns Stock or Indebtedness of another Person that is engaged in a Similar Business shall be deemed to be engaged in a Similar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xml:space="preserve">” means, with respect to any Business Day,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the secured overnight financing rate published by the SOFR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Loans</w:t>
      </w:r>
      <w:r>
        <w:rPr>
          <w:rFonts w:ascii="Times New Roman;Times;Serif" w:hAnsi="Times New Roman;Times;Serif"/>
          <w:b w:val="false"/>
          <w:i w:val="false"/>
          <w:caps w:val="false"/>
          <w:smallCaps w:val="false"/>
          <w:sz w:val="20"/>
        </w:rPr>
        <w:t>” means any Advances that accrue interest at a rate based on Daily Simple SOFR.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w:t>
      </w:r>
      <w:r>
        <w:rPr>
          <w:rFonts w:ascii="Times New Roman;Times;Serif" w:hAnsi="Times New Roman;Times;Serif"/>
          <w:b w:val="false"/>
          <w:i w:val="false"/>
          <w:caps w:val="false"/>
          <w:smallCaps w:val="false"/>
          <w:sz w:val="20"/>
        </w:rPr>
        <w:t>” means Daily Simple SOFR.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all rights, titles and interests of each Loan Party in such Loan Party’s “software” as such term is defined in the UCC, whether now owned or existing or hereafter acquired or arising, other than software embedded in any category of Goods, including all computer programs and all supporting information provided in connection with a transaction related to any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with respect to any Person on a particular date,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w:t>
      </w:r>
      <w:r>
        <w:rPr>
          <w:rFonts w:ascii="Times New Roman;Times;Serif" w:hAnsi="Times New Roman;Times;Serif"/>
          <w:b w:val="false"/>
          <w:i w:val="false"/>
          <w:caps w:val="false"/>
          <w:smallCaps w:val="false"/>
          <w:sz w:val="20"/>
        </w:rPr>
        <w:t>” means, any Permitted Acquisition, Permitted Intellectual Property Acquisition, Restricted Payment or Restricted Debt Payment (or declaration of any Restricted Payment or Restricted Debt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 Date</w:t>
      </w:r>
      <w:r>
        <w:rPr>
          <w:rFonts w:ascii="Times New Roman;Times;Serif" w:hAnsi="Times New Roman;Times;Serif"/>
          <w:b w:val="false"/>
          <w:i w:val="false"/>
          <w:caps w:val="false"/>
          <w:smallCaps w:val="false"/>
          <w:sz w:val="20"/>
        </w:rPr>
        <w:t>” means earliest to occur of (a) the date that is 91 days prior to the earliest maturity date of the Senior Unsecured Notes, and (b) September 26, 2030.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w:t>
      </w:r>
      <w:r>
        <w:rPr>
          <w:rFonts w:ascii="Times New Roman;Times;Serif" w:hAnsi="Times New Roman;Times;Serif"/>
          <w:b w:val="false"/>
          <w:i w:val="false"/>
          <w:caps w:val="false"/>
          <w:smallCaps w:val="false"/>
          <w:sz w:val="20"/>
        </w:rPr>
        <w:t>” means all shares, options, warrants, general or limited partnership interests, membership interests, units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 under the Securities Exchange Act of 1934).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means, with respect to any Person, each holder of Stock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Subject Transaction</w:t>
      </w:r>
      <w:r>
        <w:rPr>
          <w:rFonts w:ascii="Times New Roman;Times;Serif" w:hAnsi="Times New Roman;Times;Serif"/>
          <w:b w:val="false"/>
          <w:i w:val="false"/>
          <w:caps w:val="false"/>
          <w:smallCaps w:val="false"/>
          <w:sz w:val="20"/>
        </w:rPr>
        <w:t>” means (a) any Permitted Acquisition, Permitted Intellectual Property Acquisition or similar permitted Investment (including Acquisitions and Investments that closed prior to the Closing Date), (b) the execution, delivery and performance by the Loan Parties of the Loan Documents and the Senior Unsecured Notes and related documents to which they are a party and the making of the Advances on the Closing Date, and the payment of the transaction costs in connection therewith, (c) any disposition of all or substantially all of the assets of any Subsidiary of the Borrower or Stock of any Subsidiary of the Borrower or the disposition of any business unit, line of business or division of the Borrower or any Subsidiary, (d) any incurrence or repayment of Indebtedness, and/or (e) any other transaction or event that by the terms of the Loan Documents requires pro forma compliance with any test or covenant hereunder or requires such test or covenant to be calculated on a pro forma basis, or similar variation, in each case together with each other transaction relating or incidental thereto and consummated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Debt</w:t>
      </w:r>
      <w:r>
        <w:rPr>
          <w:rFonts w:ascii="Times New Roman;Times;Serif" w:hAnsi="Times New Roman;Times;Serif"/>
          <w:b w:val="false"/>
          <w:i w:val="false"/>
          <w:caps w:val="false"/>
          <w:smallCaps w:val="false"/>
          <w:sz w:val="20"/>
        </w:rPr>
        <w:t>” means Indebtedness of any Loan Party subordinated to the Obligations in a manner and form satisfactory to the Agent in its sole discretion, as to right and time of payment and as to any other rights and remedies thereunder, including any Contingent Acquisition Consideration and Seller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 any corporation of which an aggregate of more than 50% of the outstanding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50% of such Stock whether by proxy, agreement, operation of law or otherwise, and (b) any partnership or limited liability company in which such Person and/or one or more Subsidiaries of such Person shall have an interest (whether in the form of voting or participation in profits or capital contribution) of more than 50% or of which any such Person is a general partner or may exercise the powers of a general partner. Unless the context otherwise requires, each reference to a Subsidiary shall be a reference to a Subsidiary of the Borrower.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Supermajority Lenders</w:t>
      </w:r>
      <w:r>
        <w:rPr>
          <w:rFonts w:ascii="Times New Roman;Times;Serif" w:hAnsi="Times New Roman;Times;Serif"/>
          <w:b w:val="false"/>
          <w:i w:val="false"/>
          <w:caps w:val="false"/>
          <w:smallCaps w:val="false"/>
          <w:sz w:val="20"/>
        </w:rPr>
        <w:t>” means Lenders having (a) 66⅔% or more of the Revolving Loan Commitments of all Lenders, or (b) if the Revolving Loan Commitments have been terminated, 66⅔% or more of the aggregate outstanding amount of the Revolving Exposure of all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Supporting Obligations</w:t>
      </w:r>
      <w:r>
        <w:rPr>
          <w:rFonts w:ascii="Times New Roman;Times;Serif" w:hAnsi="Times New Roman;Times;Serif"/>
          <w:b w:val="false"/>
          <w:i w:val="false"/>
          <w:caps w:val="false"/>
          <w:smallCaps w:val="false"/>
          <w:sz w:val="20"/>
        </w:rPr>
        <w:t>” means all “supporting obligations” as such term is defined in the UCC, including letters of credit and guaranties issued in support of Accounts, Chattel Paper, Documents, Documents of Title, General Intangibles, Instruments, or Investment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Contract</w:t>
      </w:r>
      <w:r>
        <w:rPr>
          <w:rFonts w:ascii="Times New Roman;Times;Serif" w:hAnsi="Times New Roman;Times;Serif"/>
          <w:b w:val="false"/>
          <w:i w:val="false"/>
          <w:caps w:val="false"/>
          <w:smallCaps w:val="false"/>
          <w:sz w:val="20"/>
        </w:rPr>
        <w:t>” means any “swap agreement”, as defined in Section 101 of the Bankruptcy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means any obligation in respect of a Swap Contract that constitutes a “swap” within the meaning of Section 1a(47) of the Commodity Exchange Act,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 Line Advance</w:t>
      </w:r>
      <w:r>
        <w:rPr>
          <w:rFonts w:ascii="Times New Roman;Times;Serif" w:hAnsi="Times New Roman;Times;Serif"/>
          <w:b w:val="false"/>
          <w:i w:val="false"/>
          <w:caps w:val="false"/>
          <w:smallCaps w:val="false"/>
          <w:sz w:val="20"/>
        </w:rPr>
        <w:t xml:space="preserve">” as defined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 Line Exposure</w:t>
      </w:r>
      <w:r>
        <w:rPr>
          <w:rFonts w:ascii="Times New Roman;Times;Serif" w:hAnsi="Times New Roman;Times;Serif"/>
          <w:b w:val="false"/>
          <w:i w:val="false"/>
          <w:caps w:val="false"/>
          <w:smallCaps w:val="false"/>
          <w:sz w:val="20"/>
        </w:rPr>
        <w:t>” means, at any time, (a) in the case of the Swing Line Lender, the aggregate principal amount of all Swing Line Advances outstanding at such time, and (b) in the case of any Lender, its Pro Rata Share of the total Swing Line Exposure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 Line Lender</w:t>
      </w:r>
      <w:r>
        <w:rPr>
          <w:rFonts w:ascii="Times New Roman;Times;Serif" w:hAnsi="Times New Roman;Times;Serif"/>
          <w:b w:val="false"/>
          <w:i w:val="false"/>
          <w:caps w:val="false"/>
          <w:smallCaps w:val="false"/>
          <w:sz w:val="20"/>
        </w:rPr>
        <w:t>” means Fifth Third.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 Line Maximum Amount</w:t>
      </w:r>
      <w:r>
        <w:rPr>
          <w:rFonts w:ascii="Times New Roman;Times;Serif" w:hAnsi="Times New Roman;Times;Serif"/>
          <w:b w:val="false"/>
          <w:i w:val="false"/>
          <w:caps w:val="false"/>
          <w:smallCaps w:val="false"/>
          <w:sz w:val="20"/>
        </w:rPr>
        <w:t>” means, as to the Swing Line Lender, the commitment of the Swing Line Lender to make Swing Line Advances in an amount not to exceed $4,000,000, which commitment constitutes a subfacility of the Revolving Loan Commitments of the Swing Line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means any Person or business unit or asset group of any Person acquired or proposed to be acquired in an Acquisition.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 with respect to a Tranche Rate Loan for any Interest Period, the forward-looking SOFR rate administered by CME Group Benchmark Administration Limited (CBA) (or other administrator selected by the Agent) and published on the applicable Bloomberg LP screen page (or such other commercially available source providing such quotations as may be selected by the Agent), fixed by the administrator thereof two U.S. Government Securities Business Days prior to the commencement of the applicable Interest Period (provided that if Term SOFR is not published for such day, then Term SOFR shall be determined by reference to the immediately preceding U.S. Government Securities Business Day on which such rate is published), if necessary, to the next 1/8th of 1% and adjusted for reserves if the Agent is required to maintain reserves with respect to the relevant Advances, all as determined by the Agent in accordance with this Agreement and the Agent’s loan systems and procedures periodically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means the date on which (a) the outstanding Advances have been repaid in full, (b) all other outstanding Obligations under this Agreement and the other Loan Documents have been completely discharged (other than contingent obligations as to which no claim has been made), (c) all Letter of Credit Obligations have been cash collateralized, cancelled or backed by standby letters of credit in accordance with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and (d) all Revolving Loan Commitments under this Agreement have been terminated and the Borrower shall not have any further right to borrow any monies or request any further extensions of credit under this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xml:space="preserve">” means, unless otherwise specifically provided herein, including the provisos below, each period of 12 Fiscal Months ending on the last day of the Fiscal Month for which Financial Statements and a corresponding Compliance Certificate have been (or were required to be) delivered to the Agent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extent any calculation or determination of a financial ratio or test is required prior to the date on which Financial Statements have been delivered for the Fiscal Month ending September 30, 2025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such calculation shall give pro forma effect to any Subject Transaction on or prior to the date of determination and be based on the most recent historical Financial Statements for the applicable period;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solely for the purpose of calculating Fixed Charges for any Test Period of 12 consecutive Fiscal Months that started prior to the Closing Date, (i) the Fixed Charges attributable to the Revolving Loans for such Test Period shall be an amount equal to the </w:t>
      </w:r>
      <w:r>
        <w:rPr>
          <w:rFonts w:ascii="Times New Roman;Times;Serif" w:hAnsi="Times New Roman;Times;Serif"/>
          <w:b w:val="false"/>
          <w:i w:val="false"/>
          <w:caps w:val="false"/>
          <w:smallCaps w:val="false"/>
          <w:sz w:val="20"/>
          <w:u w:val="single"/>
        </w:rPr>
        <w:t>product</w:t>
      </w:r>
      <w:r>
        <w:rPr>
          <w:rFonts w:ascii="Times New Roman;Times;Serif" w:hAnsi="Times New Roman;Times;Serif"/>
          <w:b w:val="false"/>
          <w:i w:val="false"/>
          <w:caps w:val="false"/>
          <w:smallCaps w:val="false"/>
          <w:sz w:val="20"/>
        </w:rPr>
        <w:t xml:space="preserve"> of the Fixed Charges attributable to the Revolving Loans from the Closing Date through the last day of such Test Period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a fraction of which the numerator is 365 and the denominator of which is the number of days from the Closing Date through the last day of such Test Period; (ii) all Fixed Charges attributable to Existing Indebtedness shall be disregarded; and (iii) for each Test Period ending after the Closing Date, through and including the Test Period ending September 30, 2026, the Fixed Charges attributable to the Senior Unsecured Notes during such Test Period shall be deemed to be equal to $21,562,500.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License</w:t>
      </w:r>
      <w:r>
        <w:rPr>
          <w:rFonts w:ascii="Times New Roman;Times;Serif" w:hAnsi="Times New Roman;Times;Serif"/>
          <w:b w:val="false"/>
          <w:i w:val="false"/>
          <w:caps w:val="false"/>
          <w:smallCaps w:val="false"/>
          <w:sz w:val="20"/>
        </w:rPr>
        <w:t>” means rights under any written agreement now owned or hereafter acquired by any Loan Party granting any right to use any Trademark.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Security Agreements</w:t>
      </w:r>
      <w:r>
        <w:rPr>
          <w:rFonts w:ascii="Times New Roman;Times;Serif" w:hAnsi="Times New Roman;Times;Serif"/>
          <w:b w:val="false"/>
          <w:i w:val="false"/>
          <w:caps w:val="false"/>
          <w:smallCaps w:val="false"/>
          <w:sz w:val="20"/>
        </w:rPr>
        <w:t>” means, collectively, each Trademark Security Agreement made in favor of the Agent, on behalf of Lenders, by each applicable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means all of the following now owned or hereafter adopted or acquired by any Loan Party: (a) all trademarks, trade names, corporate (and, as applicable, limited liability company) names, business names, trade styles, service marks, logos, other source or business identifiers, prints and labels on which any of the foregoing have appeared or appear, designs and general intangibles of like nature (whether registered or unregistered), all registrations and recordings thereof, and all applications in connection therewith, including registrations, recordings and applications in the United States Patent and Trademark Office or in any similar office or agency of the United States, any state or territory thereof or in any other country or any political subdivision thereof; (b) all reissues, extensions or renewals thereof; and (c) all goodwill associated with or symbolized by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Rate</w:t>
      </w:r>
      <w:r>
        <w:rPr>
          <w:rFonts w:ascii="Times New Roman;Times;Serif" w:hAnsi="Times New Roman;Times;Serif"/>
          <w:b w:val="false"/>
          <w:i w:val="false"/>
          <w:caps w:val="false"/>
          <w:smallCaps w:val="false"/>
          <w:sz w:val="20"/>
        </w:rPr>
        <w:t>” means, with respect to any Interest Period, the greater of the Index Floor and Term SOFR relating to quotations for Interest Periods of one month. Each determination by the Agent of the Tranche Rate shall be conclusive and binding in the absence of manifest error. Notwithstanding anything to the contrary contained in this Agreement, at any time during which a Rate Contract with any Secured Party is then in effect with respect to all or a portion of the Obligations bearing interest based upon the Tranche Rate or any successor rate thereto, the provision that rounds up the Tranche Rate to the next 1/8th of 1% shall be disregarded and no longer of any force and effect with respect to such portion of the Obligations that are subject to such Rate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Rate Loans</w:t>
      </w:r>
      <w:r>
        <w:rPr>
          <w:rFonts w:ascii="Times New Roman;Times;Serif" w:hAnsi="Times New Roman;Times;Serif"/>
          <w:b w:val="false"/>
          <w:i w:val="false"/>
          <w:caps w:val="false"/>
          <w:smallCaps w:val="false"/>
          <w:sz w:val="20"/>
        </w:rPr>
        <w:t>” means any Advances that accrue interest by reference to the Tranche Rate.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xml:space="preserve">” means the Uniform Commercial Code as the same may, from time to time, be enacted and in effect in the State of New York;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the UCC is used to define any term herein or in any Loan Document and such term is defined differently in different Articles or Divisions of the UCC, the definition of such term contained in Article or Division 9 shall govern;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the event that, by reason of mandatory provisions of Law, any or all of the attachment, perfection or priority of, or remedies with respect to, the Agent’s or any Lender’s Lien on any Collateral is governed by the Uniform Commercial Code as enacted and in effect in a jurisdiction other than the State of New York, the term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shall mean the Uniform Commercial Code as enacted and in effect in such other jurisdiction solely for purposes of the provisions thereof relating to such attachment, perfection, priority or remedies and for purposes of definitions related to such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Unfinanced Capital Expenditures</w:t>
      </w:r>
      <w:r>
        <w:rPr>
          <w:rFonts w:ascii="Times New Roman;Times;Serif" w:hAnsi="Times New Roman;Times;Serif"/>
          <w:b w:val="false"/>
          <w:i w:val="false"/>
          <w:caps w:val="false"/>
          <w:smallCaps w:val="false"/>
          <w:sz w:val="20"/>
        </w:rPr>
        <w:t xml:space="preserve">” means all Capital Expenditures of the Borrower and its Subsidiaries other than those made (a) pursuant to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 (b) utilizing net cash proceeds of the issuance of Qualified Stock of the Borrower, (c) utilizing the proceeds of insurance or asset sales, as permitted under this Agreement, in order to replace the assets giving rise to such proceeds, (d) by way of a trade-in of existing assets, (e) as part of a Permitted Acquisition (including for this purpose Acquisitions that closed prior to the Closing Date), or (f) as part of a Permitted Intellectual Property Acquisition (including for this purpose Acquisitions that closed prior to the Closing Date). For the avoidance of doubt, Capital Expenditures made by any applicable Person with proceeds of Advances shall be deemed to be Unfinanced Capital Expenditures unless they satisfy one or more of the foregoing clauses (a) through (f).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Unfinanced Employee WHT Payments</w:t>
      </w:r>
      <w:r>
        <w:rPr>
          <w:rFonts w:ascii="Times New Roman;Times;Serif" w:hAnsi="Times New Roman;Times;Serif"/>
          <w:b w:val="false"/>
          <w:i w:val="false"/>
          <w:caps w:val="false"/>
          <w:smallCaps w:val="false"/>
          <w:sz w:val="20"/>
        </w:rPr>
        <w:t>” means Employee WHT Payments other than to the extent made with net cash proceeds of the issuance of Qualified Stock of the Borrower applied no later than 60 days after the issuance thereof or a Permitted Debt Issuance.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Unfinanced Milestone Payments</w:t>
      </w:r>
      <w:r>
        <w:rPr>
          <w:rFonts w:ascii="Times New Roman;Times;Serif" w:hAnsi="Times New Roman;Times;Serif"/>
          <w:b w:val="false"/>
          <w:i w:val="false"/>
          <w:caps w:val="false"/>
          <w:smallCaps w:val="false"/>
          <w:sz w:val="20"/>
        </w:rPr>
        <w:t>” means milestone or similar payments paid in connection with the purchase of an exclusive license of Intellectual Property constituting an Investment other than (a) to the extent made with net cash proceeds of the issuance of Qualified Stock of the Borrower applied no later than 15 days after the issuance thereof, (b) a Permitted Debt Issuance, (c) the $37,000,000 payment to Novartis Technology, LLC and Novartis Innovative Therapies AG which was financed using the proceeds of certain Existing Indebtedness, (d) those made as part of a Permitted Acquisition (including for this purpose Acquisitions that closed prior to the Closing Date) or (e) those made as part of a Permitted Intellectual Property Acquisition (including for this purpose Acquisitions that closed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“United States person” within the meaning of Section 7701(a)(30) of the IRC.</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 (USA PATRIOT Act, Title III of Pub. L. 107-56 signed into law October 26, 2001).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xml:space="preserve">” means, when applied to any Indebtedness at any date, the quotient (expressed as a number of years) obtained by </w:t>
      </w:r>
      <w:r>
        <w:rPr>
          <w:rFonts w:ascii="Times New Roman;Times;Serif" w:hAnsi="Times New Roman;Times;Serif"/>
          <w:b w:val="false"/>
          <w:i w:val="false"/>
          <w:caps w:val="false"/>
          <w:smallCaps w:val="false"/>
          <w:sz w:val="20"/>
          <w:u w:val="single"/>
        </w:rPr>
        <w:t>dividing</w:t>
      </w:r>
      <w:r>
        <w:rPr>
          <w:rFonts w:ascii="Times New Roman;Times;Serif" w:hAnsi="Times New Roman;Times;Serif"/>
          <w:b w:val="false"/>
          <w:i w:val="false"/>
          <w:caps w:val="false"/>
          <w:smallCaps w:val="false"/>
          <w:sz w:val="20"/>
        </w:rPr>
        <w:t xml:space="preserve">: (a) the sum of the </w:t>
      </w:r>
      <w:r>
        <w:rPr>
          <w:rFonts w:ascii="Times New Roman;Times;Serif" w:hAnsi="Times New Roman;Times;Serif"/>
          <w:b w:val="false"/>
          <w:i w:val="false"/>
          <w:caps w:val="false"/>
          <w:smallCaps w:val="false"/>
          <w:sz w:val="20"/>
          <w:u w:val="single"/>
        </w:rPr>
        <w:t>product</w:t>
      </w:r>
      <w:r>
        <w:rPr>
          <w:rFonts w:ascii="Times New Roman;Times;Serif" w:hAnsi="Times New Roman;Times;Serif"/>
          <w:b w:val="false"/>
          <w:i w:val="false"/>
          <w:caps w:val="false"/>
          <w:smallCaps w:val="false"/>
          <w:sz w:val="20"/>
        </w:rPr>
        <w:t xml:space="preserve"> of (i) the amount of each then remaining scheduled installment, sinking fund, serial maturity or other required scheduled payments of principal, including payment at final scheduled maturity, in respect thereof, times (ii) the number of years (calculated to the nearest 1/12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that will elapse between such date and the making of such payment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then outstanding principal amount of such Indebtedness;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determining the Weighted Average Life to Maturity of any Indebtedness or Contingent Obligations with respect to Indebtedness that is being modified, refinanced, refunded, renewed, replaced or extended, the effects of any prepayments or amortization made on such Indebtedness or Contingent Obligations with respect to Indebtedness prior to the date of the applicable modification, refinancing, refunding, renewal, replacement or extension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Accounting Terms and Determinations</w:t>
      </w:r>
      <w:r>
        <w:rPr>
          <w:rFonts w:ascii="Times New Roman;Times;Serif" w:hAnsi="Times New Roman;Times;Serif"/>
          <w:b w:val="false"/>
          <w:i w:val="false"/>
          <w:caps w:val="false"/>
          <w:smallCaps w:val="false"/>
          <w:sz w:val="20"/>
        </w:rPr>
        <w:t xml:space="preserve">. Unless otherwise specified herein, all accounting terms used herein shall be interpreted, all accounting determinations hereunder (including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the Borrower and its Subsidiaries, delivered to the Agent and Lenders on or prior to the Closing Date. If at any time any change in GAAP would, in either case, affect the computation of any financial ratio or financial requirement set forth in any Loan Document, and any of the Agent, the Borrower or Required Lenders shall so request, the Agent, Lenders and the Borrower shall negotiate in good faith to amend such ratio or requirement to preserve the original intent thereof in light of such change in GAAP (subject to the final approval of the Agent and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until so amended, (a) such ratio or requirement shall continue to be computed in accordance with GAAP prior to such change therein and (b) the Loan Parties shall provide to the Agent and Lenders the Financial Statements and other documents required under this Agreement which include a reconciliation between calculations of such ratio or requirement made before and after giving effect to such change in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any Loan Party at “fair value”, as defined therein shall be disregarded for the purposes of computing any financial ratios and requirements herein, (ii) the effect of FASB Accounting Standards Update 2016-02 and any additional changes to GAAP that would require leases which are, or would have been, classified as operating leases under GAAP to be classified and accounted for as capital leases under the revised GAAP shall be disregarded for the purposes of computing any financial ratios and requirements herein, and (iii) notwithstanding anything to the contrary contained herein, for purposes of determining compliance with any Financial Covenant, ratio or other test set forth in any Loan Document, Indebtedness of Borrower and its Subsidiaries shall be deemed to be carried at 100% of the outstanding principal amount thereof without giving effect to ASU 2015-03, 1 or any related treatment for debt discounts and premiums. Notwithstanding anything to the contrary in this Agreement or any other Loan Document, the Loan Parties shall not, without the prior written consent of the Agent, cause or permit any change in application of GAAP, or any method of GAAP utilized in the Financial Statements after the Closing Date.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Pro Forma Treatment</w:t>
      </w:r>
      <w:r>
        <w:rPr>
          <w:rFonts w:ascii="Times New Roman;Times;Serif" w:hAnsi="Times New Roman;Times;Serif"/>
          <w:b w:val="false"/>
          <w:i w:val="false"/>
          <w:caps w:val="false"/>
          <w:smallCaps w:val="false"/>
          <w:sz w:val="20"/>
        </w:rPr>
        <w:t xml:space="preserve">. With respect to compliance with any test, financial ratio, or covenant hereunder that requires pro forma effect to be given to a Subject Transaction, (a) the pro forma calculations shall be made in good faith by a Responsible Officer (as set forth in a certificate of such Responsible Officer delivered to the Agent), and (b) all Subject Transactions and the following transactions in connection therewith shall be deemed to have occurred as of the first day of the applicable period of measurement in such test or covenant: (i) income statement items (whether positive or negative) attributable to the property or Person subject to such Subject Transaction, (A) in the case of a sale, transfer, or other disposition of all or substantially all Stock in any Subsidiary or any division, product line, or facility used for operations of the Borrower or any Subsidiary, shall be excluded, and (B) in the case of a Permitted Acquisition, Permitted Intellectual Property Acquisition or other Investment described in the definition of Subject Transaction, shall be included, (ii) any retirement of Indebtedness, and (iii) any incurrence or assumption of Indebtedness by the Borrower or any Subsidiary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pro forma adjustments may be applied to any such test or covenant solely to the extent that such adjustments are not inconsistent with the definition of Consolidated Adjusted EBITDA.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Other Definitional Provisions and References</w:t>
      </w:r>
      <w:r>
        <w:rPr>
          <w:rFonts w:ascii="Times New Roman;Times;Serif" w:hAnsi="Times New Roman;Times;Serif"/>
          <w:b w:val="false"/>
          <w:i w:val="false"/>
          <w:caps w:val="false"/>
          <w:smallCaps w:val="false"/>
          <w:sz w:val="20"/>
        </w:rPr>
        <w:t>. References in this Agreement to “Sections”, “Annexes”, “Exhibits”, “Appendices” or “Schedules” shall be to Sections, Annexes, Exhibits, Appendices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The references “from” or “through” any date mean, unless otherwise specified, “from and including” or “through and including,” respectively. References in any Loan Document to the knowledge (or an analogous phrase) of any Loan Party are intended to signify that such Loan Party has actual knowledge or awareness of a particular fact or circumstance or that such Loan Party, if it had exercised reasonable diligence, would have known or been aware of such fact or circumstance. Unless otherwise specified herein, the settlement of all payments and fundings hereunder between or among parties hereto shall be made in lawful money of the United States and in immediately available funds. Time is of the essence in the Borrower’s and each other Loan Party’s performance under this Agreement and all other Loan Documents. All amounts used for purposes of financial calculations required to be made herein shall be without duplication. Except as otherwise specified or limited herein, references to any statute or act shall include all related regulations, rules and orders and all amendments and supplements and any successor or replacement statutes, acts and regulations. References to any statute or act, without additional reference, shall be deemed to refer to federal statutes and acts of the United States. References to any agreement, instrument or document (including the Loan Documents and any Organizational Document) shall include all schedules, exhibits, annexes, appendices and other attachments thereto and shall be construed as referring to such agreement, instrument or document as from time to time amended, amended and restated, modified, extended, restated, replaced or supplemented (subject to any restrictions on such amendments, amendments and restatements, modifications, extensions, restatements, replacements and supplements set forth herein or in any other Loan Document). Unless otherwise expressly stated, all thresholds and monetary limits in this Agreement are in Dollars and all calculations, comparisons, measurements or determinations under this Agreement shall be made in Dollars. Unless otherwise specified, all references herein to times of day shall be references to New York City time. Notwithstanding anything herein to the contrary, whenever any document, agreement, payment or other item is required by any Loan Document to be delivered, made or completed on a day that is not a Business Day, the due date thereof shall be extended to the next Business Day.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AND LETTERS OF CREDIT</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Revolving Credit Advances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hereof, each Lender severally (and not jointly) agrees to make available to the Borrower from time to time until the Commitment Termination Date its Pro Rata Share of advances pursuant to its Revolving Loan Commitment (each, a “</w:t>
      </w:r>
      <w:r>
        <w:rPr>
          <w:rFonts w:ascii="Times New Roman;Times;Serif" w:hAnsi="Times New Roman;Times;Serif"/>
          <w:b w:val="false"/>
          <w:i w:val="false"/>
          <w:caps w:val="false"/>
          <w:smallCaps w:val="false"/>
          <w:sz w:val="20"/>
          <w:u w:val="single"/>
        </w:rPr>
        <w:t>Revolving Credit Advance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principal amount of such Revolving Credit Advances will not result in (i) such Lender’s Revolving Exposure exceeding such Lender’s Revolving Loan Commitment or (ii) the aggregate Revolving Exposure of all Lenders exceeding Availability, subject in all cases to the Agent’s authority, in its Permitted Discretion, to make Protective Advances and Overadvances in accordance with the terms hereof. Until the Commitment Termination Date, the Borrower may from time to time borrow, repay and reborrow under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deliver to the Agent a Notice of Borrowing with respect to each proposed borrowing of a Revolving Credit Advance (other than Overadvances, Protective Advances and Swing Line Advances), such Notice of Borrowing to be delivered no later than the day that is one Business Day (or, in the case of a SOFR Loan or a Tranche Rate Loan, two U.S. Government Securities Business Days (or such later date as agreed to by the Agent)) prior to such proposed borrowing. Except as provided in </w:t>
      </w:r>
      <w:r>
        <w:rPr>
          <w:rFonts w:ascii="Times New Roman;Times;Serif" w:hAnsi="Times New Roman;Times;Serif"/>
          <w:b w:val="false"/>
          <w:i w:val="false"/>
          <w:caps w:val="false"/>
          <w:smallCaps w:val="false"/>
          <w:sz w:val="20"/>
          <w:u w:val="single"/>
        </w:rPr>
        <w:t>Sections 2.5(b)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once given, a Notice of Borrowing shall be irrevocable and the Borrower shall be bound thereby.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hereby authorizes Lenders and the Agent to make Revolving Credit Advances based on a Notice of Borrowing delivered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All Revolving Credit Advances requested by the Borrower will be advanced to the Disbursement Account, unless the Borrower otherwise instructs the Agent in a Notice of Borrowing.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provision of this Agreement to the contrary notwithstanding, at the request of the Borrower, the Agent may, in its discretion (but shall have absolutely no obligation to), make Revolving Credit Advances to the Borrower on behalf of Lenders in amounts that cause the outstanding balance of the aggregate Revolving Exposure of all Lenders to exceed the Borrowing Base (any such excess Revolving Credit Advances are herein referred to collectively as “</w:t>
      </w:r>
      <w:r>
        <w:rPr>
          <w:rFonts w:ascii="Times New Roman;Times;Serif" w:hAnsi="Times New Roman;Times;Serif"/>
          <w:b w:val="false"/>
          <w:i w:val="false"/>
          <w:caps w:val="false"/>
          <w:smallCaps w:val="false"/>
          <w:sz w:val="20"/>
          <w:u w:val="single"/>
        </w:rPr>
        <w:t>Overadvances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such event or occurrence shall cause or constitute a waiver of the Agent’s, the Swing Line Lender’s or any other Lender’s right to refuse to make any further Overadvances, Swing Line Advances or Revolving Credit Advances, or incur any Letter of Credit Obligations at any time that an Overadvance exists, and (ii) no Overadvance shall result in a Default or Event of Default due to the Borrower’s failure to comply with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 xml:space="preserve"> for so long as the Agent permits such Overadvance to remain outstanding, but solely with respect to the amount of such Overadvance. In addition, Overadvances may be made even if the conditions to lending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have not been met. All Overadvances shall constitute Base Rate Loans, may in the Agent’s sole election (or otherwise at the written request of Required Lenders, shall) bear interest at the Default Rate, and shall be payable on the earlier of demand by the Agent and the Commitment Termination Date. The authority of the Agent to make Overadvances is limited to an aggregate amount for all such Overadvances and Protective Advances not to exceed 10% of the aggregate Revolving Loan Commitments of all Lenders. No Overadvance shall cause any Lender’s Revolving Exposure to exceed its Revolving Loan Commitment. Upon the making of an Overadvance by the Agent, each Lender shall be deemed, without further action by any party hereto, to have unconditionally and irrevocably purchased from the Agent, without recourse or warranty, an undivided interest and participation in such Overadvance in proportion to its Pro Rata Share of the Revolving Loan Commitments. The Agent may, at any time, require the Lenders to fund such participations;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Revolving Exposure of any Lender after giving effect to any such participations in Overadvances shall not exceed such Lender’s Revolving Loan Commitment. From and after the date, if any, on which any Lender is required to fund its participation in any Overadvance purchased hereunder, the Agent shall promptly distribute to such Lender, such Lender’s Pro Rata Share of all payments of principal and interest and all proceeds of Collateral received by the Agent in respect of such Overadvance.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limitations set forth below, the Agent is authorized by the Borrower and the Lenders, from time to time in the Agent’s sole discretion (but the Agent shall have absolutely no obligation), to make Advances to the Borrower, on behalf of all Lenders, which the Agent, in its Permitted Discretion, deems necessary or desirable to after the occurrence and during the continuation of an Event of Default, (i) preserve or protect the Collateral, or any portion thereof, (ii) to enhance the likelihood of, or maximize the amount of, repayment of the Advances and other Obligations, or (iii) to pay any other amount chargeable to or required to be paid by the Borrower pursuant to the terms of this Agreement, including payments of reimbursable expenses (including costs, fees, and expenses as described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and other sums payable under the Loan Documents (any of such advances are herein referred to as “</w:t>
      </w:r>
      <w:r>
        <w:rPr>
          <w:rFonts w:ascii="Times New Roman;Times;Serif" w:hAnsi="Times New Roman;Times;Serif"/>
          <w:b w:val="false"/>
          <w:i w:val="false"/>
          <w:caps w:val="false"/>
          <w:smallCaps w:val="false"/>
          <w:sz w:val="20"/>
          <w:u w:val="single"/>
        </w:rPr>
        <w:t>Protective Advances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Protective Advances and Overadvances outstanding at any time shall not at any time exceed 10% of the aggregate Revolving Loan Commitments of all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the aggregate Revolving Exposure of all Lenders after giving effect to the Protective Advances being made shall not exceed the aggregate Revolving Loan Commitments and (B) the Revolving Exposure of any Lender after giving effect to the Protective Advances being made shall not exceed such Lender’s Revolving Loan Commitment. Protective Advances may be made even if the conditions precedent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have not been satisfied. The Protective Advances shall constitute Obligations hereunder. All Protective Advances shall be Base Rate Loans. At any time that there is sufficient Excess Availability and the conditions precedent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have been satisfied, the Agent may request the Lenders to make a Revolving Credit Advance to repay a Protective Advance. At any other time the Agent may require the Lenders to fund their risk participations as described in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Upon the making of a Protective Advance by the Agent, each Lender shall be deemed, without further action by any party hereto, to have unconditionally and irrevocably purchased from the Agent, without recourse or warranty, an undivided interest and participation in such Protective Advance in proportion to its Pro Rata Share of the Revolving Loan Commitments. From and after the date, if any, on which any Lender is required to fund its participation in any Protective Advance purchased hereunder, the Agent shall promptly distribute to such Lender, such Lender’s Pro Rata Share of all payments of principal and interest and all proceeds of Collateral received by the Agent in respect of such Protective Advance.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making of each Advance by the Agent or any Lender, whether under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will be deemed to be a representation by the Borrower that (i) the Advance will not violate the terms of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(ii) all Eligible Investment Grade Accounts, Eligible Credit Insured Accounts and Eligible Non-Investment Grade Accounts then comprising the Borrowing Base meet all of the Agent’s criteria for Eligible Investment Grade Accounts, Eligible Credit Insured Accounts and Eligible Non-Investment Grade Accounts, respectively. Neither the Agent nor any Lender shall have any duty to follow, or any liability for, the application by the Borrower of any proceeds of any Advance.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Prepayments/Commitment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Voluntary Prepayments/Commitment Reductions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have the right at any time and from time to time to prepay any Obligations in whole or in part, subject to the following notice requirements. The Borrower shall notify the Agent in writing of any prepayment hereunder not later than 11:00 a.m., New York City time, three Business Days before the date of the prepayment, and in the case of prepayment of any Obligation associated with a Swing Line Advance, not later than 12:00 noon, New York City time, on the date of the prepayment.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may at any time on at least three Business Days’ prior written notice to the Agent (or such shorter period of time as the Agent may agree in its sole discretion) terminate the Revolving Loan Commitments of all the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such termination, all Advances and other Obligations shall be immediately due and payable in full and all Letter of Credit Obligations shall be cash collateralized or otherwise satisfied in accordance with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Such voluntary termination of the Revolving Loan Commitments must be accompanied by payment of any funding breakage costs in accordance with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Upon any such termination of the Revolving Loan Commitments, the Borrower’s right to request Revolving Credit Advances, or request that Letter of Credit Obligations be incurred on its behalf, or request Swing Line Advances, shall simultaneously be permanently terminated, and all of the Obligations shall, if not sooner paid or required to be paid pursuant to this Agreement or any other Loan Document, be due and payable in full on the effective date of such termination of the Revolving Loan Commitments.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if at any time the outstanding balance of the aggregate Revolving Exposure exceeds Availability, the Borrower shall promptly repay the aggregate outstanding Revolving Credit Advances and/or Swing Line Advances to the extent required to eliminate such excess. If any such excess remains after repayment in full of the aggregate outstanding Advances, the Borrower shall provide cash collateral for the Letter of Credit Obligations in the manner set forth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the extent required to eliminate such excess. Any such prepayment shall be applied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Notwithstanding the foregoing, any Overadvance made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shall be repaid in accordance with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within five Business Days after receipt by any Loan Party or Subsidiary of net cash proceeds (including insurance proceeds and proceeds from casualty losses or condemnations) of any voluntary or involuntary sale or disposition of, or any casualty or condemnation event with respect to, any property or assets of any Loan Party or Subsidiary (other than any disposition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in excess of $1,000,000 with respect to any such individual sale, disposition, casualty or condemnation event or in excess of $2,500,000 with respect to all such sale, disposition, casualty or condemnation events that have not been applied as a prepayment pursuant to this </w:t>
      </w:r>
      <w:r>
        <w:rPr>
          <w:rFonts w:ascii="Times New Roman;Times;Serif" w:hAnsi="Times New Roman;Times;Serif"/>
          <w:b w:val="false"/>
          <w:i w:val="false"/>
          <w:caps w:val="false"/>
          <w:smallCaps w:val="false"/>
          <w:sz w:val="20"/>
          <w:u w:val="single"/>
        </w:rPr>
        <w:t>Section 2.2(b)(ii)</w:t>
      </w:r>
      <w:r>
        <w:rPr>
          <w:rFonts w:ascii="Times New Roman;Times;Serif" w:hAnsi="Times New Roman;Times;Serif"/>
          <w:b w:val="false"/>
          <w:i w:val="false"/>
          <w:caps w:val="false"/>
          <w:smallCaps w:val="false"/>
          <w:sz w:val="20"/>
        </w:rPr>
        <w:t xml:space="preserve"> in any Fiscal Year, the Borrower shall (A) notify the Agent (such notice to include a description of the assets subject to such disposition, casualty or condemnation event and the amount of the estimated net cash proceeds) of such Loan Party’s receipt of such cash proceeds and (B) prepay the Advances (and cash collateralize Letter of Credit Obligations) in an amount equal to all such net cash proceeds, which shall be calculated as the cash proceeds net of (I) commissions and other reasonable and customary transaction costs, fees and expenses properly attributable to such transaction and payable by such Loan Party or Subsidiary in connection therewith (in each case, paid to non-Affiliates), (II) taxes (including transfer taxes) paid or reasonably estimated to be payable in connection therewith, (III) amounts payable to holders of Liens on the assets subject to such sale, disposition, casualty or condemnation (to the extent such Liens are permitted pursuant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(IV) an appropriate reserve for income taxes in accordance with GAAP in connection therewith (it being understood that to the extent any such reserve is reversed or abandoned, the amount so reversed or abandoned shall constitute cash proceeds payable pursuant to this Section), and (V) reasonable reserves established for liabilities estimated to be payable in respect of such sale or disposition and deposited into escrow with a third party escrow agent on terms reasonably acceptable to the Agent or set aside in a separate deposit account with Agent. Any such prepayment shall be applied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 long as (1) no Default or Event of Default shall have occurred and is continuing or would result therefrom, (2) the Borrower shall have given the Agent prior written notice of the applicable Loan Party’s or Subsidiary’s intention to apply such monies to the costs of replacement of the properties or assets that are the subject of such sale or disposition or the cost of purchase or construction of other assets useful in the business of such Loan Party or Subsidiary (including Permitted Acquisitions and Permitted Intellectual Property Acquisitions) or, in the case of proceeds from casualty losses or condemnation, to the cost of repair and restoration of the affected assets or the cost of purchase or construction of other assets useful in the business of such Loan Party or Subsidiary (including Permitted Acquisitions and Permitted Intellectual Property Acquisitions), (3) the monies are held in a Deposit Account in which the Agent has a perfected first-priority security interest, and (4) such Loan Party or Subsidiary completes such replacement, purchase, or construction within 365 days (or 365 days in the case of any involuntary disposition resulting from a casualty loss or condemnation) after the initial receipt of such monies (the “</w:t>
      </w:r>
      <w:r>
        <w:rPr>
          <w:rFonts w:ascii="Times New Roman;Times;Serif" w:hAnsi="Times New Roman;Times;Serif"/>
          <w:b w:val="false"/>
          <w:i w:val="false"/>
          <w:caps w:val="false"/>
          <w:smallCaps w:val="false"/>
          <w:sz w:val="20"/>
          <w:u w:val="single"/>
        </w:rPr>
        <w:t>Reinvestement Period</w:t>
      </w:r>
      <w:r>
        <w:rPr>
          <w:rFonts w:ascii="Times New Roman;Times;Serif" w:hAnsi="Times New Roman;Times;Serif"/>
          <w:b w:val="false"/>
          <w:i w:val="false"/>
          <w:caps w:val="false"/>
          <w:smallCaps w:val="false"/>
          <w:sz w:val="20"/>
        </w:rPr>
        <w:t xml:space="preserve">”) or, if the Borrower or any Subsidiary has entered into a binding commitment prior to the last day of such Reinvestment Period to reinvest such proceeds no later than 180 days after the expiry of the Reinvestment Period, then the Loan Party or Subsidiary whose assets were the subject of such disposition shall have the option to apply such monies to the costs of replacement of such assets or the costs of purchase or construction of other assets useful in the business of such Loan Party or Subsidiary or to the cost of repair and restoration of the affected assets, unless and to the extent that such applicable period shall have expired without such replacement, purchase, or construction being made or completed, in which case, such net cash proceeds not so applied shall be paid to the Agent and applied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any Loan Party incurs Indebtedness not permitted under the terms of this Agreement, no later than the Business Day following the date of receipt of the proceeds thereof, the Borrower shall notify the Agent of such Loan Party’s receipt of such proceeds and shall prepay the Advances (and cash collateralize Letter of Credit Obligations) in an amount equal to all such proceeds, net of reasonable costs paid to non-Affiliates in connection therewith. Any such prepayment shall be applied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the date of receipt by the Borrower or any of its Subsidiaries of any Specified Cure Contribution, the Borrower shall prepay the Advances (to the extent of any Advances outstanding on such date) in an aggregate amount equal to 100% of the net cash proceeds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Application of Certain Mandatory Prepayments</w:t>
      </w:r>
      <w:r>
        <w:rPr>
          <w:rFonts w:ascii="Times New Roman;Times;Serif" w:hAnsi="Times New Roman;Times;Serif"/>
          <w:b w:val="false"/>
          <w:i w:val="false"/>
          <w:caps w:val="false"/>
          <w:smallCaps w:val="false"/>
          <w:sz w:val="20"/>
        </w:rPr>
        <w:t xml:space="preserve">. So long as no Event of Default or Application Event has occurred and is continuing, any prepayments made by the Borrower pursuant to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shall be applied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prepay any Protective Advances and Overadvances that may be outstanding, pro rata,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prepay any Swing Line Advances that may be outstanding,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prepay the remaining Advances without a corresponding reduction in the Revolving Loan Commitments, and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cash collateralize outstanding Letter of Credit Obligations in the manner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If any Event of Default has occurred and is continuing, but an Application Event is not in existence, such amounts shall be applied as provided in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If an Application Event has occurred and is continuing, such amounts shall be applied as provided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All prepayments made pursuant to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must be accompanied by payment of any funding breakage costs in accordance with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 of Prepayments</w:t>
      </w:r>
      <w:r>
        <w:rPr>
          <w:rFonts w:ascii="Times New Roman;Times;Serif" w:hAnsi="Times New Roman;Times;Serif"/>
          <w:b w:val="false"/>
          <w:i w:val="false"/>
          <w:caps w:val="false"/>
          <w:smallCaps w:val="false"/>
          <w:sz w:val="20"/>
        </w:rPr>
        <w:t xml:space="preserve">. Any prepayment of a SOFR Loan and/or a Tranche Rate Loan on a day other than an Interest Payment Date in respect thereof shall include interest on the principal amount being repaid and shall be subject to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All prepayments of an Advance shall be applied first to that portion of such Advance comprised of Base Rate Loans and then to that portion of such Advance comprised of SOFR Loans and or Tranche Rate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Implied Consent</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be construed to constitute the Agent’s or any Lender’s consent to any transaction that is not expressly permitted by other provisions of this Agreement or the other Loan Documents or a waiver of any Event of Default arising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Swing Line Advances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Swing Line Lender may, from time to time, at its sole election and without prior notice to or consent by any Lender or the Borrower, convert any request or deemed request by the Borrower for a Revolving Credit Advance into a request for an advance made by, and for the account of, the Swing Line Lender in accordance with the terms of this Agreement (each such advance, a “</w:t>
      </w:r>
      <w:r>
        <w:rPr>
          <w:rFonts w:ascii="Times New Roman;Times;Serif" w:hAnsi="Times New Roman;Times;Serif"/>
          <w:b w:val="false"/>
          <w:i w:val="false"/>
          <w:caps w:val="false"/>
          <w:smallCaps w:val="false"/>
          <w:sz w:val="20"/>
          <w:u w:val="single"/>
        </w:rPr>
        <w:t>Swing Line Advance</w:t>
      </w:r>
      <w:r>
        <w:rPr>
          <w:rFonts w:ascii="Times New Roman;Times;Serif" w:hAnsi="Times New Roman;Times;Serif"/>
          <w:b w:val="false"/>
          <w:i w:val="false"/>
          <w:caps w:val="false"/>
          <w:smallCaps w:val="false"/>
          <w:sz w:val="20"/>
        </w:rPr>
        <w:t xml:space="preserve">”). Each Swing Line Advance shall be a SOFR Loan, and shall be advanced by the Swing Line Lender in the same manner as Revolving Credit Advances are advanced hereunder, in accordance with the provisions of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as otherwise permitted to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Swing Line Advances shall be made at any time that an Event of Default under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has occurred and is continuing. The aggregate amount of Swing Line Advances outstanding shall not exceed at any time the lesser of (A) the Swing Line Maximum Amount or (B) an amount that results in (i) any Lender’s Revolving Exposure exceeding such Lender’s Revolving Loan Commitment or (ii) the aggregate Revolving Exposure of all Lenders exceeding Availability. If at any time the outstanding Swing Line Advances exceed the Swing Line Maximum Amount, then, on the next succeeding Business Day, the Borrower shall repay Swing Line Advances, in an aggregate amount equal to such excess.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Swing Line Lender shall give the Agent prompt notice of each Swing Line Advance made by the Swing Line Lender. In the event that on any Business Day the Swing Line Lender desires that all or any portion of the outstanding Swing Line Advances should be reduced, in whole or in part, the Swing Line Lender shall notify the Agent to that effect and indicate the portion of the Swing Line Advance to be so reduced. The Swing Line Lender hereby agrees that it shall notify the Agent to reduce the Swing Line Advance to zero at least once every week. The Agent agrees to transmit to Lenders the information contained in each notice received by the Agent from the Swing Line Lender regarding the reduction of outstanding Swing Line Advances and shall concurrently notify such Lenders of each such Lender’s Pro Rata Share of the obligation to make a Revolving Credit Advance to repay outstanding Swing Line Advances (or the applicable portion thereof). Each Lender hereby unconditionally and irrevocably agrees to fund to the Loan Account, for the benefit of the Swing Line Lender, not later than noon (New York, NY time) on the Business Day immediately following the Business Day of such Lender’s receipt of such notice from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Lender shall receive such notice at or prior to 10:00 a.m. (New York, NY time) on a Business Day, such funding shall be made by such Lender on such Business Day), such Lender’s Pro Rata Share of a Revolving Credit Advance (which Revolving Credit Advance shall be a SOFR Loan and shall be deemed to be requested by the Borrower) in the principal amount equal to the portion of the Swing Line Advance which is required to be paid to the Swing Line Lender under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The proceeds of any such Revolving Credit Advances so funded shall be immediately paid over to the Agent for the benefit of the Swing Line Lender for application against then-outstanding Swing Line Advances. For purposes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the Swing Line Lender shall be conclusively entitled to assume that, at the time of the advance of any Swing Line Advance, each Lender will fund its Pro Rata Share of the Revolving Credit Advances provided for in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at any time any Swing Line Advances are outstanding, either (i) an Event of Default pursuant to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9.1(i)</w:t>
      </w:r>
      <w:r>
        <w:rPr>
          <w:rFonts w:ascii="Times New Roman;Times;Serif" w:hAnsi="Times New Roman;Times;Serif"/>
          <w:b w:val="false"/>
          <w:i w:val="false"/>
          <w:caps w:val="false"/>
          <w:smallCaps w:val="false"/>
          <w:sz w:val="20"/>
        </w:rPr>
        <w:t xml:space="preserve"> has occurred or (ii) the Revolving Loan Commitments has been suspended or terminated in accordance with the provisions of this Agreement, then in either case, each Lender (other than the Swing Line Lender) shall be deemed to have irrevocably and immediately purchased and received from the Swing Line Lender, without recourse or warranty, an undivided interest and participation in the Swing Line Advances in an aggregate amount equal to such Lender’s Pro Rata Share of each Swing Line Advance outstanding. Any purchase obligation arising pursuant to the immediately preceding sentence shall be absolute and unconditional and shall not be affected by any circumstances whatsoever. In the event that on any Business Day the Swing Line Lender desires to effect settlement of any such purchase, the Swing Line Lender shall promptly notify the Agent to that effect and indicate the payment amounts required by each Lender to effect such settlement. The Agent agrees to transmit to Lenders the information contained in each notice received by the Agent from the Swing Line Lender and shall concurrently notify such Lenders of each such Lender’s Pro Rata Share of the required payment settlement amount. Each such Lender shall effect such settlement upon receipt of any such notice by transferring to the Agent’s account specified by the Agent to Lenders from time to time not later than noon (New York, NY time) on the Business Day immediately following the Business Day of receipt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Lender shall receive such notice at or prior to 10:00 a.m. (New York, NY time) on a Business Day, such funding shall be made by such Lender on such Business Day), an amount equal to such Lender’s participation in the Swing Line Advance.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any Lender fails to make available to the Agent when due the amount of such Lender’s participation in the Swing Line Advances, the Swing Line Lender shall be entitled to recover such amount on demand from such Lender together with interest at the Federal Funds Rate, for the first three days following the due date, and thereafter at the SOFR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SOFR Loans in respect of Swing Line Advances. Any Lender’s failure to make any payment requested under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not relieve any other Lender of its obligations hereunder, but no Lender shall be responsible for the failure of any other Lender to make available to the Agent such other Lender’s required payment hereunder. The obligations of Lenders under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be deemed to be binding upon the Agent, the Swing Line Lender and Lenders notwithstanding the occurrence of any Default or Event of Default, or any insolvency or bankruptcy proceeding pertaining to any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Interest and Applicable Margin;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Sections 2.1(b)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2.4(d)</w:t>
      </w:r>
      <w:r>
        <w:rPr>
          <w:rFonts w:ascii="Times New Roman;Times;Serif" w:hAnsi="Times New Roman;Times;Serif"/>
          <w:b w:val="false"/>
          <w:i w:val="false"/>
          <w:caps w:val="false"/>
          <w:smallCaps w:val="false"/>
          <w:sz w:val="20"/>
        </w:rPr>
        <w:t xml:space="preserve">, each Advance shall bear interest on the outstanding principal amount thereof from the date when made at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Daily Simple SOFR, the Tranche Rate or the Base Rate, as the case may be,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Swing Line Advances shall be SOFR Loans. Daily Simple SOFR shall be reset each U.S. Government Securities Business Day by the Agent. Each determination of an interest rate by the Agent shall be conclusive and binding on the Borrower and the Lenders in the absence of manifest error. All computations of Fees and interest payable under this Agreement shall be made on the basis of a 360-day year and actual days elapsed. Interest and Fees shall accrue during each period during which interest or such Fees are computed from the first day thereof through the last day thereof (but, for the avoidance of doubt, excluding the Termination Date and the date of any prepayment with respect to the interest accrued on the amount so prepaid unless such payment is deemed to be made on the next day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as determined by the Agent in accordance with the Loan Documents and the Agent’s loan systems and procedures periodically in effect, interest shall be paid in arrears (i) on each Interest Payment Date and (ii) on the date of each payment or prepayment of Advances on and after the Commitment Termination Date. The Agent may estimate the amount of interest that the Borrower will owe on the Borrower’s periodic statements and the Agent may adjust the amount of interest owed on each subsequent statement provided to the Borrower to reflect any differential between the estimated amount of interest shown on the Borrower’s preceding statement and the actual amount of interest determined to have been due by the Agent on the preceding Interest Payment Date. The Borrower agrees to pay the amount shown due on the Interest Payment Date on each of the Borrower’s periodic statements on each Interest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election of the Agent or the Required Lenders while any Event of Default exists (or automatically while any Event of Default under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9.1(i)</w:t>
      </w:r>
      <w:r>
        <w:rPr>
          <w:rFonts w:ascii="Times New Roman;Times;Serif" w:hAnsi="Times New Roman;Times;Serif"/>
          <w:b w:val="false"/>
          <w:i w:val="false"/>
          <w:caps w:val="false"/>
          <w:smallCaps w:val="false"/>
          <w:sz w:val="20"/>
        </w:rPr>
        <w:t xml:space="preserve"> exists), interest (after as well as before entry of judgment thereon to the extent permitted by Law) on the Advances and the Letter of Credit Fees shall increase, from and after the date of occurrence of such Event of Default, to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which is determined by adding 2.00%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to the Applicable Margin or Letter of Credit Fee, as applicable, then in effect for such Advances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SOFR Rate or the Base Rate, as the case may be) or Letter of Credit Obligations, as applicable (the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All such interest shall be payable on demand of the Agent or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Anything herein to the contrary notwithstanding, the Obligations of the Borrower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that may be lawfully contracted for, charged or received by such Lender, and in such event the Borrower shall pay such Lender interest at the highest rate permitted by applicable Law (“</w:t>
      </w:r>
      <w:r>
        <w:rPr>
          <w:rFonts w:ascii="Times New Roman;Times;Serif" w:hAnsi="Times New Roman;Times;Serif"/>
          <w:b w:val="false"/>
          <w:i w:val="false"/>
          <w:caps w:val="false"/>
          <w:smallCaps w:val="false"/>
          <w:sz w:val="20"/>
          <w:u w:val="single"/>
        </w:rPr>
        <w:t>Maximum Lawful Rate</w:t>
      </w:r>
      <w:r>
        <w:rPr>
          <w:rFonts w:ascii="Times New Roman;Times;Serif" w:hAnsi="Times New Roman;Times;Serif"/>
          <w:b w:val="false"/>
          <w:i w:val="false"/>
          <w:caps w:val="false"/>
          <w:smallCaps w:val="false"/>
          <w:sz w:val="20"/>
        </w:rPr>
        <w:t xml:space="preserve">”) for such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at any time thereafter the rate of interest payable hereunder is less than the Maximum Lawful Rate, the Borrower shall continue to pay interest hereunder at the Maximum Lawful Rate until such time as the total interest received by the Agent, on behalf of Lenders, is equal to the total interest that would have been received had the interest payable hereunder been (but for the operation of this paragraph) the interest rate payable since the Closing Date as otherwise provided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Unused Line Fees</w:t>
      </w:r>
      <w:r>
        <w:rPr>
          <w:rFonts w:ascii="Times New Roman;Times;Serif" w:hAnsi="Times New Roman;Times;Serif"/>
          <w:b w:val="false"/>
          <w:i w:val="false"/>
          <w:caps w:val="false"/>
          <w:smallCaps w:val="false"/>
          <w:sz w:val="20"/>
        </w:rPr>
        <w:t>. The Borrower agrees to pay to the Agent, for the account of each Lender according to its Pro Rata Share of the Revolving Loan Commitments, a commitment Fee (the “</w:t>
      </w:r>
      <w:r>
        <w:rPr>
          <w:rFonts w:ascii="Times New Roman;Times;Serif" w:hAnsi="Times New Roman;Times;Serif"/>
          <w:b w:val="false"/>
          <w:i w:val="false"/>
          <w:caps w:val="false"/>
          <w:smallCaps w:val="false"/>
          <w:sz w:val="20"/>
          <w:u w:val="single"/>
        </w:rPr>
        <w:t>Unused Line Fee</w:t>
      </w:r>
      <w:r>
        <w:rPr>
          <w:rFonts w:ascii="Times New Roman;Times;Serif" w:hAnsi="Times New Roman;Times;Serif"/>
          <w:b w:val="false"/>
          <w:i w:val="false"/>
          <w:caps w:val="false"/>
          <w:smallCaps w:val="false"/>
          <w:sz w:val="20"/>
        </w:rPr>
        <w:t xml:space="preserve">”), which shall accrue, as of each day during the period from the Closing Date to but excluding the date on which the Revolving Loan Commitments terminate, at 0.25%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on the daily amount of the </w:t>
      </w:r>
      <w:r>
        <w:rPr>
          <w:rFonts w:ascii="Times New Roman;Times;Serif" w:hAnsi="Times New Roman;Times;Serif"/>
          <w:b w:val="false"/>
          <w:i w:val="false"/>
          <w:caps w:val="false"/>
          <w:smallCaps w:val="false"/>
          <w:sz w:val="20"/>
          <w:u w:val="single"/>
        </w:rPr>
        <w:t>difference</w:t>
      </w:r>
      <w:r>
        <w:rPr>
          <w:rFonts w:ascii="Times New Roman;Times;Serif" w:hAnsi="Times New Roman;Times;Serif"/>
          <w:b w:val="false"/>
          <w:i w:val="false"/>
          <w:caps w:val="false"/>
          <w:smallCaps w:val="false"/>
          <w:sz w:val="20"/>
        </w:rPr>
        <w:t xml:space="preserve"> of the Revolving Loan Commitments of all Lenders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sum of (A) the aggregate outstanding amount of all Revolving Credit Advances of all Lenders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outstanding amount of Letter of Credit Obligations. The accrued Unused Line Fee shall be payable in arrears on each Interest Payment Date, all as determined by the Agent in accordance with the Loan Documents and the Agent’s loan systems and procedures periodically in effect. Accruals of the Unused Line Fee shall be computed on the basis of a year of 360 days and shall be payable for the actual number of days elapsed during the applicable period (including the first day but excluding the last day of such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The Borrower agrees to pay to the Agent:</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account of each Lender according to its Pro Rata Share of the Revolving Loan Commitments, as compensation to such Lenders for their participation interest in the Letter of Credit Obligations incurred hereunder with respect to Letters of Credit (each a “</w:t>
      </w:r>
      <w:r>
        <w:rPr>
          <w:rFonts w:ascii="Times New Roman;Times;Serif" w:hAnsi="Times New Roman;Times;Serif"/>
          <w:b w:val="false"/>
          <w:i w:val="false"/>
          <w:caps w:val="false"/>
          <w:smallCaps w:val="false"/>
          <w:sz w:val="20"/>
          <w:u w:val="single"/>
        </w:rPr>
        <w:t>Letter of Credit Fee</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 respect to each standby Letter of Credit, for each applicable period during which such Letter of Credit Obligation shall remain outstanding, a Fee in an amount equal to the </w:t>
      </w:r>
      <w:r>
        <w:rPr>
          <w:rFonts w:ascii="Times New Roman;Times;Serif" w:hAnsi="Times New Roman;Times;Serif"/>
          <w:b w:val="false"/>
          <w:i w:val="false"/>
          <w:caps w:val="false"/>
          <w:smallCaps w:val="false"/>
          <w:sz w:val="20"/>
          <w:u w:val="single"/>
        </w:rPr>
        <w:t>product</w:t>
      </w:r>
      <w:r>
        <w:rPr>
          <w:rFonts w:ascii="Times New Roman;Times;Serif" w:hAnsi="Times New Roman;Times;Serif"/>
          <w:b w:val="false"/>
          <w:i w:val="false"/>
          <w:caps w:val="false"/>
          <w:smallCaps w:val="false"/>
          <w:sz w:val="20"/>
        </w:rPr>
        <w:t xml:space="preserve"> of the Applicable Margin for SOFR Loans from time to time in effect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maximum amount available from time to time to be drawn under such Letter of Credit, which Fee shall be payable (as more specifically determined pursuant to the applicable Loan Documents with respect to such Letter of Credit and otherwise as determined by the Agent in accordance with the Loan Documents and the Agent’s loan systems and procedures periodically in effect) in arrears on the first Business Day of each month; and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each commercial Letter of Credit, a Fee in an amount equal to the </w:t>
      </w:r>
      <w:r>
        <w:rPr>
          <w:rFonts w:ascii="Times New Roman;Times;Serif" w:hAnsi="Times New Roman;Times;Serif"/>
          <w:b w:val="false"/>
          <w:i w:val="false"/>
          <w:caps w:val="false"/>
          <w:smallCaps w:val="false"/>
          <w:sz w:val="20"/>
          <w:u w:val="single"/>
        </w:rPr>
        <w:t>product</w:t>
      </w:r>
      <w:r>
        <w:rPr>
          <w:rFonts w:ascii="Times New Roman;Times;Serif" w:hAnsi="Times New Roman;Times;Serif"/>
          <w:b w:val="false"/>
          <w:i w:val="false"/>
          <w:caps w:val="false"/>
          <w:smallCaps w:val="false"/>
          <w:sz w:val="20"/>
        </w:rPr>
        <w:t xml:space="preserve"> of Applicable Margin for SOFR Loans in effect on such date of issuance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stated amount of such Letter of Credit, which Fee shall be payable (as more specifically determined pursuant to the applicable Loan Documents with respect to such Letter of Credit and otherwise as determined by the Agent in accordance with the Loan Documents and the Agent’s loan systems and procedures periodically in effect) in advance either on the date of issuance of such Letter of Credit or on the date on which the first draw under such Letter of Credit is made (as determined by the Agent at the time of issuance of the applicable Letter of Credit).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account of the L/C Issuer, on demand, such Fees (including all current issuance, opening, closing, transfer, amendment, draw, renewal, negotiation and other letter of credit administration fees) and other charges and expenses of the L/C Issuer in respect of the issuance, negotiation, acceptance, amendment, transfer and payment of such Letter of Credit or otherwise payable pursuant to the application and related documentation under which such Letter of Credit is issued. The Borrower further agrees to pay to the Agent and each Lender all costs and expenses incurred by the Agent or any Lender on account of any Letter of Credit Obligations.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such Fees are fully earned by the applicable Lenders when paid and non-refundable. The Letter of Credit Fee will be calculated on the basis of the actual number of days elapsed in a 360-day year. If any Letter of Credit is cancelled for any reason before the stated expiry date thereof, the Letter of Credit Fee or any other Fee paid in advance will not be refunded and will be retained by the applicable Lenders solely for their account.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NSF Fees</w:t>
      </w:r>
      <w:r>
        <w:rPr>
          <w:rFonts w:ascii="Times New Roman;Times;Serif" w:hAnsi="Times New Roman;Times;Serif"/>
          <w:b w:val="false"/>
          <w:i w:val="false"/>
          <w:caps w:val="false"/>
          <w:smallCaps w:val="false"/>
          <w:sz w:val="20"/>
        </w:rPr>
        <w:t>. In addition to, and without limiting, any other provision of this Agreement or the other Loan Documents, the Agent may impose a non-sufficient funds fee for any check that is presented for payment that is returned for any reason.</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Rate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Rate Election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provisions of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the Borrower may request that Revolving Credit Advances permitted to be made hereunder be SOFR Loans and/or Tranche Rate Loans and that outstanding portions of Advances made hereunder be converted to SOFR Loans and/or Tranche Rate Loans. Any request with respect to a new Revolving Credit Advance will be made by submitting a Notice of Borrowing to the Agent. Once given, and except as provided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below, a Notice of Borrowing shall be irrevocable and the Borrower shall be bound thereby. In the case of any conversion of an Advance to another type of Advance, such election must be made pursuant to a Notice of Conversion. In addition to the other provisions of this Agreement, as a condition to any SOFR Rate election or Tranche Rate election hereunder, on or before the date on which the applicable Advance is to be advanced or converted hereunder, in each case in accordance with the Agent’s loan policies and procedures periodically in effect, the Borrower shall notify the Agent of (A) the requested amount and type of such Advance and (B) the date of the requested Advance or conversion.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a Notice of Conversion submitted to the Agent not later than noon New York, NY time (or such later time acceptable to the Agent in its sole discretion) on any Business Day, all SOFR Loans shall remain SOFR Loans and all Tranche Rate Loans shall remain Tranche Rate Loans. On any Business Day on which an Interest Period expires, the Borrower will be deemed to elected to have any Tranche Rate Loans then maturing continued as a Tranche Rate Loan for the same Interest Period commencing on the date on which such expiring Interest Period ends, unless the Borrower has delivered to the Agent a Notice of Conversion. Unless otherwise permitted by the Agent in its sole discretion: (A) in no event may the last day of any Interest Period exceed the Stated Maturity Date, (B) in no event may any new Interest Period commence with respect to any Tranche Rate Loan requested to be converted hereunder prior to the expiration of the applicable Interest Period then in effect with respect to such Tranche Rate Loan, (C) there may be no more than six Tranche Rate Loans outstanding at any one time, and (D) if required by the Agent in its sole discretion at any time and from time to time, each request for a Tranche Rate Loan, whether by original issuance or conversion, shall be in a minimum amount of $500,000 and, if in excess of such amount, in an integral multiple of $100,000 in excess of such amount.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Inability to Determine Benchmark</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Temporary Inability</w:t>
      </w:r>
      <w:r>
        <w:rPr>
          <w:rFonts w:ascii="Times New Roman;Times;Serif" w:hAnsi="Times New Roman;Times;Serif"/>
          <w:b w:val="false"/>
          <w:i w:val="false"/>
          <w:caps w:val="false"/>
          <w:smallCaps w:val="false"/>
          <w:sz w:val="20"/>
        </w:rPr>
        <w:t xml:space="preserve">. If the Agent shall determine or be notified by Required Lenders that either: (A) the SOFR Rate, the Tranche Rate or any alternative index designated pursuant to </w:t>
      </w:r>
      <w:r>
        <w:rPr>
          <w:rFonts w:ascii="Times New Roman;Times;Serif" w:hAnsi="Times New Roman;Times;Serif"/>
          <w:b w:val="false"/>
          <w:i w:val="false"/>
          <w:caps w:val="false"/>
          <w:smallCaps w:val="false"/>
          <w:sz w:val="20"/>
          <w:u w:val="single"/>
        </w:rPr>
        <w:t>Section 2.5(b)(ii)</w:t>
      </w:r>
      <w:r>
        <w:rPr>
          <w:rFonts w:ascii="Times New Roman;Times;Serif" w:hAnsi="Times New Roman;Times;Serif"/>
          <w:b w:val="false"/>
          <w:i w:val="false"/>
          <w:caps w:val="false"/>
          <w:smallCaps w:val="false"/>
          <w:sz w:val="20"/>
        </w:rPr>
        <w:t xml:space="preserve"> to the extent that such rate has become effective pursuant to the terms hereof (as of any date, such then-applicable rate, the “</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cannot be determined pursuant to the definition thereof, (B) adequate and reasonable methods do not exist for ascertaining the Benchmark, (C) the Benchmark, as determined by the Agent, will not adequately and fairly reflect the cost to the Lenders of funding Advances accruing interest based upon the Benchmark, or (D) the making or funding of Advances accruing interest based upon the Benchmark has become impracticable, then, in any such case, other than as a result of an event described in </w:t>
      </w:r>
      <w:r>
        <w:rPr>
          <w:rFonts w:ascii="Times New Roman;Times;Serif" w:hAnsi="Times New Roman;Times;Serif"/>
          <w:b w:val="false"/>
          <w:i w:val="false"/>
          <w:caps w:val="false"/>
          <w:smallCaps w:val="false"/>
          <w:sz w:val="20"/>
          <w:u w:val="single"/>
        </w:rPr>
        <w:t>Section 2.5(b)(ii)(A)</w:t>
      </w:r>
      <w:r>
        <w:rPr>
          <w:rFonts w:ascii="Times New Roman;Times;Serif" w:hAnsi="Times New Roman;Times;Serif"/>
          <w:b w:val="false"/>
          <w:i w:val="false"/>
          <w:caps w:val="false"/>
          <w:smallCaps w:val="false"/>
          <w:sz w:val="20"/>
        </w:rPr>
        <w:t>, the Agent shall promptly provide notice of such determination to the Borrower and Lenders (which shall be conclusive and binding on all parties hereto absent manifest error), and (I) any request for a Advances accruing interest based upon the Benchmark or for a conversion to or continuation of any such Advances shall be automatically withdrawn and shall be deemed a request for a Base Rate Loan, (II) each such Advance will immediately become a Base Rate Loan, and (III) the obligations of Lenders to make Advances accruing interest based upon the Benchmark shall be suspended until the Agent or Required Lenders determine that the circumstances giving rise to such suspension no longer exist, in which event the Agent shall so notify the Borrower and Lenders.</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Permanent Inability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Agent determines (which determination shall be conclusive and binding on all parties hereto absent manifest error) that (I) the circumstances described in </w:t>
      </w:r>
      <w:r>
        <w:rPr>
          <w:rFonts w:ascii="Times New Roman;Times;Serif" w:hAnsi="Times New Roman;Times;Serif"/>
          <w:b w:val="false"/>
          <w:i w:val="false"/>
          <w:caps w:val="false"/>
          <w:smallCaps w:val="false"/>
          <w:sz w:val="20"/>
          <w:u w:val="single"/>
        </w:rPr>
        <w:t>Section 2.5(b)(i)</w:t>
      </w:r>
      <w:r>
        <w:rPr>
          <w:rFonts w:ascii="Times New Roman;Times;Serif" w:hAnsi="Times New Roman;Times;Serif"/>
          <w:b w:val="false"/>
          <w:i w:val="false"/>
          <w:caps w:val="false"/>
          <w:smallCaps w:val="false"/>
          <w:sz w:val="20"/>
        </w:rPr>
        <w:t xml:space="preserve"> have occurred and are unlikely to be temporary; (II) a public statement or publication of information has been made (x) by or on behalf of the administrator of the Benchmark; or by the regulatory supervisor for the administrator of the Benchmark, the U.S. Federal Reserve System, an insolvency official with jurisdiction over the administrator for the Benchmark, a resolution authority with jurisdiction over the administrator for the Benchmark or a court or an entity with similar insolvency or resolution authority over the administrator for the Benchmark, stating that such administrator has ceased or will cease to provide the Benchmark, permanently or indefinitely;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the statement or publication, there is no successor administrator that will continue to provide the Benchmark, (y) by the administrator of the Benchmark that it has invoked or will invoke, permanently or indefinitely, its insufficient submissions policy, or (z) by the regulatory supervisor for the administrator of the Benchmark or any Governmental Authority having jurisdiction over Lender announcing that the Benchmark is no longer representative or may no longer be used; (III) the Benchmark is not published by the administrator thereof for five consecutive Business Days and such failure is not the result of a temporary moratorium, embargo or disruption declared by the administrator thereof or by the regulatory supervisor for the administrator thereof; or (IV) a new index rate has become a widely-recognized replacement benchmark rate for the Benchmark in newly originated or amended loans denominated in Dollars in the U.S. market; then, in any such case, the Agent may in its sole discretion, replace the Benchmark with an alternative replacement index, and to make a mathematical or other adjustment to an alternate index or benchmark rate selected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which may be positive, negative or zero (the new index and such adjustment, together, the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in each case, giving due consideration to any evolving or then existing convention for similar U.S. dollar denominated credit facilities and any recommendations of a relevant Governmental Authority with respect to such facilities.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may also from time to time, in the Agent’s sole discretion, make any technical, administrative or operational changes (including changes to the definition of “Base Rate,” the definition of “Business Day,” timing and frequency of determining rates and making payments of interest, timing of borrowing requests or prepayment, conversion or continuation notices, length of lookback periods or observation shifts, the applicability of breakage provisions, and other technical, administrative or operational matters) (“</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that Lender decides may be appropriate to reflect the adoption and implementation of such Benchmark Replacement and to permit the administration of the Advances by the Agent in administratively and operationally practicable manner and in a manner substantially consistent with market practice and similarly situated counterparties with similar assets in similar facilities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Agent shall provide notice to the Borrower of any Benchmark Replacement and/or Conforming Changes. Notwithstanding anything to the contrary herein or in any other Loan Document, the Benchmark Replacement and/or Conforming Changes shall become effective without any further action or consent of any other party to this Agreement upon delivery of notice to the Borrower. From and after such date, all SOFR Loans and all Tranche Rate Loans shall bear interest at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the Benchmark Replacement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and any Notice of Borrowing or Notice of Conversion requesting a SOFR Loan and/or a Tranche Rate Loan will be deemed to refer to the Benchmark Replacement. Further, if the interest rate to be replaced is rounded upwards to the next 1/16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1% under the terms of this Agreement or any Loan Document, the Benchmark Replacement shall also be rounded up to the next 1/16th;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this provision governing rounding shall not apply if the Borrower has a Rate Contract in effect with respect to all or part of an Advance.</w:t>
      </w:r>
    </w:p>
    <w:p>
      <w:pPr>
        <w:pStyle w:val="TextBody"/>
        <w:bidi w:val="0"/>
        <w:spacing w:before="0" w:after="0"/>
        <w:ind w:left="72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the avoidance of doubt, following the date when a determination is made pursuant to </w:t>
      </w:r>
      <w:r>
        <w:rPr>
          <w:rFonts w:ascii="Times New Roman;Times;Serif" w:hAnsi="Times New Roman;Times;Serif"/>
          <w:b w:val="false"/>
          <w:i w:val="false"/>
          <w:caps w:val="false"/>
          <w:smallCaps w:val="false"/>
          <w:sz w:val="20"/>
          <w:u w:val="single"/>
        </w:rPr>
        <w:t>Section 2.5(b)(ii)(A)</w:t>
      </w:r>
      <w:r>
        <w:rPr>
          <w:rFonts w:ascii="Times New Roman;Times;Serif" w:hAnsi="Times New Roman;Times;Serif"/>
          <w:b w:val="false"/>
          <w:i w:val="false"/>
          <w:caps w:val="false"/>
          <w:smallCaps w:val="false"/>
          <w:sz w:val="20"/>
        </w:rPr>
        <w:t xml:space="preserve"> and until a Benchmark Replacement has been selected and implemented in accordance with the terms and conditions of </w:t>
      </w:r>
      <w:r>
        <w:rPr>
          <w:rFonts w:ascii="Times New Roman;Times;Serif" w:hAnsi="Times New Roman;Times;Serif"/>
          <w:b w:val="false"/>
          <w:i w:val="false"/>
          <w:caps w:val="false"/>
          <w:smallCaps w:val="false"/>
          <w:sz w:val="20"/>
          <w:u w:val="single"/>
        </w:rPr>
        <w:t>Section 2.5(b)(ii)(C)</w:t>
      </w:r>
      <w:r>
        <w:rPr>
          <w:rFonts w:ascii="Times New Roman;Times;Serif" w:hAnsi="Times New Roman;Times;Serif"/>
          <w:b w:val="false"/>
          <w:i w:val="false"/>
          <w:caps w:val="false"/>
          <w:smallCaps w:val="false"/>
          <w:sz w:val="20"/>
        </w:rPr>
        <w:t>, at the Agent’s election, all Advances shall accrue interest as Base Rate Loans.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Subject to any Conforming Changes, if at any time the Benchmark Replacement is less than the Index Floor, then at such times, such Benchmark Replacement shall be deemed to be the Index Floor for purposes of this Agreement and any other Loan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The Agent does not warrant or accept any responsibility for, and shall not have any liability with respect to, (A) the administration, calculation, submission, or any other matter related to any Benchmark, any component definition thereof or rates referenced in the definition thereof or any alternative comparable or successor rate thereto (including any then-current Benchmark or any Benchmark Replacement), including whether the composition or characteristics of any such alternative, comparable or successor rate (including any Benchmark Replacement) will be similar to, or produce the same value or economic equivalence of, or have the same volume or liquidity as the immediately preceding Benchmark or any other Benchmark, or (B) the effect, implementation or composition of any Conforming Changes.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Hedged Tranche Rate Loans</w:t>
      </w:r>
      <w:r>
        <w:rPr>
          <w:rFonts w:ascii="Times New Roman;Times;Serif" w:hAnsi="Times New Roman;Times;Serif"/>
          <w:b w:val="false"/>
          <w:i w:val="false"/>
          <w:caps w:val="false"/>
          <w:smallCaps w:val="false"/>
          <w:sz w:val="20"/>
        </w:rPr>
        <w:t>. Notwithstanding anything to the contrary contained herein, if, after the Closing Date, the Borrower enters into a Rate Contract with respect to all or part of a Tranche Rate Loan and the floating interest rate under the Rate Contract is Daily Simple SOFR, the Agent and the Borrower may agree to replace the Tranche Rate for such portion of the Tranche Rate Loan equal to the notional amount of the corresponding Rate Contract (the “</w:t>
      </w:r>
      <w:r>
        <w:rPr>
          <w:rFonts w:ascii="Times New Roman;Times;Serif" w:hAnsi="Times New Roman;Times;Serif"/>
          <w:b w:val="false"/>
          <w:i w:val="false"/>
          <w:caps w:val="false"/>
          <w:smallCaps w:val="false"/>
          <w:sz w:val="20"/>
          <w:u w:val="single"/>
        </w:rPr>
        <w:t>Hedged Tranche Rate Loan</w:t>
      </w:r>
      <w:r>
        <w:rPr>
          <w:rFonts w:ascii="Times New Roman;Times;Serif" w:hAnsi="Times New Roman;Times;Serif"/>
          <w:b w:val="false"/>
          <w:i w:val="false"/>
          <w:caps w:val="false"/>
          <w:smallCaps w:val="false"/>
          <w:sz w:val="20"/>
        </w:rPr>
        <w:t xml:space="preserve">”) with Daily Simple SOFR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the Tranche Rate Loan without consent of any other party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subsequent thereto, the Agent and the Borrower amend such Rate Contract to include, or terminate such Rate Contract and enter into a new Rate Contract with, a floating interest rate thereunder of the original Tranche Rate, then the Agent and the Borrower may further agree to replace Daily Simple SOFR for such Hedged Tranche Rate Loan with the original Tranche Rate plus the Applicable Margin for the Tranche Rate Loan hereunder without consent of any other party hereto; and, in either such event, (A) such rate shall be a Successor Rate hereunder, and (B) the Agent shall provide written notice thereof to the Lenders.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Notwithstanding any other provisions hereof, if any Law shall make it unlawful for any Lender to make, fund or maintain SOFR Loans or Tranche Rate Loans, such Lender shall promptly give notice of such circumstances to the Agent, the Borrower and the other Lenders. In such an event, (i) the commitment of the Lenders to make SOFR Loans or Tranche Rate Loans, continue SOFR Loans as SOFR Loans, continue Tranche Rate Loans as Tranche Rate Loans or convert Base Rate Loans to SOFR Loans or Tranche Rate Loans shall be immediately suspended and (ii) any outstanding SOFR Loans or Tranche Rate Loans shall be converted automatically to Base Rate Loans immediately.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Breakage Fees</w:t>
      </w:r>
      <w:r>
        <w:rPr>
          <w:rFonts w:ascii="Times New Roman;Times;Serif" w:hAnsi="Times New Roman;Times;Serif"/>
          <w:b w:val="false"/>
          <w:i w:val="false"/>
          <w:caps w:val="false"/>
          <w:smallCaps w:val="false"/>
          <w:sz w:val="20"/>
        </w:rPr>
        <w:t xml:space="preserve">. Upon (i) any default by the Borrower in making any borrowing of, conversion into or conversion of any SOFR Loan or any Tranche Rate Loan following the Borrower’s delivery to the Agent of any applicable Notice of Borrowing or Notice of Conversion or (ii) any payment of a SOFR Loan or a Tranche Rate Loan on any day that is not the Interest Payment Date applicable thereto (regardless of the source of such prepayment and whether voluntary, by acceleration or otherwise), the Borrower shall promptly pay each Lender an amount equal to the amount of any losses, expenses and liabilities (including any loss (including interest paid) in connection with the re-employment of such funds) that such Lender sustains as a result of such default or such payment. A certificate of any Lender setting forth any amount or amounts that such Lender is entitled to receive pursuant to this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shall be delivered to the Borrower and shall be conclusive absent manifest error. The Borrower shall pay such Lender the amount shown as due on any such certificate within 10 days after receipt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 xml:space="preserve">. If, after the Closing Date, any Change in Law: (i) shall impose, modify or deem applicable any reserve (including any reserve imposed by the Board of Governors of the Federal Reserve System, or any successor thereto, but excluding any reserve included in the determination of the SOFR Rate or the Tranche Rate pursuant to the provisions of this Agreement), special deposit, compulsory loan, insurance charge or similar requirement against assets of, deposits with or for the account of, or credit extended or participated in by any Lender, or (ii) shall impose on any Lender any other condition, cost or expense affecting its SOFR Loans or Tranche Rate Loans, any of its notes issued pursuant hereto (if any) or its obligation to make SOFR Loans or Tranche Rate Loans; and the result of anything described in these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is to increase the cost to (or to impose a cost on) such Lender of making or maintaining any SOFR Loan or Tranche Rate Loan, or to reduce the amount of any sum received or receivable by such Lender under this Agreement or under any of its notes issued pursuant hereto (if any) with respect thereto, then such Lender shall prepare a certificate setting forth any amount or amounts that such Lender is entitled to receive pursuant to this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which certificate shall be delivered to the Borrower prior to or contemporaneously with any demand for payment made by such Lender to the Borrower to pay directly to such Lender, such additional amount as will compensate such Lender for such increased cost or such reduction. The Borrower shall pay such Lender the amount shown as due on any such certificate within 10 days after receipt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Subject to and in accordance with the terms and conditions contained herein and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Borrower may request, and the Lenders agree to incur, or purchase participations in, Letter of Credit Obligations in respect of the Borrower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General Provisions Regarding Payment</w:t>
      </w:r>
      <w:r>
        <w:rPr>
          <w:rFonts w:ascii="Times New Roman;Times;Serif" w:hAnsi="Times New Roman;Times;Serif"/>
          <w:b w:val="false"/>
          <w:i w:val="false"/>
          <w:caps w:val="false"/>
          <w:smallCaps w:val="false"/>
          <w:sz w:val="20"/>
        </w:rPr>
        <w:t>. The Borrower shall make each payment under this Agreement not later than 2:00 p.m. (New York, NY time) on the day when due in immediately available funds in Dollars to the Collection Account. For purposes of computing interest and Fees and determining Excess Availability as of any date, all payments shall be deemed received on the Business Day on which immediately available funds therefor are received in the Collection Account on or prior to noon New York, NY time. Payments received in the Collection Account after noon New York, NY time on any Business Day or on a day that is not a Business Day shall be deemed to have been received on the following Business Day so long as such funds are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Loan Account; Account Debit</w:t>
      </w:r>
      <w:r>
        <w:rPr>
          <w:rFonts w:ascii="Times New Roman;Times;Serif" w:hAnsi="Times New Roman;Times;Serif"/>
          <w:b w:val="false"/>
          <w:i w:val="false"/>
          <w:caps w:val="false"/>
          <w:smallCaps w:val="false"/>
          <w:sz w:val="20"/>
        </w:rPr>
        <w:t>. The Agent shall maintain a loan account (the “</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xml:space="preserve">”) on its books in accordance with the Register to record all Advances, all payments made by the Borrower, and all other debits and credits as provided in this Agreement with respect to the Advances or any other Obligations. All entries in the Loan Account shall be made in accordance with the Agent’s customary accounting practices as in effect from time to time. The balance in the Loan Account, as recorded on the Agent’s most recent printout or other written statement, shall, absent manifest error, be presumptive evidence of the amounts due and owing to the Agent and Lenders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failure to so record or any error in so recording shall not limit or otherwise affect the Borrower’s duty to pay the Obligations. The Agent shall render to the Borrower a monthly accounting of transactions with respect to the Advances setting forth the balance of the Loan Account for the immediately preceding month. Each and every such accounting shall be presumptive evidence of all matters reflected therein absent manifest error. The Borrower hereby irrevocably authorizes the Agent to (a) charge the Borrower’s Deposit Accounts maintained with the Agent or (b) charge the Loan Account as a Revolving Credit Advance made as a SOFR Loan for the amounts from time to time necessary to pay any then due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acknowledges and agrees that the Agent shall not be under an obligation to do so and the Agent shall not incur any liability to the Borrower or any other Person for the Agent’s failure to do so.</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Gross-up for Taxes</w:t>
      </w:r>
      <w:r>
        <w:rPr>
          <w:rFonts w:ascii="Times New Roman;Times;Serif" w:hAnsi="Times New Roman;Times;Serif"/>
          <w:b w:val="false"/>
          <w:i w:val="false"/>
          <w:caps w:val="false"/>
          <w:smallCaps w:val="false"/>
          <w:sz w:val="20"/>
        </w:rPr>
        <w:t>. All payments of principal and interest on the Advances and all other amounts payable hereunder or any other Loan Document shall be made free and clear of and without deduction for any Taxes, except as required by applicable Law. If any withholding or deduction from any payment to be made by any Loan Party hereunder or under any other Loan Document is required in respect of any Taxes pursuant to any applicable Law, then the applicable Loan Party will (i) pay directly to the relevant authority the full amount required to be so withheld or deducted, (ii) promptly forward to the Agent and any applicable Lender an official receipt (or copy thereof), a copy of the return reporting such payment or other documentation reasonably satisfactory to the Agent or such Lender evidencing such payment to such authority, and (iii) if the Tax is an Indemnified Tax, then the sum payable hereunder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withholding or deduction been required. The Loan Parties shall timely pay to the relevant Governmental Authority in accordance with applicable Law, or at the option of the Agent timely reimburse it for the payment of, any Other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Loan Parties</w:t>
      </w:r>
      <w:r>
        <w:rPr>
          <w:rFonts w:ascii="Times New Roman;Times;Serif" w:hAnsi="Times New Roman;Times;Serif"/>
          <w:b w:val="false"/>
          <w:i w:val="false"/>
          <w:caps w:val="false"/>
          <w:smallCaps w:val="false"/>
          <w:sz w:val="20"/>
        </w:rPr>
        <w:t xml:space="preserve">. If any Indemnified Taxes are directly asserted against the Agent or any Lender (or any of its Affiliates) with respect to a payment received hereunder or any other Loan Document or with respect to, or arising from, the obligations of the Loan Parties under any Loan Document, the Loan Parties shall jointly and severally indemnify the Agent or such Lender, within 10 days after demand therefor, for the full amount of any Indemnified Taxes (including Indemnified Taxes imposed or asserted on or attributable to amounts payable under this Section) payable or paid by the Agent or such Lender, as applicable, and any reasonable and documented out-of-pocket expenses arising therefrom or with respect thereto (including reasonable and documented out-of-pocket attorneys’ or tax advisor fees and expenses), whether or not such Indemnified Taxes were correctly or legally imposed or asserted by the relevant Governmental Authority;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Loan Parties reasonably believe that such Taxes were not correctly or legally asserted, Agent or such Lender, as the case may be, will, upon the reasonable request of the Loan Parties, use reasonable efforts to cooperate with the Loan Parties to obtain a refund of such Taxes so long as such efforts would not, in the sole determination of the Agent or such Lender, as the case may be, result in any additional costs, expenses or risks or be otherwise disadvantageous to it. A certificate as to the amount of such payment or liability delivered to the Borrower by a Lender (with a copy to the Agent), or by the Agent on its own behalf or on behalf of a Lender, shall be conclusive and binding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Withholding Documentation</w:t>
      </w:r>
      <w:r>
        <w:rPr>
          <w:rFonts w:ascii="Times New Roman;Times;Serif" w:hAnsi="Times New Roman;Times;Serif"/>
          <w:b w:val="false"/>
          <w:i w:val="false"/>
          <w:caps w:val="false"/>
          <w:smallCaps w:val="false"/>
          <w:sz w:val="20"/>
        </w:rPr>
        <w:t>.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Each Lender agrees that if any form, certification or other documentation it previously delivered under this Section 2.9(c) expires or becomes obsolete or inaccurate in any respect, it shall update such form or certification or promptly notify the Borrower and the Agent in writing of its legal inability to do so. Without limiting the generality of the foregoing:</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Lender that is organized under the Laws of a jurisdiction other than the United States (each such Lender a “</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shall, on or prior to the date on which such Foreign Lender becomes a Lender under this Agreement (and from time to time thereafter upon the reasonable request of the Borrower or the Agent), execute and deliver to each of the Borrower and the Agent (as the Borrower or the Agent may reasonably request) one or more United States Internal Revenue Service Forms W-8ECI, W-8BEN, W-8BEN-E, or W-8IMY (with applicable attachment), as applicable, and other applicable forms, certificates or documents prescribed by the United States Internal Revenue Service or reasonably requested by the Borrower or the Agent certifying as to such Lender’s entitlement to an exemption from, or reduction of, withholding or deduction of U.S. federal withholding Taxes.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that is a U.S. Person shall, on or prior to the date on which such Lender becomes a Lender under this Agreement (and from time to time thereafter upon the reasonable request of the Borrower or the Agent), execute and deliver to each of the Borrower and the Agent (as the Borrower or the Agent may reasonably request) one or more United States Internal Revenue Service Form W-9 certifying that such Lender is exempt from U.S. federal backup withholding tax.</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addition, 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IRC)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Lender or the Agent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2.9(d)</w:t>
      </w:r>
      <w:r>
        <w:rPr>
          <w:rFonts w:ascii="Times New Roman;Times;Serif" w:hAnsi="Times New Roman;Times;Serif"/>
          <w:b w:val="false"/>
          <w:i w:val="false"/>
          <w:caps w:val="false"/>
          <w:smallCaps w:val="false"/>
          <w:sz w:val="20"/>
        </w:rPr>
        <w:t xml:space="preserve">), it shall pay to the Borrower an amount equal to such refund (but only to the extent of indemnity payments made under this Section with respect to the Taxes giving rise to such refund), net of all out-of-pocket expenses (including Taxes) of such Lender, the Agent or their respective Affiliates and without interest (other than any interest paid by the relevant Governmental Authority with respect to such refund). The Loan Parties, upon the request of such indemnified party, shall repay to such Lender or the Agent the amount paid over pursuant to this </w:t>
      </w:r>
      <w:r>
        <w:rPr>
          <w:rFonts w:ascii="Times New Roman;Times;Serif" w:hAnsi="Times New Roman;Times;Serif"/>
          <w:b w:val="false"/>
          <w:i w:val="false"/>
          <w:caps w:val="false"/>
          <w:smallCaps w:val="false"/>
          <w:sz w:val="20"/>
          <w:u w:val="single"/>
        </w:rPr>
        <w:t>Section 2.9(d)</w:t>
      </w:r>
      <w:r>
        <w:rPr>
          <w:rFonts w:ascii="Times New Roman;Times;Serif" w:hAnsi="Times New Roman;Times;Serif"/>
          <w:b w:val="false"/>
          <w:i w:val="false"/>
          <w:caps w:val="false"/>
          <w:smallCaps w:val="false"/>
          <w:sz w:val="20"/>
        </w:rPr>
        <w:t xml:space="preserve"> (plus any penalties, interest or other charges imposed by the relevant Governmental Authority) in the event that such Lender, the Agent or their respective Affiliates is required to repay such refund to such Governmental Authority. Notwithstanding anything to the contrary in this </w:t>
      </w:r>
      <w:r>
        <w:rPr>
          <w:rFonts w:ascii="Times New Roman;Times;Serif" w:hAnsi="Times New Roman;Times;Serif"/>
          <w:b w:val="false"/>
          <w:i w:val="false"/>
          <w:caps w:val="false"/>
          <w:smallCaps w:val="false"/>
          <w:sz w:val="20"/>
          <w:u w:val="single"/>
        </w:rPr>
        <w:t>Section 2.9(d)</w:t>
      </w:r>
      <w:r>
        <w:rPr>
          <w:rFonts w:ascii="Times New Roman;Times;Serif" w:hAnsi="Times New Roman;Times;Serif"/>
          <w:b w:val="false"/>
          <w:i w:val="false"/>
          <w:caps w:val="false"/>
          <w:smallCaps w:val="false"/>
          <w:sz w:val="20"/>
        </w:rPr>
        <w:t xml:space="preserve">, in no event will any Lender or the Agent be required to pay any amount to a Loan Party pursuant to this </w:t>
      </w:r>
      <w:r>
        <w:rPr>
          <w:rFonts w:ascii="Times New Roman;Times;Serif" w:hAnsi="Times New Roman;Times;Serif"/>
          <w:b w:val="false"/>
          <w:i w:val="false"/>
          <w:caps w:val="false"/>
          <w:smallCaps w:val="false"/>
          <w:sz w:val="20"/>
          <w:u w:val="single"/>
        </w:rPr>
        <w:t>Section 2.9(d)</w:t>
      </w:r>
      <w:r>
        <w:rPr>
          <w:rFonts w:ascii="Times New Roman;Times;Serif" w:hAnsi="Times New Roman;Times;Serif"/>
          <w:b w:val="false"/>
          <w:i w:val="false"/>
          <w:caps w:val="false"/>
          <w:smallCaps w:val="false"/>
          <w:sz w:val="20"/>
        </w:rPr>
        <w:t xml:space="preserve"> the payment of which would place such Person (or its Affiliates) in a less favorable net after-Tax position than such Person (or its Affiliates)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b w:val="false"/>
          <w:i w:val="false"/>
          <w:caps w:val="false"/>
          <w:smallCaps w:val="false"/>
          <w:sz w:val="20"/>
          <w:u w:val="single"/>
        </w:rPr>
        <w:t>Section 2.9(d)</w:t>
      </w:r>
      <w:r>
        <w:rPr>
          <w:rFonts w:ascii="Times New Roman;Times;Serif" w:hAnsi="Times New Roman;Times;Serif"/>
          <w:b w:val="false"/>
          <w:i w:val="false"/>
          <w:caps w:val="false"/>
          <w:smallCaps w:val="false"/>
          <w:sz w:val="20"/>
        </w:rPr>
        <w:t xml:space="preserve"> shall not be construed to require any Lender, the Agent, or their Affiliates to make available its respective Tax returns (or any other information relating to its Taxes that it deems confidential) to a Loan Party or any other Person.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Usage of Terms</w:t>
      </w:r>
      <w:r>
        <w:rPr>
          <w:rFonts w:ascii="Times New Roman;Times;Serif" w:hAnsi="Times New Roman;Times;Serif"/>
          <w:b w:val="false"/>
          <w:i w:val="false"/>
          <w:caps w:val="false"/>
          <w:smallCaps w:val="false"/>
          <w:sz w:val="20"/>
        </w:rPr>
        <w:t xml:space="preserve">. For the purposes of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and the definitions of Excluded Tax, Indemnified Tax, Taxes, and Other Taxes used therein (as applicable), “Lender” means any Lender, the Swing Line Lender, the L/C Issuer, and, subject to </w:t>
      </w:r>
      <w:r>
        <w:rPr>
          <w:rFonts w:ascii="Times New Roman;Times;Serif" w:hAnsi="Times New Roman;Times;Serif"/>
          <w:b w:val="false"/>
          <w:i w:val="false"/>
          <w:caps w:val="false"/>
          <w:smallCaps w:val="false"/>
          <w:sz w:val="20"/>
          <w:u w:val="single"/>
        </w:rPr>
        <w:t>Section 12.6(b)</w:t>
      </w:r>
      <w:r>
        <w:rPr>
          <w:rFonts w:ascii="Times New Roman;Times;Serif" w:hAnsi="Times New Roman;Times;Serif"/>
          <w:b w:val="false"/>
          <w:i w:val="false"/>
          <w:caps w:val="false"/>
          <w:smallCaps w:val="false"/>
          <w:sz w:val="20"/>
        </w:rPr>
        <w:t>, any Participant and the term “applicable Law” used herein includes FATCA.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shall survive the resignation or replacement of the Agent or any assignment of rights by, or the replacement of, a Lender, the termination of the Obligations, the expiration or cancellation of all Advances and the repayment, satisfaction or discharge of all obligations under any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Capital Adequacy</w:t>
      </w:r>
      <w:r>
        <w:rPr>
          <w:rFonts w:ascii="Times New Roman;Times;Serif" w:hAnsi="Times New Roman;Times;Serif"/>
          <w:b w:val="false"/>
          <w:i w:val="false"/>
          <w:caps w:val="false"/>
          <w:smallCaps w:val="false"/>
          <w:sz w:val="20"/>
        </w:rPr>
        <w:t xml:space="preserve">. If any Lender or any Person controlling such Lender shall reasonably determine that any Change in Law has or would have the effect of reducing the rate of return on such Lender’s or such controlling Person’s capital as a consequence of such Lender’s obligations hereunder or under any Letter of Credit to a level below that which such Lender or such controlling Person could have achieved but for such Change in Law, then from time to time, upon demand by such Lender, the Borrower shall promptly pay to such Lender such additional amount as will compensate such Lender or such controlling Person for such reduction so long as such amounts have accrued on or after the day which is nine (9) months prior to the date on which such Lender first made demand therefor (except that, if the occurrence giving rise to such reduction is retroactive, then the nine (9) month period referred to above shall be extended to include the period of retroactive effect thereof). Notwithstanding the foregoing, no additional amounts shall be payable by the Borrower under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in respect of (i) Indemnified Taxes, (ii) Taxes described in clauses (b) through (d) of the definition of Excluded Taxes, or (iii) Other Connection Taxes that are imposed on or measured by net income (however denominated) or that are franchise Taxes or branch profits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Mitigation Obligations</w:t>
      </w:r>
      <w:r>
        <w:rPr>
          <w:rFonts w:ascii="Times New Roman;Times;Serif" w:hAnsi="Times New Roman;Times;Serif"/>
          <w:b w:val="false"/>
          <w:i w:val="false"/>
          <w:caps w:val="false"/>
          <w:smallCaps w:val="false"/>
          <w:sz w:val="20"/>
        </w:rPr>
        <w:t xml:space="preserve">. If any Lender requests compensation under either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or requires the Borrower to pay any additional amount to any Lender or any Governmental Authority for the account of any Lender pursuant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then, upon the written request of the Borrower, such Lender shall use reasonable efforts to designate a different lending office for funding or booking its Advances hereunder or to assign its rights and obligations hereunder (subject to the provisions of </w:t>
      </w:r>
      <w:r>
        <w:rPr>
          <w:rFonts w:ascii="Times New Roman;Times;Serif" w:hAnsi="Times New Roman;Times;Serif"/>
          <w:b w:val="false"/>
          <w:i w:val="false"/>
          <w:caps w:val="false"/>
          <w:smallCaps w:val="false"/>
          <w:sz w:val="20"/>
          <w:u w:val="single"/>
        </w:rPr>
        <w:t>Section 12.6</w:t>
      </w:r>
      <w:r>
        <w:rPr>
          <w:rFonts w:ascii="Times New Roman;Times;Serif" w:hAnsi="Times New Roman;Times;Serif"/>
          <w:b w:val="false"/>
          <w:i w:val="false"/>
          <w:caps w:val="false"/>
          <w:smallCaps w:val="false"/>
          <w:sz w:val="20"/>
        </w:rPr>
        <w:t xml:space="preserve">) to another of its offices, branches or affiliates, if, in the judgment of such Lender, such designation or assignment (a) would eliminate or materially reduce amounts payable pursuant to any such Section, as the case may be, in the future, (b) would not subject such Lender to any unreimbursed cost or expense, and (c) would not otherwise be disadvantageous to such Lender (as determined in its sole discretion). Without limitation of the provisions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Borrower hereby agrees to pay all costs and expenses incurred by any Lender in connection with any such designation or assignment.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 of Required Lenders and </w:t>
      </w:r>
      <w:r>
        <w:rPr>
          <w:rFonts w:ascii="Times New Roman;Times;Serif" w:hAnsi="Times New Roman;Times;Serif"/>
          <w:b w:val="false"/>
          <w:i w:val="false"/>
          <w:caps w:val="false"/>
          <w:smallCaps w:val="false"/>
          <w:sz w:val="20"/>
          <w:u w:val="single"/>
        </w:rPr>
        <w:t>Section 12.5(d)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or otherwise) or received by the Agent from a Defaulting Lender pursuant to a right of setoff available with respect to such Defaulting Lender shall be applied at such time or times as may be determined by the Agent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the L/C Issuer or the Swing Line Lender hereunder;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cash collateralize the L/C Issuer’s fronting exposure with respect to such Defaulting Lender in accordance with this Agreement;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Advance in respect of which such Defaulting Lender has failed to fund its portion thereof as required by this Agreement, as determined by the Agent;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if so determined by the Agent and the Borrower, to be held in a Deposit Account and released pro rata in order to (x) satisfy such Defaulting Lender’s potential future funding obligations with respect to Advances under this Agreement and (y) cash collateralize the L/C Issuer’s future fronting exposure with respect to such Defaulting Lender with respect to future Letters of Credit issued under this Agreement, in accordance with this Agreement;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the payment of any amounts owing to the Lenders, the L/C Issuers or the Swing Line Lenders as a result of any judgment of a court of competent jurisdiction obtained by any Lender, the L/C Issuer or the Swing Line Lenders against such Defaulting Lender as a result of such Defaulting Lender’s breach of its obligations under this Agreement;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(x) such payment is a payment of the principal amount of any Advances or Letter of Credit Obligations in respect of which such Defaulting Lender has not fully funded its appropriate share, and (y) such Advances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were satisfied or waived, such payment shall be applied solely to pay the Advances of, and Letter of Credit Obligations owed to, all Non-Defaulting Lenders on a pro rata basis prior to being applied to the payment of any Advances of, or Letter of Credit Obligations owed to, such Defaulting Lender until such time as all Advances and funded and unfunded participations in Letter of Credit Obligations and Swing Line Advances are held by the Lenders pro rata in accordance with the Revolving Loan Commitments without giving effect to clause (iv)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Defaulting Lender shall be entitled to receive any Fee (other than its portion of the Letter of Credit Fee)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Defaulting Lender shall be entitled to receive its portion of the Letter of Credit Fee for any period during which that Lender is a Defaulting Lender only to the extent allocable to its Pro Rata Share of the stated amount of Letters of Credit for which it has provided cash collateral pursuant to this Agreement.</w:t>
      </w:r>
    </w:p>
    <w:p>
      <w:pPr>
        <w:pStyle w:val="TextBody"/>
        <w:bidi w:val="0"/>
        <w:spacing w:before="0" w:after="0"/>
        <w:ind w:left="72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Fee not required to be paid to any Defaulting Lender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the Borrower shall (x) pay to each Non-Defaulting Lender that portion of any such Fee otherwise payable to such Defaulting Lender with respect to such Defaulting Lender’s participation in Letter of Credit Obligations or Swing Line Advances that has been reallocated to such Non-Defaulting Lender pursuant to clause (iv) below, (y) pay to each the L/C Issuer and the Swing Line Lender, as applicable, the amount of any such Fee otherwise payable to such Defaulting Lender to the extent allocable to such the L/C Issuer’s or the Swing Line Lender’s fronting exposure to such Defaulting Lender, and (z) not be required to pay the remaining amount of any such Fee.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Reallocation of Participations to Reduce Fronting Exposure</w:t>
      </w:r>
      <w:r>
        <w:rPr>
          <w:rFonts w:ascii="Times New Roman;Times;Serif" w:hAnsi="Times New Roman;Times;Serif"/>
          <w:b w:val="false"/>
          <w:i w:val="false"/>
          <w:caps w:val="false"/>
          <w:smallCaps w:val="false"/>
          <w:sz w:val="20"/>
        </w:rPr>
        <w:t xml:space="preserve">. All or any part of such Defaulting Lender’s participation in Letter of Credit Obligations and Swing Line Advances shall be reallocated among the Non-Defaulting Lenders in accordance with their respective Pro Rata Shares (calculated without regard to such Defaulting Lender’s Revolving Loan Commitment) but only to the extent that such reallocation does not cause the aggregate Revolving Exposure of any Non-Defaulting Lender to exceed such Non-Defaulting Lender’s Revolving Loan Commitment. Subject to </w:t>
      </w:r>
      <w:r>
        <w:rPr>
          <w:rFonts w:ascii="Times New Roman;Times;Serif" w:hAnsi="Times New Roman;Times;Serif"/>
          <w:b w:val="false"/>
          <w:i w:val="false"/>
          <w:caps w:val="false"/>
          <w:smallCaps w:val="false"/>
          <w:sz w:val="20"/>
          <w:u w:val="single"/>
        </w:rPr>
        <w:t>Section 12.17</w:t>
      </w:r>
      <w:r>
        <w:rPr>
          <w:rFonts w:ascii="Times New Roman;Times;Serif" w:hAnsi="Times New Roman;Times;Serif"/>
          <w:b w:val="false"/>
          <w:i w:val="false"/>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Cash Collateral, Repayment of Swing Line Advances</w:t>
      </w:r>
      <w:r>
        <w:rPr>
          <w:rFonts w:ascii="Times New Roman;Times;Serif" w:hAnsi="Times New Roman;Times;Serif"/>
          <w:b w:val="false"/>
          <w:i w:val="false"/>
          <w:caps w:val="false"/>
          <w:smallCaps w:val="false"/>
          <w:sz w:val="20"/>
        </w:rPr>
        <w:t xml:space="preserve">. If the reallocation described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above cannot, or can only partially, be effected, the Borrower shall, without prejudice to any right or remedy available to it hereunder or under law,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prepay Swing Line Advances in an amount equal to the Swing Line Lenders’ fronting exposure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cash collateralize the L/C Issuer’s fronting exposure in accordance with the procedures set forth in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Borrower, the Agent and each the Swing Line Lender and the L/C Issuer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Agent may determine to be necessary to cause the Advances and funded and unfunded participations in Letters of Credit and Swing Line Advances to be held pro rata by the Lenders in accordance with the Revolving Loan Commitments (without giving effect to </w:t>
      </w:r>
      <w:r>
        <w:rPr>
          <w:rFonts w:ascii="Times New Roman;Times;Serif" w:hAnsi="Times New Roman;Times;Serif"/>
          <w:b w:val="false"/>
          <w:i w:val="false"/>
          <w:caps w:val="false"/>
          <w:smallCaps w:val="false"/>
          <w:sz w:val="20"/>
          <w:u w:val="single"/>
        </w:rPr>
        <w:t>clause (a)(iv)</w:t>
      </w:r>
      <w:r>
        <w:rPr>
          <w:rFonts w:ascii="Times New Roman;Times;Serif" w:hAnsi="Times New Roman;Times;Serif"/>
          <w:b w:val="false"/>
          <w:i w:val="false"/>
          <w:caps w:val="false"/>
          <w:smallCaps w:val="false"/>
          <w:sz w:val="20"/>
        </w:rPr>
        <w:t xml:space="preserve"> above), whereupon, such Lender will cease to be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that Lender was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New Swing Line Advances/Letters of Credit</w:t>
      </w:r>
      <w:r>
        <w:rPr>
          <w:rFonts w:ascii="Times New Roman;Times;Serif" w:hAnsi="Times New Roman;Times;Serif"/>
          <w:b w:val="false"/>
          <w:i w:val="false"/>
          <w:caps w:val="false"/>
          <w:smallCaps w:val="false"/>
          <w:sz w:val="20"/>
        </w:rPr>
        <w:t>. So long as any Lender is a Defaulting Lender, (i) no the Swing Line Lender shall be required to fund any Swing Line Advances unless it is satisfied that it will have no fronting exposure after giving effect to such Swing Line Advances and (ii) no the L/C Issuer shall be required to issue, extend, increase, reinstate or renew any Letter of Credit unless it is satisfied that it will have no fronting exposure after giving effect thereto.</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Termination of Defaulting Lender</w:t>
      </w:r>
      <w:r>
        <w:rPr>
          <w:rFonts w:ascii="Times New Roman;Times;Serif" w:hAnsi="Times New Roman;Times;Serif"/>
          <w:b w:val="false"/>
          <w:i w:val="false"/>
          <w:caps w:val="false"/>
          <w:smallCaps w:val="false"/>
          <w:sz w:val="20"/>
        </w:rPr>
        <w:t xml:space="preserve">. The Borrower may terminate the unused amount of the Revolving Loan Commitments of any Lender that is a Defaulting Lender upon not less than 5 Business Days’ prior notice to the Agent (which shall promptly notify the Lenders thereof), and in such event the provisions of </w:t>
      </w:r>
      <w:r>
        <w:rPr>
          <w:rFonts w:ascii="Times New Roman;Times;Serif" w:hAnsi="Times New Roman;Times;Serif"/>
          <w:b w:val="false"/>
          <w:i w:val="false"/>
          <w:caps w:val="false"/>
          <w:smallCaps w:val="false"/>
          <w:sz w:val="20"/>
          <w:u w:val="single"/>
        </w:rPr>
        <w:t>Section 2.12(a)(ii)</w:t>
      </w:r>
      <w:r>
        <w:rPr>
          <w:rFonts w:ascii="Times New Roman;Times;Serif" w:hAnsi="Times New Roman;Times;Serif"/>
          <w:b w:val="false"/>
          <w:i w:val="false"/>
          <w:caps w:val="false"/>
          <w:smallCaps w:val="false"/>
          <w:sz w:val="20"/>
        </w:rPr>
        <w:t xml:space="preserve"> will apply to all amounts thereafter paid by the Borrower for the account of such Defaulting Lender under this Agreement (whether on account of principal, interest, fees, indemnity or other amounts);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Event of Default shall have occurred and be continuing, and (ii) such termination shall not be deemed to be a waiver or release of any claim the Borrower, the Agent, any the L/C Issuer, the Swing Line Lender or any Lender may have against such Defaulting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Any Lender may request that Advances made by it be evidenced by a promissory note (each a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In such event, the Borrower shall prepare, execute and deliver to such Lender a Note payable to the order of such Lender (or, if requested by such Lender, to such Lender and its registered assigns) and in a form approved by the Agent. Thereafter, subject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the Advances evidenced by such Notes and interest thereon shall at all times (including after assignment pursuant to </w:t>
      </w:r>
      <w:r>
        <w:rPr>
          <w:rFonts w:ascii="Times New Roman;Times;Serif" w:hAnsi="Times New Roman;Times;Serif"/>
          <w:b w:val="false"/>
          <w:i w:val="false"/>
          <w:caps w:val="false"/>
          <w:smallCaps w:val="false"/>
          <w:sz w:val="20"/>
          <w:u w:val="single"/>
        </w:rPr>
        <w:t>Section 12.6</w:t>
      </w:r>
      <w:r>
        <w:rPr>
          <w:rFonts w:ascii="Times New Roman;Times;Serif" w:hAnsi="Times New Roman;Times;Serif"/>
          <w:b w:val="false"/>
          <w:i w:val="false"/>
          <w:caps w:val="false"/>
          <w:smallCaps w:val="false"/>
          <w:sz w:val="20"/>
        </w:rPr>
        <w:t>) be represented by one or more Notes in such form payable to the order of the payee named therein (or, if any such Note is a registered note, to such payee and its registered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Increase of Revolving Loan Commitments; Additional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time to time after the Closing Date, the Borrower may, upon at least 15 days’ (or such shorter period of time as the Agent may agree in its sole discretion) prior written notice to the Agent (and the Agent shall reasonably promptly provide a copy of such notice to each Lender), prior to the Commitment Termination Date, request an increase in the Revolving Loan Commitments (each, an “</w:t>
      </w:r>
      <w:r>
        <w:rPr>
          <w:rFonts w:ascii="Times New Roman;Times;Serif" w:hAnsi="Times New Roman;Times;Serif"/>
          <w:b w:val="false"/>
          <w:i w:val="false"/>
          <w:caps w:val="false"/>
          <w:smallCaps w:val="false"/>
          <w:sz w:val="20"/>
          <w:u w:val="single"/>
        </w:rPr>
        <w:t>Increase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aggregate amount of all Increases shall not exceed $20,000,000 and (ii) the Borrower may not obtain an Increase more than three times during the term of this Agreement. Any Increase shall be in an amount not less than $5,000,000 individually and integral multiples of $1,000,000 in excess of that amount. Each notice requesting an Increase shall specify the date (each, an “</w:t>
      </w:r>
      <w:r>
        <w:rPr>
          <w:rFonts w:ascii="Times New Roman;Times;Serif" w:hAnsi="Times New Roman;Times;Serif"/>
          <w:b w:val="false"/>
          <w:i w:val="false"/>
          <w:caps w:val="false"/>
          <w:smallCaps w:val="false"/>
          <w:sz w:val="20"/>
          <w:u w:val="single"/>
        </w:rPr>
        <w:t>Increased Amount Date</w:t>
      </w:r>
      <w:r>
        <w:rPr>
          <w:rFonts w:ascii="Times New Roman;Times;Serif" w:hAnsi="Times New Roman;Times;Serif"/>
          <w:b w:val="false"/>
          <w:i w:val="false"/>
          <w:caps w:val="false"/>
          <w:smallCaps w:val="false"/>
          <w:sz w:val="20"/>
        </w:rPr>
        <w:t>”) on which the Borrower proposes that such Increase be effective, which shall be a date not less than 15 days after the date on which such notice is delivered to the Agent. Each Lender shall have the right for a period of 10 days following receipt of such notice, to elect by written notice to the Borrower and the Agent to increase its Revolving Loan Commitment by a principal amount equal to its Pro Rata Share of the applicable Increase. Any Lender who fails to respond to any such notice shall be deemed to have elected to not participate in any such Increase. No Lender (or any successor thereto) shall have any obligation to make any Increase, and any decision by a Lender to make an Increase shall be made in its sole discretion independently from any other Lender. Any fees payable by the Borrower in connection with any Increase shall relate solely to the increase to the Revolving Loan Commitments and not to Advances outstanding or Revolving Loan Commitments available prior to the Increased Amount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declines to make an Increase pursuant to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 the Borrower may designate another bank, investment fund or other institution which at the time agrees to become a party to this Agreement (an “</w:t>
      </w:r>
      <w:r>
        <w:rPr>
          <w:rFonts w:ascii="Times New Roman;Times;Serif" w:hAnsi="Times New Roman;Times;Serif"/>
          <w:b w:val="false"/>
          <w:i w:val="false"/>
          <w:caps w:val="false"/>
          <w:smallCaps w:val="false"/>
          <w:sz w:val="20"/>
          <w:u w:val="single"/>
        </w:rPr>
        <w:t>Additional Lender</w:t>
      </w:r>
      <w:r>
        <w:rPr>
          <w:rFonts w:ascii="Times New Roman;Times;Serif" w:hAnsi="Times New Roman;Times;Serif"/>
          <w:b w:val="false"/>
          <w:i w:val="false"/>
          <w:caps w:val="false"/>
          <w:smallCaps w:val="false"/>
          <w:sz w:val="20"/>
        </w:rPr>
        <w:t xml:space="preserve">”) and to provide some or all of the shortfall;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Additional Lender must be acceptable to the Agent in its Permitted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Increase shall become effective as of the Increased Amount Date applicable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Default or Event of Default shall exist on such Increased Amount Date before and after giving effect to such Increase, (ii) both before and after giving effect to any Increase, each of the conditions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be satisfied, (iii) both immediately before and after giving effect to such Increase on a pro forma basis, the Loan Parties shall be in pro forma compliance with the Financial Covenant (assuming such Increase is fully drawn on the Increased Amount Date applicable thereto), as evidenced by a certificate delivered by the Borrower to the Agent in the form of a Compliance Certificate; (iv) such Increase shall be effected pursuant to one or more supplements or joinders in form and substance reasonably satisfactory to the Agent executed by the Borrower and by each Additional Lender and by each other Lender who has agreed to make an Increase, setting forth the Increase applicable to such Lenders and setting forth the agreement of each Additional Lender to become a party to this Agreement and to be bound by all the terms and provisions hereof (including the requirements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together with Notes evidencing such Increase, if requested by such Lender or Additional Lender, and such evidence of appropriate corporate authorization on the part of the Borrower with respect to the Increase and such opinions of counsel for the Borrower with respect to the Increase as the Agent may reasonably request; and (v) the Borrower shall deliver or cause to be delivered any other documents reasonably requested by the Agent in connection with any such transaction.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On any Increased Amount Date, subject to the satisfaction of the terms and conditions set forth in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(i) each Additional Lender severally agrees to make its portion of the Revolving Loan Commitments to the Borrower and each Advance made under the Increase shall be deemed, for all purposes, to be part of the Revolving Credit Advances hereunder, and (ii) each Additional Lender providing an Increase shall become a Lender hereunder with respect to the Increase and all matters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interest margin that is to be applicable to any Increase exceeds by more than 0.50% per annum the interest margin applicable to any Revolving Credit Advance immediately prior to the applicable Increased Amount Date (the amount of such excess above 0.50%, the “</w:t>
      </w:r>
      <w:r>
        <w:rPr>
          <w:rFonts w:ascii="Times New Roman;Times;Serif" w:hAnsi="Times New Roman;Times;Serif"/>
          <w:b w:val="false"/>
          <w:i w:val="false"/>
          <w:caps w:val="false"/>
          <w:smallCaps w:val="false"/>
          <w:sz w:val="20"/>
          <w:u w:val="single"/>
        </w:rPr>
        <w:t>Excess</w:t>
      </w:r>
      <w:r>
        <w:rPr>
          <w:rFonts w:ascii="Times New Roman;Times;Serif" w:hAnsi="Times New Roman;Times;Serif"/>
          <w:b w:val="false"/>
          <w:i w:val="false"/>
          <w:caps w:val="false"/>
          <w:smallCaps w:val="false"/>
          <w:sz w:val="20"/>
        </w:rPr>
        <w:t>”), then the interest margin applicable to the Revolving Credit Advance immediately prior to the Increased Amount Date shall be increased by the amount of the Excess, effective on the applicable Increased Amount Date, and without the necessity of any action by any party hereto, and the maturity and all other terms and provisions of the Increase shall be the same as the Revolving Credit Advance.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Appointment of Loan Party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(other than the Borrower) hereby appoints the Borrower as “Loan Party Representative” to act as its agent, attorney-in-fact and representative for the purposes of issuing any Notice of Borrowing or Notice of Conversion, giving instructions with respect to the disbursement of the proceeds of the Advances, selecting interest rate options, giving and receiving all other notices and consents hereunder or under any other Loan Document, executing Loan Documents and amendments thereto on its behalf, delivering all documents, reports, financial statements and written materials required to be delivered by any Loan Party under this Agreement or any of the other Loan Documents, taking all other actions (including in respect of compliance with covenants and amendments to the Loan Documents) on behalf of any Loan Party under the Loan Documents, and all other purposes incidental to any of the foregoing. The Borrower hereby accepts the foregoing appointment as Loan Party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and each Lender may regard any notice or other communication pursuant to any Loan Document from Loan Party Representative as a notice or communication from all Loan Parties, regardless of whether such notice or other communication references the Borrower in its capacity as the Loan Party Representative, and may give any notice or communication required or permitted to be given to any Loan Party hereunder to Loan Party Representative. Each Loan Party agrees that each notice, election, representation and warranty, covenant, agreement and undertaking made on its behalf by Loan Party Representative shall be deemed for all purposes to have been made by such Loan Party and shall be binding upon and enforceable against such Loan Party to the same extent as if the same had been made directly by such Loan Party.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Conditions to the Initial Advances</w:t>
      </w:r>
      <w:r>
        <w:rPr>
          <w:rFonts w:ascii="Times New Roman;Times;Serif" w:hAnsi="Times New Roman;Times;Serif"/>
          <w:b w:val="false"/>
          <w:i w:val="false"/>
          <w:caps w:val="false"/>
          <w:smallCaps w:val="false"/>
          <w:sz w:val="20"/>
        </w:rPr>
        <w:t>. No Lender shall be obligated to make any Advance or incur any Letter of Credit Obligations on the Closing Date, or to take, fulfill, or perform any other action hereunder, until the following conditions have been satisfied or provided for in a manner reasonably satisfactory to the Agent, or waived in writing by the Agent and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Credit Agreement; Loan Documents</w:t>
      </w:r>
      <w:r>
        <w:rPr>
          <w:rFonts w:ascii="Times New Roman;Times;Serif" w:hAnsi="Times New Roman;Times;Serif"/>
          <w:b w:val="false"/>
          <w:i w:val="false"/>
          <w:caps w:val="false"/>
          <w:smallCaps w:val="false"/>
          <w:sz w:val="20"/>
        </w:rPr>
        <w:t>. This Agreement and the other Loan Documents to be dated as of the Closing Date or counterparts hereof and thereof shall have been duly executed by, and delivered to, the Borrower, each other Loan Party, the Agent and the Lenders, as applicable; and the Agent shall have received such documents, instruments, agreements and legal opinions as the Agent shall reasonably request in connection with the transactions contemplated by this Agreement and the other Loan Documents, each in form and substance reasonably satisfactory to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Senior Unsecured Notes</w:t>
      </w:r>
      <w:r>
        <w:rPr>
          <w:rFonts w:ascii="Times New Roman;Times;Serif" w:hAnsi="Times New Roman;Times;Serif"/>
          <w:b w:val="false"/>
          <w:i w:val="false"/>
          <w:caps w:val="false"/>
          <w:smallCaps w:val="false"/>
          <w:sz w:val="20"/>
        </w:rPr>
        <w:t>. The funding of the Senior Unsecured Notes shall have occurred on or prior to the Closing Date in accordance with the terms of the Senior Unsecured Notes Indenture, and the Agent shall have received a fully executed copy of the Senior Unsecured Notes Indenture and each of the other material transaction documents entered into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Existing Indebtedness</w:t>
      </w:r>
      <w:r>
        <w:rPr>
          <w:rFonts w:ascii="Times New Roman;Times;Serif" w:hAnsi="Times New Roman;Times;Serif"/>
          <w:b w:val="false"/>
          <w:i w:val="false"/>
          <w:caps w:val="false"/>
          <w:smallCaps w:val="false"/>
          <w:sz w:val="20"/>
        </w:rPr>
        <w:t>. On the Closing Date, the Borrower and its Subsidiaries shall have (i) repaid in full all Existing Indebtedness, (ii) terminated any commitments to lend or make other extensions of credit thereunder, (iii) delivered to the Agent all documents or instruments necessary to release all Liens securing Existing Indebtedness or other obligations of the Borrower and its Subsidiaries thereunder being repaid on the Closing Date, and (iv) made arrangements satisfactory to the Agent with respect to the cancellation of any letters of credit outstanding thereunder (it being understood and agreed that the satisfaction and discharge thereof shall satisfy this clause (c) with respect to Existing Indebtedness consisting of senior unsecured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Approvals</w:t>
      </w:r>
      <w:r>
        <w:rPr>
          <w:rFonts w:ascii="Times New Roman;Times;Serif" w:hAnsi="Times New Roman;Times;Serif"/>
          <w:b w:val="false"/>
          <w:i w:val="false"/>
          <w:caps w:val="false"/>
          <w:smallCaps w:val="false"/>
          <w:sz w:val="20"/>
        </w:rPr>
        <w:t>. The Agent shall have received (i) satisfactory evidence that the Loan Parties have obtained all required consents and approvals of all Persons including all requisite Governmental Authorities, to the execution, delivery and performance of this Agreement and the other Loan Documents or (ii) an officer’s certificate in form and substance reasonably satisfactory to the Agent affirming that no such consents or approvals are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Organizational Documents; Incumbency</w:t>
      </w:r>
      <w:r>
        <w:rPr>
          <w:rFonts w:ascii="Times New Roman;Times;Serif" w:hAnsi="Times New Roman;Times;Serif"/>
          <w:b w:val="false"/>
          <w:i w:val="false"/>
          <w:caps w:val="false"/>
          <w:smallCaps w:val="false"/>
          <w:sz w:val="20"/>
        </w:rPr>
        <w:t>. The Agent shall have received in respect of each Loan Party (i) sufficient copies of each Organizational Document as the Agent shall request, in each case, certified by an Responsible Officer of such Loan Party and, to the extent applicable, certified as of the Closing Date or a recent date prior thereto by the appropriate Governmental Authority; (ii) signature and incumbency certificates of the officers of such Loan Party executing any Loan Documents to which it is a party; (iii) resolutions of the board of directors (or applicable governing body) of each Loan Party approving and authorizing the execution, delivery and performance of the Loan Documents to which it is a party or by which it or its assets may be bound as of the Closing Date, certified as of the Closing Date by an appropriate Responsible Officer as being in full force and effect without modification or amendment; (iv) a good standing certificate (or equivalent) from the applicable Governmental Authority of such Loan Party’s jurisdiction of incorporation, organization or formation, each dated a recent date prior to the Closing Date; and (v) such other documents as the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Fees</w:t>
      </w:r>
      <w:r>
        <w:rPr>
          <w:rFonts w:ascii="Times New Roman;Times;Serif" w:hAnsi="Times New Roman;Times;Serif"/>
          <w:b w:val="false"/>
          <w:i w:val="false"/>
          <w:caps w:val="false"/>
          <w:smallCaps w:val="false"/>
          <w:sz w:val="20"/>
        </w:rPr>
        <w:t xml:space="preserve">. The Borrower shall have paid the Fees required to be paid on the Closing Date in the respective amounts specified in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 and shall have reimbursed the Agent for all Fees, costs and expenses of closing presented as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 The capital structure of each Loan Party and Subsidiary and the terms and conditions of all Indebtedness of each Loan Party and Subsidiary shall be acceptable to the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KYC Information; Beneficial Ownership</w:t>
      </w:r>
      <w:r>
        <w:rPr>
          <w:rFonts w:ascii="Times New Roman;Times;Serif" w:hAnsi="Times New Roman;Times;Serif"/>
          <w:b w:val="false"/>
          <w:i w:val="false"/>
          <w:caps w:val="false"/>
          <w:smallCaps w:val="false"/>
          <w:sz w:val="20"/>
        </w:rPr>
        <w:t>. The Agent and, if requested by a Lender, such Lender, shall have received (i) documentation and other information reasonably requested by the Agent or such Lender in order to comply with applicable Anti-Terrorism Laws, and (ii) to the extent the Borrower qualifies as a “legal entity customer” under the Beneficial Ownership Regulation, a Beneficial Ownership Certification.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The Agent shall have completed its business and legal due diligence.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Revolver Undrawn at Close</w:t>
      </w:r>
      <w:r>
        <w:rPr>
          <w:rFonts w:ascii="Times New Roman;Times;Serif" w:hAnsi="Times New Roman;Times;Serif"/>
          <w:b w:val="false"/>
          <w:i w:val="false"/>
          <w:caps w:val="false"/>
          <w:smallCaps w:val="false"/>
          <w:sz w:val="20"/>
        </w:rPr>
        <w:t>. No Advances shall be made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Further Conditions to Each Advance</w:t>
      </w:r>
      <w:r>
        <w:rPr>
          <w:rFonts w:ascii="Times New Roman;Times;Serif" w:hAnsi="Times New Roman;Times;Serif"/>
          <w:b w:val="false"/>
          <w:i w:val="false"/>
          <w:caps w:val="false"/>
          <w:smallCaps w:val="false"/>
          <w:sz w:val="20"/>
        </w:rPr>
        <w:t>. Except as otherwise expressly provided herein, no Lender shall be obligated to fund any Advance, convert or continue any Advance as a SOFR Loan or a Tranche Rate Loan or incur any Letter of Credit Obligation, if, as of the date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representation or warranty by any Loan Party contained herein or in any other Loan Document is untrue or incorrect in any material respect (except that such materiality qualifier shall not be applicable to any representations and warranties that are already qualified or modified by materiality or Material Adverse Effect in the text thereof), except to the extent that such representation or warranty expressly relates to an earlier date in which case such representation or warranty is untrue or incorrect in any material respect as of such earlier date (except that such material qualifier shall not be applicable to any representations and warranties that already are qualified or modified by materiality in the text thereof) and, in each case, except for changes therein expressly permitted or expressly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Default or Event of Default has occurred and is continuing or would result after giving effect to any Advance or the incurrence of any Letter of Credit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after giving effect to any Advance or the incurrence of any Letter of Credit Obligations, the outstanding aggregate amount of the Revolving Exposure would exceed the lesser of the Borrowing Base and the Maximum Revolver Amount;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event has occurred or condition exists which has or would be reasonably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request and acceptance by the Borrower of the proceeds of any Advance (including any Overadvance and any Swing Line Advance made pursuant to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the incurrence of any Letter of Credit Obligations or the conversion or continuation of any Advance into, or as, a SOFR Loan or a Tranche Rate Loan shall be deemed to constitute, as of the date thereof, (i) a representation and warranty by each Loan Party that the conditions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have been satisfied and (ii) a reaffirmation by each Loan Party of the granting and continuance of the Agent’s Liens on the Collateral, on behalf of itself and Lenders, pursuant to the Collateral Documents.</w:t>
      </w:r>
    </w:p>
    <w:p>
      <w:pPr>
        <w:pStyle w:val="TextBody"/>
        <w:bidi w:val="0"/>
        <w:spacing w:before="0" w:after="0"/>
        <w:ind w:left="0" w:right="0" w:hanging="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70"/>
        <w:gridCol w:w="356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Lenders to make the Advances and to incur Letter of Credit Obligations, the Loan Parties executing this Agreement, jointly and severally, make the following representations and warranties to the Agent and each Lender as of the Closing Date, as of the date of the making of each Advance (or other extension of credit), as of the date any Advance is accepted by the Borrower, and as of any other date such representations and warranties are deemed made pursuant to the terms of the other Loan Documents, each and all of which shall survive the execution and delivery of this Agreement until the Termination Date.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Existence and Power; Affected Financial Institution</w:t>
      </w:r>
      <w:r>
        <w:rPr>
          <w:rFonts w:ascii="Times New Roman;Times;Serif" w:hAnsi="Times New Roman;Times;Serif"/>
          <w:b w:val="false"/>
          <w:i w:val="false"/>
          <w:caps w:val="false"/>
          <w:smallCaps w:val="false"/>
          <w:sz w:val="20"/>
        </w:rPr>
        <w:t xml:space="preserve">. Each Loan Party and each Subsidiary is, as of the Closing Date, an entity as specified on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 is duly organized, validly existing and in good standing under the Laws of its jurisdiction of organization or incorporation, and has all powers and all governmental licenses, authorizations, registrations, permits, consents and approvals required under all applicable Laws and required in order to carry on its business as now conducted, including all Health Care Permits (collectively,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have such Permits would not reasonably be expected to have a Material Adverse Effect. Each Loan Party and each Subsidiary is qualified to do business as a foreign entity in each jurisdiction in which it is required to be so qualified, except where the failure to be so qualified would not reasonably be expected to have a Material Adverse Effect. Neither any Loan Party nor any Subsidiary is an Affected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Organization and Authorization; No Contravention</w:t>
      </w:r>
      <w:r>
        <w:rPr>
          <w:rFonts w:ascii="Times New Roman;Times;Serif" w:hAnsi="Times New Roman;Times;Serif"/>
          <w:b w:val="false"/>
          <w:i w:val="false"/>
          <w:caps w:val="false"/>
          <w:smallCaps w:val="false"/>
          <w:sz w:val="20"/>
        </w:rPr>
        <w:t>. The execution, delivery and performance by each Loan Party of the Loan Documents to which it is a party (a) are within its powers, (b) have been duly authorized by all necessary action pursuant to its Organizational Documents and applicable Law, (c) require no further action by or in respect of, or filing or registration with, or notice to or authorization or approval of, any Governmental Authority, and will not result in creating or imposition of any Lien on any asset of any Loan Party or any of its Subsidiaries (except Liens created pursuant to the Loan Documents), (d) do not violate, conflict with or cause a breach or a default under (i) any Law, (ii) any of the Organizational Documents of any Loan Party or any Subsidiary or (iii) any agreement or instrument binding upon it, except for such violations, conflicts, breaches or defaults as would not, with respect to each of clauses (i) and (iii), reasonably be expected to have, individually or in the aggregate, a Material Adverse Effect, and (e) do not materially adversely affect any Health Care Permit.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Each of the Loan Documents to which any Loan Party is a party constitutes a valid and binding agreement or instrument of such Loan Party, enforceable against such Loan Party in accordance with its respective terms, except as the enforceability thereof may be limited by bankruptcy, insolvency or other similar Laws relating to the enforcement of creditors’ rights generally and by general equitable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Capitalization; Subsidiaries</w:t>
      </w:r>
      <w:r>
        <w:rPr>
          <w:rFonts w:ascii="Times New Roman;Times;Serif" w:hAnsi="Times New Roman;Times;Serif"/>
          <w:b w:val="false"/>
          <w:i w:val="false"/>
          <w:caps w:val="false"/>
          <w:smallCaps w:val="false"/>
          <w:sz w:val="20"/>
        </w:rPr>
        <w:t xml:space="preserve">. The issued and outstanding and authorized Stock of each Subsidiary as of the Closing Date is set forth on </w:t>
      </w:r>
      <w:r>
        <w:rPr>
          <w:rFonts w:ascii="Times New Roman;Times;Serif" w:hAnsi="Times New Roman;Times;Serif"/>
          <w:b w:val="false"/>
          <w:i w:val="false"/>
          <w:caps w:val="false"/>
          <w:smallCaps w:val="false"/>
          <w:sz w:val="20"/>
          <w:u w:val="single"/>
        </w:rPr>
        <w:t>Schedule 4.4</w:t>
      </w:r>
      <w:r>
        <w:rPr>
          <w:rFonts w:ascii="Times New Roman;Times;Serif" w:hAnsi="Times New Roman;Times;Serif"/>
          <w:b w:val="false"/>
          <w:i w:val="false"/>
          <w:caps w:val="false"/>
          <w:smallCaps w:val="false"/>
          <w:sz w:val="20"/>
        </w:rPr>
        <w:t xml:space="preserve">. All issued and outstanding Stock of each Subsidiary is duly authorized and validly issued (and, in the case of Stock owned by a Loan Party in a Subsidiary that is a corporation, fully paid and non-assessable), free and clear of all Liens other than those in favor of the Agent for the benefit of the Secured Parties, and such Stock was issued in compliance with all applicable Laws. Except as set forth on </w:t>
      </w:r>
      <w:r>
        <w:rPr>
          <w:rFonts w:ascii="Times New Roman;Times;Serif" w:hAnsi="Times New Roman;Times;Serif"/>
          <w:b w:val="false"/>
          <w:i w:val="false"/>
          <w:caps w:val="false"/>
          <w:smallCaps w:val="false"/>
          <w:sz w:val="20"/>
          <w:u w:val="single"/>
        </w:rPr>
        <w:t>Schedule 4.4</w:t>
      </w:r>
      <w:r>
        <w:rPr>
          <w:rFonts w:ascii="Times New Roman;Times;Serif" w:hAnsi="Times New Roman;Times;Serif"/>
          <w:b w:val="false"/>
          <w:i w:val="false"/>
          <w:caps w:val="false"/>
          <w:smallCaps w:val="false"/>
          <w:sz w:val="20"/>
        </w:rPr>
        <w:t>, as of the Closing Date there are no preemptive or other outstanding rights, options, warrants, conversion rights or similar agreements or understandings for the purchase or acquisition from the Borrower or any Subsidiary of any Stock of any such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Audited Statements</w:t>
      </w:r>
      <w:r>
        <w:rPr>
          <w:rFonts w:ascii="Times New Roman;Times;Serif" w:hAnsi="Times New Roman;Times;Serif"/>
          <w:b w:val="false"/>
          <w:i w:val="false"/>
          <w:caps w:val="false"/>
          <w:smallCaps w:val="false"/>
          <w:sz w:val="20"/>
        </w:rPr>
        <w:t>. The consolidated balance sheet of the Borrower and its Subsidiaries and the related consolidated statements of operations, stockholders’ or, as applicable, members’ equity and cash flows for the Fiscal Year then ended, in each case reported on in the case of consolidated financials by an independent certified public accounting firm of national standing acceptable to the Agent, copies of which have been delivered to the Agent from time to time pursuant to the terms of this Agreement, fairly present in all material respects, in conformity with GAAP, the consolidated financial position of the Borrower and its Subsidiaries as of such date and the consolidated results of operations, changes in stockholders’ or, as applicable, members’ equity and cash flows for such period.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Unaudited Statements</w:t>
      </w:r>
      <w:r>
        <w:rPr>
          <w:rFonts w:ascii="Times New Roman;Times;Serif" w:hAnsi="Times New Roman;Times;Serif"/>
          <w:b w:val="false"/>
          <w:i w:val="false"/>
          <w:caps w:val="false"/>
          <w:smallCaps w:val="false"/>
          <w:sz w:val="20"/>
        </w:rPr>
        <w:t>. The unaudited Financial Statements for the applicable period then ended, copies of which have been delivered to the Agent from time to time pursuant to the terms of this Agreement, fairly present in all material respects, in conformity with GAAP, the consolidated financial position of the Borrower and its Subsidiaries as of such date and the consolidated results of operations and cash flows for the 12-month period then ended (subject to normal year-end adjustments and the absence of footnote disclosures).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Forma Balance Sheet</w:t>
      </w:r>
      <w:r>
        <w:rPr>
          <w:rFonts w:ascii="Times New Roman;Times;Serif" w:hAnsi="Times New Roman;Times;Serif"/>
          <w:b w:val="false"/>
          <w:i w:val="false"/>
          <w:caps w:val="false"/>
          <w:smallCaps w:val="false"/>
          <w:sz w:val="20"/>
        </w:rPr>
        <w:t>. The pro forma consolidated balance sheet of the Borrower and its Subsidiaries as of July 31, 2025, a copy of which has been delivered to the Agent, fairly presents in all material respects, on a basis consistent with the Financial Statements, the consolidated financial position of the Borrower and its Subsidiaries as of such date, adjusted to give effect (as if such events had occurred on such date) to (i) the making of any Advances and the issuance of any Letters of Credit to be made on the Closing Date, (ii) the application of the proceeds therefrom as contemplated by the Loan Documents, and (iii) the payment of all legal, accounting and other fees related thereto to the extent known at the time of the preparation of such balance sheet. As of the date of such balance sheet and the Closing Date, no Loan Party or any Subsidiary had or has any material liabilities, contingent or otherwise, including liabilities for taxes, long term leases or forward or long term commitments, which are not properly reflected on such balance sheet.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xml:space="preserve">. The Projections delivered on the Closing Date have been prepared by the Borrower in light of the past operations of its businesses, but including future payments of known contingent liabilities, and reflect projections for the Fiscal Year period beginning on January 1, 2025 and ending no sooner than the last day of the original term hereof, on a quarter-by-quarter basis for the first year and on a year-by-year basis thereafter. The Projections are based upon the same accounting principles as those used in the preparation of the Financial Statements described above and the estimates and assumptions stated therein, all of which the Loan Parties believed, </w:t>
      </w:r>
      <w:r>
        <w:rPr>
          <w:rFonts w:ascii="Times New Roman;Times;Serif" w:hAnsi="Times New Roman;Times;Serif"/>
          <w:b w:val="false"/>
          <w:i w:val="false"/>
          <w:caps w:val="false"/>
          <w:smallCaps w:val="false"/>
          <w:sz w:val="20"/>
          <w:shd w:fill="FFFFFF" w:val="clear"/>
        </w:rPr>
        <w:t>at the time of preparation</w:t>
      </w:r>
      <w:r>
        <w:rPr>
          <w:rFonts w:ascii="Times New Roman;Times;Serif" w:hAnsi="Times New Roman;Times;Serif"/>
          <w:b w:val="false"/>
          <w:i w:val="false"/>
          <w:caps w:val="false"/>
          <w:smallCaps w:val="false"/>
          <w:sz w:val="20"/>
        </w:rPr>
        <w:t xml:space="preserve"> (and, with respect to the Projections delivered on the Closing Date, as of the Closing Date), to be reasonable and fair in light of current conditions and current facts known to any Loan Party and, as of the Closing Date, reflect the Loan Parties’ good faith and reasonable estimates of the future financial performance of the Loan Parties and their Subsidiaries for the period set forth therein. The Projections are not a guaranty of future performance, and actual results may differ from the Projections; it being understood that such Projections may vary from actual results and that such variances may be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The information contained in the most recently delivered Borrowing Base Certificate is true, complete and correct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December 31, 2024, there has been no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actions, suits, proceedings, claims or disputes pending, or to the best knowledge of each Loan Party, threatened in writing, at law, in equity, in arbitration or before any Governmental Authority in writing, against any Loan Party, any Subsidiary or any of their respective properties which individually or in the aggregate would reasonably be expected to have a Material Adverse 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 As of the Closing Date, no Loan Party or any Subsidiary is the subject of an audit or, to each Loan Party’s knowledge, any review or investigation by any Governmental Authority (excluding the IRS and other taxing authorities) concerning the violation or possible violation of any requirement of Law which individually or in the aggregate would reasonably be expected to have a Material Adverse Effect. The Borrower shall promptly disclose to the Agent any changed circumstance or event, which causes any of the representations herein to be inaccurate or untrue.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Ownership of Property</w:t>
      </w:r>
      <w:r>
        <w:rPr>
          <w:rFonts w:ascii="Times New Roman;Times;Serif" w:hAnsi="Times New Roman;Times;Serif"/>
          <w:b w:val="false"/>
          <w:i w:val="false"/>
          <w:caps w:val="false"/>
          <w:smallCaps w:val="false"/>
          <w:sz w:val="20"/>
        </w:rPr>
        <w:t>. Each Loan Party and each Subsidiary is the lawful owner of, has good and marketable title to and is in lawful possession of, or has valid leasehold interests in, all properties and other assets (real or personal, tangible, intangible or mixed) purported or reported to be owned or leased (as the case may be) by such Person and necessary to the ordinary conduct of its business, except as may have been disposed of in compliance with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No Default or Event of Default has occurred and is continuing. No Loan Party or any Subsidiary is in breach or default, nor has any Loan Party received any notice stating a breach or default may exist, under or with respect to any contract, agreement, lease or other instrument to which it is a party or by which its property is bound or affected, which breach or default or threatened breach of default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 As of the Closing Date, there are no strikes or other material labor disputes pending or to the best knowledge of each Loan Party threatened in writing against any Loan Party or any Subsidiary. Except as would not reasonably be expected to have a Material Adverse Effect, hours worked and payments made to the employees of the Loan Parties and the Subsidiaries have not been in violation of the Fair Labor Standards Act or any other applicable Law dealing with such matters. All payments due from the Loan Parties and the Subsidiaries, or for which any material claim may be made against any of them, on account of wages and employee and retiree health and welfare insurance and other benefits have been paid or accrued as a liability on their books, as the case may be. The consummation of the transactions contemplated by the Loan Documents will not give rise to a right of termination or right of renegotiation on the part of any union under any collective bargaining agreement to which it is a party or by which it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Regulated Entities</w:t>
      </w:r>
      <w:r>
        <w:rPr>
          <w:rFonts w:ascii="Times New Roman;Times;Serif" w:hAnsi="Times New Roman;Times;Serif"/>
          <w:b w:val="false"/>
          <w:i w:val="false"/>
          <w:caps w:val="false"/>
          <w:smallCaps w:val="false"/>
          <w:sz w:val="20"/>
        </w:rPr>
        <w:t>. No Loan Party is an “investment company” or a company “controlled” by an “investment company” or a “subsidiary” of an “investment company,” all within the meaning of the Investment Company Act of 1940.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Margin Regulations</w:t>
      </w:r>
      <w:r>
        <w:rPr>
          <w:rFonts w:ascii="Times New Roman;Times;Serif" w:hAnsi="Times New Roman;Times;Serif"/>
          <w:b w:val="false"/>
          <w:i w:val="false"/>
          <w:caps w:val="false"/>
          <w:smallCaps w:val="false"/>
          <w:sz w:val="20"/>
        </w:rPr>
        <w:t>. None of the proceeds from the Advances have been or will be used, directly or indirectly, for the purpose of purchasing or carrying any Margin Stock, for the purpose of reducing or retiring any indebtedness which was originally incurred to purchase or carry any Margin Stock or for any other purpose which could reasonably be expected to cause any of the Advances to be considered a “purpose credit” within the meaning of Regulation T, U or X of the Federal Reserve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Compliance With Laws; Anti-Terrorism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Laws Generally</w:t>
      </w:r>
      <w:r>
        <w:rPr>
          <w:rFonts w:ascii="Times New Roman;Times;Serif" w:hAnsi="Times New Roman;Times;Serif"/>
          <w:b w:val="false"/>
          <w:i w:val="false"/>
          <w:caps w:val="false"/>
          <w:smallCaps w:val="false"/>
          <w:sz w:val="20"/>
        </w:rPr>
        <w:t>. Each Loan Party and each Subsidiary is in compliance with the requirements of all applicable Laws, including any Anti-Corruption Laws and Anti-Terrorism Laws, except for such noncompliance which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Foreign Assets Control Regulations and Anti-Terrorism Laws</w:t>
      </w:r>
      <w:r>
        <w:rPr>
          <w:rFonts w:ascii="Times New Roman;Times;Serif" w:hAnsi="Times New Roman;Times;Serif"/>
          <w:b w:val="false"/>
          <w:i w:val="false"/>
          <w:caps w:val="false"/>
          <w:smallCaps w:val="false"/>
          <w:sz w:val="20"/>
        </w:rPr>
        <w:t>. Each Loan Party and each Subsidiary and their respective directors, officers and employees is in compliance in all material respects with all applicable sanctions administered or enforced by the U.S. Department of the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U.S. Department of State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and all applicable Anti-Terrorism Laws. No Loan Party and no Subsidiary of a Loan Party, including, to their knowledge, any director, officer, or employee, is an individual or an entity that is (i) a Person designated by the U.S. government on the list of the Specially Designated Nationals (the “</w:t>
      </w:r>
      <w:r>
        <w:rPr>
          <w:rFonts w:ascii="Times New Roman;Times;Serif" w:hAnsi="Times New Roman;Times;Serif"/>
          <w:b w:val="false"/>
          <w:i w:val="false"/>
          <w:caps w:val="false"/>
          <w:smallCaps w:val="false"/>
          <w:sz w:val="20"/>
          <w:u w:val="single"/>
        </w:rPr>
        <w:t>SDN List”</w:t>
      </w:r>
      <w:r>
        <w:rPr>
          <w:rFonts w:ascii="Times New Roman;Times;Serif" w:hAnsi="Times New Roman;Times;Serif"/>
          <w:b w:val="false"/>
          <w:i w:val="false"/>
          <w:caps w:val="false"/>
          <w:smallCaps w:val="false"/>
          <w:sz w:val="20"/>
        </w:rPr>
        <w:t>) with which a U.S. Person cannot deal or otherwise engage in business transactions, (ii) a Person who is otherwise the target of Sanctions such that a Person cannot deal or otherwise engage in business transactions with such Person, or (iii) is controlled by (including by virtue of such person being a director (or manager) or owning voting shares or interests), or acts, directly or indirectly, for or on behalf of, any Person on the SDN List or a Sanctioned Country such that the entry into, or performance under, this Agreement or any other Loan Document would be prohibited under Sanctions (collectively, together with (i) and (ii), “</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No part of the proceeds of any Advance will be used directly or knowingly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Anti-Corruption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funds of any Loan Party that are used to repay any obligation under this Agreement shall constitute property of, or shall be beneficially owned directly or indirectly by, any Person that is the subject of Sanctions, such that repayment would result in a violation of Sanctions by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All federal, state and all other material Tax returns, reports and statements required to be filed by or on behalf of each Loan Party have been filed with the appropriate Governmental Authorities in all jurisdictions in which such returns, reports and statements are required to be filed and, except to the extent subject to a Permitted Contest or to the extent that the failure to do so would not be reasonably expected to have a Material Adverse Effect, all Taxes (including real property Taxes) and other charges shown to be due and payable in respect thereof owing by a Loan Party have been timely paid prior to the date on which any fine, penalty, interest, late charge or loss may be added thereto for nonpayment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ERISA.</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ERISA Plans</w:t>
      </w:r>
      <w:r>
        <w:rPr>
          <w:rFonts w:ascii="Times New Roman;Times;Serif" w:hAnsi="Times New Roman;Times;Serif"/>
          <w:b w:val="false"/>
          <w:i w:val="false"/>
          <w:caps w:val="false"/>
          <w:smallCaps w:val="false"/>
          <w:sz w:val="20"/>
        </w:rPr>
        <w:t>. Except as would not reasonably be expected to result in a Material Adverse Effect: (i) each ERISA Plan (and the related trusts and funding agreements) complies in form and in operation with, has been administered in compliance with, and the terms of each ERISA Plan satisfy the requirements of, applicable Law including ERISA and the IRC in all material respects; (ii) each ERISA Plan which is intended to be qualified under Section 401(a) of the IRC a favorable determination or opinion letter which may be relied on currently and nothing has occurred which would reasonably be expected to adversely affect the qualification of such ERISA Plan; and (iii) no Loan Party or any Subsidiary has incurred liability for any material excise tax under any of Sections 4971 through 5000A of the IRC.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Pension Plans and Multiemployer Plans</w:t>
      </w:r>
      <w:r>
        <w:rPr>
          <w:rFonts w:ascii="Times New Roman;Times;Serif" w:hAnsi="Times New Roman;Times;Serif"/>
          <w:b w:val="false"/>
          <w:i w:val="false"/>
          <w:caps w:val="false"/>
          <w:smallCaps w:val="false"/>
          <w:sz w:val="20"/>
        </w:rPr>
        <w:t>. During the 36 month period prior to the Closing Date or the making of any Advance or the issuance of any Letter of Credit, (i) no steps have been taken to terminate any Pension Plan that could reasonably be expected to result in a material payment liability to any Loan Party or any Subsidiary and (ii) no contribution failure has occurred with respect to any Pension Plan sufficient to give rise to a Lien under ERISA or the IRC. No Loan Party or any Subsidiary has incurred liability to the PBGC (other than for current premiums) with respect to any Pension Plan or Multiemployer Plan. Except as could not reasonably be expected to result in a material payment liability to any Loan Party or any Subsidiary, all contributions (if any) have been made on a timely basis to any Multiemployer Plan that are required to be made by any Loan Party, any Subsidiary or any ERISA Affiliate under the terms of the plan or of any collective bargaining agreement or by applicable Law. No Loan Party, Subsidiary or any ERISA Affiliate has withdrawn or partially withdrawn from any Multiemployer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No Loan Party, Subsidiary or any ERISA Affiliate has received any notice with respect to any Multiemployer Plan, that increased contributions may be required to avoid a reduction in plan benefits or the imposition of any excise Tax, that any such plan is or has been funded at a rate less than that required under Section 412 of the IRC, that any such plan is or may be terminated, or that any such plan is or may become insolvent.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No Loan Party is as of the Closing Date, or will become on or after the Closing Date, (i) an employee benefit plan subject to Part 4 of Subtitle B of Title I of ERISA, (ii) a plan or account subject to Section 4975 of the IRC, (iii) an entity deemed to hold “plan assets” of any such plans or accounts for purposes of ERISA or the IRC, as determined pursuant to Section 3(42) of ERISA, or (iv) a “governmental plan” within the meaning of Section 3(32)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for fees contractually incurred by a Loan Party or Affiliate of a Loan Party and payable in full on or prior to the Closing Date, no Loan Party or Affiliate of a Loan Party has any obligation to any broker, finder or other intermediary in respect of any finder’s or brokerage fees in connection with any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Environmental Compliance.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xml:space="preserve">. Except in each case as set forth on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(i) to the knowledge of each Loan Party, no Hazardous Materials are located on any properties now or previously owned, leased or operated by any Loan Party or any Subsidiary or have been released into the environment, or deposited, discharged, placed or disposed of at, on, under or near any of such properties in a manner that would require the taking of any action under any Environmental Law and have given rise to, or could reasonably be expected to give rise to, remediation costs and expenses on the part of the Loan Parties; (ii) to the knowledge of each Loan Party, no portion of any such property is being used, or has been used at any previous time, for the disposal, storage, treatment, processing or other handling of Hazardous Materials in violation of any Environmental Law nor is any such property affected by any Hazardous Materials Contamination; and (iii) all oral or written notifications of a release of Hazardous Materials required to be filed by or on behalf of any Loan Party or any Subsidiary under any applicable Environmental Law have been filed or are in the process of being timely filed by or on behalf of the applicable Loan Party or Subsidiary, except for any of the foregoing in clauses (i) through (iii) that, either individually or in the aggregate, would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Notices Regarding Environmental Compliance</w:t>
      </w:r>
      <w:r>
        <w:rPr>
          <w:rFonts w:ascii="Times New Roman;Times;Serif" w:hAnsi="Times New Roman;Times;Serif"/>
          <w:b w:val="false"/>
          <w:i w:val="false"/>
          <w:caps w:val="false"/>
          <w:smallCaps w:val="false"/>
          <w:sz w:val="20"/>
        </w:rPr>
        <w:t xml:space="preserve">. Except in each case as set forth on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no written notice, notification, demand, request for information, citation, summons, complaint or order has been issued to any Loan Party, no complaint has been filed against any Loan Party, and no penalty has been assessed and no investigation or review is pending, or to any Loan Party’s knowledge, threatened by any Governmental Authority or other Person with respect to, in any such case, any (i) alleged violation by any Loan Party or any Subsidiary of any Environmental Law, (ii) alleged failure by any Loan Party or any Subsidiary to have any Environmental Permits required in connection with the conduct of its business or to comply with the terms and conditions thereof, (iii) any generation, treatment, storage, recycling, transportation or disposal of any Hazardous Materials, or (iv) release of Hazardous Materials, except for any of the foregoing that, either individually or in the aggregate, would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Properties Requiring Remediation</w:t>
      </w:r>
      <w:r>
        <w:rPr>
          <w:rFonts w:ascii="Times New Roman;Times;Serif" w:hAnsi="Times New Roman;Times;Serif"/>
          <w:b w:val="false"/>
          <w:i w:val="false"/>
          <w:caps w:val="false"/>
          <w:smallCaps w:val="false"/>
          <w:sz w:val="20"/>
        </w:rPr>
        <w:t xml:space="preserve">. Except in each case as set forth on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to the knowledge of each Loan Party, no property now or previously owned or leased by any Loan Party or any Subsidiary and no property to which any Loan Party or any Subsidiary has, directly or indirectly, transported or arranged for the transportation of any Hazardous Materials, is listed or, to any Loan Party’s knowledge, proposed for listing, on the National Priorities List promulgated pursuant to CERCLA, or any similar state list or is the subject of federal, state or local enforcement actions or, to the knowledge of any Loan Party, other investigations which may lead to claims against any Loan Party or any Subsidiary for clean-up costs, remedial work, damage to natural resources or personal injury claims, including claims under CERCLA, except for any of the foregoing that, either individually or in the aggregate, would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Underground Storage Tanks</w:t>
      </w:r>
      <w:r>
        <w:rPr>
          <w:rFonts w:ascii="Times New Roman;Times;Serif" w:hAnsi="Times New Roman;Times;Serif"/>
          <w:b w:val="false"/>
          <w:i w:val="false"/>
          <w:caps w:val="false"/>
          <w:smallCaps w:val="false"/>
          <w:sz w:val="20"/>
        </w:rPr>
        <w:t xml:space="preserve">. Except in each case as set forth on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xml:space="preserve"> to the knowledge of each Loan Party, there are no underground storage tanks located on any property owned or leased by any Loan Party or any Subsidiary that are not properly registered or permitted under applicable Environmental Laws or that are leaking or disposing of Hazardous Materials, except for any of the foregoing that, either individually or in the aggregate, would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Environmental Liens</w:t>
      </w:r>
      <w:r>
        <w:rPr>
          <w:rFonts w:ascii="Times New Roman;Times;Serif" w:hAnsi="Times New Roman;Times;Serif"/>
          <w:b w:val="false"/>
          <w:i w:val="false"/>
          <w:caps w:val="false"/>
          <w:smallCaps w:val="false"/>
          <w:sz w:val="20"/>
        </w:rPr>
        <w:t xml:space="preserve">. As of the Closing Date, except in each case as set forth on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there are no Liens under or pursuant to any applicable Environmental Laws on any real property or other assets owned or leased by any Loan Party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Each Loan Party owns, is licensed to use or otherwise has the right to use, all Material Intellectual Property. All Material Intellectual Property of each Loan Party is fully protected and/or duly and properly registered, filed or issued in the appropriate office and jurisdictions for such registrations, filings or issuances. To each Loan Party’s knowledge, each Loan Party and each Subsidiary conducts its business without infringement or claim of infringement of any Intellectual Property rights of others and there is no infringement or claim of infringement by others of any Intellectual Property rights of any Loan Party or any Subsidiary, which infringement or claim of infringement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Real Property Interests</w:t>
      </w:r>
      <w:r>
        <w:rPr>
          <w:rFonts w:ascii="Times New Roman;Times;Serif" w:hAnsi="Times New Roman;Times;Serif"/>
          <w:b w:val="false"/>
          <w:i w:val="false"/>
          <w:caps w:val="false"/>
          <w:smallCaps w:val="false"/>
          <w:sz w:val="20"/>
        </w:rPr>
        <w:t xml:space="preserve">. Except for the Real Estate identified on </w:t>
      </w:r>
      <w:r>
        <w:rPr>
          <w:rFonts w:ascii="Times New Roman;Times;Serif" w:hAnsi="Times New Roman;Times;Serif"/>
          <w:b w:val="false"/>
          <w:i w:val="false"/>
          <w:caps w:val="false"/>
          <w:smallCaps w:val="false"/>
          <w:sz w:val="20"/>
          <w:u w:val="single"/>
        </w:rPr>
        <w:t>Schedule 4.19</w:t>
      </w:r>
      <w:r>
        <w:rPr>
          <w:rFonts w:ascii="Times New Roman;Times;Serif" w:hAnsi="Times New Roman;Times;Serif"/>
          <w:b w:val="false"/>
          <w:i w:val="false"/>
          <w:caps w:val="false"/>
          <w:smallCaps w:val="false"/>
          <w:sz w:val="20"/>
        </w:rPr>
        <w:t>, no Loan Party or Subsidiary has, as of the Closing Date, any ownership interest in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r>
        <w:rPr>
          <w:rFonts w:ascii="Times New Roman;Times;Serif" w:hAnsi="Times New Roman;Times;Serif"/>
          <w:b w:val="false"/>
          <w:i w:val="false"/>
          <w:caps w:val="false"/>
          <w:smallCaps w:val="false"/>
          <w:sz w:val="20"/>
          <w:u w:val="single"/>
        </w:rPr>
        <w:t>Full Disclosure</w:t>
      </w:r>
      <w:r>
        <w:rPr>
          <w:rFonts w:ascii="Times New Roman;Times;Serif" w:hAnsi="Times New Roman;Times;Serif"/>
          <w:b w:val="false"/>
          <w:i w:val="false"/>
          <w:caps w:val="false"/>
          <w:smallCaps w:val="false"/>
          <w:sz w:val="20"/>
        </w:rPr>
        <w:t>. None of the information (financial or otherwise) furnished by or on behalf of any Loan Party or any Subsidiary to the Agent or any Lender pursuant to the Loan Documents or in connection with the consummation of the transactions contemplated by the Loan Documents, contains any untrue statement of a material fact or omits to state a material fact necessary to make the statements contained herein or therein not misleading in light of the circumstances under which such statements were made. As of the Closing Date, the information included in the Beneficial Ownership Certification, if applicable, is true and correct in all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Borrower shall use the proceeds of the Advances solely for working capital and other general corporate purposes not in contravention of any requirement of Law and not in violation of this Agreement or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Each Loan Party and each Subsidiary thereof currently maintains all insurance that is required to be maintained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 </w:t>
      </w:r>
      <w:r>
        <w:rPr>
          <w:rFonts w:ascii="Times New Roman;Times;Serif" w:hAnsi="Times New Roman;Times;Serif"/>
          <w:b w:val="false"/>
          <w:i w:val="false"/>
          <w:caps w:val="false"/>
          <w:smallCaps w:val="false"/>
          <w:sz w:val="20"/>
          <w:u w:val="single"/>
        </w:rPr>
        <w:t>Customer and Trade Relations</w:t>
      </w:r>
      <w:r>
        <w:rPr>
          <w:rFonts w:ascii="Times New Roman;Times;Serif" w:hAnsi="Times New Roman;Times;Serif"/>
          <w:b w:val="false"/>
          <w:i w:val="false"/>
          <w:caps w:val="false"/>
          <w:smallCaps w:val="false"/>
          <w:sz w:val="20"/>
        </w:rPr>
        <w:t>. As of the Closing Date, there exists no actual or, to the knowledge of any Loan Party, threatened in writing termination or cancellation of, or any material adverse modification or change in: the business relationship of any Loan Party or any Subsidiary with any customer or group of customers whose purchases during the preceding 12 months caused them to be ranked among the ten largest customers of such Loan Party or Subsidiary; or the business relationship of any Loan Party or any Subsidiary with any supplier essential to its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4.24 </w:t>
      </w:r>
      <w:r>
        <w:rPr>
          <w:rFonts w:ascii="Times New Roman;Times;Serif" w:hAnsi="Times New Roman;Times;Serif"/>
          <w:b w:val="false"/>
          <w:i w:val="false"/>
          <w:caps w:val="false"/>
          <w:smallCaps w:val="false"/>
          <w:sz w:val="20"/>
          <w:u w:val="single"/>
        </w:rPr>
        <w:t>Bonding; Licenses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4.24</w:t>
      </w:r>
      <w:r>
        <w:rPr>
          <w:rFonts w:ascii="Times New Roman;Times;Serif" w:hAnsi="Times New Roman;Times;Serif"/>
          <w:b w:val="false"/>
          <w:i w:val="false"/>
          <w:caps w:val="false"/>
          <w:smallCaps w:val="false"/>
          <w:sz w:val="20"/>
        </w:rPr>
        <w:t>, and except for such agreements or requirements the breach, nonperformance or cancellation of which would not reasonably be expected to have a Material Adverse Effect, as of the Closing Date, no Loan Party or any Subsidiary is a party to or bound by (a) any surety bond agreement or bonding requirement with respect to products or services sold by such Person or (b) any material trademark or patent license agreement with respect to products sold by such Person.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Both before and after giving effect to, as applicable with respect to any date of determination pursuant to the terms of this Agreement: (a) the Advances and Letter of Credit Obligations to be made or incurred on the Closing Date or such other date as Advances and Letter of Credit Obligations requested hereunder are made or incurred, (b) the disbursement of the proceeds of such Advances pursuant to the instructions of the Borrower, (c) the repayment in full of the Existing Indebtedness, and (d) the payment and accrual of all transaction costs in connection with the foregoing, the Loan Parties, on a consolidated basis, are and will be Solvent.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 </w:t>
      </w:r>
      <w:r>
        <w:rPr>
          <w:rFonts w:ascii="Times New Roman;Times;Serif" w:hAnsi="Times New Roman;Times;Serif"/>
          <w:b w:val="false"/>
          <w:i w:val="false"/>
          <w:caps w:val="false"/>
          <w:smallCaps w:val="false"/>
          <w:sz w:val="20"/>
          <w:u w:val="single"/>
        </w:rPr>
        <w:t>Representations and Warranties in Loan Documents</w:t>
      </w:r>
      <w:r>
        <w:rPr>
          <w:rFonts w:ascii="Times New Roman;Times;Serif" w:hAnsi="Times New Roman;Times;Serif"/>
          <w:b w:val="false"/>
          <w:i w:val="false"/>
          <w:caps w:val="false"/>
          <w:smallCaps w:val="false"/>
          <w:sz w:val="20"/>
        </w:rPr>
        <w:t>. All representations and warranties made by each Loan Party in the Loan Documents are true and correct in all material respects as of the Closing Date, the date of making of each Advance (or other extension of credit) and as of any date that any Loan Party is expressly obligated to confirm the same under this Agreement or any other Loan Document (except that such material qualifier shall not be applicable to any representations and warranties that already are qualified or modified by materiality in the text thereof), except to the extent that such representations or warranties expressly relate to an earlier date in which case such representations or warranties are true or correct in any material respect as of such earlier date (except that such materiality qualifier shall not be applicable to any representations and warranties that already are qualified or modified by materiality in the text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4.28 </w:t>
      </w:r>
      <w:r>
        <w:rPr>
          <w:rFonts w:ascii="Times New Roman;Times;Serif" w:hAnsi="Times New Roman;Times;Serif"/>
          <w:b w:val="false"/>
          <w:i w:val="false"/>
          <w:caps w:val="false"/>
          <w:smallCaps w:val="false"/>
          <w:sz w:val="20"/>
          <w:u w:val="single"/>
        </w:rPr>
        <w:t>Health Care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Compliance with Health Care Laws</w:t>
      </w:r>
      <w:r>
        <w:rPr>
          <w:rFonts w:ascii="Times New Roman;Times;Serif" w:hAnsi="Times New Roman;Times;Serif"/>
          <w:b w:val="false"/>
          <w:i w:val="false"/>
          <w:caps w:val="false"/>
          <w:smallCaps w:val="false"/>
          <w:sz w:val="20"/>
        </w:rPr>
        <w:t>. The Borrower and each of its Subsidiaries is, and at all times during the three calendar years immediately preceding the Closing Date has been, in compliance with all Health Care Laws applicable to it, its assets, business or operations, except where non-compliance would not reasonably be expected to have, individually or in the aggregate, a Material Adverse Effect. To the knowledge of each Loan Party, no circumstance exists or event has occurred which would reasonably be expected to result in a material violation of any Health Care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Health Care Permits</w:t>
      </w:r>
      <w:r>
        <w:rPr>
          <w:rFonts w:ascii="Times New Roman;Times;Serif" w:hAnsi="Times New Roman;Times;Serif"/>
          <w:b w:val="false"/>
          <w:i w:val="false"/>
          <w:caps w:val="false"/>
          <w:smallCaps w:val="false"/>
          <w:sz w:val="20"/>
        </w:rPr>
        <w:t xml:space="preserve">. As of the Closing Date, </w:t>
      </w:r>
      <w:r>
        <w:rPr>
          <w:rFonts w:ascii="Times New Roman;Times;Serif" w:hAnsi="Times New Roman;Times;Serif"/>
          <w:b w:val="false"/>
          <w:i w:val="false"/>
          <w:caps w:val="false"/>
          <w:smallCaps w:val="false"/>
          <w:sz w:val="20"/>
          <w:u w:val="single"/>
        </w:rPr>
        <w:t>Schedule 4.28</w:t>
      </w:r>
      <w:r>
        <w:rPr>
          <w:rFonts w:ascii="Times New Roman;Times;Serif" w:hAnsi="Times New Roman;Times;Serif"/>
          <w:b w:val="false"/>
          <w:i w:val="false"/>
          <w:caps w:val="false"/>
          <w:smallCaps w:val="false"/>
          <w:sz w:val="20"/>
        </w:rPr>
        <w:t xml:space="preserve"> sets forth an accurate, complete and current list of all material Health Care Permits. The Borrower and each of its Subsidiaries holds, and at all times during the three calendar years immediately preceding the Closing Date has held, all Health Care Permits necessary for it to own, lease, sublease or operate its assets or to conduct its business or operations as presently conducted. All such Health Care Permits are, and at all times during the three calendar years immediately preceding the Closing Date have been, in full force and effect and there is and has been no material default under, material violation of, or other material noncompliance with the terms and conditions of any such Health Care Permit except where such revocation, termination, restriction limitation, modification or non-renewal would not reasonably be expected to have, individually or in the aggregate, a Material Adverse Effect. To the knowledge of each Loan Party, no condition exists or event has occurred which, in itself or with the giving of notice or lapse of time or both, has resulted or would reasonably be expected to result in the suspension, revocation, termination, restriction, limitation, modification or non-renewal of any Health Care Permit except where such suspension, revocation, termination, restriction, limitation, modification or non-renewal would not reasonably be expected to have, individually or in the aggregate, a Material Adverse Effect. During the three calendar years immediately preceding the Closing Date, no Governmental Authority has taken, or to the knowledge of any Loan Party intends to take, action to suspend, revoke, terminate, place on probation, restrict, limit, modify or not renew any Health Care Permit of any Loan Party or any Subsidiary, except where such suspension, revocation, termination, probation, restriction, limitation, modification or failure to renew would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Licensed Personnel</w:t>
      </w:r>
      <w:r>
        <w:rPr>
          <w:rFonts w:ascii="Times New Roman;Times;Serif" w:hAnsi="Times New Roman;Times;Serif"/>
          <w:b w:val="false"/>
          <w:i w:val="false"/>
          <w:caps w:val="false"/>
          <w:smallCaps w:val="false"/>
          <w:sz w:val="20"/>
        </w:rPr>
        <w:t>. To the knowledge of any Loan Party, the Licensed Personnel hold and, during the three calendar years immediately preceding the Closing Date (but only during times that such Persons have been Licensed Personnel of any Loan Party or any Subsidiary as of the Closing Date), have held, all professional licenses and other Health Care Permits required in the performance of such Licensed Personnel’s duties for such Loan Party or such Subsidiary, and, to the knowledge of each Loan Party, no suspension, revocation, termination, impairment, modification or non-renewal of any such Permit is pending or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Proceedings; Audits</w:t>
      </w:r>
      <w:r>
        <w:rPr>
          <w:rFonts w:ascii="Times New Roman;Times;Serif" w:hAnsi="Times New Roman;Times;Serif"/>
          <w:b w:val="false"/>
          <w:i w:val="false"/>
          <w:caps w:val="false"/>
          <w:smallCaps w:val="false"/>
          <w:sz w:val="20"/>
        </w:rPr>
        <w:t>. To the knowledge of any Loan Party, there are no pending or threatened (in writing) Proceedings against or affecting the Borrower or any Subsidiary or, to the knowledge of any Loan Party, any Licensed Personnel, relating to any actual or alleged material non-compliance with any Health Care Law. To the knowledge of any Loan Party, there are no facts, circumstances or conditions that would reasonably be expected to form the basis for any such Proceeding against or affecting any Loan Party or any Subsidiary or any Licensed Personnel that would reasonably be expected to have, in the aggregate, a Material Adverse Effect. There currently exist no material restrictions, deficiencies, required plans of correction or other such remedial measures with respect to any Health Care Permit of any Loan Party or any Subsidiary except for such restrictions, deficiencies, required plans of correction or other such remedial measures that would not reasonably be expected to have a Material Adverse Effect. Without limiting the foregoing, no validation review, program integrity review, audit or other investigation related to any Loan Party or any Subsidiary or their respective operations, or the consummation of the transactions contemplated in the Loan Documents or related to the Collateral (i) has been conducted by or on behalf of any Governmental Authority during the three calendar years immediately preceding the Closing Date, or (ii) to the knowledge of any Loan Party, is scheduled, pending or, threatened, except, in each case, where such review, audit, or other investigation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Exclusion</w:t>
      </w:r>
      <w:r>
        <w:rPr>
          <w:rFonts w:ascii="Times New Roman;Times;Serif" w:hAnsi="Times New Roman;Times;Serif"/>
          <w:b w:val="false"/>
          <w:i w:val="false"/>
          <w:caps w:val="false"/>
          <w:smallCaps w:val="false"/>
          <w:sz w:val="20"/>
        </w:rPr>
        <w:t>. No Loan Party and no Subsidiary, nor, to the knowledge of any Loan Party, any owner, officer, director, partner, agent, managing employee or Person with a “direct or indirect ownership interest” (as that phrase is defined in 42 C.F.R. § 420.201) in any Loan Party or any Subsidiary, nor to the knowledge of any Loan Party, any Licensed Personnel of any Loan Party or any Subsidiary, has in the three calendar years immediately preceding the Closing Date been (i) excluded from any Governmental Payor pursuant to 42 U.S.C. § 1320a-7 and related regulations or (ii) debarred, disqualified, suspended or excluded from participation in any Governmental Payor or is listed on the General Services Administration list of excluded parties, nor, to the knowledge of any Loan Party, is any such debarment, disqualification, suspension or exclusion threatened or pending.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Corporate Integrity Agreement</w:t>
      </w:r>
      <w:r>
        <w:rPr>
          <w:rFonts w:ascii="Times New Roman;Times;Serif" w:hAnsi="Times New Roman;Times;Serif"/>
          <w:b w:val="false"/>
          <w:i w:val="false"/>
          <w:caps w:val="false"/>
          <w:smallCaps w:val="false"/>
          <w:sz w:val="20"/>
        </w:rPr>
        <w:t>. No Loan Party and no Subsidiary, nor, to the knowledge of any Loan Party, any owner, officer, director, partner, agent, managing employee or Person with a “direct or indirect ownership interest” (as that phrase is defined in 42 C.F.R. §1001.1001) in any Loan Party or any Subsidiary is a party to, or bound by, any corporate integrity agreement, corporate compliance agreement, deferred prosecution agreement, or other formal with any Governmental Authority concerning compliance with Health Care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Compliance with FDA Law and Regulation.</w:t>
      </w:r>
      <w:r>
        <w:rPr>
          <w:rFonts w:ascii="Times New Roman;Times;Serif" w:hAnsi="Times New Roman;Times;Serif"/>
          <w:b w:val="false"/>
          <w:i w:val="false"/>
          <w:caps w:val="false"/>
          <w:smallCaps w:val="false"/>
          <w:sz w:val="20"/>
        </w:rPr>
        <w:t xml:space="preserve"> Except where non-compliance would not reasonably be expected to have, individually or in the aggregate, a Material Adverse Effect, the Borrower and each Subsidiary is, and at all times during the three calendar years immediately preceding the Closing Date has been, in compliance with all applicable provisions of the FD&amp;C Act and all applicable regulations promulgated by the FDA (such regulations, and together with the FD&amp;C Act, the “</w:t>
      </w:r>
      <w:r>
        <w:rPr>
          <w:rFonts w:ascii="Times New Roman;Times;Serif" w:hAnsi="Times New Roman;Times;Serif"/>
          <w:b w:val="false"/>
          <w:i w:val="false"/>
          <w:caps w:val="false"/>
          <w:smallCaps w:val="false"/>
          <w:sz w:val="20"/>
          <w:u w:val="single"/>
        </w:rPr>
        <w:t>FDA Law and Regulation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FDA Proceedings; Audits.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4.28</w:t>
      </w:r>
      <w:r>
        <w:rPr>
          <w:rFonts w:ascii="Times New Roman;Times;Serif" w:hAnsi="Times New Roman;Times;Serif"/>
          <w:b w:val="false"/>
          <w:i w:val="false"/>
          <w:caps w:val="false"/>
          <w:smallCaps w:val="false"/>
          <w:sz w:val="20"/>
        </w:rPr>
        <w:t>, to the knowledge of Loan Party and each of their respective Subsidiaries, there is no civil, criminal or administrative action, suit, demand, claim, complaint, hearing, investigation, demand letter, warning letter, proceeding or request for information pending against any Loan Party or each of their respective Subsidiaries, and, the Loan Parties have no material liability (whether actual or contingent) for failure to comply with any FDA Law and Regulation. There is no act, omission, event, or circumstance of which any Loan Party has knowledge that, as of the Closing Date, would reasonably be expected to give rise to or lead to any such action, suit, demand, claim, complaint, hearing, investigation, notice, demand letter, warning letter, proceeding or request for information or any such material liability. As of the Closing Date there are no administrative, civil or criminal proceedings relating to any of the Loan Parties, or to the knowledge of the Loan Parties, any of their employees, which involve a matter within or related to the FDA’s jurisdiction. No Loan Party nor each of their respective Subsidiaries has entered into any consent decree or order pursuant to any FDA Law and Regulation, and no Loan Party is a party to any judgment, decree or judicial or administrative order pursuant to any FDA Law and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FDA Fraud Policy.</w:t>
      </w:r>
      <w:r>
        <w:rPr>
          <w:rFonts w:ascii="Times New Roman;Times;Serif" w:hAnsi="Times New Roman;Times;Serif"/>
          <w:b w:val="false"/>
          <w:i w:val="false"/>
          <w:caps w:val="false"/>
          <w:smallCaps w:val="false"/>
          <w:sz w:val="20"/>
        </w:rPr>
        <w:t xml:space="preserve"> To the knowledge of the Loan Parties and each of their respective Subsidiaries, no officer, employee or agent of any of the Loan Parties or each of their Subsidiaries, has made any untrue statement of material fact or fraudulent statement to the FDA or any other Governmental Authority; failed to disclose a material fact required to be disclosed to the FDA or any other Governmental Authority; or committed an act, made a statement, or failed to make a statement that would reasonably be expected to provide the basis for the FDA or any other Governmental Authority to invoke its policy respecting “Fraud, Untrue Statements of Material Facts, Bribery, and Illegal Gratuities,” as set forth in 56 Fed. Reg. 46191 (September 10, 1991).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FD&amp;C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4.28</w:t>
      </w:r>
      <w:r>
        <w:rPr>
          <w:rFonts w:ascii="Times New Roman;Times;Serif" w:hAnsi="Times New Roman;Times;Serif"/>
          <w:b w:val="false"/>
          <w:i w:val="false"/>
          <w:caps w:val="false"/>
          <w:smallCaps w:val="false"/>
          <w:sz w:val="20"/>
        </w:rPr>
        <w:t xml:space="preserve"> sets forth a list of all registrations, listings, approvals, clearances, approvals, licenses or permits issued under the FD&amp;C Act (“</w:t>
      </w:r>
      <w:r>
        <w:rPr>
          <w:rFonts w:ascii="Times New Roman;Times;Serif" w:hAnsi="Times New Roman;Times;Serif"/>
          <w:b w:val="false"/>
          <w:i w:val="false"/>
          <w:caps w:val="false"/>
          <w:smallCaps w:val="false"/>
          <w:sz w:val="20"/>
          <w:u w:val="single"/>
        </w:rPr>
        <w:t>FD&amp;C Permits</w:t>
      </w:r>
      <w:r>
        <w:rPr>
          <w:rFonts w:ascii="Times New Roman;Times;Serif" w:hAnsi="Times New Roman;Times;Serif"/>
          <w:b w:val="false"/>
          <w:i w:val="false"/>
          <w:caps w:val="false"/>
          <w:smallCaps w:val="false"/>
          <w:sz w:val="20"/>
        </w:rPr>
        <w:t>”) and held exclusively by the Borrower or any of its Subsidiaries. Each such FD&amp;C Permit is in full force and effect and, to the knowledge of the Loan Parties, no suspension, revocation, cancellation or withdrawal of such FD&amp;C Permit is threatened and there is no basis for believing that such FD&amp;C Permit will not be renewable upon expiration or will be suspended, revoked, cancelled or withdrawn.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FDA Registration</w:t>
      </w:r>
      <w:r>
        <w:rPr>
          <w:rFonts w:ascii="Times New Roman;Times;Serif" w:hAnsi="Times New Roman;Times;Serif"/>
          <w:b w:val="false"/>
          <w:i w:val="false"/>
          <w:caps w:val="false"/>
          <w:smallCaps w:val="false"/>
          <w:sz w:val="20"/>
        </w:rPr>
        <w:t>. To the extent required by FDA Law and Regulation, any establishments operated by a Loan Party or their respective Subsidiaries are registered with the FDA, and each product produced by these establishments has been, to the extent required by FDA Law and Regulation, listed by the applicable Loan Party or Subsidiary in accordance with 21 CFR Parts 207 and such establishment registrations and listings are current as of the Closing Date.</w:t>
      </w:r>
    </w:p>
    <w:p>
      <w:pPr>
        <w:pStyle w:val="TextBody"/>
        <w:bidi w:val="0"/>
        <w:spacing w:before="0" w:after="0"/>
        <w:ind w:left="0" w:right="0" w:firstLine="144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70"/>
        <w:gridCol w:w="25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AFFIRMATIVE COVENANTS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jointly and severally agrees as to all Loan Parties that from and after the date hereof and until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Maintenance of Existence and Conduct of Business</w:t>
      </w:r>
      <w:r>
        <w:rPr>
          <w:rFonts w:ascii="Times New Roman;Times;Serif" w:hAnsi="Times New Roman;Times;Serif"/>
          <w:b w:val="false"/>
          <w:i w:val="false"/>
          <w:caps w:val="false"/>
          <w:smallCaps w:val="false"/>
          <w:sz w:val="20"/>
        </w:rPr>
        <w:t>. Each Loan Party shall, and shall cause its Subsidiaries to (a) do or cause to be done all things necessary to preserve and keep in full force and effect its corporate and, as applicable, limited liability company or other organizational existence and its material rights and franchises, and (b) continue to conduct its business substantially as now conducted or as otherwise permitted hereunder.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Payment of Charges.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each Loan Party shall, and shall cause each of its Subsidiaries to, pay and discharge or cause to be paid and discharged promptly all Charges payable by it, including (i) Charges imposed upon it, its income and profits, or any of its property (real, personal or mixed) and all Charges with respect to Tax, social security and unemployment withholding with respect to its employees, (ii) lawful claims for labor, materials, supplies and services or otherwise, and (iii) all storage or rental charges payable to warehousemen, processors and bailees, in each case, before any thereof shall become past due, except in each case, where the failure to pay or discharge such Charges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Loan Party and Subsidiary may in good faith contest, by appropriate proceedings, the validity or amount of any Charges, Taxes or claims described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adequate reserves with respect to such contest are maintained on the books of such Loan Party or Subsidiary, in accordance with GAAP; (ii) no Lien shall be imposed to secure payment of such Charges that is superior to any of the Liens securing payment of the Obligations and such contest is maintained and prosecuted continuously and with diligence and operates to suspend collection or enforcement of such Charges, (iii) none of the Collateral becomes subject to forfeiture or loss as a result of such contest, and (iv) such Loan Party or Subsidiary shall promptly pay or discharge such contested Charges, Taxes or claims and all additional charges, interest, penalties and expenses, if any, and shall deliver to the Agent evidence reasonably acceptable to the Agent of such compliance, payment or discharge, if such contest is terminated or discontinued adversely to such Loan Party or Subsidiary or the conditions set forth in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are no longer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Each Loan Party shall, and shall cause each of its Subsidiaries to, keep adequate books and records with respect to its business activities in which proper entries, reflecting all financial transactions, are made in accordance with GAAP and on a basis consistent with the Financial Statements delivered to the Agent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Insurance; Damage to or Destruction of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 Parties shall, and shall cause each of their Subsidiaries to, at their sole cost and expense, maintain the policies of insurance as in effect on the date hereof or otherwise in form and amounts and with insurers reasonably acceptable to the Agent. Such policies of insurance (or the lender’s loss payable and additional insured endorsements delivered to the Agent) shall contain provisions pursuant to which the insurer agrees to provide 30 days (or 10 days in the case of non-payment) prior written notice to the Agent in the event of any non-renewal, cancellation or material amendment of any such insurance policy. If any Loan Party or any such Subsidiary at any time or times hereafter shall fail to obtain or maintain any of the policies of insurance required above or to pay all premiums relating thereto, the Agent may at any time or times thereafter obtain and maintain such policies of insurance and pay such premiums and take any other action with respect thereto that the Agent deems advisable. The Agent shall have no obligation to obtain insurance for any Loan Party or any such Subsidiary or pay any premiums therefor. By doing so, the Agent shall not be deemed to have waived any Default or Event of Default arising from the failure of such Loan Party or Subsidiary to maintain such insurance or pay any premiums therefor. All sums so disbursed, including reasonable attorneys’ fees, court costs and other charges related thereto, shall be payable on demand by the Borrower to the Agent and shall be additional Obligations hereunder secured by the Collateral.</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reserves the right at any time upon any change in the risk profile of any Loan Party or any Subsidiary of any Loan Party (including any change in the product mix maintained by any Loan Party or any Subsidiary or any Laws affecting the potential liability of such Loan Party or Subsidiary) to require in its Permitted Discretion additional forms and limits of insurance to the extent available to such Loan Parties and Subsidiaries at reasonable rates to, in the Agent’s opinion, adequately protect both the Agent’s and Lenders’ interests in all or any portion of the Collateral and to ensure that each Loan Party and Subsidiary is protected by insurance in amounts and with coverage customary for its industry. If reasonably requested by the Agent, each Loan Party shall deliver to the Agent from time to time a report of a reputable insurance broker reasonably satisfactory to the Agent, with respect to its insurance policies.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later than 30 days after the Closing Date (or such later date as the Agent may agree to in writing, which may be via email), all such insurance policies shall include, in form and substance reasonably satisfactory to the Agent, endorsements to (i) all special form (“all risk”) and business interruption insurance naming the Agent, on behalf of itself and Lenders, as lender loss payee, and (ii) all general liability and other liability policies naming the Agent, on behalf of itself and Lenders, as additional insured. Each Loan Party irrevocably makes, constitutes and appoints the Agent (and all officers, employees or agents designated by the Agent), so long as an Event of Default has occurred and is continuing, as each Loan Party’s true and lawful attorney in fact for the purpose of making, settling and adjusting claims under such special form policies of insurance, endorsing the name of each Loan Party on any check or other item of payment for the proceeds of such special form policies of insurance and for making all determinations and decisions with respect to such special form policies of insurance. The Agent shall have no duty to exercise any rights or powers granted to it pursuant to the foregoing power-of-attorney. The Loan Parties shall promptly notify the Agent of any loss, damage, or destruction to the Collateral in the amount of $500,000 or more, whether or not covered by insurance.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Loan Party shall, and shall cause each of its Subsidiaries to, comply with all federal, state, local and foreign Laws and regulations applicable to it, including ERISA, labor Laws, and Environmental Laws and Environmental Permits, except to the extent that the failure to so comply, individually or in the aggregate, would not reasonably be expected to have a Material Adverse Effect. Each Loan Party and each Subsidiary will maintain in effect policies and procedures reasonably designed to ensure compliance by them and their respective directors, officers, employees and agents with applicable Sanctions. Each Loan Party and each Subsidiary will comply with commercially reasonable requests by the Lender for information or documentation necessary to ensure that each Loan Party and Subsidiary is compliant with any applicable federal, state laws and not engaged in any act or omission that would cause the Lender to be in breach of any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and shall cause each of its Subsidiaries to, comply in all material respects with all applicable Health Care Laws relating to the operation of such Person’s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shall (i) obtain, maintain and preserve, and cause each of its Subsidiaries to obtain, maintain and preserve, and take all necessary action to timely renew, all material Health Care Permits which are necessary in the proper conduct of its business; and (ii) be and remain in material compliance with all requirements for participation in, and for licensure required to provide the goods or services that are reimbursable under, Medicare and Medicaid.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Loan Party shall, and shall cause each of its Subsidiaries to, maintain a corporate and health care regulatory compliance program (“</w:t>
      </w:r>
      <w:r>
        <w:rPr>
          <w:rFonts w:ascii="Times New Roman;Times;Serif" w:hAnsi="Times New Roman;Times;Serif"/>
          <w:b w:val="false"/>
          <w:i w:val="false"/>
          <w:caps w:val="false"/>
          <w:smallCaps w:val="false"/>
          <w:sz w:val="20"/>
          <w:u w:val="single"/>
        </w:rPr>
        <w:t>CCP</w:t>
      </w:r>
      <w:r>
        <w:rPr>
          <w:rFonts w:ascii="Times New Roman;Times;Serif" w:hAnsi="Times New Roman;Times;Serif"/>
          <w:b w:val="false"/>
          <w:i w:val="false"/>
          <w:caps w:val="false"/>
          <w:smallCaps w:val="false"/>
          <w:sz w:val="20"/>
        </w:rPr>
        <w:t>”) which reasonably addresses the requirements of Health Care Laws, including without limitation HIPAA and reasonably includes at least the following components and allows Agent and/or any consultants from time to time upon reasonable request to review such CCP: (i) standards of conduct and procedures that describe compliance policies regarding laws with an emphasis on prevention of fraud and abuse; (ii) a specific officer within high-level personnel identified as having overall responsibility for compliance with such standards and procedures; (iii) training and education programs which effectively communicate the compliance standards and procedures to employees and agents, including, without limitation, fraud and abuse laws and illegal billing practices; (iv) auditing and monitoring systems and reasonable steps for achieving compliance with such standards and procedures including, without limitation, publicizing a reporting system to allow employees and other agents to anonymously report criminal or suspect conduct and potential compliance problems; (v) disciplinary guidelines and consistent enforcement of compliance policies including, without limitation, discipline of individuals responsible for the failure to detect violations of the CCP; and (vi) mechanisms to respond promptly to detected violations of the CCP. Each Loan Party shall, and shall cause each of its Subsidiaries to, modify such CCP from time to time, as may be reasonably necessary to promote continuing compliance with all applicable Health Care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Each Loan Party shall, and shall cause each of its Subsidiaries to, conduct its business and affairs without infringement of or interference with any Intellectual Property of any other Person in any material respect and shall comply in all material respects with the terms of its licenses.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Each Loan Party shall and shall cause each of its Subsidiaries to: (a) conduct its operations and keep and maintain its Real Estate in compliance with all Environmental Laws and Environmental Permits other than noncompliance that would not reasonably be expected to have a Material Adverse Effect; (b) implement any and all investigation, remediation, removal and response actions that are appropriate or necessary to maintain the value and marketability of the Real Estate or to otherwise comply with Environmental Laws and Environmental Permits pertaining to the presence, generation, treatment, storage, use, disposal, transportation or Release of any Hazardous Material on, at, in, under, above, to, from or about any of its Real Estate in all material respects; (c) notify the Agent promptly after such Loan Party becomes aware of any violation of Environmental Laws or Environmental Permits or any Release on, at, in, under, above, to, from or about any Real Estate that is reasonably likely to result in Environmental Liabilities in excess of $1,000,000; and (d) promptly forward to the Agent a copy of any material written communication, report, notice, order or request for information received by such Loan Party in connection with any such violation or Release or any other matter relating to any Environmental Laws or Environmental Permits that could reasonably be expected to result in Environmental Liabilities in excess of $1,000,000 in each case whether or not the Environmental Protection Agency or any Governmental Authority has taken or threatened any action in connection with any such violation, Release or other matter. If the Agent at any time has a reasonable basis to believe that there may be a violation of any Environmental Laws or Environmental Permits by any Loan Party or any Environmental Liability arising thereunder, or a Release of Hazardous Materials on, at, in, under, above, to, from or about any of its Real Estate, that, in each case, would reasonably be expected to have a Material Adverse Effect, then the Agent may provide written notice to each Loan Party of such violation or Release, upon the Agent’s written request, each Loan Party shall (i) cause the performance of such environmental audits including subsurface sampling of soil and groundwater, and preparation of such environmental reports, at the Loan Parties’ expense, as the Agent may from time to time reasonably request, which shall be conducted by reputable environmental consulting firms reasonably acceptable to the Agent and shall be in form and substance reasonably acceptable to the Agent, and (ii) if the Loan Parties do not promptly perform such environmental audits or prepare such environmental reports as reasonably requested permit the Agent or its representatives to have access to all Real Estate for the purpose of conducting such environmental audits and testing as the Agent deems appropriate, including subsurface sampling of soil and groundwater. The Loan Parties shall reimburse the Agent for the costs of such audits and tests and the same will constitute a part of the Obligations secured hereunder.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Collateral Access Agreements; Certain Real Estate Deliverables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Within 45 days after the Closing Date (or such later date as the Agent may agree to in writing, which may be via email), the Loan Parties shall use their commercially reasonable efforts to obtain a Collateral Access Agreement with respect to their locations at (i) 1A Burton Hills Blvd., Suite 200, Nashville, Tennessee 37215, (ii) 1705 Route 46 W, Suite 4, Ledgewood, NJ 07852, and (iii) 658 Grassmere Park, Suite 104, Nashville, TN 37211. If any Loan Party leases a new location where material books and records with respect to the Accounts of any Loan Party are located, within 45 days thereafter (or such later date as the Agent may agree to in writing, which may be via email), such Loan Party shall use its commercially reasonable efforts to obtain a Collateral Access Agreement with respect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Collateral Access Agreement shall be required in the event that such books and records are maintained in duplicate at another location for which Borrower has delivered a Collateral Access Agreement or are available electronically through systems to which the Agent is given access.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45 days after the Closing Date (or such later date as the Agent may agree to in writing, which may be via email), the Loan Parties shall use their commercially reasonable efforts to obtain a bailee letter (in form and substance reasonably satisfactory to the Agent) from Cardinal Health, Inc. with respect to any Loan Party’s inventory located at 501 Mason Road, La Vergne, TN 37086.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Cash Management Systems</w:t>
      </w:r>
      <w:r>
        <w:rPr>
          <w:rFonts w:ascii="Times New Roman;Times;Serif" w:hAnsi="Times New Roman;Times;Serif"/>
          <w:b w:val="false"/>
          <w:i w:val="false"/>
          <w:caps w:val="false"/>
          <w:smallCaps w:val="false"/>
          <w:sz w:val="20"/>
        </w:rPr>
        <w:t xml:space="preserve">. The Loan Parties shall establish and maintain the cash management systems described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Cash Management Systems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Maintenance of Property</w:t>
      </w:r>
      <w:r>
        <w:rPr>
          <w:rFonts w:ascii="Times New Roman;Times;Serif" w:hAnsi="Times New Roman;Times;Serif"/>
          <w:b w:val="false"/>
          <w:i w:val="false"/>
          <w:caps w:val="false"/>
          <w:smallCaps w:val="false"/>
          <w:sz w:val="20"/>
        </w:rPr>
        <w:t>. Each Loan Party shall maintain, and shall cause each of its Subsidiaries to maintain, and preserve all its property which is used or useful in its business in good working order and condition, ordinary wear and tear and casualty excepted and shall make all necessary repairs thereto and renewals and replacements thereof except where the failure to do so would not reasonably be expected to have, either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Inspection of Property and Books and Records; Appraisals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Loan Party shall, and shall cause each of its Subsidiaries to, with respect to each owned, leased, or controlled property, during normal business hours and upon reasonable advance notice (unless an Event of Default shall have occurred and be continuing, in which event no notice shall be required and the Agent shall have access at any and all times during the continuance thereof): (i) provide access to such property to the Agent and any of its Related Persons, as frequently as the Agent determines to be appropriate; and (ii) permit the Agent and any of its Related Persons to conduct field examinations, audit, inspect and make extracts and copies from all of such Loan Party’s books and records, and evaluate and make physical verifications of the Inventory and other Collateral in any manner and through any medium that the Agent considers advisable, in each instance, at the Loan Parties’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Loan Parties shall only be obligated to reimburse the Agent for the expenses for one such field examination, audit and inspection per year (or two such field examinations, audits and inspections per year at any time during such Fiscal Year that Excess Availability is or has been less than the greater of 17.5% of Availability and $6,300,000 for three consecutive Business Days) or more frequently if an Event of Default has occurred and is continuing. Any Lender may accompany the Agent or its Related Persons in connection with any inspection at such Lender’s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shall require Loan Parties or their Subsidiaries to provide any such information or access (i) which constitutes non-financial trade secrets or non-financial proprietary information, (ii) in violation of applicable law, (iii) which is subject to attorney-client or similar privilege or constitutes attorney work-product, or (iv) with respect to which any Loan Party owes confidentiality obligations pursuant to a written confidentiality agreement (to the extent not created in contemplation of such Loan Party’s obligations under this Agreement) in favor of any third party. Nothing herein or in any Loan Document shall require any Loan Party or any Subsidiary of a Loan Party to disclose (or provide access to) any individually identifiable health information or other confidential patient information in violation of applicable laws, regulations or ordinances intended to protect the privacy rights of healthcare patients, including HIPAA.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Borrower shall use the proceeds of the Advances as provided for in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Further Assurances.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upon request by the Agent, the Loan Parties shall and, subject to the limitations set forth herein and in the Collateral Documents, shall cause each of their Subsidiaries to take such additional actions and execute such documents as the Agent may reasonably require from time to time in order (i) to carry out more effectively the purposes of this Agreement or any other Loan Document, (ii) to subject to the Liens created by any of the Collateral Documents any of the properties, rights or interests covered by any of the Collateral Documents, (iii) to perfect and maintain the validity, effectiveness and priority of any of the Collateral Documents and the Liens intended to be created thereby, and (iv) to better assure, convey, grant, assign, transfer, preserve, protect and confirm to the Lenders the rights granted or now or hereafter intended to be granted to the Lenders under any Loan Document. Without limiting the generality of the foregoing and except as otherwise approved in writing by Required Lenders, the Loan Parties shall cause each of their Subsidiaries (other than Excluded Subsidiaries) and any Person formed or created as a result of a statutory division of a Loan Party, within 60 days (or such longer period to which the Agent consents in its sole discretion) after formation, creation or acquisition thereof, or after such Person ceases to be an Excluded Subsidiary, to guaranty the Obligations and grant to the Agent, for the benefit of the Secured Parties, a security interest in such Person’s personal property, subject to the limitations set forth herein and in the applicable Collateral Documents, to secure such guaranty.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Furthermore and except as otherwise approved in writing by Required Lenders, each Loan Party shall pledge to the Agent, for the benefit of the Secured Parties, all of the Stock (other than Excluded Equity Interests) of each of the Subsidiaries, concurrently with such Loan Party becoming a Loan Party. In connection with each such pledge of Stock, the Loan Parties shall deliver, or cause to be delivered, to the Agent, to the extent required by the Collateral Documents, irrevocable proxies and stock powers and/or assignments, as applicable, duly executed in blank.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Loan Parties shall deliver, or cause to be delivered, to the Agent appropriate resolutions, secretary certificates, certified Organizational Documents and, if requested by the Agent in its Permitted Discretion, legal opinions relating to the matters described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(which opinions shall be in form and substance reasonably acceptable to the Agent and, to the extent applicable, substantially similar to the opinions delivered on the Closing Date), in each instance with respect to each Loan Party formed or acquired after the Closing Date. In addition to, and without limiting, any of the foregoing, promptly following the Agent’s reasonable written request therefor, the Loan Parties shall deliver, or cause to be delivered, to the Agent: (i) such other information regarding the operations, material changes in ownership of Stock, business affairs and financial condition of any Loan Party or any Subsidiary, or compliance with the terms of this Agreement, as the Agent or any Lender (through the Agent) may reasonably request and (ii) information and documentation reasonably requested by the Agent or any Lender for purposes of compliance with applicable Anti-Terrorism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any Loan Party acquires any Material Real Estate Asset, within 90 days after (or such later date as the Agent may agree to in writing, which may be via email) such acquisition, such Person shall execute and/or deliver, or cause to be executed and/or delivered, to Agent, the Real Estate Deliverables with respect to such Material Real Estate Asset.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70"/>
        <w:gridCol w:w="218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COVENANTS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jointly and severally agrees that from and after the date hereof until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Dispositions</w:t>
      </w:r>
      <w:r>
        <w:rPr>
          <w:rFonts w:ascii="Times New Roman;Times;Serif" w:hAnsi="Times New Roman;Times;Serif"/>
          <w:b w:val="false"/>
          <w:i w:val="false"/>
          <w:caps w:val="false"/>
          <w:smallCaps w:val="false"/>
          <w:sz w:val="20"/>
        </w:rPr>
        <w:t>. No Loan Party shall, nor shall it permit any of its Subsidiaries to, directly or indirectly, sell, assign, lease, convey, transfer, undergo a statutory division or otherwise dispose of (whether in one or a series of transactions) any property (including the Stock of any Subsidiary, whether in a public or a private offering or otherwise, and accounts and notes receivable, with or without recourse),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in the Ordinary Course of Business to any Person of Inventory or obsolete, worn-out or surplus Equipment or other tangible property that is no longer used or useful in the business of the Loan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dispositions of property to a Loan Party or by a Subsidiary that is not a Loan Party to another Subsidiary that is not a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dispositions of Cash Equivalents in the Ordinary Course of Business or conversions of Cash Equivalents into cash or other Cash Equivalents;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Investments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dispositions which are made for fair market value;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at the time of any disposition, no Event of Default shall exist or shall result from such disposition, (B) not less than 75% of the aggregate consideration for such disposition shall be paid in cash, and (C) the aggregate fair market value of all assets so sold by the Loan Parties and their Subsidiaries shall not exceed (i) $5,000,000 in any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 long as no Event of Default has occurred and is continuing (or would reasonably be expected to occur after giving effect to such disposition), dispositions (other than with respect to Material Intellectual Property) with a fair market value not in excess of $1,000,000 in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creation of a Lien permitted under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transaction permitted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in the Ordinary Course of Business consisting of the abandonment, lapse or cancellation of Intellectual Property (other than Material Intellectual Property) which, in the reasonable good faith determination of Borrower, are not material to the conduct of the business of Borrower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dispositions identified on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xml:space="preserve"> on the Closing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disposition of defaulted Accounts that arose in the Ordinary Course of Business for collection, so long as such Accounts are excluded from the calculation of the Borrowing Base.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Investments; Loans and Advances</w:t>
      </w:r>
      <w:r>
        <w:rPr>
          <w:rFonts w:ascii="Times New Roman;Times;Serif" w:hAnsi="Times New Roman;Times;Serif"/>
          <w:b w:val="false"/>
          <w:i w:val="false"/>
          <w:caps w:val="false"/>
          <w:smallCaps w:val="false"/>
          <w:sz w:val="20"/>
        </w:rPr>
        <w:t>. No Loan Party shall, nor shall it permit any of its Subsidiaries to, make or permit to exist any Investment in, or make, accrue or permit to exist loans or advances of money to, any Person, through the direct or indirect lending of money, holding of securities or otherwise,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and its Subsidiaries may hold Investments comprised of notes payable, or stock or other securities issued by Account Debtors to such Loan Party or Subsidiary pursuant to negotiated agreements with respect to settlement of such Account Debtor’s Accounts in the Ordinary Course of Business, consistent with past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Loan Party and its Subsidiaries may maintain its existing Investments in Stock of their respective Subsidiaries existing as of the Closing Date and other Investments listed on </w:t>
      </w:r>
      <w:r>
        <w:rPr>
          <w:rFonts w:ascii="Times New Roman;Times;Serif" w:hAnsi="Times New Roman;Times;Serif"/>
          <w:b w:val="false"/>
          <w:i w:val="false"/>
          <w:caps w:val="false"/>
          <w:smallCaps w:val="false"/>
          <w:sz w:val="20"/>
          <w:u w:val="single"/>
        </w:rPr>
        <w:t>Schedule 6.2</w:t>
      </w:r>
      <w:r>
        <w:rPr>
          <w:rFonts w:ascii="Times New Roman;Times;Serif" w:hAnsi="Times New Roman;Times;Serif"/>
          <w:b w:val="false"/>
          <w:i w:val="false"/>
          <w:caps w:val="false"/>
          <w:smallCaps w:val="false"/>
          <w:sz w:val="20"/>
        </w:rPr>
        <w:t xml:space="preserve"> on the Closing Date, and in each case any renewals, amendments and replacements thereof that do not increase the amount of any such Investment, net of cash returns thereon, or require that any additional Investment be made (unless otherwise permitted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Loan Parties may make Permitted Acquisitions and earnest money deposits in connection with Permitted Acquisitions and Investments acquired as a result of any Permitted Acquisition to the extent that such Investments were not made in contemplation of or in connection with such Permitted Acquisition and were in existence prior to the date of such Permitted Acquisition;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Loan Parties may make Permitted Intellectual Property Acquisitions and earnest money deposits in connection with Permitted Intellectual Property Acquisitions;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 Rate Contracts entered into in the ordinary course of business for bona fide hedging purposes and not for speculation;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in cash and Cash Equivalents;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loans or advances permitted under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extent constituting Investments, guarantees permitted under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Liens permitted by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and transactions permitted by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in Accounts owing to any Loan Party if created or acquired in the Ordinary Course of Business and payable or dischargeable in accordance with customary trade terms;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trade terms may include such concessionary trade terms as any Loan Party deems reasonable under the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payroll and similar extensions of credit to cover matters that are expected at the time of such extensions of credit ultimately to be treated as expenses for accounting purposes and that are made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extensions of credit to Account Debtors and suppliers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Stock, obligations or securities received in settlement of debts created in the Ordinary Course of Business and owing to any Loan Party or in satisfaction of judgments;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Investments in any Person where such Investment was acquired by the Borrower or any Subsidiary (i) in exchange for any other investment or accounts receivable held by any Loan Party in connection with or as a result of a bankruptcy, workout, reorganization or recapitalization of the issuer of such other investment or Accounts or (ii) as a result of a foreclosure by any Loan Party with respect to any secured investment or other transfer of title with respect to any secured investment in default;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prepaid expenses, negotiable instruments held for collection and lease, utility and workers’ compensation, performance and other similar pledges and deposits made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obligations of one or more officers, directors, or employees of any Loan Party in connection with such individual’s acquisition of shares of Stock of any Loan Party (and refinancings of the principal thereof and accrued interest thereon) so long as no net cash is paid by such Loan Party to such individuals in connection with the acquisition of any such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Investments acquired after the Closing Date as a result of the acquisition by any Loan Party of another Person, including by way of a merger, amalgamation, or consolidation with or into such Loan Party, in a transaction that is not prohibited by this Agreement to the extent that such Investments were not made in contemplation of such acquisition, merger, amalgamation or consolidation and were in existence on the date of such acquisition, merger, amalgamation or consolidation;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Investments by (i) a Loan Party in another Loan Party, (ii) a Subsidiary that is not a Loan Party in any other Subsidiary that is not a Loan Party and (iii) a Subsidiary that is not a Loan Party in a Loan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Investment made by any Subsidiary that is not a Loan Party pursuant to this </w:t>
      </w:r>
      <w:r>
        <w:rPr>
          <w:rFonts w:ascii="Times New Roman;Times;Serif" w:hAnsi="Times New Roman;Times;Serif"/>
          <w:b w:val="false"/>
          <w:i w:val="false"/>
          <w:caps w:val="false"/>
          <w:smallCaps w:val="false"/>
          <w:sz w:val="20"/>
          <w:u w:val="single"/>
        </w:rPr>
        <w:t>clause (q)</w:t>
      </w:r>
      <w:r>
        <w:rPr>
          <w:rFonts w:ascii="Times New Roman;Times;Serif" w:hAnsi="Times New Roman;Times;Serif"/>
          <w:b w:val="false"/>
          <w:i w:val="false"/>
          <w:caps w:val="false"/>
          <w:smallCaps w:val="false"/>
          <w:sz w:val="20"/>
        </w:rPr>
        <w:t xml:space="preserve"> shall be subordinated in right of payment to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Investments consisting of the endorsement of negotiable instruments for deposit or collection or similar transactions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Investments consisting of the non-cash portion of the sales consideration received by the Borrower or any of its Subsidiaries in connection with any dispositions permitted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outbound non-exclusive license for the use of Intellectual Property of any Loan Party entered into in the Ordinary Course of Business;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Investments in an aggregate amount outstanding not to exceed the greater of $5,000,000 and 10% of Consolidated Adjusted EBITDA for the Test Period most recently 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 Loan Party shall, nor shall it permit any of its Subsidiaries to, create, incur, assume or permit to exist any Indebtedness,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Advances and the other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secured by Liens permitted by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 and any Permitted Refinancing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unfunded employee benefit plan obligations and liabilities to the extent they are permitted to remain unfunded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Indebtedness in existence on the Closing Date and described on </w:t>
      </w:r>
      <w:r>
        <w:rPr>
          <w:rFonts w:ascii="Times New Roman;Times;Serif" w:hAnsi="Times New Roman;Times;Serif"/>
          <w:b w:val="false"/>
          <w:i w:val="false"/>
          <w:caps w:val="false"/>
          <w:smallCaps w:val="false"/>
          <w:sz w:val="20"/>
          <w:u w:val="single"/>
        </w:rPr>
        <w:t>Schedule 6.3</w:t>
      </w:r>
      <w:r>
        <w:rPr>
          <w:rFonts w:ascii="Times New Roman;Times;Serif" w:hAnsi="Times New Roman;Times;Serif"/>
          <w:b w:val="false"/>
          <w:i w:val="false"/>
          <w:caps w:val="false"/>
          <w:smallCaps w:val="false"/>
          <w:sz w:val="20"/>
        </w:rPr>
        <w:t xml:space="preserve"> and any Permitted Refinancing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Indebtedness of a Subsidiary of the Borrower acquired pursuant to a Permitted Acquisition (or Indebtedness of a Target assumed at the time of a Permitted Acquisition of such Target) and any Permitted Refinancing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Indebtedness was not incurred in connection with, or in anticipation or contemplation of, such Permitted Acquisition and (ii) the aggregate principal amount of all Indebtedness permitted by this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shall not at any time outstanding exceed $10,000,000;</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Notes which constitute Subordinated Debt for all purposes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all obligations under each Seller Note shall be unsecured and subordinated to the Obligations pursuant to subordination provisions reasonably satisfactory to the Agent, (ii) no Seller Note shall mature any earlier than 6 months following the latest maturity date of the Advances under this Agreement at the time of the issuance of such Seller Note, (iii) no payments of principal or interest may be made pursuant to or under any Seller Notes prior to the latest maturity date of the Advances under this Agreement at the time of the issuance of the Seller Notes, (iv) the terms and conditions applicable to any Seller Note (and any amendments thereto), shall be reasonably satisfactory to the Agent, and (v) the aggregate principal amount of all Indebtedness outstanding under this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 xml:space="preserve">, together with any Indebtedness outstanding under </w:t>
      </w:r>
      <w:r>
        <w:rPr>
          <w:rFonts w:ascii="Times New Roman;Times;Serif" w:hAnsi="Times New Roman;Times;Serif"/>
          <w:b w:val="false"/>
          <w:i w:val="false"/>
          <w:caps w:val="false"/>
          <w:smallCaps w:val="false"/>
          <w:sz w:val="20"/>
          <w:u w:val="single"/>
        </w:rPr>
        <w:t>Section 6.3(g)</w:t>
      </w:r>
      <w:r>
        <w:rPr>
          <w:rFonts w:ascii="Times New Roman;Times;Serif" w:hAnsi="Times New Roman;Times;Serif"/>
          <w:b w:val="false"/>
          <w:i w:val="false"/>
          <w:caps w:val="false"/>
          <w:smallCaps w:val="false"/>
          <w:sz w:val="20"/>
        </w:rPr>
        <w:t>, shall not at any time exceed $5,000,000;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Contingent Acquisition Consideration which shall constitute Subordinated Debt for all purposes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all obligations in respect of Contingent Acquisition Consideration shall be unsecured and subordinated to the Obligations pursuant to subordination provisions reasonably satisfactory to the Agent, (ii) the terms and conditions applicable to any Contingent Acquisition Consideration (and any amendments thereto), shall be reasonably satisfactory to the Agent, and (iii) the maximum aggregate amount payable with respect to all such Contingent Acquisition Consideration (assuming the remaining maximum performance standards related thereto are satisfied, except to the extent all or any portion thereof becomes a fixed, matured or earned amount, in which case such amount shall be deemed the actual amount of the Contingent Acquisition Consideration), together with any Indebtedness outstanding under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 shall not exceed $5,000,000;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extent constituting Indebtedness, Contingent Obligations permitted pursuant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consisting of intercompany loans and advances made by the Borrower to any other Loan Party or by any Guarantor to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of any Loan Party in respect of performance bonds, bid bonds, appeal bonds, surety bonds, completion guaranties and similar obligations, in each case provided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unsecured Indebtedness not to exceed the greater of $5,000,000 and 10% of Consolidated Adjusted EBITDA for the Test Period most recently ended at any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secured Indebtedness not to exceed the greater of $2,500,000 and 5% of Consolidated Adjusted EBITDA for the Test Period most recently ended at any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in respect of the Senior Unsecured Notes and any Permitted Refinancing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to the extent constituting Indebtedness, Investments permitted by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Indebtedness in respect of letters of credit, bank guarantees, bankers’ acceptances, warehouse receipts or similar instruments issued or created, or related to obligations or liabilities incurred, in the Ordinary Course of Business, including in respect of workers compensation claims, health, disability or other employee benefits or property, leases, commercial contracts, Indebtedness permitted pursuant to </w:t>
      </w:r>
      <w:r>
        <w:rPr>
          <w:rFonts w:ascii="Times New Roman;Times;Serif" w:hAnsi="Times New Roman;Times;Serif"/>
          <w:b w:val="false"/>
          <w:i w:val="false"/>
          <w:caps w:val="false"/>
          <w:smallCaps w:val="false"/>
          <w:sz w:val="20"/>
          <w:u w:val="single"/>
        </w:rPr>
        <w:t>Section 6.3(j)</w:t>
      </w:r>
      <w:r>
        <w:rPr>
          <w:rFonts w:ascii="Times New Roman;Times;Serif" w:hAnsi="Times New Roman;Times;Serif"/>
          <w:b w:val="false"/>
          <w:i w:val="false"/>
          <w:caps w:val="false"/>
          <w:smallCaps w:val="false"/>
          <w:sz w:val="20"/>
        </w:rPr>
        <w:t>, property, casualty or liability insurance or self-insurance or other Indebtedness with respect to reimbursement-type obligations regarding workers compensation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Indebtedness arising in connection with the financing of insurance premiums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Indebtedness in respect of netting services, overdraft protections, business credit cards, purchasing cards, payment processing, automatic clearinghouse arrangements, arrangements in respect of pooled deposit or sweep accounts, check endorsement guarantees, and otherwise in connection with deposit accounts or cash management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purchase price adjustments, indemnity payments, incentive, non-compete, consulting or other similar arrangements, contingent obligations in connection with any Permitted Acquisition or Permitted Intellectual Property Acquisition (including for this purpose Acquisitions that closed prior to the Closing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Permitted Debt Issuance and any Permitted Refinancing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in the event that an item of Indebtedness or any portion thereof meets the criteria of more than one of the exceptions described above, the Borrower, in its sole discretion, may classify, and from time to time may reclassify, all or any portion of such item of Indebtedness between or among such exceptions in any manner such that the item of Indebtedness would be permitted to be created or incurred at the time of such classification or reclassification,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Employee Loans and Affiliate Transactions</w:t>
      </w:r>
      <w:r>
        <w:rPr>
          <w:rFonts w:ascii="Times New Roman;Times;Serif" w:hAnsi="Times New Roman;Times;Serif"/>
          <w:b w:val="false"/>
          <w:i w:val="false"/>
          <w:caps w:val="false"/>
          <w:smallCaps w:val="false"/>
          <w:sz w:val="20"/>
        </w:rPr>
        <w:t>. No Loan Party shall, nor shall it permit any of its Subsidiaries to, enter into any transaction with any Affiliate of such Loan Party or of any such Subsidiary, or pay any management, consulting or similar fees to any Affiliate of any Loan Party or to any officer, director (or manager) or employee of any Loan Party or any Affiliate of any Loan Party or any of their respective Affiliates (other than a Loan Party) for any costs, expenses and similar items,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expressly permitted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any management, consulting or similar fees, transactions in the Ordinary Course of Business and pursuant to the reasonable requirements of the business of such Loan Party or Subsidiary upon fair and reasonable terms no less favorable to such Loan Party or Subsidiary than would be obtained in a comparable arm’s length transaction with a Person not an Affiliate of the Borrower or such Subsidiary and which, in the case of transactions involving one or more payments by the Borrower or any Subsidiary in excess of $250,000 to any Affiliate of the Borrower, in each case, for any single transaction or series of related transactions, are disclosed in writing to the Agent, in each case, exclusive of any loans or advances except to the extent expressly permitted by </w:t>
      </w:r>
      <w:r>
        <w:rPr>
          <w:rFonts w:ascii="Times New Roman;Times;Serif" w:hAnsi="Times New Roman;Times;Serif"/>
          <w:b w:val="false"/>
          <w:i w:val="false"/>
          <w:caps w:val="false"/>
          <w:smallCaps w:val="false"/>
          <w:sz w:val="20"/>
          <w:u w:val="single"/>
        </w:rPr>
        <w:t>Sections 6.3(i)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loans or advances to employees of Loan Parties for travel, entertainment and relocation expenses and other purposes in the Ordinary Course of Business, and (ii) loans to employees, officers or directors relating to the purchase of Stock of the Borrower not to exceed $2,500,000 in the aggregate in any Fiscal Year pursuant to employee stock purchase plans or agreements approved by the Borrower’s board of directors (or similar governing body);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transactions with Affiliates existing as of the Closing Date and described in </w:t>
      </w:r>
      <w:r>
        <w:rPr>
          <w:rFonts w:ascii="Times New Roman;Times;Serif" w:hAnsi="Times New Roman;Times;Serif"/>
          <w:b w:val="false"/>
          <w:i w:val="false"/>
          <w:caps w:val="false"/>
          <w:smallCaps w:val="false"/>
          <w:sz w:val="20"/>
          <w:u w:val="single"/>
        </w:rPr>
        <w:t>Schedule 6.4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non-cash loans or advances made by the Borrower to employees, officers or directors of Loan Parties that are simultaneously used by such Persons to purchase Stock of the Borrower;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of reasonable compensation (including performance, discretionary, retention, relocation, transaction and other special bonuses and payment, severance payments and payments pursuant to employment agreements), other benefits (including retirement, health, stock option and other benefit plans, life insurance, disability insurance and other equity (or equity-linked) awards) and indemnification of, and other employment arrangements with, directors, officers, and employees of any Loan Party or its Subsidiaries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payment of customary fees, reimbursement of expenses, and payment of indemnification to officers and directors and customary payment of insurance premiums on behalf of officers and directors by the Loan Parties or their Subsidiaries, in each case,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transaction (with any series of related transactions being aggregated for the purposes of this clause (h)) involving consideration of less than $100,000;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arrangement or transaction to the extent the terms thereof are (i) no less favorable to the Loan Parties than those that would be obtained in a comparable arm’s-length transaction with a non-affiliated Person and (ii) such transaction is otherwise permitted hereunder and under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Capital Structure and Business</w:t>
      </w:r>
      <w:r>
        <w:rPr>
          <w:rFonts w:ascii="Times New Roman;Times;Serif" w:hAnsi="Times New Roman;Times;Serif"/>
          <w:b w:val="false"/>
          <w:i w:val="false"/>
          <w:caps w:val="false"/>
          <w:smallCaps w:val="false"/>
          <w:sz w:val="20"/>
        </w:rPr>
        <w:t xml:space="preserve">. Except as expressly permitted under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no Loan Party shall amend any of its Organizational Document in any material respect and, in each case, in any respect materially adverse to the Agent and Lenders. No Loan Party shall, nor shall it permit any of its Subsidiaries to, engage in any material line of business substantially different from those lines of business carried on by the Borrower and its Subsidiaries, or proposed to be carried on by it, on the Closing Date or any businesses, services and activities that are related, complementary, synergistic, incidental, ancillary or similar thereto or are extensions or developments of any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Contingent Obligations</w:t>
      </w:r>
      <w:r>
        <w:rPr>
          <w:rFonts w:ascii="Times New Roman;Times;Serif" w:hAnsi="Times New Roman;Times;Serif"/>
          <w:b w:val="false"/>
          <w:i w:val="false"/>
          <w:caps w:val="false"/>
          <w:smallCaps w:val="false"/>
          <w:sz w:val="20"/>
        </w:rPr>
        <w:t>. No Loan Party shall, nor shall it permit any of its Subsidiaries to, create, incur, assume or permit to exist any Contingent Obligations except in respect of the Obligations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endorsements for collection or deposit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with respect to Rate Contracts entered into in the ordinary course of business for bona fide hedging purposes and not for speculation;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Contingent Obligations of the Loan Parties and their Subsidiaries existing as of the Closing Date and listed on </w:t>
      </w:r>
      <w:r>
        <w:rPr>
          <w:rFonts w:ascii="Times New Roman;Times;Serif" w:hAnsi="Times New Roman;Times;Serif"/>
          <w:b w:val="false"/>
          <w:i w:val="false"/>
          <w:caps w:val="false"/>
          <w:smallCaps w:val="false"/>
          <w:sz w:val="20"/>
          <w:u w:val="single"/>
        </w:rPr>
        <w:t>Schedule 6.6</w:t>
      </w:r>
      <w:r>
        <w:rPr>
          <w:rFonts w:ascii="Times New Roman;Times;Serif" w:hAnsi="Times New Roman;Times;Serif"/>
          <w:b w:val="false"/>
          <w:i w:val="false"/>
          <w:caps w:val="false"/>
          <w:smallCaps w:val="false"/>
          <w:sz w:val="20"/>
        </w:rPr>
        <w:t>, including extensions and renewals thereof which do not increase the amount of such Contingent Obligations or impose materially more restrictive or adverse terms on the Loan Parties and their Subsidiaries as compared to the terms of the Contingent Obligation being renewed or extended;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Contingent Obligations arising under indemnity agreements to title insurers to cause such title insurers to issue to the Agent title insurance policies;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Contingent Obligations arising with respect to customary indemnification obligations in favor of (i) sellers in connection with Permitted Acquisitions and Permitted Intellectual Property Acquisitions (including for this purpose Acquisitions that closed prior to the Closing Date), and (ii) purchasers in connection with dispositions permitted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Contingent Obligations with respect to Indebtedness permitted under </w:t>
      </w:r>
      <w:r>
        <w:rPr>
          <w:rFonts w:ascii="Times New Roman;Times;Serif" w:hAnsi="Times New Roman;Times;Serif"/>
          <w:b w:val="false"/>
          <w:i w:val="false"/>
          <w:caps w:val="false"/>
          <w:smallCaps w:val="false"/>
          <w:sz w:val="20"/>
          <w:u w:val="single"/>
        </w:rPr>
        <w:t>Section 6.3(p)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Contingent Obligations arising under guaranties made in the Ordinary Course of Business, which obligations are otherwise permitted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obligation is subordinated to the Obligations, such guaranty shall be subordinated to the same extent;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Contingent Obligations under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permitted by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other Contingent Obligations not exceeding the greater of $1,000,000 and 2% of Consolidated Adjusted EBITDA for the Test Period most recently ended in the aggregate at any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No Loan Party shall, nor shall it permit any of its Subsidiaries to, create, incur, assume or permit to exist any Lien on or with respect to its Accounts or any of its other properties or assets (whether now owned or hereafter acquired),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Liens in existence on the date hereof and summarized on </w:t>
      </w:r>
      <w:r>
        <w:rPr>
          <w:rFonts w:ascii="Times New Roman;Times;Serif" w:hAnsi="Times New Roman;Times;Serif"/>
          <w:b w:val="false"/>
          <w:i w:val="false"/>
          <w:caps w:val="false"/>
          <w:smallCaps w:val="false"/>
          <w:sz w:val="20"/>
          <w:u w:val="single"/>
        </w:rPr>
        <w:t>Schedule 6.7</w:t>
      </w:r>
      <w:r>
        <w:rPr>
          <w:rFonts w:ascii="Times New Roman;Times;Serif" w:hAnsi="Times New Roman;Times;Serif"/>
          <w:b w:val="false"/>
          <w:i w:val="false"/>
          <w:caps w:val="false"/>
          <w:smallCaps w:val="false"/>
          <w:sz w:val="20"/>
        </w:rPr>
        <w:t xml:space="preserve"> securing Indebtedness described on </w:t>
      </w:r>
      <w:r>
        <w:rPr>
          <w:rFonts w:ascii="Times New Roman;Times;Serif" w:hAnsi="Times New Roman;Times;Serif"/>
          <w:b w:val="false"/>
          <w:i w:val="false"/>
          <w:caps w:val="false"/>
          <w:smallCaps w:val="false"/>
          <w:sz w:val="20"/>
          <w:u w:val="single"/>
        </w:rPr>
        <w:t>Schedule 6.3</w:t>
      </w:r>
      <w:r>
        <w:rPr>
          <w:rFonts w:ascii="Times New Roman;Times;Serif" w:hAnsi="Times New Roman;Times;Serif"/>
          <w:b w:val="false"/>
          <w:i w:val="false"/>
          <w:caps w:val="false"/>
          <w:smallCaps w:val="false"/>
          <w:sz w:val="20"/>
        </w:rPr>
        <w:t xml:space="preserve"> and Permitted Refinancings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principal amount so secured is not increased and the Lien does not attach to any other property;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created after the date hereof by conditional sale or other title retention agreements (including Capital Leases) or in connection with Indebtedness (and Permitted Refinancings thereof) incurred to finance the acquisition of software, Equipment and Fixtures acquired by any Loan Party in the Ordinary Course of Business, involving the incurrence of an aggregate amount of Indebtedness and Capital Lease Obligations of not more than $5,000,000 outstanding at any one time for all such Liens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attach only to the software, Equipment and Fixtures subject to such Indebtedness and the products and proceeds and replacement thereof, attachments thereto and books and records related thereto and does not exceed 100% of the purchase price of the subject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on property acquired pursuant to a Permitted Acquisition (other than Accounts, Inventory and Deposit Accounts), or on property of a Subsidiary in existence at the time such Subsidiary is acquired pursuant to a Permitted Acquisition;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any Indebtedness that is secured by such Liens is permitted to exist under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and any Permitted Refinancing thereof, and (ii) such Liens are not incurred in connection with, or in contemplation or anticipation of, such Permitted Acquisition and do not attach to any property of the Borrower or its Subsidiaries other than property of the applicable Target;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(i) in favor of customs and revenue authorities arising as a matter of Law to secure payment of customs duties in connection with the importation of goods in the ordinary course of business or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in favor of collecting banks arising under Section 4-210 of the UCC and other banker’s liens or rights of set off arising by operation of law in favor of banks or other depository institutions;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interest or title (and all encumbrances and other matters affecting such interest or title) of a lessor, sub-lessor, licensor or sub-licensor under leases, subleases, non-exclusive licenses or non-exclusive sublicenses entered into by the Borrower or any of its Subsidiaries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lease or sublease shall constitute a Capital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Lien arising under conditional sale, title retention, consignment or similar arrangements for the sale of goods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 attaches only to the goods subject to such sale, title retention, consignment or similar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solely on any cash earnest money deposits made by the Borrower or any of its Subsidiaries in connection with any letter of intent or purchase agreement permitted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on insurance policies and the proceeds thereof securing the financing of the premiums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rights of first refusal, voting, redemption, transfer or other restrictions (including call provisions and buy-sell provisions) with respect to the Stock of any joint venture or other Persons that are not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of sellers of goods to the Borrower and any of its Subsidiaries arising under Article 2 of the Uniform Commercial Code or otherwise in the Ordinary Course of Business, covering only the goods sold and securing only the unpaid purchase price for such goods and related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to the extent constituting a Lien, customary cash escrow arrangements securing indemnification obligations associated with a Permitted Acquisition or any other Investment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evidenced by the filing of precautionary UCC financing statements relating solely to operating leases of personal property entered into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incurred with respect to obligations that do not exceed the greater of $2,500,000 and 5% of Consolidated Adjusted EBITDA for the Test Period most recently ended in the aggregate at any time outstanding;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leases, licenses, subleases and sublicenses of assets (including real property and intellectual property rights) that do not materially interfere with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Consolidations and Mergers</w:t>
      </w:r>
      <w:r>
        <w:rPr>
          <w:rFonts w:ascii="Times New Roman;Times;Serif" w:hAnsi="Times New Roman;Times;Serif"/>
          <w:b w:val="false"/>
          <w:i w:val="false"/>
          <w:caps w:val="false"/>
          <w:smallCaps w:val="false"/>
          <w:sz w:val="20"/>
        </w:rPr>
        <w:t>. No Loan Party shall, nor shall it permit any of its Subsidiaries to, merge, consolidate with or into, or convey, transfer, lease or otherwise dispose of (whether in one transaction or in a series of transactions) all or substantially all of its assets (whether now owned or hereafter acquired) to or in favor of any Person or undergo any statutory division, or liquidate, wind-up or dissolve itself (or suffer any liquidation or dissolution),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expressly permitted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lease, transfer or other disposition by (i) any Loan Party (other than the Borrower) of any or all of its property (upon voluntary liquidation, dissolution, winding-up or otherwise) to the Borrower or any other Loan Party or to any entity that concurrently therewith shall become a Loan Party or (ii) any Subsidiary that not a Loan Party of any or all of its property (upon voluntary liquidation, dissolution, winding-up or otherwise) to any other Subsidiary that is not a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sale, transfer or other disposition of (i) the Stock of any Subsidiary to a Loan Party or (ii) the Stock of any Subsidiary that is not a Loan Party owned by a Subsidiary that is not a Loan Party to any other Subsidiary that is not a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not less than 5 Business Days prior written notice to the Agent (or such shorter period of time as the Agent may agree in its sole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notice shall not be required with respect to any transaction in which no Loan Party is constituent party), (i) any Subsidiary of the Borrower may merge with, dissolve or liquidate into (in each case in accordance with applicable Law) the Borrower or another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if the Borrower or another Loan Party which is a Subsidiary organized in the United States is a constituent entity in such transaction, the Borrower or such other Loan Party which is a Subsidiary organized in the United States, shall be the continuing or surviving entity (and the Borrower shall be the continuing or surviving entity if the Borrower is a party to such transaction), (B) if a Loan Party is constituent party to such transaction, the Loan Parties provide the Agent with copies of all material documentation relating thereto, and (C) all actions required to maintain perfected Liens on the Stock of the surviving entity and other Collateral in favor of the Agent in accordance with the terms of the Collateral Documents shall be completed and (ii) any Foreign Subsidiary may merge with or dissolve or liquidate into another Foreign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Loan Parties provide the Agent with copies of all material documentation relating thereto and (B) if a Foreign Subsidiary which is not an Excluded Foreign Subsidiary is a constituent entity in such merger, dissolution or liquidation, (x) a Foreign Subsidiary which is not an Excluded Foreign Subsidiary shall be the continuing or surviving entity and (y) all actions required to establish perfected Liens on the Stock of the surviving entity and other Collateral in favor of the Agent in accordance with the terms of the Collateral Documents shall be completed;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connection with any Permitted Acquisition or other Investment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any Loan Party or any of its Subsidiaries may merge into or consolidate with any other Person or permit any other Person to merge into or consolidate with it, so long as (i) the Person surviving such merger with any Subsidiary shall be a direct or indirect wholly-owned Subsidiary of the Borrower, (ii) in the case of any such merger to which the Borrower is a party, the Borrower is the surviving Person, and (iii) in the case of any such merger to which a Loan Party is a party, the surviving Person is such Loan Party or concurrently therewith becomes a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Loan Party shall, nor shall cause or permit any of its Subsidiaries or ERISA Affiliates to, cause or permit to occur (a) an event that could result in the imposition of a Lien under Section 430 or 6321 of the IRC or Section 303 or 4068 of ERISA or (b) an ERISA Event to the extent such ERISA Event would reasonably be expected to result in Taxes, penalties and other liability in excess of $500,000 in the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No Loan Party shall, nor shall it permit any of its Subsidiaries to, cause or permit a Release of any Hazardous Material on, at, in, under, above, to, from or about any of the Real Estate where such Release would violate in any respect, or form the basis for any Environmental Liabilities under, any Environmental Laws or Environmental Permits, other than such violations or Environmental Liabilities that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Sale Leasebacks</w:t>
      </w:r>
      <w:r>
        <w:rPr>
          <w:rFonts w:ascii="Times New Roman;Times;Serif" w:hAnsi="Times New Roman;Times;Serif"/>
          <w:b w:val="false"/>
          <w:i w:val="false"/>
          <w:caps w:val="false"/>
          <w:smallCaps w:val="false"/>
          <w:sz w:val="20"/>
        </w:rPr>
        <w:t>. No Loan Party shall, nor shall it permit any of its Subsidiaries to, engage in any sale leaseback, synthetic lease or similar transaction involving any of its assets.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No Loan Party shall, nor shall it permit any of its Subsidiaries to, declare or make any Restricted Payments,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Subsidiary may declare and pay dividends, payments or distributions to the Borrower or any Subsidiary (and, in the case of any such Subsidiary making such dividend or distribution, to holders of its Stock other than the Borrower or another Subsidiary on no more than a pro rata basis), and (ii) any Loan Party or Subsidiary may declare and make dividends or other distributions payable solely in its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Loan Parties and their Subsidiaries may pay, as and when due and payable, regularly scheduled payments of interest only at the non-default rate in respect of the Subordinated Debt, solely to the extent permitted under the applicable subordination agreement or subordination provisions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Loan Parties and their Subsidiaries may pay, as and when due and payable, non-accelerated mandatory payments in respect of Subordinated Debt, solely to the extent permitted under the applicable subordination agreement or subordination terms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purchase, redemption, retirement or other acquisition of Stock of the Borrower held by consultants, officers, directors and employees or former consultants, officers, directors or employees (or their transferees, estates, or beneficiaries under their estates) of Borrower and its Subsidiaries not to exceed $1,500,000 in the aggregate in any Fiscal Year (it being agreed that, to the extent constituting a transaction permitted by Section 6.4(c), the amount of any Indebtedness of such Persons owing to the Borrower or any Subsidiary forgiven in connection with such Restricted Payment shall be excluded from any determination pursuant to this </w:t>
      </w:r>
      <w:r>
        <w:rPr>
          <w:rFonts w:ascii="Times New Roman;Times;Serif" w:hAnsi="Times New Roman;Times;Serif"/>
          <w:b w:val="false"/>
          <w:i w:val="false"/>
          <w:caps w:val="false"/>
          <w:smallCaps w:val="false"/>
          <w:sz w:val="20"/>
          <w:u w:val="single"/>
        </w:rPr>
        <w:t>clause (ii)(d)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portion of such basket that is not used by the Borrower or its Subsidiaries in any Fiscal Year shall be carried forward and shall increase such basket for succeeding fiscal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cashless repurchases of Stock deemed to occur upon exercises of options and warrants or the settlement or vesting of other equity awards if such Stock represents a portion of the exercise price of such options or warrants or similar equity incentive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cash payments made by the Borrower to redeem, purchase, repurchase or retire its obligations under options, warrants and other convertible securities issued by it in the nature of customary cash payments in lieu of fractional shares in accordance with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may acquire (or withhold) its Stock pursuant to any employee stock option or similar plan to pay withholding taxes for which Borrower is liable in respect of a current or former officer, director, employee, member of management or consultant upon such grant or award (or upon vesting or exercise thereof) and the Borrower may make deemed repurchases in connection with the exercise of stock options;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payments related to share withholdings for individual taxes related to vested restricted stock units (RSUs), options and other equity grants made to employees (such payments, the “</w:t>
      </w:r>
      <w:r>
        <w:rPr>
          <w:rFonts w:ascii="Times New Roman;Times;Serif" w:hAnsi="Times New Roman;Times;Serif"/>
          <w:b w:val="false"/>
          <w:i w:val="false"/>
          <w:caps w:val="false"/>
          <w:smallCaps w:val="false"/>
          <w:sz w:val="20"/>
          <w:u w:val="single"/>
        </w:rPr>
        <w:t>Employee WHT Payments</w:t>
      </w:r>
      <w:r>
        <w:rPr>
          <w:rFonts w:ascii="Times New Roman;Times;Serif" w:hAnsi="Times New Roman;Times;Serif"/>
          <w:b w:val="false"/>
          <w:i w:val="false"/>
          <w:caps w:val="false"/>
          <w:smallCaps w:val="false"/>
          <w:sz w:val="20"/>
        </w:rPr>
        <w:t xml:space="preserve">”), as permitted under the Borrower’s Incentive Stock and Awards Plans (as in existence on the Closing Date or entered into in the Ordinary Course of Business), and required under certain of Borrower’s equity grants and employment agreements (in each case as in effect on the Closing Date or entered into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together with the Financial Statements and a corresponding Compliance Certificate that is required to be delivered the Agent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for such Fiscal Year, a Responsible Officer of the Borrower shall deliver to the Agent a certificate setting forth the amount of the foregoing payments for such accounting period, together with supporting information in form and substance reasonably satisfactory to the Agent;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Borrower’s purchase, redemption, retirement, or other acquisition of shares of its Stock with the proceeds received from a substantially concurrent issue of new shares of its Qualified Stock;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Loan Parties may make other Restricted Payments so long as the Payment Conditions are satisfied as of the date of such Restricted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Change of Corporate Name or Location; Change of Fiscal Year</w:t>
      </w:r>
      <w:r>
        <w:rPr>
          <w:rFonts w:ascii="Times New Roman;Times;Serif" w:hAnsi="Times New Roman;Times;Serif"/>
          <w:b w:val="false"/>
          <w:i w:val="false"/>
          <w:caps w:val="false"/>
          <w:smallCaps w:val="false"/>
          <w:sz w:val="20"/>
        </w:rPr>
        <w:t>. No Loan Party shall (a) unless written notice is given by the Borrower within 14 days after such change, (i) change its name as it appears in official filings in the state or country of its incorporation or other organization, (ii) change its chief executive office or principal place of business, or (iii) change its organization identification number, if any, issued by its state or country of incorporation or other organization, and (b) unless at least 30 days prior written notice (or such later notice as is acceptable to the Agent in its sole discretion) is given by such Loan Party to the Agent (i) change the type of entity that it is or (ii) change its state or country of incorporation or organization, and, in each case the Loan Parties shall take any reasonable action requested by the Agent in connection therewith, including to continue the perfection of any Liens in favor of the Agent, for the benefit of the Secured Parties, in any Collateral. Borrower shall deliver to Agent concurrently with the delivery of each Compliance Certificate delivered pursuant to clause (a) of Annex C, notice of any business offices or warehouses or locations at which Collateral or is held or stored or any of its records concerning the Collateral, in each case not previously disclosed to Agent in writing. No Loan Party shall change its Fiscal Year without the Agent’s prior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No Restriction on Distributions; No Negative Pledges</w:t>
      </w:r>
      <w:r>
        <w:rPr>
          <w:rFonts w:ascii="Times New Roman;Times;Serif" w:hAnsi="Times New Roman;Times;Serif"/>
          <w:b w:val="false"/>
          <w:i w:val="false"/>
          <w:caps w:val="false"/>
          <w:smallCaps w:val="false"/>
          <w:sz w:val="20"/>
        </w:rPr>
        <w:t xml:space="preserve">. No Loan Party shall, nor shall it permit any of its Subsidiaries to, directly or indirectly, create or otherwise cause or suffer to exist or become effective any consensual restriction or encumbrance of any kind on the ability of any Subsidiary to pay dividends or make any other distribution on any of the Stock of such Subsidiary or to pay fees, including management fees, or make other payments and distributions to any Loan Party. No Loan Party shall, directly or indirectly, enter into, assume or become subject to any contractual obligation prohibiting or otherwise restricting the existence of any Lien upon any of its assets in favor of the Agent, whether now owned or hereafter acquired. Notwithstanding the foregoing,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shall not prohibit (i) restrictions and conditions imposed by applicable Laws or by the Loan Documents, (ii) the agreements listed on </w:t>
      </w:r>
      <w:r>
        <w:rPr>
          <w:rFonts w:ascii="Times New Roman;Times;Serif" w:hAnsi="Times New Roman;Times;Serif"/>
          <w:b w:val="false"/>
          <w:i w:val="false"/>
          <w:caps w:val="false"/>
          <w:smallCaps w:val="false"/>
          <w:sz w:val="20"/>
          <w:u w:val="single"/>
        </w:rPr>
        <w:t>Schedule 6.14</w:t>
      </w:r>
      <w:r>
        <w:rPr>
          <w:rFonts w:ascii="Times New Roman;Times;Serif" w:hAnsi="Times New Roman;Times;Serif"/>
          <w:b w:val="false"/>
          <w:i w:val="false"/>
          <w:caps w:val="false"/>
          <w:smallCaps w:val="false"/>
          <w:sz w:val="20"/>
        </w:rPr>
        <w:t xml:space="preserve">, (iii) limitations associated with Liens permitted by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or any document or instrument governing any Liens permitted by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(iv) any documentation governing Indebtedness referenced in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6.3(n)</w:t>
      </w:r>
      <w:r>
        <w:rPr>
          <w:rFonts w:ascii="Times New Roman;Times;Serif" w:hAnsi="Times New Roman;Times;Serif"/>
          <w:b w:val="false"/>
          <w:i w:val="false"/>
          <w:caps w:val="false"/>
          <w:smallCaps w:val="false"/>
          <w:sz w:val="20"/>
        </w:rPr>
        <w:t xml:space="preserve">, (v) customary provisions in leases, subleases, licenses and other contracts restricting the assignment thereof or restricting the assignment, pledge, transfer or sublease or sublicense of the property leased, licensed or otherwise the subject thereof; (vi) any restrictions, encumbrances or conditions set forth in any agreement in effect at any time any Person becomes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agreement was not entered into in contemplation of such Person becoming a Subsidiary and (B) such restrictions or encumbrances do not extend beyond such Subsidiary or its assets; (vii) restrictions or conditions in any Indebtedness permitted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that is incurred or assumed by Subsidiaries that are not Loan Parties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subleases and licenses permitted by this Agreement if such restrictions or conditions apply only to the property or assets securing such Indebtedness or the property leased, subleased or licensed; (ix) customary provisions in contracts for the disposition of any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restrictions in any such contract shall apply only to the assets or Subsidiary that is to be disposed of and such disposition is permitted hereunder; (x) customary provisions regarding confidentiality or restricting assignment, pledges or transfer of any license or any other agreement entered into in the Ordinary Course of Business; and (xi) customary provisions in joint venture agreements and other similar agreements applicable to joint ventures and applicable solely to such joint venture.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val="false"/>
          <w:caps w:val="false"/>
          <w:smallCaps w:val="false"/>
          <w:sz w:val="20"/>
          <w:u w:val="single"/>
        </w:rPr>
        <w:t>Margin Stock; Use of Proceeds</w:t>
      </w:r>
      <w:r>
        <w:rPr>
          <w:rFonts w:ascii="Times New Roman;Times;Serif" w:hAnsi="Times New Roman;Times;Serif"/>
          <w:b w:val="false"/>
          <w:i w:val="false"/>
          <w:caps w:val="false"/>
          <w:smallCaps w:val="false"/>
          <w:sz w:val="20"/>
        </w:rPr>
        <w:t>. No Loan Party shall, nor shall it permit any of its Subsidiaries to, use any portion of the Advance proceeds, directly or indirectly, to purchase or carry Margin Stock or repay or otherwise refinance Indebtedness of any Loan Party or Subsidiary or others incurred to purchase or carry Margin Stock, or otherwise in any manner which is in contravention of any requirement of applicable Law or in violation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val="false"/>
          <w:caps w:val="false"/>
          <w:smallCaps w:val="false"/>
          <w:sz w:val="20"/>
          <w:u w:val="single"/>
        </w:rPr>
        <w:t>Sanctions; Use of Proceeds</w:t>
      </w:r>
      <w:r>
        <w:rPr>
          <w:rFonts w:ascii="Times New Roman;Times;Serif" w:hAnsi="Times New Roman;Times;Serif"/>
          <w:b w:val="false"/>
          <w:i w:val="false"/>
          <w:caps w:val="false"/>
          <w:smallCaps w:val="false"/>
          <w:sz w:val="20"/>
        </w:rPr>
        <w:t xml:space="preserve">. No Loan Party shall, nor shall it permit any of its Subsidiaries to, fail to comply with the Laws referred to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No Loan Party will, directly or indirectly, use the proceeds of the Advances or Letters of Credit, or lend, contribute or otherwise make available such proceeds to any subsidiary, joint venture partner or other Person, (i) to fund any activities or business of or with any Sanctioned Person or involving any Sanctioned Country, in each case such that it would result in a violation of Sanctions by any Person, or (ii) in any other manner that would result in a violation of Sanctions by any Person (including any Person participating in the Advances or Letters of Credit, whether as the Agent, the L/C Issuer, Lender, underwriter, advisor, investor,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6.18 </w:t>
      </w:r>
      <w:r>
        <w:rPr>
          <w:rFonts w:ascii="Times New Roman;Times;Serif" w:hAnsi="Times New Roman;Times;Serif"/>
          <w:b w:val="false"/>
          <w:i w:val="false"/>
          <w:caps w:val="false"/>
          <w:smallCaps w:val="false"/>
          <w:sz w:val="20"/>
          <w:u w:val="single"/>
        </w:rPr>
        <w:t>Prepayments of Other Indebtedness</w:t>
      </w:r>
      <w:r>
        <w:rPr>
          <w:rFonts w:ascii="Times New Roman;Times;Serif" w:hAnsi="Times New Roman;Times;Serif"/>
          <w:b w:val="false"/>
          <w:i w:val="false"/>
          <w:caps w:val="false"/>
          <w:smallCaps w:val="false"/>
          <w:sz w:val="20"/>
        </w:rPr>
        <w:t>. No Loan Party shall, nor shall it permit any of its Subsidiaries to, directly or indirectly, voluntarily purchase, redeem, defease or prepay any principal of, premium, if any, interest or other amount payable in respect of any Indebtedness prior to its scheduled maturity (each a “</w:t>
      </w:r>
      <w:r>
        <w:rPr>
          <w:rFonts w:ascii="Times New Roman;Times;Serif" w:hAnsi="Times New Roman;Times;Serif"/>
          <w:b w:val="false"/>
          <w:i w:val="false"/>
          <w:caps w:val="false"/>
          <w:smallCaps w:val="false"/>
          <w:sz w:val="20"/>
          <w:u w:val="single"/>
        </w:rPr>
        <w:t>Restricted Debt Payment</w:t>
      </w:r>
      <w:r>
        <w:rPr>
          <w:rFonts w:ascii="Times New Roman;Times;Serif" w:hAnsi="Times New Roman;Times;Serif"/>
          <w:b w:val="false"/>
          <w:i w:val="false"/>
          <w:caps w:val="false"/>
          <w:smallCaps w:val="false"/>
          <w:sz w:val="20"/>
        </w:rPr>
        <w:t>”), in each case, other than: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secured by a Permitted Encumbrance if the asset securing such Indebtedness has been sold or otherwise disposed of in a transaction permitted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Permitted Refinancing of Indebtedness permitted under </w:t>
      </w:r>
      <w:r>
        <w:rPr>
          <w:rFonts w:ascii="Times New Roman;Times;Serif" w:hAnsi="Times New Roman;Times;Serif"/>
          <w:b w:val="false"/>
          <w:i w:val="false"/>
          <w:caps w:val="false"/>
          <w:smallCaps w:val="false"/>
          <w:sz w:val="20"/>
          <w:u w:val="single"/>
        </w:rPr>
        <w:t>Sections 6.3(b)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prepayments of other Indebtedness (excluding Subordinated Debt) so long as the Payment Conditions are satisfied as of the date of such Restricted Debt Payment;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prepayment of intercompany Indebtedness owing by a Loan Party to another Loan Party, to the extent such intercompany Indebtedness is expressly permitted by this Agreement and by any subordination provisions applicable to such intercompany Indebtedness.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70"/>
        <w:gridCol w:w="21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Minimum Fixed Charge Coverage Ratio</w:t>
      </w:r>
      <w:r>
        <w:rPr>
          <w:rFonts w:ascii="Times New Roman;Times;Serif" w:hAnsi="Times New Roman;Times;Serif"/>
          <w:b w:val="false"/>
          <w:i w:val="false"/>
          <w:caps w:val="false"/>
          <w:smallCaps w:val="false"/>
          <w:sz w:val="20"/>
        </w:rPr>
        <w:t>. The Borrower shall not permit the Fixed Charge Coverage Ratio for any Fiscal Month, commencing with the Test Period ending September 30, 2025 to be less than 1.10:1.00.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Cure Right</w:t>
      </w:r>
      <w:r>
        <w:rPr>
          <w:rFonts w:ascii="Times New Roman;Times;Serif" w:hAnsi="Times New Roman;Times;Serif"/>
          <w:b w:val="false"/>
          <w:i w:val="false"/>
          <w:caps w:val="false"/>
          <w:smallCaps w:val="false"/>
          <w:sz w:val="20"/>
        </w:rPr>
        <w:t>. In the event of any Event of Default resulting from the failure to comply with the Financial Covenant as of the last day of any Fiscal Month, any net cash proceeds received by the Borrower from any issuance of Stock (not constituting Disqualified Equity Interests) by the Borrower (any such equity contribution, a “</w:t>
      </w:r>
      <w:r>
        <w:rPr>
          <w:rFonts w:ascii="Times New Roman;Times;Serif" w:hAnsi="Times New Roman;Times;Serif"/>
          <w:b w:val="false"/>
          <w:i w:val="false"/>
          <w:caps w:val="false"/>
          <w:smallCaps w:val="false"/>
          <w:sz w:val="20"/>
          <w:u w:val="single"/>
        </w:rPr>
        <w:t>Specified Cure Contribution</w:t>
      </w:r>
      <w:r>
        <w:rPr>
          <w:rFonts w:ascii="Times New Roman;Times;Serif" w:hAnsi="Times New Roman;Times;Serif"/>
          <w:b w:val="false"/>
          <w:i w:val="false"/>
          <w:caps w:val="false"/>
          <w:smallCaps w:val="false"/>
          <w:sz w:val="20"/>
        </w:rPr>
        <w:t xml:space="preserve">”), in each case within 15 Business Days after the date on which the Borrower is required to deliver the Compliance Certificate for such Fiscal Month, will, at the request of the Borrower and upon application of such net cash proceeds to prepay the Advances in accordance with </w:t>
      </w:r>
      <w:r>
        <w:rPr>
          <w:rFonts w:ascii="Times New Roman;Times;Serif" w:hAnsi="Times New Roman;Times;Serif"/>
          <w:b w:val="false"/>
          <w:i w:val="false"/>
          <w:caps w:val="false"/>
          <w:smallCaps w:val="false"/>
          <w:sz w:val="20"/>
          <w:u w:val="single"/>
        </w:rPr>
        <w:t>Section 2.2(b)(iv)</w:t>
      </w:r>
      <w:r>
        <w:rPr>
          <w:rFonts w:ascii="Times New Roman;Times;Serif" w:hAnsi="Times New Roman;Times;Serif"/>
          <w:b w:val="false"/>
          <w:i w:val="false"/>
          <w:caps w:val="false"/>
          <w:smallCaps w:val="false"/>
          <w:sz w:val="20"/>
        </w:rPr>
        <w:t xml:space="preserve">, be included in the calculation of Consolidated Adjusted EBITDA solely for the purposes of determining compliance with the Financial Covenant at the end of the applicable Fiscal Month and any subsequent period that includes such Fiscal Month;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all Specified Cure Contributions will be disregarded for all other purposes hereunder, basket levels, pricing, satisfaction of any conditions to the obligation of any Lender to make any Advances and any other conditions, tests and other items governed by reference to Consolidated Adjusted EBITDA or that include Consolidated Adjusted EBITDA in the determination thereof in any respect or otherwise, (b) there shall be no more than five Specified Cure Contributions made during the term of this Agreement and no Specified Cure Contributions may be made in more than twice during any period of 12 consecutive Fiscal Months, (c) the aggregate amount of the applicable Specified Cure Contribution shall not exceed the amount necessary to cure the Financial Covenant that is the subject of such Event of Default, (d) the proceeds of all Specified Cure Contributions are actually received by the Borrower in Cash, and (e) the amount of the Advances that are prepaid pursuant to any Specified Cure Contribution shall be excluded for purposes of calculating the Financial Covenant until such time that the Specified Cure Contribution ceases to be included in Consolidated Adjusted EBITDA pursuant to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The Borrower shall provide written notice to the Agent of its intention to cause to be made a Specified Cure Contribution on or prior to the date the financial statements are required to be delivered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Upon the Agent’s receipt of a written notice from the Borrower stating that it intends to exercise its cure right pursuant to the provisions of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no later than the date on which the Compliance Certificate is required to be delivered for the applicable Fiscal Month, then, until the day that is 15 Business Days after such date, neither the Agent nor any Lender shall exercise the right to accelerate the Obligations or terminate the Revolving Loan Commitments and neither the Agent nor any Lender shall exercise any right to foreclose on or take possession of the Collateral solely on the basis of an Event of Default having occurred and being continuing due to the failure to comply with the Financial Covenant. If, after giving effect to the recalculations set forth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the Borrower shall then be in compliance with the Financial Covenant, the Borrower shall be deemed to have satisfied the requirements of the Financial Covenant and the applicable breach or default of the Financial Covenant that had occurred, and all other Defaults or Events of Default arising solely as a result thereof, shall be deemed cured for the purposes of this Agreement.</w:t>
      </w:r>
    </w:p>
    <w:p>
      <w:pPr>
        <w:pStyle w:val="TextBody"/>
        <w:bidi w:val="0"/>
        <w:spacing w:before="0" w:after="0"/>
        <w:ind w:left="720" w:right="0" w:hanging="72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70"/>
        <w:gridCol w:w="41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INFORMATION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Reports and 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Loan Party hereby agrees that from and after the Closing Date and until the Termination Date, it shall deliver to the Agent or to the Agent and Lenders, as required, the Financial Statements, notices, Projections and other information at the times, to the Persons and in the manner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Loan Party hereby agrees that from and after the Closing Date and until the Termination Date, it shall deliver to the Agent or to the Agent and Lenders, as required, the various Collateral Reports (including Borrowing Base Certificates) at the times, to the Persons and in the manner set forth in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Communication with Accountants</w:t>
      </w:r>
      <w:r>
        <w:rPr>
          <w:rFonts w:ascii="Times New Roman;Times;Serif" w:hAnsi="Times New Roman;Times;Serif"/>
          <w:b w:val="false"/>
          <w:i w:val="false"/>
          <w:caps w:val="false"/>
          <w:smallCaps w:val="false"/>
          <w:sz w:val="20"/>
        </w:rPr>
        <w:t>. Each Loan Party authorizes (a) the Agent and (b) so long as an Event of Default has occurred and is continuing, each Lender, to communicate directly with its independent certified public accountants, including Crowe LLP, and authorizes and shall instruct those accountants and advisors to communicate to the Agent and each Lender information relating to any Loan Party with respect to the business, results of operations and financial condition of any Loan Party.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85"/>
        <w:gridCol w:w="44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44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RIGHTS AND REMEDIES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and continuance of any one or more of the following events (regardless of the reason therefor and whether or not caused by or within the control of any Loan Party) shall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fails to (i) make any payment of principal of the Advances when due and payable, including any payment to cure any Overadvance in accordance with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 xml:space="preserve">, (ii) make any payment of interest on, or Fees owing in respect of, the Advances within three Business Days when due and payable, or (iii) make any payment on account of any other Obligations within five days of when due and payable, or pay or reimburse the Agent or Lenders for any expense reimbursable hereunder or under any other Loan Document, in each case under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within five days following the Agent’s demand for such reimbursement or payment of expenses;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Loan Party fails or neglects to perform, keep or observe any of the provisions of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(solely as to maintenance of existence), </w:t>
      </w:r>
      <w:r>
        <w:rPr>
          <w:rFonts w:ascii="Times New Roman;Times;Serif" w:hAnsi="Times New Roman;Times;Serif"/>
          <w:b w:val="false"/>
          <w:i w:val="false"/>
          <w:caps w:val="false"/>
          <w:smallCaps w:val="false"/>
          <w:sz w:val="20"/>
          <w:u w:val="single"/>
        </w:rPr>
        <w:t>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(except </w:t>
      </w:r>
      <w:r>
        <w:rPr>
          <w:rFonts w:ascii="Times New Roman;Times;Serif" w:hAnsi="Times New Roman;Times;Serif"/>
          <w:b w:val="false"/>
          <w:i w:val="false"/>
          <w:caps w:val="false"/>
          <w:smallCaps w:val="false"/>
          <w:sz w:val="20"/>
          <w:u w:val="single"/>
        </w:rPr>
        <w:t>6.9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or any of the provisions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Loan Party fails or neglects to perform, keep or observe any of the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any provisions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and the same shall remain unremedied for three Business Days or more;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Loan Parties shall not have the right to cure any default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any provision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if any default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has occurred more than three times in any 12-month period; or any Loan Party fails or neglects to perform, keep or observe any other provision of this Agreement or any other Loan Documents (other than any provision embodied in or covered by any other clause 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and the same shall remain unremedied for 30 days or more after the earlier of (x) receipt by the Borrower of written notice thereof from the Agent to the Borrower and (y) the date on which such default shall first become known to any senior officer of any Loan Party;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Loan Party or any Subsidiary of any Loan Party (i) fails to make any payment in respect of any Material Indebtedness when due (whether by scheduled maturity, required prepayment, acceleration, demand, or otherwise) and such failure continues after the applicable grace or notice period, if any, specified in the document relating thereto on the date of such failure; or (ii) fails to perform or observe any other condition or covenant, or any other event shall occur or condition exist, under any agreement or instrument relating to any such Material Indebtedness, if the effect of such failure, event or condition is to cause, or to permit the holder or holders of such Material Indebtedness or beneficiary or beneficiaries of such Material Indebtedness (or a trustee or agent on behalf of such holder or holders or beneficiary or beneficiaries) to cause such Indebtedness to be declared to be due and payable (or otherwise required immediately to be prepaid, redeemed, purchased or defeased) prior to its stated maturity or demand cash collateral in respect thereof as a result of a breach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representation or warranty herein or in any Loan Document or in any written statement, report, Financial Statement or certificate made or delivered to the Agent or any Lender by any Loan Party is untrue or incorrect in any material respect as of the date when made or deemed made;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ERISA Event occurs that has resulted or would reasonably be expected to result in liability of a Loan Party, any Subsidiary or any of their respective ERISA Affiliates in an aggregate amount at any particular time that would reasonably be expected to have a Material Adverse Effect; 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case or proceeding is commenced against any Loan Party seeking a decree or order in respect of such Loan Party (i) under the Bankruptcy Code or any other Debtor Relief Law, (ii) appointing a custodian, receiver, interim receiver, liquidator, assignee, trustee, monitor or sequestrator (or similar official) for such Loan Party or for any substantial part of any such Loan Party’s assets, or (iii) ordering the winding up or liquidation of the affairs of such Loan Party, and such case or proceeding shall remain undismissed or unstayed for 60 days or more or a decree or order granting the relief sought in such case or proceeding is granted by a court of competent jurisdiction;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Loan Party (i) files a petition seeking relief under the Bankruptcy Code or any other applicable Debtor Relief Law, (ii) consents to or fails to contest in a timely and appropriate manner to the institution of proceedings thereunder or to the filing of any such petition or to the appointment of or taking possession by a custodian, receiver, liquidator, assignee, trustee or sequestrator (or similar official) for such Loan Party or for any substantial part of any such Loan Party’s assets, (iii) makes an assignment for the benefit of creditors, (iv) takes any action in furtherance of any of the foregoing, or (v) admits in writing its inability to, or is generally unable to, pay its debts as such debts become due;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any money judgment, writ or warrant of attachment or similar process involving an amount in excess of $5,000,000 (to the extent not adequately covered by insurance or indemnities as to which a solvent and unaffiliated insurance company or third-party has been notified of the potential claim and does not dispute coverage) or (ii) any non-monetary judgment or order shall have been entered against any Loan Party or any of its Subsidiaries or any of their respective assets that would reasonably be expected to have a Material Adverse Effect and, in each case, shall remain undischarged, unvacated, unbonded or unstayed for a period of 30 days;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material provision of any Loan Document for any reason ceases to be valid, binding and enforceable in accordance with its terms (other than as a result of an action taken or not taken that is solely in the control of the Agent) or any Loan Party shall challenge in writing the enforceability of any Loan Document or shall assert in writing that any material provision of any of the Loan Documents has ceased to be or otherwise is not valid, binding and enforceable in accordance with its terms, or shall contest in writing the validity or priority of any Lien created under any Loan Document (except as otherwise permitted herein or therein) in any of the Collateral purported to be covered thereby;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Change of Control occurs;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subordination provision in any document or instrument governing Subordinated Debt or any subordination provision in any subordination agreement that relates to any Subordinated Debt, or any subordination provision in any guaranty by a Loan Party of any Subordinated Debt, shall cease to be in full force and effect, or any Loan Party shall contest in writing the validity, binding nature or enforceability of any such provision;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there shall occur any revocation, suspension, termination, recession, non-renewal (except for any such non-renewal at the election of the Borrower or any Subsidiary as would not, in the aggregate, have a Material Adverse Effect) or forfeiture or any similar final administrative action with respect to one or more material Health Care Permits of the Borrower or any Subsidiary which, in the aggregate, would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Event of Default has occurred and is continuing, the Agent may (and at the written request of the Required Lenders shall), without notice, (i) suspend the Revolving Loan Commitments with respect to additional Revolving Credit Advances and/or the incurrence of additional Letter of Credit Obligations, and/or (ii) except as otherwise expressly provided herein, increase the rate of interest applicable to the Advances and the Letter of Credit Fees to the Default Rate.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Event of Default has occurred and is continuing, the Agent may (and at the written request of the Required Lenders shall), without notice: (i) terminate the Revolving Loan Commitments with respect to further Advances or the incurrence of further Letter of Credit Obligations; (ii) reduce the Revolving Loan Commitments from time to time; (iii) declare all or any portion of the Obligations, including all or any portion of any Advance to be forthwith due and payable, and require that the Letter of Credit Obligations be cash collateralized in the manner set forth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all without presentment, demand, protest or further notice of any kind, all of which are expressly waived by the Borrower and each other Loan Party; (iv) in its Permitted Discretion make Protective Advances, subject to the terms of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(v) exercise any rights and remedies provided to the Agent under the Loan Documents or at law or equity, including all remedies provided under the UCC;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the occurrence and continuance of an Event of Default specified in </w:t>
      </w:r>
      <w:r>
        <w:rPr>
          <w:rFonts w:ascii="Times New Roman;Times;Serif" w:hAnsi="Times New Roman;Times;Serif"/>
          <w:b w:val="false"/>
          <w:i w:val="false"/>
          <w:caps w:val="false"/>
          <w:smallCaps w:val="false"/>
          <w:sz w:val="20"/>
          <w:u w:val="single"/>
        </w:rPr>
        <w:t>Sections 9.1(g)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the Revolving Loan Commitments shall be immediately terminated and all of the Obligations, including the Advances and Letter of Credit Obligations, shall become immediately due and payable without declaration, notice or demand by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election of the Agent or Required Lenders, after the occurrence of an Event of Default and for so long as it continues, any SOFR Loan and any Tranche Rate Loan shall be converted into Base Rate Loans immediately, and neither the SOFR Rate election nor the Tranche Rate election will be available to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During the continuance of any Event of Default, each Lender is hereby authorized by each Loan Party at any time or from time to time, with reasonably prompt subsequent notice to the Borrower (any prior or contemporaneous notice being hereby expressly waived) to set off and to appropriate and to apply any and all (i) balances held by such Lender or any of such Lender’s Affiliates at any of its offices for the account of any Loan Party or any of its Subsidiaries (regardless of whether such balances are then due to such Loan Party or Subsidiary), and (ii) other property at any time held or owing by such Lender or any of such Lender’s Affiliates to or for the credit or for the account of any Loan Party or any of its Subsidiaries, against and on account of any of the Obligations; except that no Lender or any of such Lender’s Affiliates shall exercise any such right without the prior written consent of the Agent. Any Lender exercising a right to set off (including through an Affiliate)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Loan Party agrees, to the fullest extent permitted by Law, that any Lender or any of such Lender’s Affiliates may exercise its right to set off with respect to the Obligations as provided in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Application of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 to the Borrower</w:t>
      </w:r>
      <w:r>
        <w:rPr>
          <w:rFonts w:ascii="Times New Roman;Times;Serif" w:hAnsi="Times New Roman;Times;Serif"/>
          <w:b w:val="false"/>
          <w:i w:val="false"/>
          <w:caps w:val="false"/>
          <w:smallCaps w:val="false"/>
          <w:sz w:val="20"/>
        </w:rPr>
        <w:t>. Notwithstanding anything to the contrary contained in this Agreement, upon the occurrence and during the continuance of an Event of Default, each Loan Party irrevocably waives the right to direct the application of any and all payments at any time or times thereafter received by the Agent from or on behalf of any Loan Party of all or any part of the Obligations, and, as between the Loan Parties on the one hand and the Agent and Lenders on the other, the Agent shall have the continuing and exclusive right to apply and to reapply any and all payments received against the Obligations in such manner as the Agent may deem advisable notwithstanding any previous application by the Agent.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After Application Event</w:t>
      </w:r>
      <w:r>
        <w:rPr>
          <w:rFonts w:ascii="Times New Roman;Times;Serif" w:hAnsi="Times New Roman;Times;Serif"/>
          <w:b w:val="false"/>
          <w:i w:val="false"/>
          <w:caps w:val="false"/>
          <w:smallCaps w:val="false"/>
          <w:sz w:val="20"/>
        </w:rPr>
        <w:t>. Following the occurrence and during the continuance of an Event of Default, but absent the occurrence and continuance of an Application Event, the Agent shall apply any and all payments received by the Agent in respect of the Obligations, and any and all proceeds of Collateral received by the Agent, in such order as the Agent may from time to time elect. Notwithstanding anything to the contrary contained in this Agreement, if an Application Event shall have occurred, and so long as it continues, the Agent shall apply any and all payments received by the Agent in respect of the Obligations, and any and all proceeds of Collateral received by the Agent, in the following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all Fees, costs, indemnities, liabilities, obligations and expenses incurred by or owing to the Agent with respect to this Agreement, the other Loan Documents or the Collateral;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all Fees, costs, indemnities, liabilities, obligations and expenses incurred by or owing to any Lender with respect to this Agreement, the other Loan Documents or the Collateral;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accrued and unpaid interest on the Obligations (including any interest which, but for the provisions of the Bankruptcy Code or any other Debtor Relief Law, would have accrued on such amounts);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the principal amount of the Obligations outstanding and Obligations owing to any Eligible Swap Counterparty in respect of any Rate Contract, but excluding Obligations owing in respect of any Bank Products;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the Obligations owing in respect of any Bank Products;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provide cash collateral to secure any and all Letter of Credit Obligations and future payment of related Fees, as provided for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to any other indebtedness or obligations of any Loan Party owing to the Agent or any Lender under the Loan Documents;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to Obligations owing to any Eligible Swap Counterparty in respect of any Swap Contracts other than a Rate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Residuary</w:t>
      </w:r>
      <w:r>
        <w:rPr>
          <w:rFonts w:ascii="Times New Roman;Times;Serif" w:hAnsi="Times New Roman;Times;Serif"/>
          <w:b w:val="false"/>
          <w:i w:val="false"/>
          <w:caps w:val="false"/>
          <w:smallCaps w:val="false"/>
          <w:sz w:val="20"/>
        </w:rPr>
        <w:t xml:space="preserve">. Any balance remaining after giving effect to the applications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shall be delivered to the Borrower or to whoever may be lawfully entitled to receive such balance or as a court of competent jurisdiction may direct. In carrying out any of the applications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 amounts received shall be applied in the numerical order provided in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until paid in full prior to the application to the next succeeding category and (ii) each of the Persons entitled to receive a payment or cash collateral in any particular category shall receive an amount equal to its pro rata share of amounts available to be applied pursuant thereto for such category.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Actions in Concert</w:t>
      </w:r>
      <w:r>
        <w:rPr>
          <w:rFonts w:ascii="Times New Roman;Times;Serif" w:hAnsi="Times New Roman;Times;Serif"/>
          <w:b w:val="false"/>
          <w:i w:val="false"/>
          <w:caps w:val="false"/>
          <w:smallCaps w:val="false"/>
          <w:sz w:val="20"/>
        </w:rPr>
        <w:t>. For the sake of clarity, anything in this Agreement to the contrary notwithstanding, each Lender hereby agrees with each other Lender that no Lender shall take any action to protect or enforce its rights arising out of this Agreement or any other Loan Document (including exercising any rights of setoff) without first obtaining the prior written consent of the Agent or Required Lenders, it being the intent of Lenders that any such action to protect or enforce rights under this Agreement and the other Loan Documents shall be taken in concert and at the direction or with the consent of the Agent or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Waivers by Loan Parties</w:t>
      </w:r>
      <w:r>
        <w:rPr>
          <w:rFonts w:ascii="Times New Roman;Times;Serif" w:hAnsi="Times New Roman;Times;Serif"/>
          <w:b w:val="false"/>
          <w:i w:val="false"/>
          <w:caps w:val="false"/>
          <w:smallCaps w:val="false"/>
          <w:sz w:val="20"/>
        </w:rPr>
        <w:t>. Except as otherwise provided for in this Agreement or by applicable Law, each Loan Party waives: (a)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the Agent on which any Loan Party may in any way be liable, and hereby ratifies and confirms whatever the Agent may do in this regard, (b) all rights to notice and a hearing prior to the Agent’s taking possession or control of, or to the Agent’s replevy, attachment or levy upon, the Collateral or any bond or security that might be required by any court prior to allowing the Agent to exercise any of its remedies, and (c) the benefit of all valuation, appraisal, marshaling and exemption 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AND INDEMNITY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Each Loan Party hereby jointly and severally agrees to promptly pay (a) all reasonable actual costs and out of pocket expenses of the Agent (including the reasonable fees, costs and expenses of counsel to, and independent appraisers and consultants retained by, the Agent) in connection with the examination, review, due diligence investigation, documentation, negotiation, closing and syndication of the transactions contemplated by the Loan Documents, in connection with the performance by the Agent of its rights and remedies under the Loan Documents and in connection with the continued administration of the Loan Documents, including (A) any amendments, modifications, consents and waivers to and/or under any and all Loan Documents, (B) any periodic public record searches conducted by or at the request of the Agent (including title investigations, UCC searches, fixture filing searches, judgment, pending Litigation and tax lien searches and searches of applicable corporate, limited liability company, partnership and related records concerning the continued existence, organization and good standing of certain Persons, and (C) subject to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any internal audit reviews, field examinations and Collateral examinations (which shall be reimbursed, in addition to the out-of-pocket costs and expenses of such examiners, at the per diem rate per individual charged by the Agent for its examiners or charged to the Agent by third-party examiners)); (b) without limitation of the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all reasonable actual costs and out of pocket expenses of the Agent in connection with (i) the creation, perfection and maintenance of Liens pursuant to the Loan Documents and (ii) protecting, storing, insuring, handling, maintaining or selling any Collateral; (c) without limitation of the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all actual costs and out of pocket expenses of the Agent in connection with (i) any Litigation, dispute, suit or proceeding relating to any Loan Document and (ii) any workout, collection, bankruptcy, insolvency, post-judgment or other enforcement proceedings under any and all of the Loan Documents; and (d) all actual costs and out of pocket expenses incurred by Lenders in connection with any Litigation, dispute, suit or proceeding relating to any Loan Document and in connection with any workout, collection, bankruptcy, insolvency, post-judgment or other enforcement proceedings under any and all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Each Loan Party jointly and severally agrees to indemnify, pay and hold harmless the Agent, Lenders and the Affiliates, officers, directors, employees, trustees, agents, investment advisors, collateral managers, servicers, and counsel of the Agent, and Lenders (collectively called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xml:space="preserve">”) from and against any and all liabilities, obligations, losses, damages, penalties, actions, judgments, suits, claims, costs, expenses and disbursements of any kind or nature whatsoever (including the reasonable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Loan Party or any Affiliate thereof, and the reasonable expenses of investigation by engineers, environmental consultants and similar technical personnel and any commission, fee or compensation claimed by any broker (other than any broker retained by the Agent or Lenders) asserting any right to payment for the transactions contemplated hereby, which may be imposed on, incurred by or asserted against such Indemnitee as a result of or in connection with the transactions contemplated hereby or by the other Loan Documents (including (i) (A) as a direct or indirect result of the presence on or under, or escape, seepage, leakage, spillage, discharge, emission or release from, any property now or previously owned, leased or operated by a Loan Party of any Hazardous Materials or any Hazardous Materials Contamination, (B) arising out of or relating to the offsite disposal by a Loan Party or any other Person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any Loan Party, and (ii) proposed and actual extensions of credit under this Agreement) and the use or intended use of the proceeds of the Advances and Letters of Credit (but limited, in the case of legal fees and expenses, to the reasonable and documented out-of-pocket fees, disbursements and other charges of one counsel to all Indemnitees (taken as a whole) and, if reasonably necessary, a single local counsel for all Indemnitees (taken as a whole) in each relevant jurisdiction and with respect to each relevant specialty, and in the case of an actual or perceived conflict of interest, one additional counsel in each relevant jurisdiction to the affected Indemnitees similarly situated (and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Loan Parties will not have to indemnify any Indemnitee against any claim, loss, damage, liability or expense to the extent the same resulted from (i) the gross negligence or willful misconduct of such Indemnitee, as determined by a final non-appealable judgment of a court of competent jurisdiction, (ii) the material breach of any Loan Document by any Indemnitees, as determined by a final non-appealable judgment of a court of competent jurisdiction or (iii) any disputes solely among Indemnitees (other than any claims against Fifth Third in its capacity as the Agent unless such claim would otherwise be excluded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To the extent that the undertaking set forth in the immediately preceding sentence may be unenforceable, the Loan Parties shall contribute the maximum portion which it is permitted to pay and satisfy under applicable Law to the payment and satisfaction of all such indemnified liabilities incurred by the Indemnitees or any of them.</w:t>
      </w:r>
    </w:p>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90"/>
        <w:gridCol w:w="7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Appointment and Authorization</w:t>
      </w:r>
      <w:r>
        <w:rPr>
          <w:rFonts w:ascii="Times New Roman;Times;Serif" w:hAnsi="Times New Roman;Times;Serif"/>
          <w:b w:val="false"/>
          <w:i w:val="false"/>
          <w:caps w:val="false"/>
          <w:smallCaps w:val="false"/>
          <w:sz w:val="20"/>
        </w:rPr>
        <w:t xml:space="preserve">. Each Lender hereby irrevocably appoints and authorizes the Agent to enter into each of the Loan Documents to which it is a party (other than this Agreement) on its behalf and to take such actions as the Agent on its behalf and to exercise such powers under the Loan Documents as are delegated to the Agent by the terms thereof, together with all such powers as are reasonably incidental thereto. Subject to the terms of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and to the terms of the other Loan Documents, the Agent is authorized and empowered to amend, modify, or waive any provisions of this Agreement or the other Loan Documents on behalf of Lenders. The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are solely for the benefit of the Secured Parties and neither the Borrower nor any other Loan Party shall have any rights as a third party beneficiary of any of the provisions hereof. In performing its functions and duties under this Agreement, the Agent shall act solely as agent of Lenders and does not assume and shall not be deemed to have assumed any obligation toward or relationship of agency or trust with or for any Loan Party. The Agent may perform any of its duties hereunder, or under the Loan Documents, by or through its own agents or employees.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Agent and Affiliates</w:t>
      </w:r>
      <w:r>
        <w:rPr>
          <w:rFonts w:ascii="Times New Roman;Times;Serif" w:hAnsi="Times New Roman;Times;Serif"/>
          <w:b w:val="false"/>
          <w:i w:val="false"/>
          <w:caps w:val="false"/>
          <w:smallCaps w:val="false"/>
          <w:sz w:val="20"/>
        </w:rPr>
        <w:t>. The Agent shall have the same rights and powers under the Loan Documents as any other Lender and may exercise or refrain from exercising the same as though it were not the Agent, and the Agent and its Affiliates may lend money to, provide Bank Products to, invest in and generally engage in any kind of business with each Loan Party or Affiliate of any Loan Party as if it were not the Agent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Action by the Agent; Actions through Subagents</w:t>
      </w:r>
      <w:r>
        <w:rPr>
          <w:rFonts w:ascii="Times New Roman;Times;Serif" w:hAnsi="Times New Roman;Times;Serif"/>
          <w:b w:val="false"/>
          <w:i w:val="false"/>
          <w:caps w:val="false"/>
          <w:smallCaps w:val="false"/>
          <w:sz w:val="20"/>
        </w:rPr>
        <w:t xml:space="preserve">. The duties of the Agent shall be mechanical and administrative in nature. The Agent shall not have by reason of this Agreement a fiduciary relationship in respect of any Lender or other Person. Nothing in this Agreement or any of the Loan Documents is intended to or shall be construed to impose upon the Agent any obligations in respect of this Agreement or any of the Loan Documents except as expressly set forth herein or therein. The Agent may perform any and all of its duties and exercise its rights and powers by or through any one or more sub-agents appointed by the Agent. The Agent and any such sub-agent may perform any and all of its duties and exercise its rights and powers through their respective Related Persons. The exculpatory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apply to any such sub-agent and to the Related Persons of the Agent and any such sub-agent, and shall apply to their respective activities in connection with the syndication of the credit facilities provided for herein as well as activities as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Consultation with Experts</w:t>
      </w:r>
      <w:r>
        <w:rPr>
          <w:rFonts w:ascii="Times New Roman;Times;Serif" w:hAnsi="Times New Roman;Times;Serif"/>
          <w:b w:val="false"/>
          <w:i w:val="false"/>
          <w:caps w:val="false"/>
          <w:smallCaps w:val="false"/>
          <w:sz w:val="20"/>
        </w:rPr>
        <w:t>. The Agent may consult with legal counsel, independent public accountants and other experts selected by it and shall not be liable for any action taken or omitted to be taken by it in good faith in accordance with the advice of such counsel, accountants or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val="false"/>
          <w:i w:val="false"/>
          <w:caps w:val="false"/>
          <w:smallCaps w:val="false"/>
          <w:sz w:val="20"/>
          <w:u w:val="single"/>
        </w:rPr>
        <w:t>Liability of Agent</w:t>
      </w:r>
      <w:r>
        <w:rPr>
          <w:rFonts w:ascii="Times New Roman;Times;Serif" w:hAnsi="Times New Roman;Times;Serif"/>
          <w:b w:val="false"/>
          <w:i w:val="false"/>
          <w:caps w:val="false"/>
          <w:smallCaps w:val="false"/>
          <w:sz w:val="20"/>
        </w:rPr>
        <w:t>. Neither the Agent nor any of its directors, officers, agents or employees shall be liable to any Lender for any action taken or not taken by it in connection with the Loan Documents, except that the Agent shall be liable with respect to its specific duties set forth hereunder, but only to the extent of its own gross negligence or willful misconduct in the discharge thereof as determined by a final non-appealable judgment of a court of competent jurisdiction. Neither the Agent nor any of its directors, officers, agents or employees shall be responsible for or have any duty to ascertain, inquire into or verify (i) any statement, warranty or representation made in connection with any Loan Document or any borrowing hereunder or the contents of any certificate, financial statement or other report or document delivered under or in connection with any Loan Document, (ii) the performance or observance of any of the covenants or agreements specified in any Loan Document, (iii) the satisfaction of any condition specified in any Loan Document, (iv) the validity, effectiveness, sufficiency or genuineness of any Loan Document, any Lien purported to be created or perfected thereby or any other instrument or writing furnished in connection therewith, (v) the existence or non-existence of any Default or Event of Default; or (vi) the financial condition of any Loan Party or the value or the sufficiency of any Collateral. The Agent shall not incur any liability by acting in reliance upon any notice, consent, certificate, statement, or other writing (which may be a bank wire, telex, facsimile or electronic transmission or similar writing) believed by it to be genuine or to be signed by the proper party or parties. The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To the extent that the Loan Parties for any reason fail to pay any amount required to be paid to the Agent under </w:t>
      </w:r>
      <w:r>
        <w:rPr>
          <w:rFonts w:ascii="Times New Roman;Times;Serif" w:hAnsi="Times New Roman;Times;Serif"/>
          <w:b w:val="false"/>
          <w:i w:val="false"/>
          <w:caps w:val="false"/>
          <w:smallCaps w:val="false"/>
          <w:sz w:val="20"/>
          <w:u w:val="single"/>
        </w:rPr>
        <w:t>Sections 10.1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(but without affecting the Loan Parties’ reimbursement and indemnification obligation hereunder), each Lender shall, in accordance with its Pro Rata Share, pay to the Agent such Lender’s portion of such unpaid amount (determined as of the time that the applicable unreimbursed expense or indemnity payment is sought based on each Lender’s Pro Rata Share at such time). If any indemnity furnished to the Agent for any purpose shall, in the opinion of the Agent, be insufficient or become impaired, the Agent may call for additional indemnity and cease, or not commence, to do the acts indemnified against even if so directed by Required Lenders until such additional indemnity is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val="false"/>
          <w:i w:val="false"/>
          <w:caps w:val="false"/>
          <w:smallCaps w:val="false"/>
          <w:sz w:val="20"/>
          <w:u w:val="single"/>
        </w:rPr>
        <w:t>Right to Request and Act on Instructions</w:t>
      </w:r>
      <w:r>
        <w:rPr>
          <w:rFonts w:ascii="Times New Roman;Times;Serif" w:hAnsi="Times New Roman;Times;Serif"/>
          <w:b w:val="false"/>
          <w:i w:val="false"/>
          <w:caps w:val="false"/>
          <w:smallCaps w:val="false"/>
          <w:sz w:val="20"/>
        </w:rPr>
        <w:t xml:space="preserve">. The Agent may at any time request instructions from Lenders with respect to any actions or approvals which, by the terms of this Agreement or of any of the Loan Documents, the Agent is permitted or desires to take or to grant, and if such instructions are promptly requested, the Agent shall be absolutely entitled to refrain from taking any action or to withhold any approval and shall not be under any liability whatsoever to any Person for refraining from any action or withholding any approval under any of the Loan Documents until it shall have received such instructions from Required Lenders or all or such other portion of Lenders as shall be prescribed by this Agreement. Without limiting the foregoing, no Lender shall have any right of action whatsoever against the Agent as a result of the Agent acting or refraining from acting under this Agreement or any other Loan Documents in accordance with the instructions of Required Lenders (or all or such other portion of Lenders as shall be prescribed by this Agreement) and, notwithstanding the instructions of Required Lenders (or such other applicable portion of Lenders), the Agent shall have no obligation to take any action if it believes, in good faith, that such action would violate applicable Law or exposes the Agent to any liability for which it has not received satisfactory indemnification in accordance with the provisions of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val="false"/>
          <w:i w:val="false"/>
          <w:caps w:val="false"/>
          <w:smallCaps w:val="false"/>
          <w:sz w:val="20"/>
          <w:u w:val="single"/>
        </w:rPr>
        <w:t>Credit Decision</w:t>
      </w:r>
      <w:r>
        <w:rPr>
          <w:rFonts w:ascii="Times New Roman;Times;Serif" w:hAnsi="Times New Roman;Times;Serif"/>
          <w:b w:val="false"/>
          <w:i w:val="false"/>
          <w:caps w:val="false"/>
          <w:smallCaps w:val="false"/>
          <w:sz w:val="20"/>
        </w:rPr>
        <w:t>. Each Lender acknowledges that it has, independently and without reliance upon the Agent or any other Lender, and based on such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any action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 xml:space="preserve">. Each Lender irrevocably authorize the Agent to automatically (i) release any Lien granted to or held by the Agent under any Collateral Document (A) on the Termination Date and, to the extent required by the Agent in its sole discretion, upon the expiration, termination or cash collateralization (to the satisfaction of the Agent) of all Letter of Credit Obligations, and to the extent required by the applicable Secured Party in its sole discretion, the expiration, termination or cash collateralization (to the satisfaction of the applicable counterparty) the Rate Contract Obligations and all obligations, liabilities and indebtedness in respect of Bank Products in each case secured, in whole or in part, by any Collateral, or (B) constituting property sold or disposed of as part of or in connection with any disposition permitted under any Loan Document (it being understood and agreed that the Agent may conclusively rely without further inquiry on a certificate of a Responsible Officer as to the sale or other disposition of property being made in full compliance with the provisions of the Loan Documents), (ii) release any Guarantor from its obligations under the Loan Documents (A) on the Termination Date and, to the extent required by the Agent in its sole discretion, upon the expiration, termination or cash collateralization (to the satisfaction of the Agent) of all Letter of Credit Obligations, and to the extent required by the applicable Secured Party in its sole discretion, the expiration, termination or cash collateralization (to the satisfaction of the applicable counterparty) of all Rate Contract Obligations and all obligations, liabilities and indebtedness in respect of Bank Products in each case secured, in whole or in part, by any Collateral, or (B) upon such Guarantor ceasing to be a Subsidiary pursuant to a transaction permitted by this Agreement (it being understood and agreed that the Agent may conclusively rely without further inquiry on a certificate of a Responsible Officer as to the sale or other disposition being made in full compliance with the provisions of the Loan Documents), and (iii) release or subordinate any Lien granted to or held by the Agent under any Collateral Document constituting property described in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 xml:space="preserve"> (it being understood and agreed that the Agent may conclusively rely without further inquiry on a certificate of a Responsible Officer as to the identification of any property described in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 xml:space="preserve">). Upon request by the Agent at any time, Lenders will confirm the Agent’s authority to release and/or subordinate particular types or items of Collateral pursuant to this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11.10 </w:t>
      </w:r>
      <w:r>
        <w:rPr>
          <w:rFonts w:ascii="Times New Roman;Times;Serif" w:hAnsi="Times New Roman;Times;Serif"/>
          <w:b w:val="false"/>
          <w:i w:val="false"/>
          <w:caps w:val="false"/>
          <w:smallCaps w:val="false"/>
          <w:sz w:val="20"/>
          <w:u w:val="single"/>
        </w:rPr>
        <w:t>Agency for Perfection</w:t>
      </w:r>
      <w:r>
        <w:rPr>
          <w:rFonts w:ascii="Times New Roman;Times;Serif" w:hAnsi="Times New Roman;Times;Serif"/>
          <w:b w:val="false"/>
          <w:i w:val="false"/>
          <w:caps w:val="false"/>
          <w:smallCaps w:val="false"/>
          <w:sz w:val="20"/>
        </w:rPr>
        <w:t xml:space="preserve">. The Agent and each Lender hereby appoint each other Lender as agent for the purpose of perfecting the Agent’s security interest in assets which, in accordance with the UCC in any applicable jurisdiction, can be perfected by possession or control. Should any Lender (other than the Agent) obtain possession or control of any such assets, such Lender shall notify the Agent thereof, and, promptly upon the Agent’s request therefor, shall deliver such assets to the Agent or in accordance with the Agent’s instructions or transfer control to the Agent in accordance with the Agent’s instructions. Each Lender agrees that it will not have any right individually to enforce or seek to enforce any Collateral Document or to realize upon any Collateral for the Advances unless instructed to do so by the Agent (or consented to by the Agent, as provided in </w:t>
      </w:r>
      <w:r>
        <w:rPr>
          <w:rFonts w:ascii="Times New Roman;Times;Serif" w:hAnsi="Times New Roman;Times;Serif"/>
          <w:b w:val="false"/>
          <w:i w:val="false"/>
          <w:caps w:val="false"/>
          <w:smallCaps w:val="false"/>
          <w:sz w:val="20"/>
          <w:u w:val="single"/>
        </w:rPr>
        <w:t>Section 9.2(d)</w:t>
      </w:r>
      <w:r>
        <w:rPr>
          <w:rFonts w:ascii="Times New Roman;Times;Serif" w:hAnsi="Times New Roman;Times;Serif"/>
          <w:b w:val="false"/>
          <w:i w:val="false"/>
          <w:caps w:val="false"/>
          <w:smallCaps w:val="false"/>
          <w:sz w:val="20"/>
        </w:rPr>
        <w:t>), it being understood and agreed that such rights and remedies may be exercised only by the Agent.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11.11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The Agent shall not be deemed to have knowledge or notice of the occurrence of any Default or Event of Default unless the Agent shall have received written notice from a Lender or the Borrower referring to this Agreement, describing such Default or Event of Default and stating that such notice is a “notice of default.” The Agent will notify each Lender of its receipt of any such notice. The Agent shall take such action with respect to such Default or Event of Default as may be requested by Required Lenders (or all or such other portion of Lenders as shall be prescribed by this Agreement) in accordance with the terms hereof. Unless and until the Agent has received any such request, the Agent may (but shall not be obligated to) take such action, or refrain from taking such action, with respect to such Default or Event of Default as it shall deem advisable or in the best interests of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11.12 </w:t>
      </w:r>
      <w:r>
        <w:rPr>
          <w:rFonts w:ascii="Times New Roman;Times;Serif" w:hAnsi="Times New Roman;Times;Serif"/>
          <w:b w:val="false"/>
          <w:i w:val="false"/>
          <w:caps w:val="false"/>
          <w:smallCaps w:val="false"/>
          <w:sz w:val="20"/>
          <w:u w:val="single"/>
        </w:rPr>
        <w:t>Successor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may at any time give notice of its resignation to Lenders, the L/C Issuer, the Swing Line Lender, and the Borrower. Upon receipt of any such notice of resignation, Required Lenders shall have the right, in consultation with the Borrower, to appoint a successor Agent. Upon the acceptance of a successor’s appointment as the Agent hereunder and notice of such acceptance to the retiring the Agent, such successor shall succeed to and become vested with all of the rights, powers, privileges and duties of the retiring (or retired) the Agent, the retiring the Agent’s resignation shall become immediately effective and the retiring the Agent shall be discharged from all of its duties and obligations hereunder and under the other Loan Documents (if such resignation was not already effective and such duties and obligations not already discharged, as provided below in this paragraph). The Fees payable by the Borrower to a successor Agent shall be the same as those payable to its predecessor unless otherwise agreed between the Borrower and such successor. If no such successor shall have been so appointed by Required Lenders and shall have accepted such appointment within 30 days after the retiring the Agent gives notice of its resignation, then the retiring the Agent may on behalf of Lenders, the L/C Issuer and the Swing Line Lender (but without any obligation) appoint a successor Agent, which appointment shall not be subject to consent by Required Lenders or any Loan Party. From and following the expiration of such 30 day period, the Agent shall have the exclusive right, upon one Business Days’ notice to the Borrower and Lenders, to make its resignation effective immediately. From and following the effectiveness of such notice, (i) the retiring the Agent shall be discharged from its duties and obligations hereunder and under the other Loan Documents and (ii) all payments, communications and determinations provided to be made by, to or through the Agent shall instead be made by or to each Lender, the L/C Issuer and the Swing Line Lender directly, until such time as Required Lenders appoint a successor Agent as provided for above in this paragraph. The provisions of this Agreement shall continue in effect for the benefit of any retiring the Agent and its sub-agents after the effectiveness of its resignation hereunder and under the other Loan Documents in respect of any actions taken or omitted to be taken by any of them (x) while the retiring the Agent was acting or was continuing to act as the Agent and (y) after such resignation for as long as any of them continues to act in any capacity hereunder or under the other Loan Documents, including acting as collateral agent or otherwise holding any collateral security on behalf of any of the holders of the Obligations and in respect of any actions taken in connection with transferring the agency to any successor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herein, if at any time the Agent assigns all of its Revolving Loan Commitments and Revolving Loans pursuant to (and in accordance with) the terms and conditions hereof, the Agent may terminate the Borrower’s ability to request Swing Line Advances. In the event of such termination: (i) the Borrower shall be entitled to appoint another Lender to act as the successor the Swing Line Lender hereunder (with such Lender’s consent);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failure of the Borrower to appoint a successor shall not affect the resignation of the Agent as the Swing Line Lender; and (ii) the Agent shall retain all of the rights of the maker of Swing Line Advances provided hereunder with respect to Swing Line Advances made by it and outstanding as of the effective date of such termination, including the right to require Lenders to make Revolving Loans or fund participations in outstanding Swing Line Advances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herein, if at any time the Agent assigns all of its Revolving Loan Commitments and Revolving Loans pursuant to (and in accordance with) the terms and conditions hereof, the Agent may terminate its commitment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to issue Letters of Credit. In the event of such termination: (i) the Borrower shall be entitled to appoint another Lender to act as the successor the L/C Issuer hereunder (with such Lender’s consent);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failure of the Borrower to appoint a successor shall not affect the resignation of the Agent as the L/C Issuer; and (ii) the Agent shall retain all of the rights of the L/C Issuer hereunder with respect to Letters of Credit made by it and outstanding as of the effective date of such termination, including the right to require Lenders to fund their Pro Rata Share of such Letters of Credit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11.13 </w:t>
      </w:r>
      <w:r>
        <w:rPr>
          <w:rFonts w:ascii="Times New Roman;Times;Serif" w:hAnsi="Times New Roman;Times;Serif"/>
          <w:b w:val="false"/>
          <w:i w:val="false"/>
          <w:caps w:val="false"/>
          <w:smallCaps w:val="false"/>
          <w:sz w:val="20"/>
          <w:u w:val="single"/>
        </w:rPr>
        <w:t>Disbursements of Revolving Credit Advances; Payment and Sharing of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Revolving Credit Advances, Payments and Settlements; Interest and Fee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Agent shall be conclusively entitled to assume that each Lender will fund its Pro Rata Share of all Revolving Credit Advances requested by the Borrower. Each Lender shall reimburse the Agent on demand, in accordance with the provisions of the immediately following paragraph, for all funds disbursed on its behalf by the Agent pursuant to the first and second sentences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if the Agent so requests, each Lender will remit to the Agent its Pro Rata Share of any Revolving Credit Advance before the Agent disburses the same to the Borrower. If the Agent elects to require that each Lender make funds available to the Agent, prior to a disbursement by the Agent to the Borrower, the Agent shall advise each Lender by telephone, facsimile or email of the amount of such Lender’s Pro Rata Share of the Revolving Credit Advance requested by the Borrower no later than noon (New York, NY time) on the date of funding of such Revolving Credit Advance, and each such Lender shall pay the Agent on such date such Lender’s Pro Rata Share of such requested Revolving Credit Advance, in same day funds, by wire transfer to the Agent’s account specified by the Agent to Lenders from time to time. If any Lender fails to pay the amount of its Pro Rata Share within one Business Day after the Agent’s demand, the Agent shall promptly notify the Borrower, and the Borrower shall promptly repay such amount to the Agent. Any repayment required by the Borrower pursuant to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shall be accompanied by accrued interest thereon from the date such amount is made available to the Borrower to but excluding the date of payment at the rate of interest then applicable to Revolving Credit Advances which are Base Rate Loans. Nothing in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or elsewhere in this Agreement or the other Loan Documents shall be deemed to require the Agent to advance funds on behalf of any Lender or to relieve any Lender from its obligation to fulfill its commitments hereunder or to prejudice any rights that the Agent or the Borrower may have against any Lender as a result of any default by such Lender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a Business Day of each week as selected from time to time by the Agent, or more frequently (including daily), if the Agent so elects (each such day being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xml:space="preserve">”), the Agent will advise each Lender by telephone, facsimile or email of the amount of each such Lender’s percentage interest of the Revolving Credit Advance balance as of the close of business of the Business Day immediately preceding the Settlement Date. In the event that payments are necessary to adjust the amount of such Lender’s actual percentage interest of the Revolving Credit Advances balance to such Lender’s required percentage interest of the Revolving Credit Advances balance as of any Settlement Date, the party from which such payment is due shall pay the Agent, without setoff or discount, to the Agent’s account specified by the Agent to Lenders from time to time not later than 3:00 p.m. (New York, NY time) on the Business Day following the Settlement Date the full amount necessary to make such adjustment. Any obligation arising pursuant to the immediately preceding sentence shall be absolute and unconditional and shall not be affected by any circumstance whatsoever. In the event settlement shall not have occurred by the date and time specified in the second preceding sentence, interest shall accrue on the unsettled amount at the Federal Funds Rate, for the first three days following the scheduled date of settlement, and thereafter at the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for Base Rate Loans applicable to Revolving Credit Advances.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On each Settlement Date, the Agent shall advise each Lender by telephone, facsimile or email of the amount of such Lender’s percentage interest of principal, interest and Fees paid for the benefit of Lenders with respect to each applicable Revolving Credit Advances, to the extent of such Lender’s Revolving Exposure with respect thereto, and shall make payment to such Lender not later than 3:00 p.m. (New York, NY time) on the Business Day following the Settlement Date of such amounts in accordance with wire instructions delivered by such Lender to the Agent, as the same may be modified from time to time by written notice to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such Lender is a Defaulting Lender, the Agent shall be entitled to set off the funding short fall of such Defaulting Lender against that Defaulting Lender’s respective share of all payments received from the Borrower.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the Closing Date, the Agent, on behalf of Lenders, may elect to advance to the Borrower the full amount of the Advances to be made on the Closing Date prior to receiving funds from Lenders, in reliance upon each Lender’s commitment to make its Pro Rata Share of such Advances to the Borrower in a timely manner on such date. If the Agent elects to advance such Advances to the Borrower in such manner, the Agent shall be entitled to receive all interest that accrues on the Closing Date on each Lender’s Pro Rata Share of such Advances unless the Agent receives such Lender’s Pro Rata Share of such Advances by 3:00 p.m. (New York, NY time) on the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provisions of this </w:t>
      </w:r>
      <w:r>
        <w:rPr>
          <w:rFonts w:ascii="Times New Roman;Times;Serif" w:hAnsi="Times New Roman;Times;Serif"/>
          <w:b w:val="false"/>
          <w:i w:val="false"/>
          <w:caps w:val="false"/>
          <w:smallCaps w:val="false"/>
          <w:sz w:val="20"/>
          <w:u w:val="single"/>
        </w:rPr>
        <w:t>Section 11.13(a)</w:t>
      </w:r>
      <w:r>
        <w:rPr>
          <w:rFonts w:ascii="Times New Roman;Times;Serif" w:hAnsi="Times New Roman;Times;Serif"/>
          <w:b w:val="false"/>
          <w:i w:val="false"/>
          <w:caps w:val="false"/>
          <w:smallCaps w:val="false"/>
          <w:sz w:val="20"/>
        </w:rPr>
        <w:t xml:space="preserve"> shall be deemed to be binding upon the Agent and Lenders notwithstanding the occurrence of any Default or Event of Default, or any insolvency or bankruptcy proceeding pertaining to any Loan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Return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Agent pays an amount to a Lender under this Agreement in the belief or expectation that a related payment has been or will be received by the Agent from the Borrower and such related payment is not received by the Agent, then the Agent will be entitled to recover such amount from such Lender on demand without setoff, counterclaim or deduction of any kind, together with interest accruing on a daily basis at the Federal Funds Rate.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Agent determines at any time that any amount received by the Agent under this Agreement must be returned to the Borrower or paid to any other Person pursuant to any insolvency Law or otherwise, then, notwithstanding any other term or condition of this Agreement or any other Loan Document, the Agent will not be required to distribute any portion thereof to any Lender. In addition, each Lender will repay to the Agent on demand any portion of such amount that the Agent has distributed to such Lender, together with interest at such rate, if any, as the Agent is required to pay to the Borrower or such other Person, without setoff, counterclaim or deduction of any kind.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The failure of any Defaulting Lender to make any Advances or any payment required by it hereunder shall not relieve any other Lender of its obligations to make such Advances or payment, but neither any other Lender nor the Agent shall be responsible for the failure of any Defaulting Lender to make Advances or make any other payment required hereunder.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Sharing of Payments</w:t>
      </w:r>
      <w:r>
        <w:rPr>
          <w:rFonts w:ascii="Times New Roman;Times;Serif" w:hAnsi="Times New Roman;Times;Serif"/>
          <w:b w:val="false"/>
          <w:i w:val="false"/>
          <w:caps w:val="false"/>
          <w:smallCaps w:val="false"/>
          <w:sz w:val="20"/>
        </w:rPr>
        <w:t xml:space="preserve">. If any Lender shall obtain any payment or other recovery (whether voluntary, involuntary, by application of setoff or otherwise) on account of any Advance (other than pursuant to the terms of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in excess of its pro rata share of payments entitled pursuant to the other provisions of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The Borrower agrees that any Lender so purchasing a participation from another Lender pursuant to this clause (d) may, to the fullest extent permitted by Law, exercise all its rights of payment (including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with respect to such participation as fully as if such Lender were the direct creditor of the Borrower in the amount of such participation. If under any applicable bankruptcy, insolvency or other similar Law, any Lender receives a secured claim in lieu of a setoff to which this clause (d) applies, such Lender shall, to the extent practicable, exercise its rights in respect of such secured claim in a manner consistent with the rights of Lenders entitled under this clause (d) to share in the benefits of any recovery on such secured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11.14 </w:t>
      </w:r>
      <w:r>
        <w:rPr>
          <w:rFonts w:ascii="Times New Roman;Times;Serif" w:hAnsi="Times New Roman;Times;Serif"/>
          <w:b w:val="false"/>
          <w:i w:val="false"/>
          <w:caps w:val="false"/>
          <w:smallCaps w:val="false"/>
          <w:sz w:val="20"/>
          <w:u w:val="single"/>
        </w:rPr>
        <w:t>Funding and Settlement Provisions Applicable When Non-Funding Lenders Exist</w:t>
      </w:r>
      <w:r>
        <w:rPr>
          <w:rFonts w:ascii="Times New Roman;Times;Serif" w:hAnsi="Times New Roman;Times;Serif"/>
          <w:b w:val="false"/>
          <w:i w:val="false"/>
          <w:caps w:val="false"/>
          <w:smallCaps w:val="false"/>
          <w:sz w:val="20"/>
        </w:rPr>
        <w:t xml:space="preserve">. So long as Required Lenders have not waived the conditions to the funding of Revolving Credit Advances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(nor waived an Event of Default for purposes of satisfying such conditions), any Lender may deliver a notice to each of the Agent and the Swing Line Lender stating that such Lender shall cease making Revolving Credit Advances due to the non-satisfaction of one or more conditions to funding Revolving Credit Advances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and specifying any such non-satisfied conditions. Any Lender delivering any such notice shall become a non-funding Lender (a “</w:t>
      </w:r>
      <w:r>
        <w:rPr>
          <w:rFonts w:ascii="Times New Roman;Times;Serif" w:hAnsi="Times New Roman;Times;Serif"/>
          <w:b w:val="false"/>
          <w:i w:val="false"/>
          <w:caps w:val="false"/>
          <w:smallCaps w:val="false"/>
          <w:sz w:val="20"/>
          <w:u w:val="single"/>
        </w:rPr>
        <w:t>Non-Funding Lender</w:t>
      </w:r>
      <w:r>
        <w:rPr>
          <w:rFonts w:ascii="Times New Roman;Times;Serif" w:hAnsi="Times New Roman;Times;Serif"/>
          <w:b w:val="false"/>
          <w:i w:val="false"/>
          <w:caps w:val="false"/>
          <w:smallCaps w:val="false"/>
          <w:sz w:val="20"/>
        </w:rPr>
        <w:t xml:space="preserve">”) for purposes of this Agreement commencing on the Business Day following receipt by the Agent and the Swing Line Lender of such notice, and shall cease to be a Non-Funding Lender on the date on which (i) such Lender has either revoked the effectiveness of such notice or acknowledged in writing to each of the Agent and the Swing Line Lender the satisfaction of the condition(s) specified in such notice, or (ii) Required Lenders waive the conditions to the funding of such Revolving Credit Advances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giving rise to such notice by Non-Funding Lender. Each Non-Funding Lender shall remain a Lender for purposes of this Agreement to the extent that such Non-Funding Lender outstanding Revolving Credit Advances is in excess of zero;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during any period of time that any Non-Funding Lender exists, and notwithstanding any provision to the contrary set forth herein, the following provisions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determining the Pro Rata Share of each Lender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the definition of such term, each Non-Funding Lender shall be deemed to have a Revolving Loan Commitment as in effect immediately before such Lender became a Non-Funding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Agent shall have no right to make or disburse Revolving Credit Advances for the account of any Non-Funding Lender pursuant to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or to assume that any Non-Funding Lender will fund its Pro Rata Share of any Revolving Credit Advances requested by the Borrower during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Agent shall have no right to make or disburse Revolving Credit Advances for the account of any Non-Funding Lender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to pay interest, Fees, expenses and other charges of any Loan Party, other than Reimbursement Obligations that have arisen pursuant to either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 respect of Letters of Credit issued at the time such Non-Funding Lender was not then a Non-Funding Lender.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Agent shall have no right to make or disburse Revolving Credit Advances as provided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for the account of any Lender that was a Non-Funding Lender at the time that the Swing Line Lender advanced a Swing Line Advance, and the Swing Line Lender shall have no right to assume that any Lender that was a Non-Funding Lender at the time that the Swing Line Lender advanced a Swing Line Advance will fund any portion of such Swing Line Advance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In addition, no Lender that was a Non-Funding Lender at the time that the Swing Line Lender advanced a Swing Line Advance shall have an obligation to fund the Agent’s account set forth on the Agent’s signature page hereto for the benefit of the Swing Line Lender in respect of such Swing Line Advance or purchase any interest or participation in respect of such Swing Line Advance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Agent shall have no right to (i) make or disburse Revolving Credit Advance as provided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for the account of any Lender that was a Non-Funding Lender at the time of issuance of any Letter of Credit for which funding or Reimbursement Obligations have arisen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(ii) assume that any Lender that was a Non-Funding Lender at the time of issuance of such Letter of Credit will fund any portion of the Revolving Credit Advance to be funded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 respect of such Letter of Credit. In addition, no Lender that was a Non-Funding Lender at the time of issuance of any Letter of Credit for which funding or Reimbursement Obligations have arisen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have an obligation to fund any portion of the Revolving Credit Advance to be funded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 respect to such Letter of Credit, or to make any payment to the Agent or the L/C Issuer, as applicable, under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 respect of such Letter of Credit, or be deemed to have purchased any interest or participation in such Letter of Credit from the Agent or the L/C Issuer, as applicable, under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To the extent that the Agent applies proceeds of Collateral or other payments received by the Agent to repayment of Revolving Credit Advances pursuant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 at any time an Event of Default exists (other than an Event of Default under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such payments and proceeds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in respect of Revolving Credit Advances made at the time any Non-Funding Lenders exist,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in respect of all other outstanding Revolving Credit Advances, and (ii) at any time an Event of Default under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exists, such payment and proceeds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in respect of Revolving Credit Advances other than Revolving Credit Advances made at the time any Non-Funding Lenders exist,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in respect of all Revolving Credit Advances made at the time any Non-Funding Lenders exist.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11.15 </w:t>
      </w:r>
      <w:r>
        <w:rPr>
          <w:rFonts w:ascii="Times New Roman;Times;Serif" w:hAnsi="Times New Roman;Times;Serif"/>
          <w:b w:val="false"/>
          <w:i w:val="false"/>
          <w:caps w:val="false"/>
          <w:smallCaps w:val="false"/>
          <w:sz w:val="20"/>
          <w:u w:val="single"/>
        </w:rPr>
        <w:t>Withholding Tax</w:t>
      </w:r>
      <w:r>
        <w:rPr>
          <w:rFonts w:ascii="Times New Roman;Times;Serif" w:hAnsi="Times New Roman;Times;Serif"/>
          <w:b w:val="false"/>
          <w:i w:val="false"/>
          <w:caps w:val="false"/>
          <w:smallCaps w:val="false"/>
          <w:sz w:val="20"/>
        </w:rPr>
        <w:t>. To the extent required by any applicable Law, the Agent may withhold from any payment to any Lender an amount equivalent to any applicable withholding Tax. If the IRS or any authority of the United States or other jurisdiction asserts a claim that the Agent did not properly withhold Tax from amounts paid to or for the account of any Lender (because the appropriate form was not delivered, was not properly executed, or because such Lender failed to notify the Agent of a change in circumstances that rendered the exemption from, or reduction of, withholding Tax ineffective, or for any other reason), such Lender shall indemnify the Agent (to the extent that the Agent has not already been reimbursed by a Loan Party and without limiting the obligation of any Loan Party to do so) fully for all amounts paid, directly or indirectly, by the Agent as Tax or otherwise, including penalties and interest, together with all expenses incurred, including legal expenses, allocated staff costs and any out of pocket expenses.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11.16 </w:t>
      </w:r>
      <w:r>
        <w:rPr>
          <w:rFonts w:ascii="Times New Roman;Times;Serif" w:hAnsi="Times New Roman;Times;Serif"/>
          <w:b w:val="false"/>
          <w:i w:val="false"/>
          <w:caps w:val="false"/>
          <w:smallCaps w:val="false"/>
          <w:sz w:val="20"/>
          <w:u w:val="single"/>
        </w:rPr>
        <w:t>Agent May File Proof of Claim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pendency of any receivership, insolvency, liquidation, bankruptcy, reorganization, arrangement, adjustment, composition or other judicial proceeding relative to any Loan Party, the Agent (irrespective of whether the principal of any Advance or any Revolving Exposure shall then be due and payable as herein expressed or by declaration or otherwise and irrespective of whether the Agent shall have made any demand on the Borrower) shall be entitled and empowered, by intervention in such proceeding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the principal and interest owing and unpaid in respect of the Advances or the Revolving Exposure and all other Obligations that are owing and unpaid and to file such other documents as may be necessary or advisable in order to have the claims of Lenders, the Swing Line Lender and the Agent (including any claim for the reasonable compensation, expenses, disbursements and advances of Lenders, the Swing Line Lender and the Agent and its agents and counsel and all other amounts due Lenders, the Swing Line Lender and the Agent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custodian, receiver, assignee, trustee, liquidator, sequestrator or other similar official in any such judicial proceeding is hereby authorized by each Lender and the Swing Line Lender to make such payments to the Agent and, if the Agent shall consent to the making of such payments directly to Lenders and the Swing Line Lender, to pay to the Agent any amount due for the reasonable compensation, expenses, disbursements and advances of the Agent and its agents and counsel, and any other amounts due the Agent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Agent to authorize or consent to or accept or adopt on behalf of any Lender or the Swing Line Lender any plan of reorganization, arrangement, adjustment or composition affecting the Obligations or the rights of any Lender or to authorize the Agent to vote in respect of the claim of any Lender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11.17 </w:t>
      </w:r>
      <w:r>
        <w:rPr>
          <w:rFonts w:ascii="Times New Roman;Times;Serif" w:hAnsi="Times New Roman;Times;Serif"/>
          <w:b w:val="false"/>
          <w:i w:val="false"/>
          <w:caps w:val="false"/>
          <w:smallCaps w:val="false"/>
          <w:sz w:val="20"/>
          <w:u w:val="single"/>
        </w:rPr>
        <w:t>Agent in Individual Capacity</w:t>
      </w:r>
      <w:r>
        <w:rPr>
          <w:rFonts w:ascii="Times New Roman;Times;Serif" w:hAnsi="Times New Roman;Times;Serif"/>
          <w:b w:val="false"/>
          <w:i w:val="false"/>
          <w:caps w:val="false"/>
          <w:smallCaps w:val="false"/>
          <w:sz w:val="20"/>
        </w:rPr>
        <w:t>. Fifth Third and its Affiliates may make loans to, issue letters of credit for the account of, accept deposits from, provide Bank Products to, acquire Stock in, and generally engage in any kind of banking, trust, financial advisory, underwriting, or other business with each Loan Party and its Subsidiaries and Affiliates and any other Person party to any Loan Document as though Fifth Third were not the Agent hereunder, and, in each case, without notice to or consent of the other Lenders. The other Lenders acknowledge (and by entering into an agreement regarding Bank Products, each provider of Bank Products shall be deemed to acknowledge) that, pursuant to such activities, Fifth Third or its Affiliates may receive information regarding Loan Parties or their Affiliates or any other Person party to any Loan Documents that is subject to confidentiality obligations in favor of the Borrower or such other Person and that prohibit the disclosure of such information to the Lenders (or providers of Bank Products), and the Lenders acknowledge (and by entering into an agreement regarding Bank Products, each provider of Bank Products shall be deemed to acknowledge) that, in such circumstances (and in the absence of a waiver of such confidentiality obligations, which waiver the Agent will use its reasonable best efforts to obtain), the Agent shall not be under any obligation to provide such information to them. The terms “Lender” and “Lenders” include Fifth Third in its individual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11.18 </w:t>
      </w:r>
      <w:r>
        <w:rPr>
          <w:rFonts w:ascii="Times New Roman;Times;Serif" w:hAnsi="Times New Roman;Times;Serif"/>
          <w:b w:val="false"/>
          <w:i w:val="false"/>
          <w:caps w:val="false"/>
          <w:smallCaps w:val="false"/>
          <w:sz w:val="20"/>
          <w:u w:val="single"/>
        </w:rPr>
        <w:t>ERISA Fiduciary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and (y) covenants, from the date such Person became a Lender to the date such Person ceases being a Lender, for the benefit of, the Agent and not, for the avoidance of doubt, to or for the benefit of any Loan Party, that at least one of the following is and will be true: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Advances, the Letters of Credit, the Revolving Loan Commitments or this Agreement,</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Revolving Loan Commitments and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Revolving Loan Commitments and this Agreement, (C) the entrance into, participation in, administration of and performance of the Advances, the Letters of Credit, the Revolving Loan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Revolving Loan Commitments and this Agreement,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Agent, in its sole discretion, and such Lender.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to, and (y) covenants, from the date such Person became a Lender to the date such Person ceases being a Lender, for the benefit of, the Agent and its Affiliates and not, for the avoidance of doubt, to or for the benefit of any Loan Party, that none of the Agent or any of its Affiliates is a fiduciary with respect to the assets of such Lender involved in such Lender’s entrance into, participation in, administration of and performance of the Advances, the Letters of Credit, the Revolving Loan Commitments and this Agreement (including in connection with the reservation or exercise of any rights by the Agent under this Agreement, any Loan Document or any documents related hereto 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11.19 </w:t>
      </w:r>
      <w:r>
        <w:rPr>
          <w:rFonts w:ascii="Times New Roman;Times;Serif" w:hAnsi="Times New Roman;Times;Serif"/>
          <w:b w:val="false"/>
          <w:i w:val="false"/>
          <w:caps w:val="false"/>
          <w:smallCaps w:val="false"/>
          <w:sz w:val="20"/>
          <w:u w:val="single"/>
        </w:rPr>
        <w:t>Acknowledgments Regarding Erroneous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the L/C Issuer hereby agrees that (x) if the Agent notifies such Lender or such the L/C Issuer that the Agent has determined in its sole discretion that any funds received by such Lender or such the L/C Issuer from the Agent or any of its Affiliates (whether as a payment, prepayment or repayment of principal, interest, fees or otherwise; individually and collectively, 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were erroneously transmitted to such Lender or such the L/C Issuer (whether or not known to such Lender or such the L/C Issuer), and demands the return of such Payment (or a portion thereof), such Lender or such the L/C Issuer shall promptly, but in no event later than one Business Day thereafter, return to the Agent the amount of any such Payment (or portion thereof) as to which such a demand was made in same day funds (in the currency so received), together with interest thereon in respect of each day from the date such Payment (or portion thereof) was received by such Lender or such the L/C Issuer through the date such amount is repaid to the Agent at the greater of the Federal Funds Rate and a rate determined by the Agent in accordance with banking industry rules on interbank compensation from time to time in effect, and (y) to the extent permitted by applicable law, such Lender or such the L/C Issuer shall not assert, and hereby waives, as to the Agent, any claim, counterclaim, defense or right of set-off or recoupment with respect to any demand, claim or counterclaim by the Agent for the return of any Payments received, including any defense based on “discharge for value” or any similar doctrine. A notice of the Agent to any Lender or such the L/C Issuer under this </w:t>
      </w:r>
      <w:r>
        <w:rPr>
          <w:rFonts w:ascii="Times New Roman;Times;Serif" w:hAnsi="Times New Roman;Times;Serif"/>
          <w:b w:val="false"/>
          <w:i w:val="false"/>
          <w:caps w:val="false"/>
          <w:smallCaps w:val="false"/>
          <w:sz w:val="20"/>
          <w:u w:val="single"/>
        </w:rPr>
        <w:t>Section 11.19</w:t>
      </w:r>
      <w:r>
        <w:rPr>
          <w:rFonts w:ascii="Times New Roman;Times;Serif" w:hAnsi="Times New Roman;Times;Serif"/>
          <w:b w:val="false"/>
          <w:i w:val="false"/>
          <w:caps w:val="false"/>
          <w:smallCaps w:val="false"/>
          <w:sz w:val="20"/>
        </w:rPr>
        <w:t xml:space="preserve"> shall be conclusive, absent manifest error.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and each the L/C Issuer hereby further agrees that if it receives a Payment from the Agent or any of its Affiliates (x) that is in a different amount than, or on a different date from, that specified in a notice of payment sent by the Agent (or any of its Affiliates) with respect to such Payment (a “</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and each the L/C Issuer agrees that, in each such case, or if it otherwise becomes aware a Payment (or portion thereof) may have been sent in error, such Lender or such the L/C Issuer shall promptly notify the Agent of such occurrence and, upon demand from the Agent, it shall promptly, but in no event later than one Business Day thereafter, return to the Agent the amount of any such Payment (or portion thereof) as to which such a demand was made in same day funds, together with interest thereon in respect of each day from the date such Payment (or portion thereof) was received by such Lender or such the L/C Issuer through the date such amount is repaid to the Agent at the greater of the Federal Funds Rate and a rate determined by the Agent in accordance with banking industry rules on interbank compensation from time to time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each other Loan Party hereby agrees that (x) in the event an erroneous Payment (or portion thereof) is not recovered from any Lender or such the L/C Issuer that has received such Payment (or portion thereof) for any reason, the Agent shall be subrogated to all the rights of such Lender or such the L/C Issuer with respect to such amount and (y) an erroneous Payment shall not pay, prepay, repay, discharge or otherwise satisfy any Obligations owed by any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party’s obligations under this </w:t>
      </w:r>
      <w:r>
        <w:rPr>
          <w:rFonts w:ascii="Times New Roman;Times;Serif" w:hAnsi="Times New Roman;Times;Serif"/>
          <w:b w:val="false"/>
          <w:i w:val="false"/>
          <w:caps w:val="false"/>
          <w:smallCaps w:val="false"/>
          <w:sz w:val="20"/>
          <w:u w:val="single"/>
        </w:rPr>
        <w:t>Section 11.19</w:t>
      </w:r>
      <w:r>
        <w:rPr>
          <w:rFonts w:ascii="Times New Roman;Times;Serif" w:hAnsi="Times New Roman;Times;Serif"/>
          <w:b w:val="false"/>
          <w:i w:val="false"/>
          <w:caps w:val="false"/>
          <w:smallCaps w:val="false"/>
          <w:sz w:val="20"/>
        </w:rPr>
        <w:t xml:space="preserve"> shall survive the resignation or replacement of the Agent or any transfer of rights or obligations by, or the replacement of, a Lender or a the L/C Issuer, the termination of the Revolving Loan Commitments or the repayment, satisfaction or discharge of all Obligations under any Loan Document.</w:t>
      </w:r>
    </w:p>
    <w:p>
      <w:pPr>
        <w:pStyle w:val="TextBody"/>
        <w:bidi w:val="0"/>
        <w:spacing w:before="0" w:after="0"/>
        <w:ind w:left="0" w:right="0" w:firstLine="144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7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agreements, representations and warranties made herein and in every other Loan Document shall survive the execution and delivery of this Agreement and the other Loan Documents. The provisions of </w:t>
      </w:r>
      <w:r>
        <w:rPr>
          <w:rFonts w:ascii="Times New Roman;Times;Serif" w:hAnsi="Times New Roman;Times;Serif"/>
          <w:b w:val="false"/>
          <w:i w:val="false"/>
          <w:caps w:val="false"/>
          <w:smallCaps w:val="false"/>
          <w:sz w:val="20"/>
          <w:u w:val="single"/>
        </w:rPr>
        <w:t>Sections 2.5(e)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shall survive the payment of the Obligations (both with respect to any Lender and all Lenders collectively and the L/C Issuer, as applicable) and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No Waivers</w:t>
      </w:r>
      <w:r>
        <w:rPr>
          <w:rFonts w:ascii="Times New Roman;Times;Serif" w:hAnsi="Times New Roman;Times;Serif"/>
          <w:b w:val="false"/>
          <w:i w:val="false"/>
          <w:caps w:val="false"/>
          <w:smallCaps w:val="false"/>
          <w:sz w:val="20"/>
        </w:rPr>
        <w:t>. No failure or delay by the Agent or any Lender in exercising any right, power or privilege under any Loan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Loan Document to the “continuing” nature of any Event of Default shall not be construed as establishing or otherwise indicating that any Loan Party has the independent right to cure any such Event of Default, but is rather presented merely for convenience should such Event of Default be waived in accordance with the terms of the applicable Loan Documents.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notices, requests and other communications to any party hereunder shall be in writing (including prepaid overnight courier, email, electronic submissions or similar writing, but not facsimile transmission) and shall be given to such party at its address or email address set forth on the signature pages hereof (or, in the case of any such Lender who becomes a Lender after the date hereof, in an Assignment Agreement or in a notice delivered to the Borrower and the Agent by the assignee Lender forthwith upon such assignment) or at such other address or email address as such party may hereafter specify for the purpose by notice to the Agent and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notices, requests or other communications shall be permitted by email or other electronic submissions only in accordance with the provisions of </w:t>
      </w:r>
      <w:r>
        <w:rPr>
          <w:rFonts w:ascii="Times New Roman;Times;Serif" w:hAnsi="Times New Roman;Times;Serif"/>
          <w:b w:val="false"/>
          <w:i w:val="false"/>
          <w:caps w:val="false"/>
          <w:smallCaps w:val="false"/>
          <w:sz w:val="20"/>
          <w:u w:val="single"/>
        </w:rPr>
        <w:t>Section 12.3(b)</w:t>
      </w:r>
      <w:r>
        <w:rPr>
          <w:rFonts w:ascii="Times New Roman;Times;Serif" w:hAnsi="Times New Roman;Times;Serif"/>
          <w:b w:val="false"/>
          <w:i w:val="false"/>
          <w:caps w:val="false"/>
          <w:smallCaps w:val="false"/>
          <w:sz w:val="20"/>
        </w:rPr>
        <w:t xml:space="preserve">. Each such notice, request or other communication shall be effective (i) if given by email or other electronic submissions, as set forth in </w:t>
      </w:r>
      <w:r>
        <w:rPr>
          <w:rFonts w:ascii="Times New Roman;Times;Serif" w:hAnsi="Times New Roman;Times;Serif"/>
          <w:b w:val="false"/>
          <w:i w:val="false"/>
          <w:caps w:val="false"/>
          <w:smallCaps w:val="false"/>
          <w:sz w:val="20"/>
          <w:u w:val="single"/>
        </w:rPr>
        <w:t>Section 12.3(c)</w:t>
      </w:r>
      <w:r>
        <w:rPr>
          <w:rFonts w:ascii="Times New Roman;Times;Serif" w:hAnsi="Times New Roman;Times;Serif"/>
          <w:b w:val="false"/>
          <w:i w:val="false"/>
          <w:caps w:val="false"/>
          <w:smallCaps w:val="false"/>
          <w:sz w:val="20"/>
        </w:rPr>
        <w:t xml:space="preserve"> or (ii) if given by mail, prepaid overnight courier or any other means, when received at the applicable address specified by this Section. Notwithstanding anything to the contrary herein, and for the avoidance of any doubt, notices, requests and other communications delivered by facsimile transmission do not satisfy the requirements of this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parties hereto may be delivered or furnished by electronic communication (including email and Internet or intranet websites);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foregoing shall not apply to notices sent directly to any party hereto if such party has notified the Agent that it has elected not to receive notices by electronic communication (which election may be limited to particular notices) and (ii) any Notice of Borrowing, Notice of Conversion or any notices regarding request for advances hereunder shall be delivered or furnished by the Borrower by electronic communication in accordance with all procedures established by or otherwise acceptable to the Agent from time to time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notice or other communication is not sent or posted during normal business hours, such notice or communication shall be deemed to have been sent at the opening of business on the next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of or obligation under this Agreement or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xml:space="preserve">. No provision of this Agreement or any other Loan Document may be amended, waived or otherwise modified unless such amendment, waiver or other modification is in writing and is signed or otherwise approved by the Borrower, the Agent and Required Lenders (and, if any amendment, waiver or other modification would increase a Lender’s Revolving Loan Commitment, by such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amendment, waiver or other modification shall, unless signed or otherwise approved in writing by the Agent, the Borrower and all Lenders directly affected thereby, (A) reduce the principal of, rate of interest on or any Fees with respect to any Advance or Reimbursement Obligation or forgive any principal, interest or Fees with respect to any Advance or Reimbursement Obligation, (B) postpone the date fixed for, or waive, any payment (other than a payment pursuant to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of principal of any Advance, or of any Reimbursement Obligation or of interest on any Advance or any Reimbursement Obligation or any Fees hereunder or postpone the date of termination of the commitment of any Lender hereunder, (C) change the definition of the term Required Lenders or the percentage of Lenders which shall be required for Lenders to take any action hereunder, (D) release all or substantially all of the Collateral, authorize any Loan Party to sell or otherwise dispose of all or substantially all of the Collateral or release all or substantially all of the value of the Guarantors, except, in each case with respect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as otherwise may be provided in this Agreement or the other Loan Documents (including in connection with any disposition permitted hereunder and including as provided in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(E) modify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or Section </w:t>
      </w:r>
      <w:r>
        <w:rPr>
          <w:rFonts w:ascii="Times New Roman;Times;Serif" w:hAnsi="Times New Roman;Times;Serif"/>
          <w:b w:val="false"/>
          <w:i w:val="false"/>
          <w:caps w:val="false"/>
          <w:smallCaps w:val="false"/>
          <w:sz w:val="20"/>
          <w:u w:val="single"/>
        </w:rPr>
        <w:t>11.13(d)</w:t>
      </w:r>
      <w:r>
        <w:rPr>
          <w:rFonts w:ascii="Times New Roman;Times;Serif" w:hAnsi="Times New Roman;Times;Serif"/>
          <w:b w:val="false"/>
          <w:i w:val="false"/>
          <w:caps w:val="false"/>
          <w:smallCaps w:val="false"/>
          <w:sz w:val="20"/>
        </w:rPr>
        <w:t xml:space="preserve">, (F) amend, waive or otherwise modify this </w:t>
      </w:r>
      <w:r>
        <w:rPr>
          <w:rFonts w:ascii="Times New Roman;Times;Serif" w:hAnsi="Times New Roman;Times;Serif"/>
          <w:b w:val="false"/>
          <w:i w:val="false"/>
          <w:caps w:val="false"/>
          <w:smallCaps w:val="false"/>
          <w:sz w:val="20"/>
          <w:u w:val="single"/>
        </w:rPr>
        <w:t>Section 12.5(a)</w:t>
      </w:r>
      <w:r>
        <w:rPr>
          <w:rFonts w:ascii="Times New Roman;Times;Serif" w:hAnsi="Times New Roman;Times;Serif"/>
          <w:b w:val="false"/>
          <w:i w:val="false"/>
          <w:caps w:val="false"/>
          <w:smallCaps w:val="false"/>
          <w:sz w:val="20"/>
        </w:rPr>
        <w:t xml:space="preserve"> or the definitions of the terms used in this </w:t>
      </w:r>
      <w:r>
        <w:rPr>
          <w:rFonts w:ascii="Times New Roman;Times;Serif" w:hAnsi="Times New Roman;Times;Serif"/>
          <w:b w:val="false"/>
          <w:i w:val="false"/>
          <w:caps w:val="false"/>
          <w:smallCaps w:val="false"/>
          <w:sz w:val="20"/>
          <w:u w:val="single"/>
        </w:rPr>
        <w:t>Section 12.5(a)</w:t>
      </w:r>
      <w:r>
        <w:rPr>
          <w:rFonts w:ascii="Times New Roman;Times;Serif" w:hAnsi="Times New Roman;Times;Serif"/>
          <w:b w:val="false"/>
          <w:i w:val="false"/>
          <w:caps w:val="false"/>
          <w:smallCaps w:val="false"/>
          <w:sz w:val="20"/>
        </w:rPr>
        <w:t xml:space="preserve"> insofar as the definitions affect the substance of this </w:t>
      </w:r>
      <w:r>
        <w:rPr>
          <w:rFonts w:ascii="Times New Roman;Times;Serif" w:hAnsi="Times New Roman;Times;Serif"/>
          <w:b w:val="false"/>
          <w:i w:val="false"/>
          <w:caps w:val="false"/>
          <w:smallCaps w:val="false"/>
          <w:sz w:val="20"/>
          <w:u w:val="single"/>
        </w:rPr>
        <w:t>Section 12.5(a)</w:t>
      </w:r>
      <w:r>
        <w:rPr>
          <w:rFonts w:ascii="Times New Roman;Times;Serif" w:hAnsi="Times New Roman;Times;Serif"/>
          <w:b w:val="false"/>
          <w:i w:val="false"/>
          <w:caps w:val="false"/>
          <w:smallCaps w:val="false"/>
          <w:sz w:val="20"/>
        </w:rPr>
        <w:t xml:space="preserve">; or (G) consent to the assignment, delegation or other transfer by any Loan Party of any of its rights and obligations under any Loan Document or release any Loan Party of its payment obligations under any Loan Document, except, in each case with respect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pursuant to a merger, consolidation or other transaction permitted pursuant to this Agreement or as provided in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with respect to Guarantors. It is hereby understood and agreed that all Lenders shall be deemed directly affected by an amendment, waiver or other modification of the type described in the preceding </w:t>
      </w:r>
      <w:r>
        <w:rPr>
          <w:rFonts w:ascii="Times New Roman;Times;Serif" w:hAnsi="Times New Roman;Times;Serif"/>
          <w:b w:val="false"/>
          <w:i w:val="false"/>
          <w:caps w:val="false"/>
          <w:smallCaps w:val="false"/>
          <w:sz w:val="20"/>
          <w:u w:val="single"/>
        </w:rPr>
        <w:t>clauses (C)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the preceding sentence. Notwithstanding anything to the contrary set forth in this Agreement, this Agreement may be amended and restated without the consent of any Lender (but with the consent of the Borrower and the Agent) if upon giving effect to such amendment and restatement, such Lender shall no longer be a party to this Agreement (as so amended and restated), the Revolving Loan Commitment of such Lender shall have terminated (but such Lender shall continue to be entitled to the benefits of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11.13(d)</w:t>
      </w:r>
      <w:r>
        <w:rPr>
          <w:rFonts w:ascii="Times New Roman;Times;Serif" w:hAnsi="Times New Roman;Times;Serif"/>
          <w:b w:val="false"/>
          <w:i w:val="false"/>
          <w:caps w:val="false"/>
          <w:smallCaps w:val="false"/>
          <w:sz w:val="20"/>
        </w:rPr>
        <w:t xml:space="preserve">), such Lender shall have no other commitment or other obligation hereunder and shall have been paid in full all principal, interest and other amounts owing to it or accrued for its account under this Agreement. Notwithstanding anything herein or otherwise to the contrary, any Event of Default occurring hereunder shall continue to exist (and shall be deemed to be continuing) until such time as such Event of Default is waived in writing in accordance with the terms of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notwithstanding (i) any attempted cure or other action taken by the Borrower or any other Person subsequent to the occurrence of such Event of Default or (ii) any action taken or omitted to be taken by the Agent or any Lender prior to or subsequent to the occurrence of such Event of Default (other than the granting of a waiver in writing in accordance with the terms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All Lender Consent Rights</w:t>
      </w:r>
      <w:r>
        <w:rPr>
          <w:rFonts w:ascii="Times New Roman;Times;Serif" w:hAnsi="Times New Roman;Times;Serif"/>
          <w:b w:val="false"/>
          <w:i w:val="false"/>
          <w:caps w:val="false"/>
          <w:smallCaps w:val="false"/>
          <w:sz w:val="20"/>
        </w:rPr>
        <w:t xml:space="preserve">. Without limitation of the provisions of the preceding </w:t>
      </w:r>
      <w:r>
        <w:rPr>
          <w:rFonts w:ascii="Times New Roman;Times;Serif" w:hAnsi="Times New Roman;Times;Serif"/>
          <w:b w:val="false"/>
          <w:i w:val="false"/>
          <w:caps w:val="false"/>
          <w:smallCaps w:val="false"/>
          <w:sz w:val="20"/>
          <w:u w:val="single"/>
        </w:rPr>
        <w:t>Section 12.5(a)</w:t>
      </w:r>
      <w:r>
        <w:rPr>
          <w:rFonts w:ascii="Times New Roman;Times;Serif" w:hAnsi="Times New Roman;Times;Serif"/>
          <w:b w:val="false"/>
          <w:i w:val="false"/>
          <w:caps w:val="false"/>
          <w:smallCaps w:val="false"/>
          <w:sz w:val="20"/>
        </w:rPr>
        <w:t xml:space="preserve">, no amendment or waiver shall, unless signed by the Agent and Supermajority Lenders (or by the Agent with the consent of Supermajority Lenders) in addition to the Required Lenders (or by the Agent with the consent of the Required Lenders) amend or modify the definition of Borrowing Base or any of the component definitions included therein, including any increase in the percentage advance rates in the definition of Borrowing Base, in a manner which would increase the availability of credit under the Revolving Loan Commitments. No amendment or waiver shall, unless signed by the Agent and all Lenders (or by the Agent with the consent of all Lenders) (x) amend or waive this </w:t>
      </w:r>
      <w:r>
        <w:rPr>
          <w:rFonts w:ascii="Times New Roman;Times;Serif" w:hAnsi="Times New Roman;Times;Serif"/>
          <w:b w:val="false"/>
          <w:i w:val="false"/>
          <w:caps w:val="false"/>
          <w:smallCaps w:val="false"/>
          <w:sz w:val="20"/>
          <w:u w:val="single"/>
        </w:rPr>
        <w:t>Section 12.5(b)</w:t>
      </w:r>
      <w:r>
        <w:rPr>
          <w:rFonts w:ascii="Times New Roman;Times;Serif" w:hAnsi="Times New Roman;Times;Serif"/>
          <w:b w:val="false"/>
          <w:i w:val="false"/>
          <w:caps w:val="false"/>
          <w:smallCaps w:val="false"/>
          <w:sz w:val="20"/>
        </w:rPr>
        <w:t xml:space="preserve"> or the definitions of the terms used in this </w:t>
      </w:r>
      <w:r>
        <w:rPr>
          <w:rFonts w:ascii="Times New Roman;Times;Serif" w:hAnsi="Times New Roman;Times;Serif"/>
          <w:b w:val="false"/>
          <w:i w:val="false"/>
          <w:caps w:val="false"/>
          <w:smallCaps w:val="false"/>
          <w:sz w:val="20"/>
          <w:u w:val="single"/>
        </w:rPr>
        <w:t>Section 12.5(b)</w:t>
      </w:r>
      <w:r>
        <w:rPr>
          <w:rFonts w:ascii="Times New Roman;Times;Serif" w:hAnsi="Times New Roman;Times;Serif"/>
          <w:b w:val="false"/>
          <w:i w:val="false"/>
          <w:caps w:val="false"/>
          <w:smallCaps w:val="false"/>
          <w:sz w:val="20"/>
        </w:rPr>
        <w:t xml:space="preserve"> insofar as the definitions affect the substance of this </w:t>
      </w:r>
      <w:r>
        <w:rPr>
          <w:rFonts w:ascii="Times New Roman;Times;Serif" w:hAnsi="Times New Roman;Times;Serif"/>
          <w:b w:val="false"/>
          <w:i w:val="false"/>
          <w:caps w:val="false"/>
          <w:smallCaps w:val="false"/>
          <w:sz w:val="20"/>
          <w:u w:val="single"/>
        </w:rPr>
        <w:t>Section 12.5(b)</w:t>
      </w:r>
      <w:r>
        <w:rPr>
          <w:rFonts w:ascii="Times New Roman;Times;Serif" w:hAnsi="Times New Roman;Times;Serif"/>
          <w:b w:val="false"/>
          <w:i w:val="false"/>
          <w:caps w:val="false"/>
          <w:smallCaps w:val="false"/>
          <w:sz w:val="20"/>
        </w:rPr>
        <w:t>; (y) change the definition of (i) the term Required Lenders or Supermajority Lenders, (ii) the percentage of Lenders which shall be required for Lenders to take any action hereunder, or (iii) change any specific right of Required Lenders to grant or withhold consent or take or omit to take any action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Agent, Swing Line Lender, L/C Issuer Consent Rights</w:t>
      </w:r>
      <w:r>
        <w:rPr>
          <w:rFonts w:ascii="Times New Roman;Times;Serif" w:hAnsi="Times New Roman;Times;Serif"/>
          <w:b w:val="false"/>
          <w:i w:val="false"/>
          <w:caps w:val="false"/>
          <w:smallCaps w:val="false"/>
          <w:sz w:val="20"/>
        </w:rPr>
        <w:t>. No amendment, waiver or consent shall, unless in writing and signed by the Agent, the Swing Line Lender or the L/C Issuer, as the case may be, in addition to the Required Lenders or all Lenders directly affected thereby, as the case may be (or by the Agent with the consent of the Required Lenders or all the Lenders directly affected thereby, as the case may be), affect the rights or duties of the Agent, the Swing Line Lender or the L/C Issuer, as applicable, under this Agreement or any other Loan Document.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xml:space="preserve">. Notwithstanding anything set forth herein to the contrary, a Defaulting Lender shall not have any voting or consent rights under or with respect to any Loan Document or constitute a “Lender” (or be, or have its Advances and Revolving Loan Commitments, included in the determination of “Required Lenders”, “Supermajority Lenders” or “Lenders directly affected” pursuant to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for any voting or consent rights under or with respect to any Loan Document, except that a Defaulting Lender shall be treated as an “affected Lender” solely with respect to an increase in or extension of such Defaulting Lender’s Revolving Loan Commitments, a reduction of the principal amount owed to such Defaulting Lender or, unless such Defaulting Lender is treated the same as the other Lenders holding Advances of the same type, a reduction in the interest rates applicable to the Advances held by such Defaulting Lender, and any waiver, amendment or modification requiring the consent of all Lenders or each affected Lender that by its terms affects any Defaulting Lender disproportionately adversely relative to other affected Lenders shall require the consent of such Defaulting Lender. Moreover, for the purposes of determining Supermajority Lenders and Required Lenders, the Advances and Revolving Loan Commitments held by Defaulting Lenders shall be excluded from the total Advances and Revolving Loan Commitments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Amendments Regarding Additional Credit Facilities</w:t>
      </w:r>
      <w:r>
        <w:rPr>
          <w:rFonts w:ascii="Times New Roman;Times;Serif" w:hAnsi="Times New Roman;Times;Serif"/>
          <w:b w:val="false"/>
          <w:i w:val="false"/>
          <w:caps w:val="false"/>
          <w:smallCaps w:val="false"/>
          <w:sz w:val="20"/>
        </w:rPr>
        <w:t>. Notwithstanding anything set forth herein to the contrary, this Agreement may be amended with the written consent of the Agent, the Borrower and the Required Lenders to (i) add one or more additional credit facilities to this Agreement and to permit the extensions of credit from time to time outstanding thereunder and the outstanding principal and accrued interest and Fees in respect thereof and all other related obligations and liabilities arising in connection therewith from time to time outstanding to share ratably in the benefits of this Agreement and the other Loan Documents with the Advances and the accrued interest and Fees and all other related obligations and liabilities hereunder and (ii) include appropriately the Lenders holding such credit facilities in any determination of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Amendments</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(i) the Agent may amend </w:t>
      </w:r>
      <w:r>
        <w:rPr>
          <w:rFonts w:ascii="Times New Roman;Times;Serif" w:hAnsi="Times New Roman;Times;Serif"/>
          <w:b w:val="false"/>
          <w:i w:val="false"/>
          <w:caps w:val="false"/>
          <w:smallCaps w:val="false"/>
          <w:sz w:val="20"/>
          <w:u w:val="single"/>
        </w:rPr>
        <w:t>Annex E</w:t>
      </w:r>
      <w:r>
        <w:rPr>
          <w:rFonts w:ascii="Times New Roman;Times;Serif" w:hAnsi="Times New Roman;Times;Serif"/>
          <w:b w:val="false"/>
          <w:i w:val="false"/>
          <w:caps w:val="false"/>
          <w:smallCaps w:val="false"/>
          <w:sz w:val="20"/>
        </w:rPr>
        <w:t xml:space="preserve"> to reflect any assignments entered into pursuant to </w:t>
      </w:r>
      <w:r>
        <w:rPr>
          <w:rFonts w:ascii="Times New Roman;Times;Serif" w:hAnsi="Times New Roman;Times;Serif"/>
          <w:b w:val="false"/>
          <w:i w:val="false"/>
          <w:caps w:val="false"/>
          <w:smallCaps w:val="false"/>
          <w:sz w:val="20"/>
          <w:u w:val="single"/>
        </w:rPr>
        <w:t>Section 12.6</w:t>
      </w:r>
      <w:r>
        <w:rPr>
          <w:rFonts w:ascii="Times New Roman;Times;Serif" w:hAnsi="Times New Roman;Times;Serif"/>
          <w:b w:val="false"/>
          <w:i w:val="false"/>
          <w:caps w:val="false"/>
          <w:smallCaps w:val="false"/>
          <w:sz w:val="20"/>
        </w:rPr>
        <w:t xml:space="preserve">, and (ii) the Agent and the Borrower may amend or modify this Agreement and any other Loan Document, without any further action or consent of any other party to any Loan Documents, to (A) cure any ambiguity, omission, defect or inconsistency therein; (B) grant a new Lien for the benefit of the Secured Parties, extend an existing Lien over additional property for the benefit of the Secured Parties or join additional Persons as Loan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Accounts of such Person shall be included as Eligible Investment Grade Accounts, Eligible Credit Insured Accounts or Eligible Non-Investment Grade Accounts until a field examination with respect thereto has been completed to the satisfaction of the Agent, including the establishment of Reserves required in the Agent’s Permitted Discretion; and (C) add one or more Increases to this Agreement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to permit the extensions of credit from time to time outstanding thereunder and the accrued interest and fees in respect thereof and all other related obligations and liabilities arising in connection therewith from time to time to share ratably in the benefits of this Agreement and the other Loan Documents with the Revolving Credit Advances and the accrued interest and fees and all other related obligations and liabilities hereunder and to include appropriately the Lenders holding such credit facilities in any determination of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Eligible Swap Counterparty and Bank Product Consent Rights</w:t>
      </w:r>
      <w:r>
        <w:rPr>
          <w:rFonts w:ascii="Times New Roman;Times;Serif" w:hAnsi="Times New Roman;Times;Serif"/>
          <w:b w:val="false"/>
          <w:i w:val="false"/>
          <w:caps w:val="false"/>
          <w:smallCaps w:val="false"/>
          <w:sz w:val="20"/>
        </w:rPr>
        <w:t xml:space="preserve">. Without limitation of the foregoing provisions of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no waiver, amendment or other modification to this Agreement shall, unless signed by each Eligible Swap Counterparty and each provider of Bank Products then in existence, modify the provisions of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in any manner adverse to the interests of each such Eligible Swap Counterparty and/or such provider of Bank Products.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val="false"/>
          <w:i w:val="false"/>
          <w:caps w:val="false"/>
          <w:smallCaps w:val="false"/>
          <w:sz w:val="20"/>
          <w:u w:val="single"/>
        </w:rPr>
        <w:t>Assignments; Participations;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may at any time assign to one or more Eligible Assignees all or any portion of such Lender’s Advances and interest in the Revolving Loan Commitments, together with all related obligations of such Lender hereunder. Except as the Agent may otherwise agree, the amount of any such assignment (determined as of the date of the applicable Assignment Agreement or, if a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xml:space="preserve">” is specified in such Assignment Agreement, as of such Trade Date) shall be in a minimum aggregate amount equal to $2,000,000 or, if less, the assignor’s entire interests in the Revolving Loan Commitments and outstanding Advances;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simultaneous assignments to two or more related Affiliates or Approved Funds, such Affiliates and Approved Funds shall be treated as one assignee for purposes of determining compliance with the minimum assignment size referred to above. The Borrower and the Agent shall be entitled to continue to deal solely and directly with such Lender in connection with the interests so assigned to an Eligible Assignee until the Agent shall have received and accepted an effective Assignment Agreement executed, delivered and fully completed by the applicable parties thereto, such other information regarding such Eligible Assignee as the Agent reasonably shall require and a processing fee of $3,500;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only one processing fee shall be payable in connection with simultaneous assignments to two or more related Affiliates and Approved Funds.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Upon the request of the Eligible Assignee (and, as applicable, the assigning Lender) pursuant to an effective Assignment Agreement, the Borrower shall execute and deliver to the Agent for delivery to the Eligible Assignee (and, as applicable, the assigning Lender) Notes in the aggregate principal amount of the Eligible Assignee’s percentage interest in the Revolving Loan Commitment (and, as applicable, Notes in the principal amount of that portion of the Revolving Loan Commitment retained by the assigning Lender). Upon receipt by the assigning Lender of such Notes, the assigning Lender shall return to the Borrower any prior Note, if any, held by 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Agent, acting solely for this purpose as an agent of the Borrower, shall maintain at its offices located in Cincinnati, Ohio, a copy of each Assignment Agreement delivered to it and a register for the recordation of the names and addresses of each Lender, and the commitments of, and principal amount and stated interest of the Advances and any other Obligations owing to, such Lender pursuant to the terms hereof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 the Agent and Lenders shall treat each Person whose name is recorded therein pursuant to the terms hereof as a Lender hereunder for all purposes of this Agreement, notwithstanding notice to the contrary. The Register shall be available for inspection by the Borrower and any Lender, at any reasonable time upon reasonable prior notice to the Agent. It is intended that the Register be maintained such that the Advances are in “registered form” for the purposes of the IRC.</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the foregoing provisions of this </w:t>
      </w:r>
      <w:r>
        <w:rPr>
          <w:rFonts w:ascii="Times New Roman;Times;Serif" w:hAnsi="Times New Roman;Times;Serif"/>
          <w:b w:val="false"/>
          <w:i w:val="false"/>
          <w:caps w:val="false"/>
          <w:smallCaps w:val="false"/>
          <w:sz w:val="20"/>
          <w:u w:val="single"/>
        </w:rPr>
        <w:t>Section 12.6(a)</w:t>
      </w:r>
      <w:r>
        <w:rPr>
          <w:rFonts w:ascii="Times New Roman;Times;Serif" w:hAnsi="Times New Roman;Times;Serif"/>
          <w:b w:val="false"/>
          <w:i w:val="false"/>
          <w:caps w:val="false"/>
          <w:smallCaps w:val="false"/>
          <w:sz w:val="20"/>
        </w:rPr>
        <w:t xml:space="preserve">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Any Lender may at any time, without the consent of, or notice to, the Borrower or the Agent, sell to one or more Persons participating interests in its Advances, commitments or other interests hereunder (any such Person,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the event of a sale by a Lender of a participating interest to a Participant, (i) such Lender’s obligations hereunder shall remain unchanged for all purposes, (ii) the Borrower and the Agent shall continue to deal solely and directly with such Lender in connection with such Lender’s rights and obligations hereunder, and (iii) all amounts payable by the Borrower shall be determined as if such Lender had not sold such participation and shall be paid directly to such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the Borrower hereby agrees that each Participant shall be entitled to the benefits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(subject to the requirements and limitations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the requirements under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Section 12.6(a)</w:t>
      </w:r>
      <w:r>
        <w:rPr>
          <w:rFonts w:ascii="Times New Roman;Times;Serif" w:hAnsi="Times New Roman;Times;Serif"/>
          <w:b w:val="false"/>
          <w:i w:val="false"/>
          <w:caps w:val="false"/>
          <w:smallCaps w:val="false"/>
          <w:sz w:val="20"/>
        </w:rPr>
        <w:t xml:space="preserve"> (provided that such Participant agrees to be subject to the provisions of Section 2.11 and Section 12.6(c) as if it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Participant shall not be entitled to receive any greater payment under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date the Participant acquired the applicable participation. No Participant shall have any direct or indirect voting rights hereunder (and each agreement or instrument pursuant to which a Lender sells such a participation shall provide that such Lender shall retain the sole right to enforce this Agreement and to approve any amendment, modification or waiver of any provision of this Agreement) except with respect to any event described in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expressly requiring the unanimous vote of all Lenders or, as applicable, all affected Lenders and that affects such Participant. The Borrower agrees that if amounts outstanding under this Agreement are due and payable (as a result of acceleration or otherwise), each Participant shall be deemed to have the right of set-off in respect of its participating interest in amounts owing under this Agreement and with respect to any Letter of Credit to the same extent as if the amount of its participating interest were owing directly to it as a Lender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right of set-off shall be subject to the obligation of each Participant to share with Lenders, and Lenders agree to share with each Participant, as provided in </w:t>
      </w:r>
      <w:r>
        <w:rPr>
          <w:rFonts w:ascii="Times New Roman;Times;Serif" w:hAnsi="Times New Roman;Times;Serif"/>
          <w:b w:val="false"/>
          <w:i w:val="false"/>
          <w:caps w:val="false"/>
          <w:smallCaps w:val="false"/>
          <w:sz w:val="20"/>
          <w:u w:val="single"/>
        </w:rPr>
        <w:t>Section 9.2(d)</w:t>
      </w:r>
      <w:r>
        <w:rPr>
          <w:rFonts w:ascii="Times New Roman;Times;Serif" w:hAnsi="Times New Roman;Times;Serif"/>
          <w:b w:val="false"/>
          <w:i w:val="false"/>
          <w:caps w:val="false"/>
          <w:smallCaps w:val="false"/>
          <w:sz w:val="20"/>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Advances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and binding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the Agent) shall have no responsibility for maintaining a Participant Register.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Replacement of Lenders</w:t>
      </w:r>
      <w:r>
        <w:rPr>
          <w:rFonts w:ascii="Times New Roman;Times;Serif" w:hAnsi="Times New Roman;Times;Serif"/>
          <w:b w:val="false"/>
          <w:i w:val="false"/>
          <w:caps w:val="false"/>
          <w:smallCaps w:val="false"/>
          <w:sz w:val="20"/>
        </w:rPr>
        <w:t xml:space="preserve">. Within 30 days after (i) receipt by the Agent of notice and demand from any Lender for payment of additional costs or as provided in </w:t>
      </w:r>
      <w:r>
        <w:rPr>
          <w:rFonts w:ascii="Times New Roman;Times;Serif" w:hAnsi="Times New Roman;Times;Serif"/>
          <w:b w:val="false"/>
          <w:i w:val="false"/>
          <w:caps w:val="false"/>
          <w:smallCaps w:val="false"/>
          <w:sz w:val="20"/>
          <w:u w:val="single"/>
        </w:rPr>
        <w:t>Sections 2.5(e)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2.9</w:t>
      </w:r>
      <w:r>
        <w:rPr>
          <w:rFonts w:ascii="Times New Roman;Times;Serif" w:hAnsi="Times New Roman;Times;Serif"/>
          <w:b w:val="false"/>
          <w:i w:val="false"/>
          <w:caps w:val="false"/>
          <w:smallCaps w:val="false"/>
          <w:sz w:val="20"/>
        </w:rPr>
        <w:t xml:space="preserve">, which demand shall not have been revoked, (ii) the Borrower is required to pay any additional amount to any Lender or any Governmental Authority for the account of any Lender pursuant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(iii) any Lender is a Defaulting Lender, and the circumstances causing such status shall not have been cured or waived; or (iv) any failure by any Lender to consent to a requested amendment, waiver or modification to any Loan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Times New Roman;Times;Serif" w:hAnsi="Times New Roman;Times;Serif"/>
          <w:b w:val="false"/>
          <w:i w:val="false"/>
          <w:caps w:val="false"/>
          <w:smallCaps w:val="false"/>
          <w:sz w:val="20"/>
          <w:u w:val="single"/>
        </w:rPr>
        <w:t>Affected Lender</w:t>
      </w:r>
      <w:r>
        <w:rPr>
          <w:rFonts w:ascii="Times New Roman;Times;Serif" w:hAnsi="Times New Roman;Times;Serif"/>
          <w:b w:val="false"/>
          <w:i w:val="false"/>
          <w:caps w:val="false"/>
          <w:smallCaps w:val="false"/>
          <w:sz w:val="20"/>
        </w:rPr>
        <w:t>”), the Borrower and/or the Agent may, at its option, notify such Affected Lender and, in the case of the Borrower’s election, the Agent, of such Person’s intention to obtain, at the Borrower’s expense, a replacement Lender (“</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the Borrower or the Agent, as applicable, obtains a Replacement Lender, the Affected Lender shall sell, at par, and assign all of its Advances and funding commitments hereunder to such Replacement Lender in accordance with the procedures set forth in </w:t>
      </w:r>
      <w:r>
        <w:rPr>
          <w:rFonts w:ascii="Times New Roman;Times;Serif" w:hAnsi="Times New Roman;Times;Serif"/>
          <w:b w:val="false"/>
          <w:i w:val="false"/>
          <w:caps w:val="false"/>
          <w:smallCaps w:val="false"/>
          <w:sz w:val="20"/>
          <w:u w:val="single"/>
        </w:rPr>
        <w:t>Section 12.6(a)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Borrower shall have, as applicable, reimbursed such Lender for its increased costs and additional payments for which it is entitled to reimbursement under any of </w:t>
      </w:r>
      <w:r>
        <w:rPr>
          <w:rFonts w:ascii="Times New Roman;Times;Serif" w:hAnsi="Times New Roman;Times;Serif"/>
          <w:b w:val="false"/>
          <w:i w:val="false"/>
          <w:caps w:val="false"/>
          <w:smallCaps w:val="false"/>
          <w:sz w:val="20"/>
          <w:u w:val="single"/>
        </w:rPr>
        <w:t>Sections 2.5(e)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2.10</w:t>
      </w:r>
      <w:r>
        <w:rPr>
          <w:rFonts w:ascii="Times New Roman;Times;Serif" w:hAnsi="Times New Roman;Times;Serif"/>
          <w:b w:val="false"/>
          <w:i w:val="false"/>
          <w:caps w:val="false"/>
          <w:smallCaps w:val="false"/>
          <w:sz w:val="20"/>
        </w:rPr>
        <w:t xml:space="preserve">, as applicable, of this Agreement through the date of such sale and assignment and (B) the Borrower shall pay to the Agent the $3,500 processing fee in respect of such assignment. In the event that a replaced Lender does not execute an Assignment Agreement pursuant to </w:t>
      </w:r>
      <w:r>
        <w:rPr>
          <w:rFonts w:ascii="Times New Roman;Times;Serif" w:hAnsi="Times New Roman;Times;Serif"/>
          <w:b w:val="false"/>
          <w:i w:val="false"/>
          <w:caps w:val="false"/>
          <w:smallCaps w:val="false"/>
          <w:sz w:val="20"/>
          <w:u w:val="single"/>
        </w:rPr>
        <w:t>Section 12.6(a)</w:t>
      </w:r>
      <w:r>
        <w:rPr>
          <w:rFonts w:ascii="Times New Roman;Times;Serif" w:hAnsi="Times New Roman;Times;Serif"/>
          <w:b w:val="false"/>
          <w:i w:val="false"/>
          <w:caps w:val="false"/>
          <w:smallCaps w:val="false"/>
          <w:sz w:val="20"/>
        </w:rPr>
        <w:t xml:space="preserve"> within 5 Business Days after receipt by such replaced Lender of notice of replacement pursuant to this </w:t>
      </w:r>
      <w:r>
        <w:rPr>
          <w:rFonts w:ascii="Times New Roman;Times;Serif" w:hAnsi="Times New Roman;Times;Serif"/>
          <w:b w:val="false"/>
          <w:i w:val="false"/>
          <w:caps w:val="false"/>
          <w:smallCaps w:val="false"/>
          <w:sz w:val="20"/>
          <w:u w:val="single"/>
        </w:rPr>
        <w:t>Section 12.6(c)</w:t>
      </w:r>
      <w:r>
        <w:rPr>
          <w:rFonts w:ascii="Times New Roman;Times;Serif" w:hAnsi="Times New Roman;Times;Serif"/>
          <w:b w:val="false"/>
          <w:i w:val="false"/>
          <w:caps w:val="false"/>
          <w:smallCaps w:val="false"/>
          <w:sz w:val="20"/>
        </w:rPr>
        <w:t xml:space="preserve"> and presentation to such replaced Lender of an Assignment Agreement evidencing an assignment pursuant to this </w:t>
      </w:r>
      <w:r>
        <w:rPr>
          <w:rFonts w:ascii="Times New Roman;Times;Serif" w:hAnsi="Times New Roman;Times;Serif"/>
          <w:b w:val="false"/>
          <w:i w:val="false"/>
          <w:caps w:val="false"/>
          <w:smallCaps w:val="false"/>
          <w:sz w:val="20"/>
          <w:u w:val="single"/>
        </w:rPr>
        <w:t>Section 12.6(c)</w:t>
      </w:r>
      <w:r>
        <w:rPr>
          <w:rFonts w:ascii="Times New Roman;Times;Serif" w:hAnsi="Times New Roman;Times;Serif"/>
          <w:b w:val="false"/>
          <w:i w:val="false"/>
          <w:caps w:val="false"/>
          <w:smallCaps w:val="false"/>
          <w:sz w:val="20"/>
        </w:rPr>
        <w:t xml:space="preserve">, such replaced Lender shall be deemed to have consented to the terms of such Assignment Agreement, and any such Assignment Agreement executed by the Agent, the Replacement Lender and, to the extent required pursuant to </w:t>
      </w:r>
      <w:r>
        <w:rPr>
          <w:rFonts w:ascii="Times New Roman;Times;Serif" w:hAnsi="Times New Roman;Times;Serif"/>
          <w:b w:val="false"/>
          <w:i w:val="false"/>
          <w:caps w:val="false"/>
          <w:smallCaps w:val="false"/>
          <w:sz w:val="20"/>
          <w:u w:val="single"/>
        </w:rPr>
        <w:t>Section 12.6(a)</w:t>
      </w:r>
      <w:r>
        <w:rPr>
          <w:rFonts w:ascii="Times New Roman;Times;Serif" w:hAnsi="Times New Roman;Times;Serif"/>
          <w:b w:val="false"/>
          <w:i w:val="false"/>
          <w:caps w:val="false"/>
          <w:smallCaps w:val="false"/>
          <w:sz w:val="20"/>
        </w:rPr>
        <w:t xml:space="preserve">, the Borrower, shall be effective for purposes of this </w:t>
      </w:r>
      <w:r>
        <w:rPr>
          <w:rFonts w:ascii="Times New Roman;Times;Serif" w:hAnsi="Times New Roman;Times;Serif"/>
          <w:b w:val="false"/>
          <w:i w:val="false"/>
          <w:caps w:val="false"/>
          <w:smallCaps w:val="false"/>
          <w:sz w:val="20"/>
          <w:u w:val="single"/>
        </w:rPr>
        <w:t>Section 12.6(c)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12.6(a)</w:t>
      </w:r>
      <w:r>
        <w:rPr>
          <w:rFonts w:ascii="Times New Roman;Times;Serif" w:hAnsi="Times New Roman;Times;Serif"/>
          <w:b w:val="false"/>
          <w:i w:val="false"/>
          <w:caps w:val="false"/>
          <w:smallCaps w:val="false"/>
          <w:sz w:val="20"/>
        </w:rPr>
        <w:t xml:space="preserve">. Upon any such assignment and payment, such replaced Lender shall no longer constitute a “Lender” for purposes hereof, other than with respect to such rights and obligations that survive termination as set forth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Loan Party Assignments</w:t>
      </w:r>
      <w:r>
        <w:rPr>
          <w:rFonts w:ascii="Times New Roman;Times;Serif" w:hAnsi="Times New Roman;Times;Serif"/>
          <w:b w:val="false"/>
          <w:i w:val="false"/>
          <w:caps w:val="false"/>
          <w:smallCaps w:val="false"/>
          <w:sz w:val="20"/>
        </w:rPr>
        <w:t>. No Loan Party may assign, delegate or otherwise transfer any of its rights or other obligations hereunder or under any other Loan Document without the prior written consent of the Agent and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Headings and captions used in the Loan Documents (including the Exhibits, Schedules and Annexes hereto and thereto) are included for convenience of reference only and shall not be given any substantive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Agent and each Lender shall hold all non-public information regarding the Loan Parties and their respective businesses obtained by the Agent or any Lender pursuant to the requirements hereof in accordance with such Person’s customary procedures for handling information of such nature, except that disclosure of such information may be made (a) to such Person’s Affiliates and the partners, directors, officers, employees, agents, trustees, administrators, managers, auditors, professional consultants, advisors and representatives of such Person and of such Person’s Affiliates (collectively, the “</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of such Person) (it being understood that the Persons to whom such disclosure is made will be informed of the confidential nature of such information and instructed to keep such information confidential), (b) to rating agencies, insurance industry associations and portfolio management services, (c) to prospective transferees or purchasers of or participants in any interest in the Advances and, as applicable, the Loan Documents, to prospective contractual counterparties (or the professional advisors thereto) in Rate Contracts permitted hereby and to prospective providers of Bank Products;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Persons shall have agreed to be bound by the provisions of this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(d) to the extent requested by any regulatory authority purporting to have jurisdiction over such Person or its Related Parties, including any self-regulatory authority, (e) to any other party hereto, (f) in connection with the exercise of any remedies hereunder or under any other Loan Document or any action or proceeding relating to this Agreement or any other Loan Document or the enforcement of rights hereunder or thereunder, (g) as required by Law, subpoena, judicial order or similar order and in connection with any Litigation, (h) as may be required in connection with the examination, audit or similar investigation of such Person, (i) with the consent of the Borrower, (j) to the extent such information (i) becomes publicly available other than as a result of a breach of this Section, or (ii) becomes available to the Agent or any Lender or any of their respective Affiliates on a nonconfidential basis from a source other than the Loan Parties that is not, to the Agent’s or such Lender’s knowledge, subject to contractual or fiduciary confidentiality obligations owing to the Loan Parties or any of their respective affiliates or related parties, and (k) to a Person that is a trustee, investment advisor, collateral manager, servicer, noteholder or secured party in a Securitization (as defined below) in connection with the administration, servicing and reporting on the assets serving as collateral for such Securitization. For the purposes of this Section, “</w:t>
      </w:r>
      <w:r>
        <w:rPr>
          <w:rFonts w:ascii="Times New Roman;Times;Serif" w:hAnsi="Times New Roman;Times;Serif"/>
          <w:b w:val="false"/>
          <w:i w:val="false"/>
          <w:caps w:val="false"/>
          <w:smallCaps w:val="false"/>
          <w:sz w:val="20"/>
          <w:u w:val="single"/>
        </w:rPr>
        <w:t>Securitization</w:t>
      </w:r>
      <w:r>
        <w:rPr>
          <w:rFonts w:ascii="Times New Roman;Times;Serif" w:hAnsi="Times New Roman;Times;Serif"/>
          <w:b w:val="false"/>
          <w:i w:val="false"/>
          <w:caps w:val="false"/>
          <w:smallCaps w:val="false"/>
          <w:sz w:val="20"/>
        </w:rPr>
        <w:t xml:space="preserve">” means a public or private offering by a Lender or any of its Affiliates or their respective successors and assigns, of Stock or debt securities which represent an interest in, or which are collateralized, in whole or in part, by the Advances. Confidential information shall not include information that either (A) is in the public domain, or becomes part of the public domain after disclosure to such Person through no fault of such Person, or (B) is disclosed to such Person by a Person other than a Loan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Agent does not have actual knowledge that such Person is prohibited from disclosing such information. The obligations of the Agent and Lenders under this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xml:space="preserve"> shall supersede and replace the obligations of the Agent and Lenders under any confidentiality agreement in respect of this financing executed and delivered by the Agent or any Lender prior to the date hereof.</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Agent and the Lenders acknowledges that information received by them pursuant to this Agreement may include material non-public information concerning the Borrower or its Affiliates. Each such Person represents that it has developed compliance procedures regarding the use of material non-public information and agrees to handle such information in accordance with applicable United States federal and state securities laws and its own compliance procedures.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 </w:t>
      </w:r>
      <w:r>
        <w:rPr>
          <w:rFonts w:ascii="Times New Roman;Times;Serif" w:hAnsi="Times New Roman;Times;Serif"/>
          <w:b w:val="false"/>
          <w:i w:val="false"/>
          <w:caps w:val="false"/>
          <w:smallCaps w:val="false"/>
          <w:sz w:val="20"/>
          <w:u w:val="single"/>
        </w:rPr>
        <w:t>Waiver of Consequential and Other Damages</w:t>
      </w:r>
      <w:r>
        <w:rPr>
          <w:rFonts w:ascii="Times New Roman;Times;Serif" w:hAnsi="Times New Roman;Times;Serif"/>
          <w:b w:val="false"/>
          <w:i w:val="false"/>
          <w:caps w:val="false"/>
          <w:smallCaps w:val="false"/>
          <w:sz w:val="20"/>
        </w:rPr>
        <w:t>.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Advance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such damages arise solely out of the gross negligence or willful misconduct of such Indemnitee as finally determined by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12.10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Notwithstanding any prior revocation, termination, surrender, or discharge of this Agreement in whole or in part, the effectiveness of this Agreement shall automatically continue or be reinstated in the event that any payment, proceeds received or credit given by the Agent or any other Secured Party in respect of the Obligations is returned, disgorged, or rescinded under any applicable state or federal law, including laws pertaining to bankruptcy or insolvency (including any Debtor Relief Law), in which case, this Agreement shall be enforceable against the Borrower and the other Loan Parties as if the returned, disgorged, or rescinded payment, proceeds or credit had not been received or given by the Agent or such other Secured Party, and whether or not the Agent or any such other Secured Party relied upon this payment, proceeds or credit or changed its position as a consequence of it. In the event of continuation or reinstatement of this Agreement, the Borrower and each other Loan Party agrees upon demand by the Agent or any other Secured Party to execute and deliver to the Agent or such other Secured Party those documents which the Agent or such other Secured Party determines are appropriate to further evidence (in the public records or otherwise) this continuation or reinstatement, although the failure of the Borrower or any other Loan Party to do so shall not affect in any way such continuation or reinstatement.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12.11 </w:t>
      </w:r>
      <w:r>
        <w:rPr>
          <w:rFonts w:ascii="Times New Roman;Times;Serif" w:hAnsi="Times New Roman;Times;Serif"/>
          <w:b w:val="false"/>
          <w:i w:val="false"/>
          <w:caps w:val="false"/>
          <w:smallCaps w:val="false"/>
          <w:sz w:val="20"/>
          <w:u w:val="single"/>
        </w:rPr>
        <w:t>Marshaling; Payments Set Aside</w:t>
      </w:r>
      <w:r>
        <w:rPr>
          <w:rFonts w:ascii="Times New Roman;Times;Serif" w:hAnsi="Times New Roman;Times;Serif"/>
          <w:b w:val="false"/>
          <w:i w:val="false"/>
          <w:caps w:val="false"/>
          <w:smallCaps w:val="false"/>
          <w:sz w:val="20"/>
        </w:rPr>
        <w:t>. Neither the Agent nor any Lender shall be under any obligation to marshal any assets in payment of any or all of the Obligations. To the extent that any Loan Party makes any payment or the Agent enforces its Liens or the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therefore,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12.12 </w:t>
      </w:r>
      <w:r>
        <w:rPr>
          <w:rFonts w:ascii="Times New Roman;Times;Serif" w:hAnsi="Times New Roman;Times;Serif"/>
          <w:b/>
          <w:i w:val="false"/>
          <w:caps w:val="false"/>
          <w:smallCaps w:val="false"/>
          <w:sz w:val="20"/>
          <w:u w:val="single"/>
        </w:rPr>
        <w:t>GOVERNING LAW; SUBMISSION TO JURISDICTION</w:t>
      </w:r>
      <w:r>
        <w:rPr>
          <w:rFonts w:ascii="Times New Roman;Times;Serif" w:hAnsi="Times New Roman;Times;Serif"/>
          <w:b/>
          <w:i w:val="false"/>
          <w:caps w:val="false"/>
          <w:smallCaps w:val="false"/>
          <w:sz w:val="20"/>
        </w:rPr>
        <w:t>. THIS AGREEMENT, EACH NOTE AND EACH OTHER LOAN DOCUMENT (EXCEPT TO THE EXTENT EXPRESSLY PROVIDED OTHERWISE IN ANY OTHER LOAN DOCUMENT), AND ALL MATTERS RELATING HERETO OR THERETO OR ARISING THEREFROM (WHETHER SOUNDING IN CONTRACT LAW, TORT LAW OR OTHERWISE), SHALL BE GOVERNED BY, AND SHALL BE CONSTRUED AND ENFORCED IN ACCORDANCE WITH, THE LAWS OF THE STATE OF NEW YORK, WITHOUT REGARD TO CONFLICTS OF LAWS PRINCIPLES. EACH LOAN PARTY HEREBY CONSENTS TO THE JURISDICTION OF ANY STATE OR FEDERAL COURT LOCATED WITHIN THE CITY AND COUNTY OF NEW YORK, STATE OF NEW YORK AND IRREVOCABLY AGREES THAT, SUBJECT TO AGENT’S ELECTION, ALL ACTIONS OR PROCEEDINGS ARISING OUT OF OR RELATING TO THIS AGREEMENT OR THE OTHER LOAN DOCUMENTS SHALL BE LITIGATED IN SUCH COURTS. EACH LOAN PARTY EXPRESSLY SUBMITS AND CONSENTS TO THE JURISDICTION OF THE AFORESAID COURTS AND WAIVES ANY DEFENSE OF FORUM NON CONVENIENS. EACH LOAN PARTY HEREBY WAIVES PERSONAL SERVICE OF ANY AND ALL PROCESS AND AGREES THAT ALL SUCH SERVICE OF PROCESS MAY BE MADE UPON EACH SUCH LOAN PARTY BY CERTIFIED OR REGISTERED MAIL, RETURN RECEIPT REQUESTED, ADDRESSED TO SUCH LOAN PARTY AT THE ADDRESS SET FORTH IN THIS AGREEMENT AND SERVICE SO MADE SHALL BE COMPLETE 10 DAYS AFTER THE SAME HAS BEEN POSTED. NOTWITHSTANDING THE FOREGOING, AGENT AND LENDERS SHALL HAVE THE RIGHT TO BRING ANY ACTION OR PROCEEDING AGAINST ANY LOAN PARTY OR ITS PROPERTY IN THE COURTS OF ANY OTHER JURISDICTION AS AGENT OR SUCH LENDER DEEMS NECESSARY OR APPROPRIATE IN ORDER TO EXERCISE REMEDIES UNDER ANY LOAN DOCUMENT AND/OR WITH RESPECT TO ANY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12.13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TO THE FULLEST EXTENT PERMITTED BY APPLICABLE LAW, EACH LOAN PARTY, AGENT AND LENDERS HEREBY IRREVOCABLY WAIVE ANY AND ALL RIGHT TO TRIAL BY JURY IN ANY LEGAL ACTION OR PROCEEDING ARISING OUT OF OR RELATING TO THE LOAN DOCUMENTS OR THE TRANSACTIONS CONTEMPLATED THEREBY AND AGREES THAT ANY SUCH ACTION OR PROCEEDING SHALL BE TRIED BEFORE A COURT AND NOT BEFORE A JURY. EACH LOAN PARTY, AGENT AND EACH LENDER ACKNOWLEDGES THAT THIS WAIVER IS A MATERIAL INDUCEMENT TO ENTER INTO A BUSINESS RELATIONSHIP, THAT EACH HAS RELIED ON THE WAIVER IN ENTERING INTO THIS AGREEMENT AND THE OTHER LOAN DOCUMENTS, AND THAT EACH WILL CONTINUE TO RELY ON THIS WAIVER IN THEIR RELATED FUTURE DEALINGS. EACH LOAN PARTY, AGENT AND EACH LENDER WARRANTS AND REPRESENTS THAT EACH HAS HAD THE OPPORTUNITY OF REVIEWING THIS JURY WAIVER WITH LEGAL COUNSEL, AND THAT EACH KNOWINGLY AND VOLUNTARILY WAIVES ITS JURY TRIAL RIGHTS.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12.14 </w:t>
      </w:r>
      <w:r>
        <w:rPr>
          <w:rFonts w:ascii="Times New Roman;Times;Serif" w:hAnsi="Times New Roman;Times;Serif"/>
          <w:b w:val="false"/>
          <w:i w:val="false"/>
          <w:caps w:val="false"/>
          <w:smallCaps w:val="false"/>
          <w:sz w:val="20"/>
          <w:u w:val="single"/>
        </w:rPr>
        <w:t>Publication; Advertisement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Publication</w:t>
      </w:r>
      <w:r>
        <w:rPr>
          <w:rFonts w:ascii="Times New Roman;Times;Serif" w:hAnsi="Times New Roman;Times;Serif"/>
          <w:b w:val="false"/>
          <w:i w:val="false"/>
          <w:caps w:val="false"/>
          <w:smallCaps w:val="false"/>
          <w:sz w:val="20"/>
        </w:rPr>
        <w:t>. No Loan Party will directly or indirectly publish, disclose or otherwise use in any public disclosure, advertising material, promotional material, press release or interview, any reference to the name, logo or any trademark of Fifth Third or any of its Affiliates or any reference to this Agreement or the financing evidenced hereby, in any case except as required by Law, subpoena or judicial or similar order, in which case the applicable Loan Party shall give the Agent prior written notice of such publication or other disclosure, or with Fifth Third’s prior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Advertisement</w:t>
      </w:r>
      <w:r>
        <w:rPr>
          <w:rFonts w:ascii="Times New Roman;Times;Serif" w:hAnsi="Times New Roman;Times;Serif"/>
          <w:b w:val="false"/>
          <w:i w:val="false"/>
          <w:caps w:val="false"/>
          <w:smallCaps w:val="false"/>
          <w:sz w:val="20"/>
        </w:rPr>
        <w:t xml:space="preserve">. Each Lender and each Loan Party hereby authorizes Fifth Third to publish the name of such Lender and Loan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Fifth Third elects to submit for publication. In addition, with the prior written consent of Borrower, Fifth Third may, subject to the obligations under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and hereby is authorized by each Lender to, provide lending industry trade organizations with information necessary and customary for inclusion in league table measurements after the Closing Date. With respect to any of the foregoing, Fifth Third shall provide the Borrower with an opportunity to review and confer with Fifth Third regarding the contents of any such tombstone, advertisement or information, as applicable, prior to its submission for publication and, following such review period and upon obtaining such consent, Fifth Third may, from time to time, publish such information in any media form desired by Fifth Third, until such time that the Borrower shall have requested Fifth Third cease any such further publication.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12.15 </w:t>
      </w:r>
      <w:r>
        <w:rPr>
          <w:rFonts w:ascii="Times New Roman;Times;Serif" w:hAnsi="Times New Roman;Times;Serif"/>
          <w:b w:val="false"/>
          <w:i w:val="false"/>
          <w:caps w:val="false"/>
          <w:smallCaps w:val="false"/>
          <w:sz w:val="20"/>
          <w:u w:val="single"/>
        </w:rPr>
        <w:t>Counterparts; Integration</w:t>
      </w:r>
      <w:r>
        <w:rPr>
          <w:rFonts w:ascii="Times New Roman;Times;Serif" w:hAnsi="Times New Roman;Times;Serif"/>
          <w:b w:val="false"/>
          <w:i w:val="false"/>
          <w:caps w:val="false"/>
          <w:smallCaps w:val="false"/>
          <w:sz w:val="20"/>
        </w:rPr>
        <w:t>. This Agreement and the other Loan Documents may be signed in any number of counterparts, each of which shall be an original, with the same effect as if the signatures thereto and hereto were upon the same instrument. Signatures by facsimile or other electronic transmission (including “pdf” or “tif” format) shall bind the parties hereto. This Agreement and the other Loan Documents constitute the entire agreement and understanding among the parties hereto and supersede any and all prior agreements and understandings, oral or written, relating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12.16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parties hereto have participated jointly in the negotiation and drafting of this Agreement and the other Loan Documents. In the event an ambiguity or question of intent or interpretation arises, this Agreement and the other Loan Documents shall be construed as if drafted jointly by the parties hereto and no presumption or burden of proof shall arise favoring or disfavoring any party by virtue of the authorship of any provisions of this Agreement or any other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12.17 </w:t>
      </w:r>
      <w:r>
        <w:rPr>
          <w:rFonts w:ascii="Times New Roman;Times;Serif" w:hAnsi="Times New Roman;Times;Serif"/>
          <w:b w:val="false"/>
          <w:i w:val="false"/>
          <w:caps w:val="false"/>
          <w:smallCaps w:val="false"/>
          <w:sz w:val="20"/>
          <w:u w:val="single"/>
        </w:rPr>
        <w:t>USA PATRIOT Act Notification</w:t>
      </w:r>
      <w:r>
        <w:rPr>
          <w:rFonts w:ascii="Times New Roman;Times;Serif" w:hAnsi="Times New Roman;Times;Serif"/>
          <w:b w:val="false"/>
          <w:i w:val="false"/>
          <w:caps w:val="false"/>
          <w:smallCaps w:val="false"/>
          <w:sz w:val="20"/>
        </w:rPr>
        <w:t>. The Agent (for itself and not on behalf of any Lender) and each Lender hereby notifies each Loan Party that pursuant to the requirements of the USA PATRIOT Act, it is required to obtain, verify and record certain information and documentation that identifies such Loan Party, which information includes the name and address of each Loan Party and such other information that will allow the Agent or such Lender, as applicable, to identify such Loan Party in accordance with the USA PATRIOT Act. The Loan Parties agree to, promptly following a request by the Agent or any Lender, provide all such other documentation and information that the Agent or such Lender requests in order to comply with its ongoing obligations under applicable Anti-Terrorism Laws, and the Beneficial Ownership Regulation.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12.18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applicable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12.19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Rate Contracts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and in the event a Covered Party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duly executed and delivered by their respective officers thereunto duly authorized as of the date first written above.</w:t>
      </w:r>
    </w:p>
    <w:p>
      <w:pPr>
        <w:pStyle w:val="TextBody"/>
        <w:bidi w:val="0"/>
        <w:spacing w:before="0" w:after="0"/>
        <w:ind w:left="0" w:right="0" w:firstLine="144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590"/>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INC.</w:t>
            </w:r>
            <w:r>
              <w:rPr>
                <w:rFonts w:ascii="Times New Roman;Times;Serif" w:hAnsi="Times New Roman;Times;Serif"/>
                <w:b w:val="false"/>
                <w:i w:val="false"/>
                <w:caps w:val="false"/>
                <w:smallCaps w:val="false"/>
                <w:sz w:val="20"/>
              </w:rPr>
              <w:t>, as the Borrower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Financial Officer and 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Notices to any Loan Party</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Burton Hills Blvd., Suite 200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Union Street, Suite 2700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Elle McCulty</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89" w:type="dxa"/>
        <w:jc w:val="left"/>
        <w:tblInd w:w="0" w:type="dxa"/>
        <w:tblLayout w:type="fixed"/>
        <w:tblCellMar>
          <w:top w:w="0" w:type="dxa"/>
          <w:left w:w="0" w:type="dxa"/>
          <w:bottom w:w="0" w:type="dxa"/>
          <w:right w:w="0" w:type="dxa"/>
        </w:tblCellMar>
      </w:tblPr>
      <w:tblGrid>
        <w:gridCol w:w="75"/>
        <w:gridCol w:w="662"/>
        <w:gridCol w:w="435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EYE, LLC</w:t>
            </w:r>
            <w:r>
              <w:rPr>
                <w:rFonts w:ascii="Times New Roman;Times;Serif" w:hAnsi="Times New Roman;Times;Serif"/>
                <w:b w:val="false"/>
                <w:i w:val="false"/>
                <w:caps w:val="false"/>
                <w:smallCaps w:val="false"/>
                <w:sz w:val="20"/>
              </w:rPr>
              <w:t>,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IP, LLC</w:t>
            </w:r>
            <w:r>
              <w:rPr>
                <w:rFonts w:ascii="Times New Roman;Times;Serif" w:hAnsi="Times New Roman;Times;Serif"/>
                <w:b w:val="false"/>
                <w:i w:val="false"/>
                <w:caps w:val="false"/>
                <w:smallCaps w:val="false"/>
                <w:sz w:val="20"/>
              </w:rPr>
              <w:t>,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ANALYTICAL SERVICES, LLC</w:t>
            </w:r>
            <w:r>
              <w:rPr>
                <w:rFonts w:ascii="Times New Roman;Times;Serif" w:hAnsi="Times New Roman;Times;Serif"/>
                <w:b w:val="false"/>
                <w:i w:val="false"/>
                <w:caps w:val="false"/>
                <w:smallCaps w:val="false"/>
                <w:sz w:val="20"/>
              </w:rPr>
              <w:t>,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 NJOF, LLC</w:t>
            </w:r>
            <w:r>
              <w:rPr>
                <w:rFonts w:ascii="Times New Roman;Times;Serif" w:hAnsi="Times New Roman;Times;Serif"/>
                <w:b w:val="false"/>
                <w:i w:val="false"/>
                <w:caps w:val="false"/>
                <w:smallCaps w:val="false"/>
                <w:sz w:val="20"/>
              </w:rPr>
              <w:t>,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LLC</w:t>
            </w:r>
            <w:r>
              <w:rPr>
                <w:rFonts w:ascii="Times New Roman;Times;Serif" w:hAnsi="Times New Roman;Times;Serif"/>
                <w:b w:val="false"/>
                <w:i w:val="false"/>
                <w:caps w:val="false"/>
                <w:smallCaps w:val="false"/>
                <w:sz w:val="20"/>
              </w:rPr>
              <w:t>,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NASHVILLE, LLC</w:t>
            </w:r>
            <w:r>
              <w:rPr>
                <w:rFonts w:ascii="Times New Roman;Times;Serif" w:hAnsi="Times New Roman;Times;Serif"/>
                <w:b w:val="false"/>
                <w:i w:val="false"/>
                <w:caps w:val="false"/>
                <w:smallCaps w:val="false"/>
                <w:sz w:val="20"/>
              </w:rPr>
              <w:t>,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NJ, LLC</w:t>
            </w:r>
            <w:r>
              <w:rPr>
                <w:rFonts w:ascii="Times New Roman;Times;Serif" w:hAnsi="Times New Roman;Times;Serif"/>
                <w:b w:val="false"/>
                <w:i w:val="false"/>
                <w:caps w:val="false"/>
                <w:smallCaps w:val="false"/>
                <w:sz w:val="20"/>
              </w:rPr>
              <w:t>,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caps w:val="false"/>
                <w:smallCaps w:val="false"/>
              </w:rPr>
            </w:pPr>
            <w:r>
              <w:rPr>
                <w:caps w:val="false"/>
                <w:smallCaps w:val="false"/>
              </w:rPr>
              <w:t> </w:t>
            </w:r>
          </w:p>
        </w:tc>
        <w:tc>
          <w:tcPr>
            <w:tcW w:w="43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 as Sole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caps w:val="false"/>
                <w:smallCaps w:val="false"/>
              </w:rPr>
            </w:pPr>
            <w:r>
              <w:rPr>
                <w:caps w:val="false"/>
                <w:smallCaps w:val="false"/>
              </w:rPr>
              <w:t> </w:t>
            </w:r>
          </w:p>
        </w:tc>
        <w:tc>
          <w:tcPr>
            <w:tcW w:w="43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3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Financial Officer and Secretary</w:t>
            </w:r>
          </w:p>
        </w:tc>
      </w:tr>
    </w:tbl>
    <w:p>
      <w:pPr>
        <w:pStyle w:val="TextBody"/>
        <w:bidi w:val="0"/>
        <w:spacing w:before="0" w:after="0"/>
        <w:ind w:left="43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829" w:type="dxa"/>
        <w:jc w:val="left"/>
        <w:tblInd w:w="0" w:type="dxa"/>
        <w:tblLayout w:type="fixed"/>
        <w:tblCellMar>
          <w:top w:w="0" w:type="dxa"/>
          <w:left w:w="0" w:type="dxa"/>
          <w:bottom w:w="0" w:type="dxa"/>
          <w:right w:w="0" w:type="dxa"/>
        </w:tblCellMar>
      </w:tblPr>
      <w:tblGrid>
        <w:gridCol w:w="75"/>
        <w:gridCol w:w="1908"/>
        <w:gridCol w:w="78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 THIRD BANK, NATIONAL ASSOCIATION</w:t>
            </w:r>
            <w:r>
              <w:rPr>
                <w:rFonts w:ascii="Times New Roman;Times;Serif" w:hAnsi="Times New Roman;Times;Serif"/>
                <w:b w:val="false"/>
                <w:i w:val="false"/>
                <w:caps w:val="false"/>
                <w:smallCaps w:val="false"/>
                <w:sz w:val="20"/>
              </w:rPr>
              <w:t>, as the Agent, the L/C Issuer, the Swing Line Lender and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tcBorders/>
            <w:vAlign w:val="center"/>
          </w:tcPr>
          <w:p>
            <w:pPr>
              <w:pStyle w:val="TableContents"/>
              <w:bidi w:val="0"/>
              <w:spacing w:before="0" w:after="283"/>
              <w:jc w:val="left"/>
              <w:rPr>
                <w:caps w:val="false"/>
                <w:smallCaps w:val="false"/>
              </w:rPr>
            </w:pPr>
            <w:r>
              <w:rPr>
                <w:caps w:val="false"/>
                <w:smallCaps w:val="false"/>
              </w:rPr>
              <w:t> </w:t>
            </w:r>
          </w:p>
        </w:tc>
        <w:tc>
          <w:tcPr>
            <w:tcW w:w="78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78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Eileen Watkins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Eileen Watkins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Duly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tcBorders/>
            <w:vAlign w:val="center"/>
          </w:tcPr>
          <w:p>
            <w:pPr>
              <w:pStyle w:val="TableContents"/>
              <w:bidi w:val="0"/>
              <w:spacing w:before="0" w:after="283"/>
              <w:jc w:val="left"/>
              <w:rPr>
                <w:caps w:val="false"/>
                <w:smallCaps w:val="false"/>
              </w:rPr>
            </w:pPr>
            <w:r>
              <w:rPr>
                <w:caps w:val="false"/>
                <w:smallCaps w:val="false"/>
              </w:rPr>
              <w:t> </w:t>
            </w:r>
          </w:p>
        </w:tc>
        <w:tc>
          <w:tcPr>
            <w:tcW w:w="78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 N. River 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Rosemont, Illinois 60018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Zeb Gilliam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30309-3424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Mike Parisi and Chris Underwood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Annex A TO</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CREDIT AGREEMENT</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LETTERS OF CREDIT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Issuance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terms and conditions of this Agreement, the Agent and Lenders agree to incur, from time to time prior to the Commitment Termination Date, upon the request of the Borrower and for the Borrower’s or any Subsidiary’s account, Letter of Credit Obligations with respect to Letters of Credit issued by the L/C Issuer for the Borrower’s or any Subsidiary’s account. The Borrower shall give the Agent at least five Business Days (or such shorter period of time as the Agent may agree in its sole discretion) prior written notice requesting the incurrence of any Letter of Credit Obligation. The notice shall be accompanied by a completed Letter of Credit application. Notwithstanding anything contained herein to the contrary, Letter of Credit applications by the Borrower and communications by the Agent and the L/C Issuer may be made and transmitted pursuant to electronic codes and security measures mutually agreed upon and established by and between the Borrower and the L/C Issuer. The Borrower hereby authorizes the L/C Issuer and the Agent to accept, act upon, and treat as genuine and original (but without any obligation of the L/C Issuer or the Agent to do any of the foregoing) applications, authorizations, and other requests regardless of the manner communicated, including those sent or communicated via overnight courier, certified or non-certified mail, fax, email, electronic code, or phone, so long as the L/C Issuer does not have actual knowledge that a particular application, authorization, or other request is not authorized by the Borrower.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Letters of Credit issued hereunder shall constitute utilization of the Revolving Loan Commitments. A Letter of Credit shall be issued, extended, reinstated, or otherwise amended only if (and, upon issuance, extension, reinstatement or other amendment of each Letter of Credit, the Borrower shall be deemed to represent and warrant that) after giving effect to such issuance, extension, reinstatement or other amendment (i) the aggregate amount of Letter of Credit Obligations shall not at any time exceed $4,000,000 (the “</w:t>
      </w:r>
      <w:r>
        <w:rPr>
          <w:rFonts w:ascii="Times New Roman;Times;Serif" w:hAnsi="Times New Roman;Times;Serif"/>
          <w:b w:val="false"/>
          <w:i w:val="false"/>
          <w:caps w:val="false"/>
          <w:smallCaps w:val="false"/>
          <w:sz w:val="20"/>
          <w:u w:val="single"/>
        </w:rPr>
        <w:t>L/C Sublimit</w:t>
      </w:r>
      <w:r>
        <w:rPr>
          <w:rFonts w:ascii="Times New Roman;Times;Serif" w:hAnsi="Times New Roman;Times;Serif"/>
          <w:b w:val="false"/>
          <w:i w:val="false"/>
          <w:caps w:val="false"/>
          <w:smallCaps w:val="false"/>
          <w:sz w:val="20"/>
        </w:rPr>
        <w:t>”); (ii) no Lender will exceed its individual Revolving Loan Commitment; (iii) the aggregate amount of all borrowings and Letter of Credit Obligations incurred under this Agreement shall not exceed the total Revolving Loan Commitments; and (iv) the aggregate amount of all borrowings and Letter of Credit Obligations incurred under this Agreement shall not exceed the Borrowing Base.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Borrower is responsible for preparing or approving the text of each Letter of Credit as submitted to and as issued by the L/C Issuer and as received by the beneficiary, notwithstanding any drafting recommendations or forms provided by the L/C Issuer. the L/C Issuer’s recommendation or drafting of text or the L/C Issuer’s use or non-use or refusal to use text submitted by the Borrower shall not affect the Borrower’s ultimate responsibility. The Borrower is responsible for the L/C Issuer’s failure to apply, or to observe standard practice as applied to, Letter of Credit terms or conditions, and for terms or conditions that (A) are erroneous, ambiguous, inconsistent, insufficient, ineffective, or illegal, (B) require the L/C Issuer to respond to a demand in fewer than three Business Days, or (C) require or allow the Borrower to sign, issue, or present a document. Notwithstanding anything to the contrary in this Agreement, the L/C Issuer’s obligation to issue, amend, or extend the expiration date of a Letter of Credit is subject to its review and approval of the proposed terms of the Letter of Credit (and any amendment thereof) in its sole discretion. The Borrower represents and warrants to the L/C Issuer that the Borrower is familiar with, and understands, applicable Law and letter of credit practice. If requested by the L/C Issuer, the Borrower will execute, deliver, and submit a letter of credit application and reimbursement agreement on the L/C Issuer’s standard forms in connection with any request for a Letter of Credit. In the event of any inconsistency between the terms and conditions of this Agreement and the terms and conditions of any such letter of credit application or reimbursement agreement, the terms and conditions of this Agreement will control, for so long as the Borrower and the L/C Issuer are subject thereto. Notwithstanding anything to the contrary in this Agreement but subject to the Borrower’s ultimate responsibility as set forth above in this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the L/C Issuer’s obligation to issue, amend, or extend the expiration date of a Letter of Credit is subject to its review and approval of the proposed terms of the Letter of Credit (and any amendment thereof) in its sole discretion.</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Borrower will notify the L/C Issuer in writing no later than three Business Days (or such longer period of time as the L/C Issuer may agree in its sole discretion) after the Borrower first becomes aware of any objection the Borrower may have to the L/C Issuer’s issuance or amendment of a Letter of Credit, the L/C Issuer’s acceptance or rejection of a presentation under any Letter of Credit, or any other action or inaction taken or proposed to be taken by the L/C Issuer under or in connection with this Agreement or any other agreement, document, or instrument relating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L/C Issuer reasonably believes that it is obligated to take any action, including, but not limited to, the payment on a Letter of Credit in a period of time less than three Business Days, the L/C Issuer is allowed to take such action without liability to the Borrower. The Borrower’s failure to give timely and specific notice of objection shall automatically waive the Borrower’s objection, authorize or ratify the L/C Issuer’s action or inaction, and absolutely preclude the Borrower from raising the objection as a defense or claim against the L/C Issuer (or any Indemnitee). If the L/C Issuer approaches the Borrower for a waiver of discrepancies in a presentation, then the Borrower must respond within three Business Days (or such longer period of time as the L/C Issuer may agree in its sole discretion). The L/C Issuer may treat the Borrower’s failure to respond as a waiver of the indicated discrepancies, but need not itself accept the Borrower’s implied or express waiver of discrepancies as binding on the L/C Issuer. The Borrower’s acceptance or retention of any documents presented under or in connection with a Letter of Credit (including, but not limited to, originals or copies of documents sent directly to the Borrower) or of any property for which payment is supported by any Letter of Credit shall ratify the L/C Issuer’s honor of the relevant presentation and absolutely preclude the Borrower from raising a defense or claim against the L/C Issuer (or any Indemnitee) with respect to such honor.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Except for Evergreen Letters of Credit that are subject to the terms and conditions set forth in this paragraph, no Letter of Credit shall have an expiration date that is later than the earlier of (i) one year following the date of issuance thereof (or, in the case of any extension of the expiration date thereof, whether automatic or by amendment, one year after then-current expiration date of such Letter of Credit) unless otherwise permitted by the L/C Issuer (subject to the other provisions of this Agreement) and (ii) the date that is five Business Days before the Commitment Termination Date, and neither the Agent nor Lenders shall be under any obligation to incur Letter of Credit Obligations in respect of, or purchase or acquire participations in, any Letter of Credit having an expiration date that is later than the Commitment Termination Date. If the Borrower so requests in any notice requesting the issuance of a Letter of Credit (or the amendment of an outstanding Letter of Credit), the L/C Issuer may, in its sole discretion, agree to issue a Letter of Credit that has automatic extension provisions (each, an “</w:t>
      </w:r>
      <w:r>
        <w:rPr>
          <w:rFonts w:ascii="Times New Roman;Times;Serif" w:hAnsi="Times New Roman;Times;Serif"/>
          <w:b w:val="false"/>
          <w:i w:val="false"/>
          <w:caps w:val="false"/>
          <w:smallCaps w:val="false"/>
          <w:sz w:val="20"/>
          <w:u w:val="single"/>
        </w:rPr>
        <w:t>Evergreen Letter of Credit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Evergreen Letter of Credit shall permit the L/C Issuer to prevent any such extension at least once in each one-year period (commencing with the date of issuance of such Letter of Credit) by giving prior notice to the beneficiary thereof not later than a day (the “</w:t>
      </w:r>
      <w:r>
        <w:rPr>
          <w:rFonts w:ascii="Times New Roman;Times;Serif" w:hAnsi="Times New Roman;Times;Serif"/>
          <w:b w:val="false"/>
          <w:i w:val="false"/>
          <w:caps w:val="false"/>
          <w:smallCaps w:val="false"/>
          <w:sz w:val="20"/>
          <w:u w:val="single"/>
        </w:rPr>
        <w:t>Non-Extension Notice Date</w:t>
      </w:r>
      <w:r>
        <w:rPr>
          <w:rFonts w:ascii="Times New Roman;Times;Serif" w:hAnsi="Times New Roman;Times;Serif"/>
          <w:b w:val="false"/>
          <w:i w:val="false"/>
          <w:caps w:val="false"/>
          <w:smallCaps w:val="false"/>
          <w:sz w:val="20"/>
        </w:rPr>
        <w:t>”) in each such one-year period to be agreed upon by the Borrower and the L/C Issuer at the time such Letter of Credit is issued. Unless otherwise directed by the L/C Issuer, the Borrower shall not be required to make a specific request to the L/C Issuer for any such extension. Once an Evergreen Letter of Credit has been issued, the Lenders shall be deemed to have authorized (but may not require) the L/C Issuer to permit the extension of such Letter of Credit at any time to an expiration date not later than the expiration date permitted under this paragraph.</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By the issuance of a Letter of Credit (or an amendment to a Letter of Credit increasing the amount or extending the expiration date thereof), and without any further action on the part of the L/C Issuer or the Lenders, the L/C Issuer hereby grants to each Lender, and each Lender hereby acquires from the L/C Issuer, a participation in such Letter of Credit and the related Letter of Credit Obligations equal to such Lender’s Pro Rata Share. Each Lender acknowledges and agrees that its obligation to acquire participations pursuant to this paragraph is absolute, unconditional, and irrevocable and shall not be affected by any circumstance whatsoever, including any extension, reinstatement or other amendment of any Letter of Credit or the occurrence and continuance of a Default or reduction or termination of the Revolving Loan Commitments.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consideration and in furtherance of the foregoing, each Lender hereby absolutely, unconditionally, and irrevocably agrees to pay to the Agent, for account of the L/C Issuer, such Lender’s Pro Rata Share of each payment made by the L/C Issuer promptly upon the request of the L/C Issuer at any time from the time of such payment until such payment is reimbursed by the Borrower or at any time after any reimbursement payment is required to be refunded to the Borrower for any reason, including after the Commitment Termination Date. Such payment by each Lender shall be made without any offset, abatement, withholding, or reduction whatsoever (including any offset, abatement, withholding or reduction relating to or arising out of those matters set forth in </w:t>
      </w:r>
      <w:r>
        <w:rPr>
          <w:rFonts w:ascii="Times New Roman;Times;Serif" w:hAnsi="Times New Roman;Times;Serif"/>
          <w:b w:val="false"/>
          <w:i w:val="false"/>
          <w:caps w:val="false"/>
          <w:smallCaps w:val="false"/>
          <w:sz w:val="20"/>
          <w:u w:val="single"/>
        </w:rPr>
        <w:t>paragraph (h)</w:t>
      </w:r>
      <w:r>
        <w:rPr>
          <w:rFonts w:ascii="Times New Roman;Times;Serif" w:hAnsi="Times New Roman;Times;Serif"/>
          <w:b w:val="false"/>
          <w:i w:val="false"/>
          <w:caps w:val="false"/>
          <w:smallCaps w:val="false"/>
          <w:sz w:val="20"/>
        </w:rPr>
        <w:t xml:space="preserve"> below), and shall be made in the same manner as provided in this Agreement with respect to Revolving Credit Advances (and such provisions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payment obligations of the Lenders under this paragraph). The Agent shall promptly pay to the L/C Issuer the amounts so received by it from the Lenders. Promptly following receipt by the Agent of any payment from the Borrower pursuant to </w:t>
      </w:r>
      <w:r>
        <w:rPr>
          <w:rFonts w:ascii="Times New Roman;Times;Serif" w:hAnsi="Times New Roman;Times;Serif"/>
          <w:b w:val="false"/>
          <w:i w:val="false"/>
          <w:caps w:val="false"/>
          <w:smallCaps w:val="false"/>
          <w:sz w:val="20"/>
          <w:u w:val="single"/>
        </w:rPr>
        <w:t>paragraph (d)</w:t>
      </w:r>
      <w:r>
        <w:rPr>
          <w:rFonts w:ascii="Times New Roman;Times;Serif" w:hAnsi="Times New Roman;Times;Serif"/>
          <w:b w:val="false"/>
          <w:i w:val="false"/>
          <w:caps w:val="false"/>
          <w:smallCaps w:val="false"/>
          <w:sz w:val="20"/>
        </w:rPr>
        <w:t xml:space="preserve"> below, the Agent shall distribute such payment to the L/C Issuer or, to the extent that the Lenders have made payments pursuant to this paragraph to reimburse the L/C Issuer, to such Lenders and the L/C Issuer as their interests may appear. Any payment made by a Lender pursuant to this paragraph to reimburse the L/C Issuer for any payment under a Letter of Credit shall not constitute an Advance and shall not relieve the Borrower of its obligation to reimburse such Letter of Credit payment, unless the Borrower has financed such payment with a Base Rate Loan or Swing Line Advance in accordance with the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Lender acknowledges and agrees that its participation in each Letter of Credit and the related Letter of Credit Obligations will be automatically adjusted to reflect adjustments in such Lender’s Pro Rata Share from time to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obligations of Lenders under the paragraphs above shall be for the benefit of the Agent and the L/C Issuer and may be enforced by the L/C Issuer.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Reimbursement and Interim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L/C Issuer shall make any disbursement in respect of a Letter of Credit, the Borrower shall reimburse the L/C Issuer by paying to the Agent an amount equal to such disbursement in immediately available U.S. dollars, without withholding, deduction, or setoff, not later than 1:00 p.m. prevailing local time in New York, NY on (i) the Business Day that the Borrower receives notice of the L/C Issuer’s disbursement, if such notice is received prior to 10:00 a.m. prevailing local time in new York, NY; or (ii) the Business Day immediately following the day that the Borrower receives such notice, if such notice is not received prior to such time, with interest at the rate applicable to Base Rate Loans for the additional calendar day(s) elapsed;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disbursement by the L/C Issuer is not less than $2,000,000, the Borrower may, subject to the conditions to borrowing set forth in this Agreement, request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xml:space="preserve"> that such payment be financed with a Base Rate Loan or Swing Line Advance in an equivalent amount, and to the extent so financed, the Borrower’s obligation to make such payment shall be discharged and replaced by the resulting Base Rate Loan or Swing Line Advance. The L/C Issuer’s records showing the dates and amounts of payments due and disbursements made shall be presumed correct and complete and, if the Borrower does not object within five Business Days after receiving the information, shall be final. If the Borrower fails to make such payment when due, the Agent shall notify each Lender of the applicable payment under the Letter of Credit, the payment then due from the Borrower in respect thereof, and such Lender’s Pro Rata Share thereof.</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Borrower fails to reimburse the L/C Issuer for any amount disbursed when due pursuant to </w:t>
      </w:r>
      <w:r>
        <w:rPr>
          <w:rFonts w:ascii="Times New Roman;Times;Serif" w:hAnsi="Times New Roman;Times;Serif"/>
          <w:b w:val="false"/>
          <w:i w:val="false"/>
          <w:caps w:val="false"/>
          <w:smallCaps w:val="false"/>
          <w:sz w:val="20"/>
          <w:u w:val="single"/>
        </w:rPr>
        <w:t>paragraph (d)(i)</w:t>
      </w:r>
      <w:r>
        <w:rPr>
          <w:rFonts w:ascii="Times New Roman;Times;Serif" w:hAnsi="Times New Roman;Times;Serif"/>
          <w:b w:val="false"/>
          <w:i w:val="false"/>
          <w:caps w:val="false"/>
          <w:smallCaps w:val="false"/>
          <w:sz w:val="20"/>
        </w:rPr>
        <w:t xml:space="preserve"> above, then the unpaid amount shall bear interest, for each day from the date such disbursement is made to but excluding the date that the Borrower reimburses the L/C Issuer for such disbursement, at the Default Rate. Interest accrued pursuant to this paragraph shall be for account of the L/C Issuer, except that interest accrued on and after the date of payment by any Lender pursuant to </w:t>
      </w:r>
      <w:r>
        <w:rPr>
          <w:rFonts w:ascii="Times New Roman;Times;Serif" w:hAnsi="Times New Roman;Times;Serif"/>
          <w:b w:val="false"/>
          <w:i w:val="false"/>
          <w:caps w:val="false"/>
          <w:smallCaps w:val="false"/>
          <w:sz w:val="20"/>
          <w:u w:val="single"/>
        </w:rPr>
        <w:t>paragraph (c)(ii)</w:t>
      </w:r>
      <w:r>
        <w:rPr>
          <w:rFonts w:ascii="Times New Roman;Times;Serif" w:hAnsi="Times New Roman;Times;Serif"/>
          <w:b w:val="false"/>
          <w:i w:val="false"/>
          <w:caps w:val="false"/>
          <w:smallCaps w:val="false"/>
          <w:sz w:val="20"/>
        </w:rPr>
        <w:t xml:space="preserve"> above to reimburse the L/C Issuer shall be for account of such Lender to the extent of such payment.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The L/C Issuer shall not be under any obligation to issue any Letter of Credit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order, judgment, or decree of any Governmental Authority or arbitrator shall enjoin or restrain, or purport to enjoin or restrain, the L/C Issuer from issuing such Letter of Credit, or request that such the L/C Issuer refrain from, or, if in the sole discretion of the L/C Issuer, any Law applicable to the L/C Issuer shall prohibit the issuance of letters of credit generally or such Letter of Credit in particular, or any such order, judgment or decree, or Law shall impose upon the L/C Issuer with respect to such Letter of Credit any restriction, reserve, capital or liquidity requirement (for which the L/C Issuer is not otherwise compensated hereunder) not in effect on the Closing Date, or shall impose upon the L/C Issuer any unreimbursed loss, cost, or expense that was not applicable on the Closing Date and that the L/C Issuer in good faith deems material to it;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of such Letter of Credit would violate one or more policies of the L/C Issuer;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otherwise agreed by the Agent and the L/C Issuer, such Letter of Credit is in an initial amount less than $50,000, in the case of a commercial Letter of Credit, or $50,000, in the case of a standby Letter of Credit;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any reallocation under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with respect to the Defaulting Lender arising from either such Letter of Credit then proposed to be issued or such Letter of Credit and all other Letter of Credit Obligations as to which the L/C Issuer has actual or potential fronting exposure, as it may elect in its sole discretion.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Borrower is required to provide cash collateral for any Letter of Credit Obligations pursuant to this Agreement, including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prior to the Commitment Termination Date, the Borrower will pay to the Agent for the ratable benefit of itself and Lenders cash or Cash Equivalents acceptable to the Agent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in an amount equal to 105% of the Letter of Credit Obligations. Such Cash Collateral shall be held by the Agent and pledged to, and subject to the control of, the Agent, for the benefit of the Agent, Lenders, and the L/C Issuer. The Borrower hereby pledges and grants to the Agent, on behalf of itself and Lenders, a security interest in all such Cash Collateral and all proceeds thereof, as security for the payment of all amounts due in respect of the Letter of Credit Obligations and other Obligations, whether or not then due. This Agreement, including this </w:t>
      </w:r>
      <w:r>
        <w:rPr>
          <w:rFonts w:ascii="Times New Roman;Times;Serif" w:hAnsi="Times New Roman;Times;Serif"/>
          <w:b w:val="false"/>
          <w:i w:val="false"/>
          <w:caps w:val="false"/>
          <w:smallCaps w:val="false"/>
          <w:sz w:val="20"/>
          <w:u w:val="single"/>
        </w:rPr>
        <w:t>paragraph (f)(i)</w:t>
      </w:r>
      <w:r>
        <w:rPr>
          <w:rFonts w:ascii="Times New Roman;Times;Serif" w:hAnsi="Times New Roman;Times;Serif"/>
          <w:b w:val="false"/>
          <w:i w:val="false"/>
          <w:caps w:val="false"/>
          <w:smallCaps w:val="false"/>
          <w:sz w:val="20"/>
        </w:rPr>
        <w:t>, shall constitute a security agreement under applicable Law.</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Letter of Credit Obligations, whether or not then due and payable, shall for any reason be outstanding on the Commitment Termination Date, the Borrower shall provide Cash Collateral within two Business Days (or such longer period of time as the Agent may agree in its sole discretion) therefor in the manner described, and subject to the terms and conditions as set forth,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From time to time after funds are deposited as Cash Collateral by the Borrower, whether before or after the Commitment Termination Date, the Agent may apply such funds then held by it to the payment of any amounts, and in such order as the Agent may elect, as shall be or shall become due and payable by the Borrower to the Agent and Lenders with respect to such Letter of Credit Obligations of the Borrower and, upon the satisfaction in full of all Letter of Credit Obligations of the Borrower, to any other Obligations then due and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Borrower nor any Person claiming on behalf of or through the Borrower shall have any right to withdraw any of the Cash Collateral, except that upon the termination of all Letter of Credit Obligations (which requires the return of all original Letters of Credit) and the payment of all amounts payable by the Borrower to the Agent and Lenders in respect thereof, any remaining Cash Collateral shall be applied to other Obligations then due and owing and upon payment in full of such Obligations any remaining amount shall be paid to the Borrower or as otherwise required by Law. Interest earned, if any, on Cash Collateral shall be held as additional collateral.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In addition to the Letter of Credit Fees payable pursuant to </w:t>
      </w:r>
      <w:r>
        <w:rPr>
          <w:rFonts w:ascii="Times New Roman;Times;Serif" w:hAnsi="Times New Roman;Times;Serif"/>
          <w:b w:val="false"/>
          <w:i w:val="false"/>
          <w:caps w:val="false"/>
          <w:smallCaps w:val="false"/>
          <w:sz w:val="20"/>
          <w:u w:val="single"/>
        </w:rPr>
        <w:t>Section 2.4(e)(iii)</w:t>
      </w:r>
      <w:r>
        <w:rPr>
          <w:rFonts w:ascii="Times New Roman;Times;Serif" w:hAnsi="Times New Roman;Times;Serif"/>
          <w:b w:val="false"/>
          <w:i w:val="false"/>
          <w:caps w:val="false"/>
          <w:smallCaps w:val="false"/>
          <w:sz w:val="20"/>
        </w:rPr>
        <w:t>, the Borrower shall pay to the L/C Issuer, on demand, such Letter of Credit Fees as are set forth from time to time in the L/C Issuer’s Fee schedule for letters of credit. The Borrower acknowledges that the L/C Issuer may modify such Fee schedule at any time and will communicate such new Fee schedule information to the Borrower as required in the notice provision hereunder. Such new Fees will be effective 30 days after such notice and shall apply as of such date to all existing and future Letters of Credit issued by the L/C Issuer. In the event of any inconsistency between the Fees set forth in this Agreement and the Fees set forth in such Fee schedule, the Fees set forth in this Agreement will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The obligation of the Borrower to reimburse the L/C Issuer, the Agent, and Lenders for payments made with respect to any Letter of Credit Obligation shall be absolute, unconditional, and irrevocable, and not subject to abatement, reduction, withholding, deduction, deferment, interruption, recoupment, or other right (whether legal, equitable, or otherwise) for any reason whatsoever, without necessity of presentment, demand, protest, or other formalities, and the obligations of each Lender to make payments to the Agent with respect to Letters of Credit shall be absolute, unconditional, and irrevocable. Such obligations of the Borrower and Lenders shall be paid strictly in accordance with the terms hereof under all circumstances, including and/or despite any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any Letter of Credit or this Agreement or the other Loan Documents or any other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existence of any claim, setoff, defense (including suretyship), or other right that the Borrower or any of its Affiliates or any Lender may at any time have against a beneficiary or any transferee of any Letter of Credit (or any Persons or entities for whom any such transferee may be acting), the Agent, any Lender, or any other Person, whether in connection with this Agreement, the Letter of Credit, the transactions contemplated herein or therein, or any unrelated transaction (including any underlying transaction between the Borrower or any of its Affiliates and the beneficiary for which the Letter of Credit was procured);</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draft, demand, certificate or any other document presented under any Letter of Credit proving to be forged, fraudulent, invalid, or insufficient in any respect, or any statement therein being untrue or inaccurate in any respect;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payment by the Agent or the L/C Issuer under any Letter of Credit or guaranty thereof against presentation of a demand, draft, certificate, or other document that does not comply with the terms of such Letter of Credit or such guaranty;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fact that a Default or an Event of Default has occurred and is continuing;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bankruptcy, insolvency, receivership, reorganization, or similar proceeding discharging or otherwise affecting the Borrower or any of its Affiliates;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Agent’s, the L/C Issuer’s, or any other Lender’s rights and remedies with respect to any collateral;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Borrower’s claims, rights, or remedies against any of its Affiliates;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Agent’s, the L/C Issuer’s, or any other Lender’s waiver or release of any obligation of the Borrower;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amendment, supplement, restatement, or renewal of this Agreement or any other agreement, document, or instrument relating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loss or damage to any collateral;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failure of any lien or security interest in favor of the Agent (for the benefit of the Lenders) to attach, be perfected or recorded, or remain perfected or recorded;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Agent’s release of any collateral, or taking of additional collateral, and the Borrower waives any and all rights with respect to all of the foregoing;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any other circumstance or event whatsoever, whether or not similar to any of the foregoing, that might, but for the provisions of this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constitute a legal or equitable discharge of, or provide a right of setoff against, the Borrower’s obligations hereunder, and the Borrower waives any and all rights with respect to all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L/C Issuer Discretion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Borrower’s account, the L/C Issuer may at any time provide in a Letter of Credit or otherwise agree to do or do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send the Letter of Credit via the Society for Worldwide Interbank Financial Telecommunication (“</w:t>
      </w:r>
      <w:r>
        <w:rPr>
          <w:rFonts w:ascii="Times New Roman;Times;Serif" w:hAnsi="Times New Roman;Times;Serif"/>
          <w:b w:val="false"/>
          <w:i w:val="false"/>
          <w:caps w:val="false"/>
          <w:smallCaps w:val="false"/>
          <w:sz w:val="20"/>
          <w:u w:val="single"/>
        </w:rPr>
        <w:t>SWIFT</w:t>
      </w:r>
      <w:r>
        <w:rPr>
          <w:rFonts w:ascii="Times New Roman;Times;Serif" w:hAnsi="Times New Roman;Times;Serif"/>
          <w:b w:val="false"/>
          <w:i w:val="false"/>
          <w:caps w:val="false"/>
          <w:smallCaps w:val="false"/>
          <w:sz w:val="20"/>
        </w:rPr>
        <w:t>”) network and bind the Borrower directly and as an indemnifier to the rules applicable to SWIFT messages (including, but not limited to, rules obligating the Borrower or the L/C Issuer to pay bank charges);</w:t>
      </w:r>
    </w:p>
    <w:p>
      <w:pPr>
        <w:pStyle w:val="TextBody"/>
        <w:bidi w:val="0"/>
        <w:spacing w:before="0" w:after="0"/>
        <w:ind w:left="0" w:right="0" w:firstLine="288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assert, waive, or, with any necessary consent from the beneficiary or other Person, amend any provision in the Letter of Credit or applicable practice that primarily concerns issuer operations including, but not limited to, (A) identification of the Letter of Credit in any presentation, (B) marking of the Letter of Credit to reflect a transfer, payment, or other action, (C) specification of the business days and hours, manner, and place for the L/C Issuer receiving a presentation, effecting honor, and giving notice of dishonor under the Letter of Credit, (D) duration of the period(s) for examination, approaching the Borrower for a waiver, or sending a notice of refusal, (E) disposition of the beneficiary’s documents after dishonor or while approaching the Borrower for a waiver, and (F) replacement of a lost Letter of Credit or recognition of a successor beneficiary;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discount an accepted draft or deferred payment undertaking incurred under the Letter of Credit, at the request of the beneficiary or other third party, without affecting the amount or due date of the Borrower’s obligations to reimburse or pay fees to the L/C Issuer;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select any branch, bank office, or the L/C Issuer affiliate or any other bank or financial institution or affiliate for issuing, advising, transferring, confirming, and/or nominating bank or Person under the law and practice of the place where it acts (if the Letter of Credit permits advice, transfer, confirmation, and/or nomination) to act under contract with the L/C Issuer as a letter of credit processing agent for the L/C Issuer in the L/C Issuer’s issuance of the Letter of Credit or processing of demands or in any other action that the L/C Issuer is required or permitted to take under the Letter of Credit;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accept documents that appear on their face to be in substantial compliance with the terms and conditions of a Letter of Credit without responsibility for further investigation and disregarding any information or data outside of the face of the documents, regardless of any notice or information to the contrary, and may honor and make payment upon any presentation that appears on its face to substantially comply with the terms and conditions of a Letter of Credit, whether or not the Letter of Credit requires strict compliance and without regard to any non-documentary condition in such Letter of Credit (including, but not limited to, honor of a draft that is non-negotiable or informal, honor up to the amount available under the Letter of Credit of a demand claiming more than that amount, honor of a draft or other document that lacks a reference to the Letter of Credit, honor of a presentation of documents that include inconsistent extraneous data, and allowance of a grace period of one business day for timing requirements under the Letter of Credit);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decline to accept any documents and make payment if such documents are not in strict compliance with the terms and conditions of a Letter of Credit;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provide for or submit to arbitration, mediation, DOCDEX (the ICC Banking Commission’s informal dispute resolution service), or the like for the resolution of some or all disputes with the beneficiary or other Person;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replace a purportedly lost, stolen, or destroyed original Letter of Credit or amendment thereto with a replacement marked as such or waive a requirement for its presentation.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Unless specifically committed to do so in a writing signed by the L/C Issuer, the L/C Issuer is not required to issue any Letter of Credit amendment. If the Letter of Credit may be extended or terminated by a notice given or other action taken by the L/C Issuer (with or without the passage of time), then, whether or not requested to do so by the Borrower, the L/C Issuer shall have the right to give such notice or take such action, to fail or refuse to do so, or to fail to retain proof of doing so. If the L/C Issuer gives such notice or takes such action at the Borrower’s request, then the Borrower shall obtain the beneficiary’s acknowledgement and, in the case of Letter of Credit termination, return the original Letter of Credit. If the L/C Issuer fails or refuses to give notice of non-extension or termination at the Borrower’s timely written request, then the L/C Issuer’s Letter of Credit Fees shall be calculated as if the L/C Issuer had given such notice or taken such action.</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beneficiary or another Person claims that the L/C Issuer has wrongfully repudiated or dishonored a Letter of Credit, then the L/C Issuer shall have the right to defend or settle the claim, with or without joining the Borrower in any proceeding or negotiation and without regard to whether the claimant asserts that the L/C Issuer is precluded from relying on a valid defense. The Borrower shall have the obligation to mitigate damages and, if the L/C Issuer pays or settles a claim then the Borrower will reimburse, indemnify, account for any benefits, and cooperate with the L/C Issuer as subrogee.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L/C Issuer’s actions in one or more instances shall not waive its right, with or without notice to the Borrower, to use its discretion differently in other similar instances and shall not establish a course of conduct on which the Borrower may rely in any other instances under the same or other Letter of Credit.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Indemnification; Nature of Duties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to amounts payable as elsewhere provided in this Agreement, the Borrower hereby agrees to pay and to protect, indemnify, and save harmless the Agent, the L/C Issuer, and each Lender, and each other Indemnitee, from and against any and all claims, demands, liabilities, damages, losses, costs, charges, and reasonable and documented out-of-pocket expenses (including reasonable attorneys’ fees) that the Agent, the L/C Issuer, or any Lender may incur or be subject to (but limited, in the case of legal fees and expenses, to the reasonable and documented out-of-pocket fees, disbursements and other charges of one counsel to all Indemnitees (taken as a whole) and, if reasonably necessary, a single local counsel for all Indemnitees (taken as a whole) in each relevant jurisdiction and with respect to each relevant specialty, and in the case of an actual or perceived conflict of interest, one additional counsel in each relevant jurisdiction to the affected Indemnitees similarly situated (and taken as a whole)) as a consequence, direct or indirect, of (A) the issuance of any Letter of Credit or guaranty thereof, (B) the failure of the Agent or any Lender seeking indemnification or of the L/C Issuer to honor a demand for payment under any Letter of Credit or guaranty thereof as a result of any act or omission, whether rightful or wrongful, of any present or future de jure or de facto government or Governmental Authority, (C) arising from or incurred in connection with any breach of a representation, warranty, or covenant by the Borrower; (D) arising out of or resulting from any suit, action, claim, proceeding, or governmental investigation, pending or threatened, whether based on statute, regulation, or order, or tort, or contract, or otherwise, before any court or governmental authority (and irrespective of who may be the prevailing party); (E) arising out of or in connection with any payment or action taken in connection with any Letter of Credit, including any action or proceeding seeking to restrain any drawing under a Letter of Credit or to compel or restrain any payment or any other action under a Letter of Credit or this Agreement (and irrespective of who may be the prevailing party); or (F) arising out of or in connection with any act or omission of any governmental authority or other cause beyond the Indemnitee’s reasonable control; except in each case to the extent such claim, liability, loss, damage, tax, penalty, interest, judgment, cost, or expense is found to have resulted from the gross negligence or willful misconduct of an Indemnitee (as finally determined by a court of competent jurisdiction in a non-appealable matter).</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between the Agent, the L/C Issuer, and any Lender and the Borrower, the Borrower assumes all risks of the acts and omissions of, or misuse of any Letter of Credit by, beneficiaries of any Letter of Credit. In furtherance and not in limitation of the foregoing, to the fullest extent permitted by Law, none of the Agent, the L/C Issuer, or any Lender shall be responsible for: (A) the form, validity, sufficiency, accuracy, genuineness, or legal effect of any document issued by any party in connection with the application for and issuance of any Letter of Credit, even if it should in fact prove to be in any or all respects invalid, insufficient, inaccurate, fraudulent, or forged; (B) the validity or sufficiency of any instrument transferring or assigning or purporting to transfer or assign any Letter of Credit or the rights or benefits thereunder or proceeds thereof, in whole or in part, that may prove to be invalid or ineffective for any reason; (C) failure of the beneficiary of any Letter of Credit to comply fully and strictly with the conditions required in order to demand payment under such Letter of Credit; (D) errors, omissions, interruptions, or delays in transmission or delivery of any messages, by mail, cable, telegraph, telex, or otherwise, whether or not they may be in cipher; (E) errors in interpretation of technical terms; (F) any loss or delay in the transmission or otherwise of any document required in order to make a payment under any Letter of Credit or guaranty thereof or of the proceeds thereof; (G) the credit of the proceeds of any drawing under any Letter of Credit or guaranty thereof; and (H) any consequences arising from causes beyond the control of the Agent, the L/C Issuer, or any Lender. None of the above shall affect, impair, or prevent the vesting of any of the Agent’s, the L/C Issuer’s, or any Lender’s rights or powers hereunder or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Limitations on Remedies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Nothing contained herein shall be deemed to limit or to expand any waivers, covenants, or indemnities made by the Borrower in favor of the L/C Issuer in any letter of credit application, reimbursement agreement, or similar document, instrument, or agreement between the Borrower and the L/C Issuer.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EXCEPT AS MAY BE EXPRESSLY PROVIDED IN THIS AGREEMENT, NEITHER L/C ISSUER (NOR ANY OTHER INDEMNITEE) SHALL BE LIABLE TO THE BORROWER IN CONTRACT, TORT, OR OTHERWISE FOR ANY SPECIAL, INDIRECT, CONSEQUENTIAL, OR PUNITIVE DAMAGES.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must take action to avoid and reduce the amount of damages claimed against the L/C Issuer (or other Indemnitee, as applicable).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Borrower’s aggregate remedies against the L/C Issuer for honoring a presentation or retaining honored documents in breach of the L/C Issuer’s obligations to the Borrower (whether arising under this Agreement, any other agreement, document, or instrument relating hereto, applicable letter of credit practice or law, or any other applicable law) are limited to the aggregate amounts paid by the Borrower to the L/C Issuer with respect to the honored presentation.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any dispute or litigation between the Borrower and the L/C Issuer, the Borrower shall pay the L/C Issuer’s reasonable attorneys’ fees, expert witness fees, and other expenses of litigation or dispute resolution, unless the Borrower obtains a non-appealable award for damages against the L/C Issuer, as so ordered by a court of competent jurisdiction. If the Borrower prevails in an action based on forgery or fraud of the beneficiary or other presenter, this does not relieve the Borrower from its obligation to pay the L/C Issuer’s fees and expenses in contesting the entry or maintenance of injunctive relief.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L/C Issuer shall act on behalf of the Lenders with respect to any Letters of Credit issued by it and the documents associated therewith, and the L/C Issuer shall have all of the benefits and immunities (A) provided to the Agent in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of this Agreement with respect to any acts taken or omissions suffered by the L/C Issuer in connection with Letters of Credit issued by it or proposed to be issued by it and Letter of Credit documents pertaining to such Letters of Credit as fully as if the term “Agent” as used in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of this Agreement included the L/C Issuer with respect to such acts or omissions, and (B) as additionally provided herein with respect to the L/C Issuer.</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Borrower, the Agent, and Lenders each agree that, in the absence of gross negligence or willful misconduct on the part of the L/C Issuer (as finally determined by a court of competent jurisdiction), the L/C Issuer will be deemed to have exercised care in determining whether drafts and other documents presented under a Letter of Credit comply with the terms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Letters of Credit Issued for account of Subsidiaries</w:t>
      </w:r>
      <w:r>
        <w:rPr>
          <w:rFonts w:ascii="Times New Roman;Times;Serif" w:hAnsi="Times New Roman;Times;Serif"/>
          <w:b w:val="false"/>
          <w:i w:val="false"/>
          <w:caps w:val="false"/>
          <w:smallCaps w:val="false"/>
          <w:sz w:val="20"/>
        </w:rPr>
        <w:t>. Notwithstanding that a Letter of Credit issued or outstanding hereunder is in support of any obligations of, or is for the account of, a Subsidiary, the Borrower shall be obligated as a primary obligor as set forth herein for any and all drawings under such Letter of Credit, and irrevocably waives any defenses that might otherwise be available to it as a guarantor or surety of the obligations of such Subsidiary. The Borrower hereby acknowledges that the issuance of Letters of Credit for the account of Subsidiaries inures to the benefit of the Borrower, and that the Borrower’s business derives substantial benefits from the businesses of such Subsidiaries. To the extent that any Letter of Credit is issued for the account of any Subsidiary of the Borrower, the Borrower agrees that (i) such Subsidiary shall have no rights against the L/C Issuer, the Agent, or any Lender and the Borrower shall hold the L/C Issuer, the Agent and any such Lender harmless with respect to any claim or other attempted exercise of rights by such Subsidiary against any of them, (ii) the Borrower shall be responsible for the obligations in respect of such Letter of Credit under this Agreement and any application or reimbursement agreement, (iii) the Borrower shall have the sole right to give instructions and make agreements with respect to this Agreement and the Letter of Credit, and the disposition of documents related thereto, and (iv) the Borrower shall have all powers and rights in respect of any security arising in connection with the Letter of Credit and the transactions related thereto. The Borrower shall, at the request of the L/C Issuer, cause such Subsidiary to execute and deliver an agreement confirming the terms specified in the immediately preceding sentence and acknowledging that it is bound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Rules of Practice</w:t>
      </w:r>
      <w:r>
        <w:rPr>
          <w:rFonts w:ascii="Times New Roman;Times;Serif" w:hAnsi="Times New Roman;Times;Serif"/>
          <w:b w:val="false"/>
          <w:i w:val="false"/>
          <w:caps w:val="false"/>
          <w:smallCaps w:val="false"/>
          <w:sz w:val="20"/>
        </w:rPr>
        <w:t>. Unless otherwise expressly agreed by the L/C Issuer and the Borrower when a Letter of Credit is issued by it, (i) the rules of the International Standby Practices, ICC Publication No. 590 (as amended, supplemented, restated, and/or republished from time to time, the “</w:t>
      </w:r>
      <w:r>
        <w:rPr>
          <w:rFonts w:ascii="Times New Roman;Times;Serif" w:hAnsi="Times New Roman;Times;Serif"/>
          <w:b w:val="false"/>
          <w:i w:val="false"/>
          <w:caps w:val="false"/>
          <w:smallCaps w:val="false"/>
          <w:sz w:val="20"/>
          <w:u w:val="single"/>
        </w:rPr>
        <w:t>ISP</w:t>
      </w:r>
      <w:r>
        <w:rPr>
          <w:rFonts w:ascii="Times New Roman;Times;Serif" w:hAnsi="Times New Roman;Times;Serif"/>
          <w:b w:val="false"/>
          <w:i w:val="false"/>
          <w:caps w:val="false"/>
          <w:smallCaps w:val="false"/>
          <w:sz w:val="20"/>
        </w:rPr>
        <w:t>”) shall apply to each standby Letter of Credit, and (ii) the rules of the Uniform Customs and Practice for Documentary Credits, International Chamber of Commerce Publication No. 600 (as amended, supplemented, restated, and/or republished from time to time, the “</w:t>
      </w:r>
      <w:r>
        <w:rPr>
          <w:rFonts w:ascii="Times New Roman;Times;Serif" w:hAnsi="Times New Roman;Times;Serif"/>
          <w:b w:val="false"/>
          <w:i w:val="false"/>
          <w:caps w:val="false"/>
          <w:smallCaps w:val="false"/>
          <w:sz w:val="20"/>
          <w:u w:val="single"/>
        </w:rPr>
        <w:t>UCP</w:t>
      </w:r>
      <w:r>
        <w:rPr>
          <w:rFonts w:ascii="Times New Roman;Times;Serif" w:hAnsi="Times New Roman;Times;Serif"/>
          <w:b w:val="false"/>
          <w:i w:val="false"/>
          <w:caps w:val="false"/>
          <w:smallCaps w:val="false"/>
          <w:sz w:val="20"/>
        </w:rPr>
        <w:t>”)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Laws or any order of a jurisdiction where the L/C Issuer, the beneficiary, or any advising, transferring, confirming, or nominated bank or Person is located, the practice stated in the ISP or UCP, as applicable, or in the decisions, opinions, practice statements, or official commentary of the International Chamber of Commerce Banking Commission, the Bankers Association for Finance and Trade, or the Institute of International Banking Law &amp; Practice, whether or not any Letter of Credit chooses such laws or practice rules.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shall survive the payment of the Obligations (both with respect to any Lender and all Lenders collectively), any termination of this Agreement, and the assignment of any rights hereunder.</w:t>
      </w:r>
    </w:p>
    <w:p>
      <w:pPr>
        <w:pStyle w:val="TextBody"/>
        <w:bidi w:val="0"/>
        <w:spacing w:before="0" w:after="0"/>
        <w:ind w:left="0" w:right="0" w:hanging="0"/>
        <w:jc w:val="right"/>
        <w:rPr>
          <w:caps/>
        </w:rPr>
      </w:pPr>
      <w:r>
        <w:rPr>
          <w:caps/>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ANNEX B TO</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CREDIT AGREEMENT</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CASH MANAGEMENT SYSTEMS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shall, and shall cause its Subsidiaries to, establish and maintain the Cash Management Systems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Maintenance of Cash Management Systems at Fifth Third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before the Closing Date, the Borrower shall establish and thereafter maintain at Fifth Third the Collection Account and the Disbursement Account.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shall take such reasonable steps to cause all Account Debtors to (A) forward payment directly to the Collection Account and (B) utilize the Agent’s electronic deposit and cash management system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to scan and create an electronic file containing an electronic image of the Remittance data) to deposit, on each Business Day, all paper Remittances received by the Borrower or any Subsidiary directly into the applicable Collection Account.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Loan Party and no Subsidiary shall notify any customer or Account Debtor to pay any Remittance to any other place other than the Collection Account (in the case of electronic Remittances) without the Agent’s prior written consent.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Subject to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xml:space="preserve"> below, no Loan Party shall open, acquire or maintain any Deposit Account or Securities Account with any financial institution or securities intermediary other than Fifth Third Bank, N.A. and/or its Affiliates except (A) the Deposit Account and the Security Account with Renasant Bank disclosed in the Perfection Certificate (which accounts shall not be used for any operations of the Loan Parties or their Subsidiaries), (B) Excluded Accounts and (C) with respect to Deposit Accounts and Securities Accounts acquired after the Closing Date that become subject to a Deposit Account Control Agreement or Securities Account Control Agreement, as applicable, within 60 days after the acquisition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later than 45 days after the Closing Date (or such later date as the Agent may agree to in writing, which may be via email), and at all times thereafter, the Loan Parties shall cause each of its Deposit Accounts and Securities Accounts with Renasant Bank to be subject to a Deposit Account Control Agreement and Securities Account Control Agreement, respectively.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Lockboxes</w:t>
      </w:r>
      <w:r>
        <w:rPr>
          <w:rFonts w:ascii="Times New Roman;Times;Serif" w:hAnsi="Times New Roman;Times;Serif"/>
          <w:b w:val="false"/>
          <w:i w:val="false"/>
          <w:caps w:val="false"/>
          <w:smallCaps w:val="false"/>
          <w:sz w:val="20"/>
        </w:rPr>
        <w:t>. Upon the Agent’s reasonable request, establish and thereafter maintain at Fifth Third one or more post office boxes at the U.S. Post Office at such address or addresses as the Agent may notify the Borrower from time to time upon reasonable advance written notice (collectively, “</w:t>
      </w:r>
      <w:r>
        <w:rPr>
          <w:rFonts w:ascii="Times New Roman;Times;Serif" w:hAnsi="Times New Roman;Times;Serif"/>
          <w:b w:val="false"/>
          <w:i w:val="false"/>
          <w:caps w:val="false"/>
          <w:smallCaps w:val="false"/>
          <w:sz w:val="20"/>
          <w:u w:val="single"/>
        </w:rPr>
        <w:t>Lock Boxes</w:t>
      </w:r>
      <w:r>
        <w:rPr>
          <w:rFonts w:ascii="Times New Roman;Times;Serif" w:hAnsi="Times New Roman;Times;Serif"/>
          <w:b w:val="false"/>
          <w:i w:val="false"/>
          <w:caps w:val="false"/>
          <w:smallCaps w:val="false"/>
          <w:sz w:val="20"/>
        </w:rPr>
        <w:t>”). The Agent will have sole access to each Lock Box, and at no time shall the Borrower remove any item from any Lock Box without the Agent’s prior written consent. Upon collection into a Lock Box, if any, and subject to, and in accordance with, the terms and conditions of the Bank Products provided by the Agent to the Loan Parties, all Remittances received in the applicable Lock Box shall be deposited by the Agent into the Collection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 Dominion Period</w:t>
      </w:r>
      <w:r>
        <w:rPr>
          <w:rFonts w:ascii="Times New Roman;Times;Serif" w:hAnsi="Times New Roman;Times;Serif"/>
          <w:b w:val="false"/>
          <w:i w:val="false"/>
          <w:caps w:val="false"/>
          <w:smallCaps w:val="false"/>
          <w:sz w:val="20"/>
        </w:rPr>
        <w:t>. During a Cash Dominion Period, (i) all available funds in the Collection Account in excess of $250,000 will be automatically swept each Business Day from the Collection Account and immediately applied to the outstanding balance of the Revolving Loans, without the need for any further notice by the Agent to the Borrower; (ii) no Loan Party shall, and no Loan Party shall cause or permit any Subsidiary to, accumulate or maintain cash in the Disbursement Account or payroll accounts as of any date of determination in excess of checks outstanding against such accounts as of that date and amounts necessary to meet minimum balance requirements; (iii) the Collection Account will be subject only to the signing authority designated from time to time by the Agent, and neither the Borrower nor any Person other than the Agent shall have any control over such deposits or funds; and (iv) the Agent shall have sole access to the Collection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Lock Boxes, the Disbursement Account and the Collection Account shall be cash collateral accounts, with all Remittances in such accounts securing payment of the Advances and all other Obligations, and in which each Loan Party and each Subsidiary thereof shall have granted a Lien to the Agent pursuant to the Guaranty and Security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amounts deposited in the Collection Account shall be deemed received by the Agent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shall be applied (and allocated) by the Agent in accordance with this Agreement. In no event shall any amount be so applied unless and until such amount shall have been credited in immediately available funds to the Collection Account.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Loan Party shall, and shall cause its Related Persons to, (i) hold in trust for the Agent all Remittances received by such Loan Party or Related Person, and (ii) within one Business Day after receipt by any such Loan Party or any such Related Person of any Remittance, deposit the same into the Collection Account. Each Loan Party on behalf of itself and each Related Person acknowledges and agrees that all Remittances are part of the Collateral. All proceeds of the sale or other disposition of any Collateral shall be deposited directly into the Collection Account.</w:t>
      </w:r>
    </w:p>
    <w:p>
      <w:pPr>
        <w:pStyle w:val="TextBody"/>
        <w:bidi w:val="0"/>
        <w:spacing w:before="0" w:after="0"/>
        <w:ind w:left="0" w:right="0" w:firstLine="21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ANNEX C TO</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CREDIT AGREEMENT</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PROJECTIONS AND OTHER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or cause to be delivered to the Agent and the Lenders,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Monthly Financials</w:t>
      </w:r>
      <w:r>
        <w:rPr>
          <w:rFonts w:ascii="Times New Roman;Times;Serif" w:hAnsi="Times New Roman;Times;Serif"/>
          <w:b w:val="false"/>
          <w:i w:val="false"/>
          <w:caps w:val="false"/>
          <w:smallCaps w:val="false"/>
          <w:sz w:val="20"/>
        </w:rPr>
        <w:t>. No later than 30 days after the end of each Fiscal Month, commencing with the Fiscal Month ended August 31, 2025, financial information regarding the Borrower and its Subsidiaries, certified by the Chief Financial Officer or the Chief Accounting Officer of the Loan Parties, consisting of consolidated (i) unaudited balance sheets as of the close of such Fiscal Month and the related statements of income and cash flows for that portion of the Fiscal Year ending as of the close of such Fiscal Month; and (ii) unaudited statements of income and cash flows for such Fiscal Month, setting forth in comparative form the figures for the corresponding period in the prior year and the figures contained in the Projections for such Fiscal Year, all prepared in accordance with GAAP (subject to normal year-end adjustments and the absence of footnote disclosures). Such financial information shall be accompanied by a Compliance Certificate showing the calculations used in determining compliance with the Financial Covenant and a certification of the Chief Financial Officer or the Chief Accounting Officer of the Loan Parties that (A) such financial information presents fairly in accordance with GAAP (subject to audit and normal year-end adjustments and the absence of footnote disclosures) the financial position and results of operations of the Loan Parties on a consolidated basis, in each case as at the end of such Fiscal Month and for that portion of the Fiscal Year then ended and (B) any other information presented is true, correct and complete in all material respects and that there was no Default or Event of Default in existence as of such time or, if a Default or an Event of Default shall have occurred and be continuing, describing the nature thereof and all efforts undertaken to cure such Default or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No later than 60 days after the end of each Fiscal Year, commencing with the Fiscal Year ending December 31, 2025, annual operating Projections for the Loan Parties, approved by the board of directors (or applicable governing body) of the Borrower, for the following Fiscal Year, which (i) includes a statement of all of the material assumptions on which such plan is based, (ii) includes monthly balance sheets and a monthly budget for the following year, and (iii) integrates sales, gross profits, operating expenses, operating profit, cash flow projections and Excess Availability projections, all prepared on the same basis and in similar detail as that on which operating results are reported (and in the case of cash flow projections, representing management’s good faith estimates of future financial performance based on historical performance), and including plans for material personnel, Capital Expenditures and facilities.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Annual Audited Financials</w:t>
      </w:r>
      <w:r>
        <w:rPr>
          <w:rFonts w:ascii="Times New Roman;Times;Serif" w:hAnsi="Times New Roman;Times;Serif"/>
          <w:b w:val="false"/>
          <w:i w:val="false"/>
          <w:caps w:val="false"/>
          <w:smallCaps w:val="false"/>
          <w:sz w:val="20"/>
        </w:rPr>
        <w:t xml:space="preserve">. No later than 120 days after the end of each Fiscal Year, audited Financial Statements for the Borrower and its Subsidiaries, on a consolidated basis, consisting of balance sheets and statements of income and retained earnings and cash flows, setting forth in comparative form in each case the figures for the previous Fiscal Year, which Financial Statements shall be prepared in accordance with GAAP and certified without qualification as to the scope of such audit or any “going concern” qualification or exception (other than a an exception or a qualification solely resulting from (1) the impending maturity of any Indebtedness or (2) any prospective default under any financial maintenance covenant (including the Financial Covenant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by an independent certified public accounting firm of national standing reasonably acceptable to the Agent (it being agreed that Crowe LLP and Deloitte LLP are reasonably acceptable to the Agent). Such Financial Statements shall be accompanied by (i) a statement prepared in reasonable detail showing the calculations used in determining compliance with Financial Covenant, (ii) any annual letters to such accountants in connection with their audit examination detailing contingent liabilities and material litigation matters, and (iii) a Compliance Certificate certifying that all such Financial Statements present fairly in accordance with GAAP the financial position, results of operations and statements of cash flows of the Loan Parties on a consolidated basis, as at the end of such Fiscal Year and for the period then ended, and that there was no Default or Event of Default in existence as of such time or, if a Default or an Event of Default has occurred and is continuing, describing the nature thereof and all efforts undertaken to cure such Default or Event of Default.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Notwithstanding the foregoing, the obligations in clauses (a) (with respect to quarterly financials) and (d) above may be satisfied with respect to financial information of the Borrower and its Subsidiaries by furnishing within the time period specified in the applicable paragraph </w:t>
      </w:r>
      <w:r>
        <w:rPr>
          <w:rFonts w:ascii="Times New Roman;Times;Serif" w:hAnsi="Times New Roman;Times;Serif"/>
          <w:b w:val="false"/>
          <w:i w:val="false"/>
          <w:caps w:val="false"/>
          <w:smallCaps w:val="false"/>
          <w:sz w:val="20"/>
        </w:rPr>
        <w:t xml:space="preserve">the Borrower’s or such entity’s Form 10-K or 10-Q, as applicable, filed with the SEC. Documents required to be delivered pursuant to clauses (a) and (d) above may be delivered electronically and if so delivered, shall be deemed to have been delivered on the date (i) on which the Borrower posts such documents, or provides a link thereto, on the website of the Borrower at </w:t>
      </w:r>
      <w:r>
        <w:rPr>
          <w:rFonts w:ascii="Times New Roman;Times;Serif" w:hAnsi="Times New Roman;Times;Serif"/>
          <w:b w:val="false"/>
          <w:i/>
          <w:caps w:val="false"/>
          <w:smallCaps w:val="false"/>
          <w:sz w:val="20"/>
        </w:rPr>
        <w:t>http://www.harrow.com</w:t>
      </w:r>
      <w:r>
        <w:rPr>
          <w:rFonts w:ascii="Times New Roman;Times;Serif" w:hAnsi="Times New Roman;Times;Serif"/>
          <w:b w:val="false"/>
          <w:i w:val="false"/>
          <w:caps w:val="false"/>
          <w:smallCaps w:val="false"/>
          <w:sz w:val="20"/>
        </w:rPr>
        <w:t xml:space="preserve"> or the website of the SEC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(ii) on which such documents are posted on the Borrower’s behalf on IntraLinks/IntraAgency or another relevant website, if any, to which the Agent has access (whether a commercial, third-party website or whether sponsored by the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notify (which may be by facsimile or electronic mail) the Agent of the posting of any such documents and, if requested by the Agent, provide to the Agent by electronic mail electronic versions (i.e., soft copies) of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Management Letters</w:t>
      </w:r>
      <w:r>
        <w:rPr>
          <w:rFonts w:ascii="Times New Roman;Times;Serif" w:hAnsi="Times New Roman;Times;Serif"/>
          <w:b w:val="false"/>
          <w:i w:val="false"/>
          <w:caps w:val="false"/>
          <w:smallCaps w:val="false"/>
          <w:sz w:val="20"/>
        </w:rPr>
        <w:t>. No later than five Business Days (or such longer period of time as the Agent may agree in its sole discretion) after receipt thereof by any Loan Party, copies of all management letters, exception reports or similar letters or reports received by such Loan Party from its independent certified public accountants.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Default Notices</w:t>
      </w:r>
      <w:r>
        <w:rPr>
          <w:rFonts w:ascii="Times New Roman;Times;Serif" w:hAnsi="Times New Roman;Times;Serif"/>
          <w:b w:val="false"/>
          <w:i w:val="false"/>
          <w:caps w:val="false"/>
          <w:smallCaps w:val="false"/>
          <w:sz w:val="20"/>
        </w:rPr>
        <w:t>. No later than five Business Days (or such longer period of time as the Agent may agree in its sole discretion) after an executive officer of any Loan Party has actual knowledge of the existence of any Default or Event of Default or other event that has had a Material Adverse Effect, written notice specifying the nature of such Default or Event of Default or other event, including the anticipated effect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Stockholder Deliveries and Press Releases</w:t>
      </w:r>
      <w:r>
        <w:rPr>
          <w:rFonts w:ascii="Times New Roman;Times;Serif" w:hAnsi="Times New Roman;Times;Serif"/>
          <w:b w:val="false"/>
          <w:i w:val="false"/>
          <w:caps w:val="false"/>
          <w:smallCaps w:val="false"/>
          <w:sz w:val="20"/>
        </w:rPr>
        <w:t xml:space="preserve">. Promptly upon their becoming available, copies of: (i) all Financial Statements, reports, notices and proxy statements made publicly available by any Loan Party to its security holders; (ii) all regular and periodic reports and all registration statements and prospectuses, if any, filed by any Loan Party with any securities exchange or with the SEC or any governmental or private regulatory authority; and (iii) all press releases and other statements made available by any Loan Party to the public concerning material changes or developments in the business of any such Person. Such documents may be delivered electronically and if so delivered, shall be deemed to have been delivered on the date (i) on which the Borrower posts such documents, or provides a link thereto, on the website of the Borrower at </w:t>
      </w:r>
      <w:r>
        <w:rPr>
          <w:rFonts w:ascii="Times New Roman;Times;Serif" w:hAnsi="Times New Roman;Times;Serif"/>
          <w:b w:val="false"/>
          <w:i/>
          <w:caps w:val="false"/>
          <w:smallCaps w:val="false"/>
          <w:sz w:val="20"/>
        </w:rPr>
        <w:t>http://www.harrow.com</w:t>
      </w:r>
      <w:r>
        <w:rPr>
          <w:rFonts w:ascii="Times New Roman;Times;Serif" w:hAnsi="Times New Roman;Times;Serif"/>
          <w:b w:val="false"/>
          <w:i w:val="false"/>
          <w:caps w:val="false"/>
          <w:smallCaps w:val="false"/>
          <w:sz w:val="20"/>
        </w:rPr>
        <w:t xml:space="preserve"> or (ii) on which such documents are posted on the Borrower’s behalf on IntraLinks/IntraAgency or another relevant website, if any, to which the Agent has access (whether a commercial, third-party website or whether sponsored by the Agent); provided that the Borrower shall notify (which may be by facsimile or electronic mail) the Agent of the posting of any such documents and, if requested by the Agent, provide to the Agent by electronic mail electronic versions (i.e., soft copies) of such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Material Debt and Material Contracts</w:t>
      </w:r>
      <w:r>
        <w:rPr>
          <w:rFonts w:ascii="Times New Roman;Times;Serif" w:hAnsi="Times New Roman;Times;Serif"/>
          <w:b w:val="false"/>
          <w:i w:val="false"/>
          <w:caps w:val="false"/>
          <w:smallCaps w:val="false"/>
          <w:sz w:val="20"/>
        </w:rPr>
        <w:t xml:space="preserve">. To the Agent in writing, promptly upon learning thereof, notice to any breach or non performance of, or any default under, (i) any agreement or document governing Material Indebtedness or (ii) any Material Contract, or any violation of, or non-compliance with, any applicable Law that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would reasonably be expected to result, either individually or in the aggregate, in a Material Adverse Effect, and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including a description of such breach, non-performance, default, violation or non-compliance and the steps, if any, such Person has taken, is taking or proposes to take in respect thereof.</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To the Agent in writing, promptly upon learning thereof, (i) notice of any Litigation commenced or threatened against any Loan Party in writing that (A) seeks damages in excess of $2,500,000, (B) seeks injunctive relief that would reasonably be expected to have a Material Adverse Effect on the Loan Parties, (C) alleges criminal misconduct by any Loan Party, (D) alleges the violation of any Law regarding, or seeks remedies in connection with, any Environmental Liabilities and could reasonably be expected to result in Environmental Liabilities in excess of $1,000,000, (E) results in or would reasonably be expected to result in a product recall that would reasonably be expected to have a Material Adverse Effect, or (F) which alleges potential or actual material violations of any Health Care Law by any Loan Party or any Subsidiary or any of its Licensed Personnel that, if adversely determined, would reasonably be expected to result in liabilities or damages in excess of $1,000,000; or (ii) any material developments in any respect of any Litigation described in the immediately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Health Care Notices</w:t>
      </w:r>
      <w:r>
        <w:rPr>
          <w:rFonts w:ascii="Times New Roman;Times;Serif" w:hAnsi="Times New Roman;Times;Serif"/>
          <w:b w:val="false"/>
          <w:i w:val="false"/>
          <w:caps w:val="false"/>
          <w:smallCaps w:val="false"/>
          <w:sz w:val="20"/>
        </w:rPr>
        <w:t xml:space="preserve">. To the Agent in writing, promptly upon any Loan Party or any Subsidiary, an owner, officer, manager, employee or Person with a “direct or indirect ownership interest” (as that phrase is defined in 42 C.F.R. §420.201) in any Loan Party or any Subsidiary: (A) has had a civil monetary penalty assessed against him or her pursuant to 42 U.S.C. §1320a-7a or is the subject of a proceeding seeking to assess such penalty; (B) has been excluded from participation in a Federal Health Care Program (as that term is defined in 42 U.S.C. §1320a-7b) or is the subject of a proceeding seeking to assess such penalty; (C) has been convicted (as that term is defined in 42 C.F.R. §1001.2) of any of those offenses described in 42 U.S.C. §1320a-7b or 18 U.S.C. §§669, 1035, 1347, 1518 or is the subject of a proceeding seeking to assess such penalty; (D) to the knowledge of any Loan Party or any Subsidiary, has been involved or named in a U.S. Attorney complaint made or any other action taken pursuant to the False Claims Act under 31 U.S.C. §§3729-3731 or in any qui tam action brought pursuant to 31 U.S.C. §3729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related to the business of any Loan Party or any Subsidiary; (E) any claim to recover any alleged overpayments with respect to any receivables, or any notice of any fees of any Loan Party or any Subsidiary being contested or disputed, in each case, in excess of $1,000,000; (F) any allegations of material licensure violations or fraudulent acts or omissions involving any Loan Party or any Subsidiary, or, to the knowledge of any Loan Party, any Licensed Personnel; (G) the pending or threatened imposition of any material fine or penalty by any Governmental Authority under any Health Care Law against any Loan Party or any Subsidiary, or, to the knowledge of any Loan Party, any Licensed Personnel; (H) any changes in any Health Care Law (including the adoption of a new Health Care Law) known to any Loan Party or any Subsidiary or any Loan Party that would reasonably be expected to have, in the aggregate, a Material Adverse Effect; (I) any pending or threatened revocation, suspension, termination, probation, restriction, limitation, denial, or non-renewal with respect to any material Health Care Permit; and (J) the outcome of any non-routine and material inspection of any facility of any Loan Party or any Subsidiary by or on behalf of any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Insurance Notices</w:t>
      </w:r>
      <w:r>
        <w:rPr>
          <w:rFonts w:ascii="Times New Roman;Times;Serif" w:hAnsi="Times New Roman;Times;Serif"/>
          <w:b w:val="false"/>
          <w:i w:val="false"/>
          <w:caps w:val="false"/>
          <w:smallCaps w:val="false"/>
          <w:sz w:val="20"/>
        </w:rPr>
        <w:t xml:space="preserve">. To the Agent, disclosure of losses or casualties required by </w:t>
      </w:r>
      <w:r>
        <w:rPr>
          <w:rFonts w:ascii="Times New Roman;Times;Serif" w:hAnsi="Times New Roman;Times;Serif"/>
          <w:b w:val="false"/>
          <w:i w:val="false"/>
          <w:caps w:val="false"/>
          <w:smallCaps w:val="false"/>
          <w:sz w:val="20"/>
          <w:u w:val="single"/>
        </w:rPr>
        <w:t>Section 5.4(c)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Other Documents</w:t>
      </w:r>
      <w:r>
        <w:rPr>
          <w:rFonts w:ascii="Times New Roman;Times;Serif" w:hAnsi="Times New Roman;Times;Serif"/>
          <w:b w:val="false"/>
          <w:i w:val="false"/>
          <w:caps w:val="false"/>
          <w:smallCaps w:val="false"/>
          <w:sz w:val="20"/>
        </w:rPr>
        <w:t>. Promptly following any request therefor, such other information regarding the operations, business, properties, liabilities (actual or contingent), condition (financial or otherwise) or prospects of the Borrower’s or any of its Subsidiaries’ business or financial condition as the Agent or any Lender (through the Agent) shall, from time to time, reasonably request.</w:t>
      </w:r>
    </w:p>
    <w:p>
      <w:pPr>
        <w:pStyle w:val="TextBody"/>
        <w:bidi w:val="0"/>
        <w:spacing w:before="0" w:after="0"/>
        <w:ind w:left="0" w:right="0" w:hanging="0"/>
        <w:jc w:val="right"/>
        <w:rPr>
          <w:caps/>
        </w:rPr>
      </w:pPr>
      <w:r>
        <w:rPr>
          <w:caps/>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ANNEX D TO</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CREDIT AGREEMENT</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REPORTS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or cause to be delivered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Agent no less frequently than noon (New York, NY time) 20 days after the end of each Fiscal Month (or such longer period of time as the Agent may agree in its sole discretion) or, during an Increased Reporting Period, not later than Wednesday of each week, or if Wednesday of any such week is not a Business Day, the next succeeding Business Day (in each case, or such longer period of time as the Agent may agree in its sole discretion) (together with a copy of all or any part of the following reports requested by any Lender in writing after the Closing Date), each of the following reports: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Borrowing Base Certificate, accompanied by such supporting detail and documentation as shall be requested by the Agent in its reasonable discretion, which shall be prepared by the Borrower as of the last day of the immediately preceding Fiscal Month or week, as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monthly trial balance showing Accounts outstanding aged from invoice date as follows: 1 to 30 days, 31 to 60 days, 61 to 90 days and 91 days or more, accompanied by such supporting detail and documentation as shall be requested by the Agent in its reasonable discretion, which shall be prepared by the Borrower as of the last day of the immediately preceding Fiscal Month;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aging of accounts payable and a reconciliation of that accounts payable aging to the Borrower’s general ledger and monthly Financial Statements, in each case accompanied by such supporting detail and documentation as shall be requested by the Agent in its reasonable discretion.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Agent, together with each Borrowing Base Certificate, collateral reports with respect to the Loan Parties, including all additions and reductions (cash and non-cash) with respect to Accounts, in each case accompanied by such supporting detail and documentation as shall be requested by the Agent in its reasonable discretion each of which shall be prepared by the Borrower as of the last day of the immediately preceding Fiscal Month or week,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Agent, at the time of delivery of each of the monthly Financial Statements delivered pursuant to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reconciliation of the most recent monthly trial balance of Accounts delivered pursuant to this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to the most recent Borrowing Base Certificate and general ledger, in each case accompanied by such supporting detail and documentation as shall be requested by the Agent in its Permitted Discretion;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reconciliation of the outstanding Advances as set forth in the monthly Loan Account statement provided by the Agent to the general ledger and monthly Financial Statements, in each case accompanied by such supporting detail and documentation as shall be requested by the Agent in its Permitted Discretion.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Agent, at the time of delivery of each of the Financial Statements delivered pursuant to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as of the end of any Fiscal Quarter (or such later date as the Agent may agree in its sole discretion), (i) a listing of government contracts of the Loan Parties subject to the Federal Assignment of Claims Act of 1940; and (ii) a list of any applications for the registration of any Patent, Trademark or Copyright filed by any Loan Party with the United States Patent and Trademark Office, the United States Copyright Office or any similar office or agency in the prior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Loan Party, at its own expense, shall deliver to the Agent such appraisals of its assets as the Agent may request at any time after the occurrence and during the continuance of a Default or an Event of Default, such appraisals to be conducted by an appraiser, and in form and substance reasonably satisfactory to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other reports, statements and reconciliations with respect to the Borrowing Base or Collateral or Obligations of any or all Loan Parties as the Agent shall from time to time request in its reasonable discretion.</w:t>
      </w:r>
    </w:p>
    <w:p>
      <w:pPr>
        <w:pStyle w:val="TextBody"/>
        <w:bidi w:val="0"/>
        <w:spacing w:before="0" w:after="0"/>
        <w:ind w:left="0" w:right="0" w:hanging="0"/>
        <w:jc w:val="right"/>
        <w:rPr>
          <w:caps/>
        </w:rPr>
      </w:pPr>
      <w:r>
        <w:rPr>
          <w:caps/>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ANNEX E TO</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CREDIT AGREEMENT</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REVOLVING LOAN COMMITMENTS</w:t>
      </w:r>
    </w:p>
    <w:p>
      <w:pPr>
        <w:pStyle w:val="TextBody"/>
        <w:bidi w:val="0"/>
        <w:spacing w:before="0" w:after="0"/>
        <w:ind w:left="0" w:right="0" w:hanging="0"/>
        <w:jc w:val="center"/>
        <w:rPr>
          <w:caps/>
        </w:rPr>
      </w:pPr>
      <w:r>
        <w:rPr>
          <w:caps/>
        </w:rPr>
        <w:t> </w:t>
      </w:r>
    </w:p>
    <w:tbl>
      <w:tblPr>
        <w:tblW w:w="5514" w:type="dxa"/>
        <w:jc w:val="left"/>
        <w:tblInd w:w="0" w:type="dxa"/>
        <w:tblLayout w:type="fixed"/>
        <w:tblCellMar>
          <w:top w:w="0" w:type="dxa"/>
          <w:left w:w="0" w:type="dxa"/>
          <w:bottom w:w="28" w:type="dxa"/>
          <w:right w:w="0" w:type="dxa"/>
        </w:tblCellMar>
      </w:tblPr>
      <w:tblGrid>
        <w:gridCol w:w="3740"/>
        <w:gridCol w:w="60"/>
        <w:gridCol w:w="183"/>
        <w:gridCol w:w="1456"/>
        <w:gridCol w:w="75"/>
      </w:tblGrid>
      <w:tr>
        <w:trPr/>
        <w:tc>
          <w:tcPr>
            <w:tcW w:w="3740" w:type="dxa"/>
            <w:tcBorders>
              <w:bottom w:val="single" w:sz="8" w:space="0" w:color="000000"/>
            </w:tcBorders>
            <w:vAlign w:val="center"/>
          </w:tcPr>
          <w:p>
            <w:pPr>
              <w:pStyle w:val="TableContents"/>
              <w:bidi w:val="0"/>
              <w:spacing w:before="0" w:after="283"/>
              <w:jc w:val="center"/>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283"/>
              <w:jc w:val="center"/>
              <w:rPr>
                <w:b/>
              </w:rPr>
            </w:pPr>
            <w:r>
              <w:rPr>
                <w:b/>
              </w:rPr>
              <w:t>Revolving Loan</w:t>
              <w:br/>
              <w:t>Commitment</w:t>
            </w:r>
          </w:p>
        </w:tc>
        <w:tc>
          <w:tcPr>
            <w:tcW w:w="7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center"/>
              <w:rPr/>
            </w:pPr>
            <w:r>
              <w:rPr/>
              <w:t>Fifth Third Bank, National Association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456" w:type="dxa"/>
            <w:tcBorders/>
            <w:shd w:fill="CCEEFF" w:val="clear"/>
            <w:tcMar>
              <w:bottom w:w="0" w:type="dxa"/>
            </w:tcMar>
            <w:vAlign w:val="center"/>
          </w:tcPr>
          <w:p>
            <w:pPr>
              <w:pStyle w:val="TableContents"/>
              <w:bidi w:val="0"/>
              <w:spacing w:before="0" w:after="283"/>
              <w:jc w:val="right"/>
              <w:rPr/>
            </w:pPr>
            <w:r>
              <w:rPr/>
              <w:t>40,000,000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righ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b/>
              </w:rPr>
            </w:pPr>
            <w:r>
              <w:rPr>
                <w:b/>
              </w:rPr>
              <w:t>$</w:t>
            </w:r>
          </w:p>
        </w:tc>
        <w:tc>
          <w:tcPr>
            <w:tcW w:w="1456" w:type="dxa"/>
            <w:tcBorders/>
            <w:shd w:fill="FFFFFF" w:val="clear"/>
            <w:tcMar>
              <w:bottom w:w="0" w:type="dxa"/>
            </w:tcMar>
            <w:vAlign w:val="center"/>
          </w:tcPr>
          <w:p>
            <w:pPr>
              <w:pStyle w:val="TableContents"/>
              <w:bidi w:val="0"/>
              <w:spacing w:before="0" w:after="283"/>
              <w:jc w:val="right"/>
              <w:rPr>
                <w:b/>
              </w:rPr>
            </w:pPr>
            <w:r>
              <w:rPr>
                <w:b/>
              </w:rPr>
              <w:t>40,000,000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E-1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993" w:name="ex31-1.htm"/>
      <w:bookmarkStart w:id="994" w:name="ksex311"/>
      <w:bookmarkEnd w:id="993"/>
      <w:bookmarkEnd w:id="99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CERTIFICATION OF THE PRINCIPAL EXECUTIVE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Mark L. Baum,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120"/>
        <w:gridCol w:w="2240"/>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95" w:name="ex31-2.htm"/>
      <w:bookmarkStart w:id="996" w:name="ksex312"/>
      <w:bookmarkEnd w:id="995"/>
      <w:bookmarkEnd w:id="99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Andrew R. Boll,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120"/>
        <w:gridCol w:w="3035"/>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997" w:name="ex32-1.htm"/>
      <w:bookmarkStart w:id="998" w:name="ksex321"/>
      <w:bookmarkEnd w:id="997"/>
      <w:bookmarkEnd w:id="99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CERTIFICATION REQUIRED BY</w:t>
        <w:br/>
        <w:t>SECTION 1350 OF TITLE 18 OF THE UNITED STATES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September 30, 2025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firstLine="72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3140"/>
        <w:gridCol w:w="75"/>
      </w:tblGrid>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0214/000149315225016473/ex2-1.htm" TargetMode="External"/><Relationship Id="rId3" Type="http://schemas.openxmlformats.org/officeDocument/2006/relationships/hyperlink" Target="https://www.sec.gov/Archives/edgar/data/1360214/000149315223034832/ex3-1.htm" TargetMode="External"/><Relationship Id="rId4" Type="http://schemas.openxmlformats.org/officeDocument/2006/relationships/hyperlink" Target="https://www.sec.gov/Archives/edgar/data/1360214/000164117225025336/ex3-1.htm" TargetMode="External"/><Relationship Id="rId5" Type="http://schemas.openxmlformats.org/officeDocument/2006/relationships/hyperlink" Target="https://www.sec.gov/Archives/edgar/data/1360214/000149315225013268/ex4-1.htm" TargetMode="External"/><Relationship Id="rId6" Type="http://schemas.openxmlformats.org/officeDocument/2006/relationships/hyperlink" Target="https://www.sec.gov/Archives/edgar/data/1360214/000149315225013268/ex4-1.htm" TargetMode="External"/><Relationship Id="rId7" Type="http://schemas.openxmlformats.org/officeDocument/2006/relationships/hyperlink" Target="https://www.sec.gov/Archives/edgar/data/1360214/000149315225013268/ex10-1.htm" TargetMode="External"/><Relationship Id="rId8" Type="http://schemas.openxmlformats.org/officeDocument/2006/relationships/hyperlink" Target="https://www.sec.gov/Archives/edgar/data/1360214/000149315225016473/ex10-1.htm" TargetMode="External"/><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121197</Words>
  <Characters>642722</Characters>
  <CharactersWithSpaces>765922</CharactersWithSpaces>
  <Paragraphs>11829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