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ind w:left="360" w:right="0" w:hanging="0"/>
        <w:rPr>
          <w:bdr w:val="single" w:sz="16" w:space="1" w:color="000000"/>
        </w:rPr>
      </w:pPr>
      <w:bookmarkStart w:id="0" w:name="c17462e8vk.htm"/>
      <w:bookmarkStart w:id="1" w:name="ksc17462e8vk"/>
      <w:bookmarkEnd w:id="0"/>
      <w:bookmarkEnd w:id="1"/>
      <w:r>
        <w:rPr>
          <w:bdr w:val="single" w:sz="16" w:space="1" w:color="000000"/>
        </w:rPr>
        <w:t> </w:t>
      </w:r>
    </w:p>
    <w:p>
      <w:pPr>
        <w:pStyle w:val="TextBody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ind w:left="360" w:right="0" w:hanging="0"/>
        <w:jc w:val="center"/>
        <w:rPr>
          <w:rFonts w:ascii="Times New Roman;Times;serif" w:hAnsi="Times New Roman;Times;serif"/>
          <w:b/>
          <w:sz w:val="23"/>
        </w:rPr>
      </w:pPr>
      <w:r>
        <w:rPr>
          <w:rFonts w:ascii="Times New Roman;Times;serif" w:hAnsi="Times New Roman;Times;serif"/>
          <w:b/>
          <w:sz w:val="23"/>
        </w:rPr>
        <w:t>UNITED STATES</w:t>
        <w:br/>
        <w:t>SECURITIES AND EXCHANGE COMMISSION</w:t>
        <w:br/>
      </w:r>
      <w:r>
        <w:rPr>
          <w:rFonts w:ascii="Times New Roman;Times;serif" w:hAnsi="Times New Roman;Times;serif"/>
          <w:b/>
          <w:sz w:val="20"/>
        </w:rPr>
        <w:t xml:space="preserve">Washington, D.C. 20549 </w:t>
      </w:r>
    </w:p>
    <w:p>
      <w:pPr>
        <w:pStyle w:val="TextBody"/>
        <w:ind w:left="360" w:right="0" w:hanging="0"/>
        <w:jc w:val="center"/>
        <w:rPr>
          <w:rFonts w:ascii="Times New Roman;Times;serif" w:hAnsi="Times New Roman;Times;serif"/>
          <w:sz w:val="30"/>
        </w:rPr>
      </w:pPr>
      <w:r>
        <w:rPr>
          <w:rFonts w:ascii="Times New Roman;Times;serif" w:hAnsi="Times New Roman;Times;serif"/>
          <w:b/>
          <w:sz w:val="30"/>
        </w:rPr>
        <w:t>FORM 8-K</w:t>
      </w:r>
      <w:r>
        <w:rPr>
          <w:rFonts w:ascii="Times New Roman;Times;serif" w:hAnsi="Times New Roman;Times;serif"/>
          <w:sz w:val="30"/>
        </w:rPr>
        <w:t xml:space="preserve"> </w:t>
      </w:r>
    </w:p>
    <w:p>
      <w:pPr>
        <w:pStyle w:val="TextBody"/>
        <w:ind w:left="360" w:right="0" w:hanging="0"/>
        <w:jc w:val="center"/>
        <w:rPr>
          <w:rFonts w:ascii="Times New Roman;Times;serif" w:hAnsi="Times New Roman;Times;serif"/>
          <w:sz w:val="20"/>
        </w:rPr>
      </w:pPr>
      <w:r>
        <w:rPr>
          <w:rFonts w:ascii="Times New Roman;Times;serif" w:hAnsi="Times New Roman;Times;serif"/>
          <w:b/>
          <w:sz w:val="20"/>
        </w:rPr>
        <w:t>CURRENT REPORT</w:t>
        <w:br/>
        <w:t>Pursuant to Section 13 or 15(d) of the Securities Exchange Act of 1934</w:t>
      </w:r>
      <w:r>
        <w:rPr>
          <w:rFonts w:ascii="Times New Roman;Times;serif" w:hAnsi="Times New Roman;Times;serif"/>
          <w:sz w:val="20"/>
        </w:rPr>
        <w:t xml:space="preserve"> </w:t>
      </w:r>
    </w:p>
    <w:p>
      <w:pPr>
        <w:pStyle w:val="TextBody"/>
        <w:ind w:left="360" w:right="0" w:hanging="0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b/>
          <w:sz w:val="17"/>
        </w:rPr>
        <w:t>Date of Report (Date of earliest event reported): May 13, 2011</w:t>
      </w:r>
      <w:r>
        <w:rPr>
          <w:rFonts w:ascii="Times New Roman;Times;serif" w:hAnsi="Times New Roman;Times;serif"/>
          <w:sz w:val="17"/>
        </w:rPr>
        <w:t xml:space="preserve"> </w:t>
      </w:r>
    </w:p>
    <w:p>
      <w:pPr>
        <w:pStyle w:val="TextBody"/>
        <w:spacing w:before="0" w:after="0"/>
        <w:ind w:left="360" w:right="0" w:hanging="0"/>
        <w:jc w:val="center"/>
        <w:rPr>
          <w:rFonts w:ascii="Times New Roman;Times;serif" w:hAnsi="Times New Roman;Times;serif"/>
          <w:sz w:val="40"/>
        </w:rPr>
      </w:pPr>
      <w:r>
        <w:rPr>
          <w:rFonts w:ascii="Times New Roman;Times;serif" w:hAnsi="Times New Roman;Times;serif"/>
          <w:b/>
          <w:sz w:val="40"/>
        </w:rPr>
        <w:t>Transdel Pharmaceuticals, Inc.</w:t>
        <w:br/>
      </w:r>
      <w:r>
        <w:rPr>
          <w:rFonts w:ascii="Times New Roman;Times;serif" w:hAnsi="Times New Roman;Times;serif"/>
          <w:sz w:val="17"/>
        </w:rPr>
        <w:t xml:space="preserve">(Exact name of registrant as specified in its charter) </w:t>
      </w:r>
    </w:p>
    <w:tbl>
      <w:tblPr>
        <w:tblW w:w="5000" w:type="pct"/>
        <w:jc w:val="left"/>
        <w:tblInd w:w="36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3298"/>
        <w:gridCol w:w="103"/>
        <w:gridCol w:w="3402"/>
        <w:gridCol w:w="103"/>
        <w:gridCol w:w="3299"/>
      </w:tblGrid>
      <w:tr>
        <w:trPr/>
        <w:tc>
          <w:tcPr>
            <w:tcW w:w="329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0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40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0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29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3298" w:type="dxa"/>
            <w:tcBorders>
              <w:bottom w:val="single" w:sz="2" w:space="0" w:color="000000"/>
            </w:tcBorders>
            <w:shd w:fill="auto" w:val="clear"/>
            <w:tcMar>
              <w:bottom w:w="28" w:type="dxa"/>
            </w:tcMar>
            <w:vAlign w:val="bottom"/>
          </w:tcPr>
          <w:p>
            <w:pPr>
              <w:pStyle w:val="TableContents"/>
              <w:spacing w:before="0" w:after="283"/>
              <w:rPr>
                <w:b/>
              </w:rPr>
            </w:pPr>
            <w:r>
              <w:rPr>
                <w:b/>
              </w:rPr>
              <w:t>Delaware</w:t>
            </w:r>
          </w:p>
        </w:tc>
        <w:tc>
          <w:tcPr>
            <w:tcW w:w="10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402" w:type="dxa"/>
            <w:tcBorders>
              <w:bottom w:val="single" w:sz="2" w:space="0" w:color="000000"/>
            </w:tcBorders>
            <w:shd w:fill="auto" w:val="clear"/>
            <w:tcMar>
              <w:bottom w:w="28" w:type="dxa"/>
            </w:tcMar>
            <w:vAlign w:val="bottom"/>
          </w:tcPr>
          <w:p>
            <w:pPr>
              <w:pStyle w:val="TableContents"/>
              <w:spacing w:before="0" w:after="283"/>
              <w:rPr>
                <w:b/>
              </w:rPr>
            </w:pPr>
            <w:r>
              <w:rPr>
                <w:b/>
              </w:rPr>
              <w:t>000-52998</w:t>
            </w:r>
          </w:p>
        </w:tc>
        <w:tc>
          <w:tcPr>
            <w:tcW w:w="10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299" w:type="dxa"/>
            <w:tcBorders>
              <w:bottom w:val="single" w:sz="2" w:space="0" w:color="000000"/>
            </w:tcBorders>
            <w:shd w:fill="auto" w:val="clear"/>
            <w:tcMar>
              <w:bottom w:w="28" w:type="dxa"/>
            </w:tcMar>
            <w:vAlign w:val="bottom"/>
          </w:tcPr>
          <w:p>
            <w:pPr>
              <w:pStyle w:val="TableContents"/>
              <w:spacing w:before="0" w:after="283"/>
              <w:rPr>
                <w:b/>
              </w:rPr>
            </w:pPr>
            <w:r>
              <w:rPr>
                <w:b/>
              </w:rPr>
              <w:t>45-0567010</w:t>
            </w:r>
          </w:p>
        </w:tc>
      </w:tr>
      <w:tr>
        <w:trPr/>
        <w:tc>
          <w:tcPr>
            <w:tcW w:w="3298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(State or other Jurisdiction of Incorporation)</w:t>
            </w:r>
          </w:p>
        </w:tc>
        <w:tc>
          <w:tcPr>
            <w:tcW w:w="10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(Commission File Number)</w:t>
            </w:r>
          </w:p>
        </w:tc>
        <w:tc>
          <w:tcPr>
            <w:tcW w:w="10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299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(IRS Employer Identification No.)</w:t>
            </w:r>
          </w:p>
        </w:tc>
      </w:tr>
    </w:tbl>
    <w:tbl>
      <w:tblPr>
        <w:tblW w:w="5000" w:type="pct"/>
        <w:jc w:val="left"/>
        <w:tblInd w:w="36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051"/>
        <w:gridCol w:w="102"/>
        <w:gridCol w:w="5052"/>
      </w:tblGrid>
      <w:tr>
        <w:trPr/>
        <w:tc>
          <w:tcPr>
            <w:tcW w:w="505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0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505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5051" w:type="dxa"/>
            <w:tcBorders>
              <w:bottom w:val="single" w:sz="2" w:space="0" w:color="000000"/>
            </w:tcBorders>
            <w:shd w:fill="auto" w:val="clear"/>
            <w:tcMar>
              <w:bottom w:w="28" w:type="dxa"/>
            </w:tcMar>
            <w:vAlign w:val="bottom"/>
          </w:tcPr>
          <w:p>
            <w:pPr>
              <w:pStyle w:val="TableContents"/>
              <w:spacing w:before="0" w:after="283"/>
              <w:rPr>
                <w:b/>
              </w:rPr>
            </w:pPr>
            <w:r>
              <w:rPr>
                <w:b/>
              </w:rPr>
              <w:t>4275 Executive Square, Suite 230</w:t>
              <w:br/>
              <w:t>La Jolla, CA</w:t>
            </w:r>
          </w:p>
        </w:tc>
        <w:tc>
          <w:tcPr>
            <w:tcW w:w="10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5052" w:type="dxa"/>
            <w:tcBorders>
              <w:bottom w:val="single" w:sz="2" w:space="0" w:color="000000"/>
            </w:tcBorders>
            <w:shd w:fill="auto" w:val="clear"/>
            <w:tcMar>
              <w:bottom w:w="28" w:type="dxa"/>
            </w:tcMar>
            <w:vAlign w:val="bottom"/>
          </w:tcPr>
          <w:p>
            <w:pPr>
              <w:pStyle w:val="TableContents"/>
              <w:spacing w:before="0" w:after="283"/>
              <w:rPr>
                <w:b/>
              </w:rPr>
            </w:pPr>
            <w:r>
              <w:rPr>
                <w:b/>
              </w:rPr>
              <w:t>92037</w:t>
            </w:r>
          </w:p>
        </w:tc>
      </w:tr>
      <w:tr>
        <w:trPr/>
        <w:tc>
          <w:tcPr>
            <w:tcW w:w="5051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(Address of Principal Executive Offices)</w:t>
            </w:r>
          </w:p>
        </w:tc>
        <w:tc>
          <w:tcPr>
            <w:tcW w:w="10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505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(Zip Code)</w:t>
            </w:r>
          </w:p>
        </w:tc>
      </w:tr>
    </w:tbl>
    <w:p>
      <w:pPr>
        <w:pStyle w:val="TextBody"/>
        <w:spacing w:before="0" w:after="0"/>
        <w:ind w:left="360" w:right="0" w:hanging="0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Registrant’s telephone number, including area code: </w:t>
      </w:r>
      <w:r>
        <w:rPr>
          <w:rFonts w:ascii="Times New Roman;Times;serif" w:hAnsi="Times New Roman;Times;serif"/>
          <w:b/>
          <w:sz w:val="17"/>
        </w:rPr>
        <w:t>(858) 457-5300</w:t>
      </w:r>
      <w:r>
        <w:rPr>
          <w:rFonts w:ascii="Times New Roman;Times;serif" w:hAnsi="Times New Roman;Times;serif"/>
          <w:sz w:val="17"/>
        </w:rPr>
        <w:t xml:space="preserve"> </w:t>
      </w:r>
    </w:p>
    <w:tbl>
      <w:tblPr>
        <w:tblW w:w="5780" w:type="dxa"/>
        <w:jc w:val="left"/>
        <w:tblInd w:w="36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780"/>
      </w:tblGrid>
      <w:tr>
        <w:trPr/>
        <w:tc>
          <w:tcPr>
            <w:tcW w:w="578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5780" w:type="dxa"/>
            <w:tcBorders>
              <w:bottom w:val="single" w:sz="2" w:space="0" w:color="000000"/>
            </w:tcBorders>
            <w:shd w:fill="auto" w:val="clear"/>
            <w:tcMar>
              <w:bottom w:w="28" w:type="dxa"/>
            </w:tcMar>
            <w:vAlign w:val="center"/>
          </w:tcPr>
          <w:p>
            <w:pPr>
              <w:pStyle w:val="TableContents"/>
              <w:spacing w:before="0" w:after="283"/>
              <w:rPr>
                <w:b/>
              </w:rPr>
            </w:pPr>
            <w:r>
              <w:rPr>
                <w:b/>
              </w:rPr>
              <w:t>N/A</w:t>
            </w:r>
          </w:p>
        </w:tc>
      </w:tr>
      <w:tr>
        <w:trPr/>
        <w:tc>
          <w:tcPr>
            <w:tcW w:w="578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(Former name or former address if changed since last report.)</w:t>
            </w:r>
          </w:p>
        </w:tc>
      </w:tr>
    </w:tbl>
    <w:p>
      <w:pPr>
        <w:pStyle w:val="TextBody"/>
        <w:ind w:left="360" w:right="0" w:hanging="0"/>
        <w:jc w:val="left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Check the appropriate box below if the Form 8-K filing is intended to simultaneously satisfy the filing obligation of the registrant under any of the following provisions: </w:t>
      </w:r>
    </w:p>
    <w:p>
      <w:pPr>
        <w:pStyle w:val="TextBody"/>
        <w:spacing w:before="0" w:after="0"/>
        <w:ind w:left="360" w:right="0" w:hanging="0"/>
        <w:jc w:val="left"/>
        <w:rPr>
          <w:rFonts w:ascii="Times New Roman;Times;serif" w:hAnsi="Times New Roman;Times;serif"/>
          <w:sz w:val="17"/>
        </w:rPr>
      </w:pPr>
      <w:r>
        <w:rPr>
          <w:rFonts w:ascii="Wingdings" w:hAnsi="Wingdings"/>
          <w:sz w:val="17"/>
        </w:rPr>
        <w:t>o</w:t>
      </w:r>
      <w:r>
        <w:rPr>
          <w:rFonts w:ascii="Times New Roman;Times;serif" w:hAnsi="Times New Roman;Times;serif"/>
          <w:sz w:val="17"/>
        </w:rPr>
        <w:t xml:space="preserve"> Written communications pursuant to Rule 425 under the Securities Act (17 CFR 230.425)</w:t>
        <w:br/>
        <w:br/>
      </w:r>
      <w:r>
        <w:rPr>
          <w:rFonts w:ascii="Wingdings" w:hAnsi="Wingdings"/>
          <w:sz w:val="17"/>
        </w:rPr>
        <w:t>o</w:t>
      </w:r>
      <w:r>
        <w:rPr>
          <w:rFonts w:ascii="Times New Roman;Times;serif" w:hAnsi="Times New Roman;Times;serif"/>
          <w:sz w:val="17"/>
        </w:rPr>
        <w:t xml:space="preserve"> Soliciting material pursuant to Rule 14a-12 under the Exchange Act (17 CFR 240.14a-12)</w:t>
        <w:br/>
        <w:br/>
      </w:r>
      <w:r>
        <w:rPr>
          <w:rFonts w:ascii="Wingdings" w:hAnsi="Wingdings"/>
          <w:sz w:val="17"/>
        </w:rPr>
        <w:t>o</w:t>
      </w:r>
      <w:r>
        <w:rPr>
          <w:rFonts w:ascii="Times New Roman;Times;serif" w:hAnsi="Times New Roman;Times;serif"/>
          <w:sz w:val="17"/>
        </w:rPr>
        <w:t xml:space="preserve"> Pre-commencement communications pursuant to Rule 14d-2(b) under the Exchange Act (17 CFR 240.14d-2(b))</w:t>
        <w:br/>
        <w:br/>
      </w:r>
      <w:r>
        <w:rPr>
          <w:rFonts w:ascii="Wingdings" w:hAnsi="Wingdings"/>
          <w:sz w:val="17"/>
        </w:rPr>
        <w:t>o</w:t>
      </w:r>
      <w:r>
        <w:rPr>
          <w:rFonts w:ascii="Times New Roman;Times;serif" w:hAnsi="Times New Roman;Times;serif"/>
          <w:sz w:val="17"/>
        </w:rPr>
        <w:t xml:space="preserve"> Pre-commencement communications pursuant to Rule 13e-4(c) under the Exchange Act (17 CFR 240.13e-4(c))</w:t>
      </w:r>
    </w:p>
    <w:p>
      <w:pPr>
        <w:pStyle w:val="TextBody"/>
        <w:spacing w:before="200" w:after="283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rPr>
          <w:bdr w:val="single" w:sz="16" w:space="1" w:color="000000"/>
        </w:rPr>
      </w:pPr>
      <w:r>
        <w:rPr>
          <w:bdr w:val="single" w:sz="16" w:space="1" w:color="000000"/>
        </w:rPr>
        <w:t> </w:t>
      </w:r>
    </w:p>
    <w:p>
      <w:pPr>
        <w:pStyle w:val="TextBody"/>
        <w:ind w:left="360" w:right="0" w:hanging="0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1 </w:t>
      </w:r>
    </w:p>
    <w:p>
      <w:pPr>
        <w:pStyle w:val="HorizontalLine"/>
        <w:pBdr>
          <w:bottom w:val="single" w:sz="20" w:space="0" w:color="808080"/>
        </w:pBdr>
        <w:rPr/>
      </w:pPr>
      <w:r>
        <w:rPr/>
      </w:r>
      <w:r>
        <w:br w:type="page"/>
      </w:r>
    </w:p>
    <w:p>
      <w:pPr>
        <w:pStyle w:val="Heading5"/>
        <w:jc w:val="left"/>
        <w:rPr/>
      </w:pPr>
      <w:r>
        <w:rPr/>
        <w:t> </w:t>
      </w:r>
    </w:p>
    <w:p>
      <w:pPr>
        <w:pStyle w:val="TextBody"/>
        <w:ind w:left="360" w:right="0" w:hanging="0"/>
        <w:jc w:val="left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b/>
          <w:sz w:val="17"/>
        </w:rPr>
        <w:t>Item 5.02 Departure of Directors of Certain Officers; Election of Directors; Appointment of Certain Officers; Compensatory Arrangements of Certain Officers.</w:t>
      </w:r>
      <w:r>
        <w:rPr>
          <w:rFonts w:ascii="Times New Roman;Times;serif" w:hAnsi="Times New Roman;Times;serif"/>
          <w:sz w:val="17"/>
        </w:rPr>
        <w:t xml:space="preserve"> </w:t>
      </w:r>
    </w:p>
    <w:p>
      <w:pPr>
        <w:pStyle w:val="TextBody"/>
        <w:ind w:left="360" w:right="0" w:hanging="0"/>
        <w:jc w:val="left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The Board of Directors (the “Board”) of Transdel Pharmaceuticals, Inc. (the “Company”) accepted the resignation of John N. Bonfiglio, Ph.D. as Chief Executive Officer of the Company and as a director on the Board, effective May 13, 2011. Dr. Bonfiglio’s resignation was not in connection with any known disagreement with the Company on any matter. </w:t>
      </w:r>
    </w:p>
    <w:p>
      <w:pPr>
        <w:pStyle w:val="TextBody"/>
        <w:ind w:left="360" w:right="0" w:hanging="0"/>
        <w:jc w:val="left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On the same date, the Board of the Company appointed John T. Lomoro, the Company’s current Chief Financial Officer, to serve as the Company’s principal executive officer. </w:t>
      </w:r>
    </w:p>
    <w:p>
      <w:pPr>
        <w:pStyle w:val="TextBody"/>
        <w:ind w:left="360" w:right="0" w:hanging="0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2 </w:t>
      </w:r>
    </w:p>
    <w:p>
      <w:pPr>
        <w:pStyle w:val="HorizontalLine"/>
        <w:pBdr>
          <w:bottom w:val="single" w:sz="20" w:space="0" w:color="808080"/>
        </w:pBdr>
        <w:rPr/>
      </w:pPr>
      <w:r>
        <w:rPr/>
      </w:r>
      <w:r>
        <w:br w:type="page"/>
      </w:r>
    </w:p>
    <w:p>
      <w:pPr>
        <w:pStyle w:val="Heading5"/>
        <w:jc w:val="left"/>
        <w:rPr/>
      </w:pPr>
      <w:r>
        <w:rPr/>
        <w:t> </w:t>
      </w:r>
    </w:p>
    <w:p>
      <w:pPr>
        <w:pStyle w:val="TextBody"/>
        <w:ind w:left="360" w:right="0" w:hanging="0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b/>
          <w:sz w:val="17"/>
        </w:rPr>
        <w:t>SIGNATURES</w:t>
      </w:r>
      <w:r>
        <w:rPr>
          <w:rFonts w:ascii="Times New Roman;Times;serif" w:hAnsi="Times New Roman;Times;serif"/>
          <w:sz w:val="17"/>
        </w:rPr>
        <w:t xml:space="preserve"> </w:t>
      </w:r>
    </w:p>
    <w:p>
      <w:pPr>
        <w:pStyle w:val="TextBody"/>
        <w:ind w:left="360" w:right="0" w:hanging="0"/>
        <w:jc w:val="left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Pursuant to the requirements of the Securities Exchange Act of 1934, the Registrant has duly caused this report to be signed on its behalf by the undersigned thereunto duly authorized. </w:t>
      </w:r>
    </w:p>
    <w:p>
      <w:pPr>
        <w:pStyle w:val="TextBody"/>
        <w:ind w:left="360" w:right="0" w:hanging="0"/>
        <w:jc w:val="left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b/>
          <w:sz w:val="17"/>
        </w:rPr>
        <w:t>Transdel Pharmaceuticals, Inc.</w:t>
      </w:r>
      <w:r>
        <w:rPr>
          <w:rFonts w:ascii="Times New Roman;Times;serif" w:hAnsi="Times New Roman;Times;serif"/>
          <w:sz w:val="17"/>
        </w:rPr>
        <w:t xml:space="preserve"> </w:t>
      </w:r>
    </w:p>
    <w:p>
      <w:pPr>
        <w:pStyle w:val="TextBody"/>
        <w:ind w:left="360" w:right="0" w:hanging="0"/>
        <w:jc w:val="left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Date: May 17, 2011 </w:t>
      </w:r>
    </w:p>
    <w:p>
      <w:pPr>
        <w:pStyle w:val="TextBody"/>
        <w:spacing w:before="0" w:after="283"/>
        <w:ind w:left="360" w:right="0" w:hanging="0"/>
        <w:jc w:val="left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By: </w:t>
      </w:r>
      <w:r>
        <w:rPr>
          <w:rFonts w:ascii="Times New Roman;Times;serif" w:hAnsi="Times New Roman;Times;serif"/>
          <w:sz w:val="17"/>
          <w:u w:val="single"/>
        </w:rPr>
        <w:t>/s/ John Lomoro</w:t>
      </w:r>
      <w:r>
        <w:rPr>
          <w:rFonts w:ascii="Times New Roman;Times;serif" w:hAnsi="Times New Roman;Times;serif"/>
          <w:sz w:val="17"/>
        </w:rPr>
        <w:br/>
        <w:t>John T. Lomoro</w:t>
        <w:br/>
        <w:t xml:space="preserve">Chief Financial Officer </w:t>
      </w:r>
    </w:p>
    <w:tbl>
      <w:tblPr>
        <w:tblW w:w="5000" w:type="pct"/>
        <w:jc w:val="left"/>
        <w:tblInd w:w="36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305"/>
        <w:gridCol w:w="101"/>
        <w:gridCol w:w="9799"/>
      </w:tblGrid>
      <w:tr>
        <w:trPr/>
        <w:tc>
          <w:tcPr>
            <w:tcW w:w="305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1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799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ind w:left="360" w:right="0" w:hanging="0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2 </w:t>
      </w:r>
    </w:p>
    <w:p>
      <w:pPr>
        <w:pStyle w:val="TextBody"/>
        <w:spacing w:before="0" w:after="0"/>
        <w:ind w:left="360" w:right="0" w:hanging="0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3 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Times New Roman">
    <w:altName w:val="Times"/>
    <w:charset w:val="00"/>
    <w:family w:val="auto"/>
    <w:pitch w:val="default"/>
  </w:font>
  <w:font w:name="Wingdings"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paragraph" w:styleId="Heading5">
    <w:name w:val="Heading 5"/>
    <w:basedOn w:val="Heading"/>
    <w:next w:val="TextBody"/>
    <w:qFormat/>
    <w:pPr>
      <w:numPr>
        <w:ilvl w:val="0"/>
        <w:numId w:val="0"/>
      </w:numPr>
      <w:spacing w:before="120" w:after="60"/>
      <w:outlineLvl w:val="4"/>
    </w:pPr>
    <w:rPr>
      <w:rFonts w:ascii="Liberation Serif" w:hAnsi="Liberation Serif" w:eastAsia="DejaVu Sans" w:cs="DejaVu Sans"/>
      <w:b/>
      <w:bCs/>
      <w:sz w:val="20"/>
      <w:szCs w:val="20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3</Pages>
  <Words>337</Words>
  <CharactersWithSpaces>2250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Form 8-K</dc:title>
</cp:coreProperties>
</file>