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74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4345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AUSTIN STEPHEN G</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C/O IMPRIMIS PHARMACEUTICALS, INC.</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06/10/2016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12264 EL CAMINO REAL, SUITE 350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SAN DIEGO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92130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120" w:type="dxa"/>
            <w:vAlign w:val="bottom"/>
            <w:tcBorders>
              <w:bottom w:val="single" w:sz="8" w:color="2C2C2C"/>
            </w:tcBorders>
            <w:gridSpan w:val="3"/>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line="241" w:lineRule="exact"/>
              <w:rPr>
                <w:sz w:val="20"/>
                <w:szCs w:val="20"/>
                <w:color w:val="auto"/>
              </w:rPr>
            </w:pPr>
            <w:r>
              <w:rPr>
                <w:rFonts w:ascii="Arial" w:cs="Arial" w:eastAsia="Arial" w:hAnsi="Arial"/>
                <w:sz w:val="26"/>
                <w:szCs w:val="26"/>
                <w:color w:val="0000FF"/>
                <w:vertAlign w:val="subscript"/>
              </w:rPr>
              <w:t>RSU</w:t>
            </w:r>
            <w:r>
              <w:rPr>
                <w:rFonts w:ascii="Arial" w:cs="Arial" w:eastAsia="Arial" w:hAnsi="Arial"/>
                <w:sz w:val="11"/>
                <w:szCs w:val="11"/>
                <w:color w:val="008000"/>
              </w:rPr>
              <w:t>(1)(2)</w:t>
            </w:r>
          </w:p>
        </w:tc>
        <w:tc>
          <w:tcPr>
            <w:tcW w:w="66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20"/>
                <w:szCs w:val="20"/>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06/10/2016</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12,690</w:t>
            </w:r>
          </w:p>
        </w:tc>
        <w:tc>
          <w:tcPr>
            <w:tcW w:w="3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06/10/2016</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06/10/2017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12,690</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12,690</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 year period following the date of grant. The shares underlying such Restricted Stock Units will not be delivered to the Reporting Person and may not be transferred or sold until the termination of service.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Stephen Austin</w:t>
            </w:r>
          </w:p>
        </w:tc>
        <w:tc>
          <w:tcPr>
            <w:tcW w:w="10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06/14/2016</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121"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2020-01-19T08:20:15Z</dcterms:created>
  <dcterms:modified xsi:type="dcterms:W3CDTF">2020-01-19T08:20:15Z</dcterms:modified>
</cp:coreProperties>
</file>