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February 1,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51435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 2019, Harrow Health, Inc. (the “Company”) entered into an Asset Purchase Agreement (the “Asset Purchase Agreement”) with Elle Pharmaceutical, LLC (“Elle”), where the Company acquired intellectual property and related rights from Elle to develop, formulate, make, sell, and sub-license lidocaine-based gel formulations (collectively, the “Products”). As consideration, the Company agreed to pay Elle twenty-five thousand dollars ($25,000) at the time of signing the Asset Purchase Agreement and make royalty payments to Elle up to seven and a half percent (7.5%) of net sales of the Products as compounded drug formulations.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Asset Purchase Agreement, the Company assigned the Products to its subsidiary, Mayfield Pharmaceuticals, Inc. (“Mayfield”), and Mayfield entered into a separate Royalty Agreement with Elle (the “Royalty Agreement”). Pursuant to the terms of the Royalty Agreement, Mayfield, is required to make royalty payments to Elle up to seven and a half percent (7.5%) of net sales of the Products as commercially available drugs (e.g. a market approved drug via the U.S. Food and Drug Administration 505(b)(2) pathway), while any patent rights remain outstanding, as well as other conditions. In addition, Mayfield agreed to pay Elle one-hundred-seventy-five thousand dollars ($175,000) upon Mayfield receiving third-party financing equal to or greater than ten million dollars ($10,000,000) of gross proceeds. In connection with the Asset Purchase Agreement and Royalty Agreement Mayfield issued to Elle one million shares (1,000,000) of its common stock.</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is only a brief description of the material terms of the Asset Purchase Agreement and Royalty Agreement and does not purport to be a complete description of the rights and obligations of the parties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HARROW HEALTH, INC.</w:t>
      </w:r>
    </w:p>
    <w:p>
      <w:pPr>
        <w:spacing w:after="0" w:line="202" w:lineRule="exact"/>
        <w:rPr>
          <w:sz w:val="20"/>
          <w:szCs w:val="20"/>
          <w:color w:val="auto"/>
        </w:rPr>
      </w:pPr>
    </w:p>
    <w:p>
      <w:pPr>
        <w:spacing w:after="0"/>
        <w:tabs>
          <w:tab w:leader="none" w:pos="5560" w:val="left"/>
          <w:tab w:leader="none" w:pos="6140" w:val="left"/>
        </w:tabs>
        <w:rPr>
          <w:sz w:val="20"/>
          <w:szCs w:val="20"/>
          <w:color w:val="auto"/>
        </w:rPr>
      </w:pPr>
      <w:r>
        <w:rPr>
          <w:rFonts w:ascii="Arial" w:cs="Arial" w:eastAsia="Arial" w:hAnsi="Arial"/>
          <w:sz w:val="18"/>
          <w:szCs w:val="18"/>
          <w:color w:val="auto"/>
        </w:rPr>
        <w:t>Dated: February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4"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2020-01-09T19:22:58Z</dcterms:created>
  <dcterms:modified xsi:type="dcterms:W3CDTF">2020-01-09T19:22:58Z</dcterms:modified>
</cp:coreProperties>
</file>