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September 3, 2021</w:t>
      </w:r>
    </w:p>
    <w:p>
      <w:pPr>
        <w:spacing w:after="0" w:line="221" w:lineRule="exact"/>
        <w:rPr>
          <w:sz w:val="24"/>
          <w:szCs w:val="24"/>
          <w:color w:val="auto"/>
        </w:rPr>
      </w:pPr>
    </w:p>
    <w:p>
      <w:pPr>
        <w:ind w:left="898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160" w:type="dxa"/>
            <w:vAlign w:val="bottom"/>
          </w:tcPr>
          <w:p>
            <w:pPr>
              <w:jc w:val="center"/>
              <w:ind w:right="191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45-0567010</w:t>
            </w:r>
          </w:p>
        </w:tc>
      </w:tr>
      <w:tr>
        <w:trPr>
          <w:trHeight w:val="220"/>
        </w:trPr>
        <w:tc>
          <w:tcPr>
            <w:tcW w:w="4160" w:type="dxa"/>
            <w:vAlign w:val="bottom"/>
          </w:tcPr>
          <w:p>
            <w:pPr>
              <w:jc w:val="center"/>
              <w:ind w:right="1910"/>
              <w:spacing w:after="0"/>
              <w:rPr>
                <w:sz w:val="20"/>
                <w:szCs w:val="20"/>
                <w:color w:val="auto"/>
              </w:rPr>
            </w:pPr>
            <w:r>
              <w:rPr>
                <w:rFonts w:ascii="Arial" w:cs="Arial" w:eastAsia="Arial" w:hAnsi="Arial"/>
                <w:sz w:val="18"/>
                <w:szCs w:val="18"/>
                <w:color w:val="auto"/>
                <w:w w:val="92"/>
              </w:rPr>
              <w:t>(State or other jurisdiction of</w:t>
            </w:r>
          </w:p>
        </w:tc>
        <w:tc>
          <w:tcPr>
            <w:tcW w:w="3320" w:type="dxa"/>
            <w:vAlign w:val="bottom"/>
          </w:tcPr>
          <w:p>
            <w:pPr>
              <w:jc w:val="center"/>
              <w:ind w:left="1890"/>
              <w:spacing w:after="0"/>
              <w:rPr>
                <w:sz w:val="20"/>
                <w:szCs w:val="20"/>
                <w:color w:val="auto"/>
              </w:rPr>
            </w:pPr>
            <w:r>
              <w:rPr>
                <w:rFonts w:ascii="Arial" w:cs="Arial" w:eastAsia="Arial" w:hAnsi="Arial"/>
                <w:sz w:val="18"/>
                <w:szCs w:val="18"/>
                <w:b w:val="1"/>
                <w:bCs w:val="1"/>
                <w:color w:val="auto"/>
                <w:w w:val="92"/>
              </w:rPr>
              <w:t>(</w:t>
            </w:r>
            <w:r>
              <w:rPr>
                <w:rFonts w:ascii="Arial" w:cs="Arial" w:eastAsia="Arial" w:hAnsi="Arial"/>
                <w:sz w:val="18"/>
                <w:szCs w:val="18"/>
                <w:color w:val="auto"/>
                <w:w w:val="92"/>
              </w:rPr>
              <w:t>I.R.S. Employer</w:t>
            </w:r>
          </w:p>
        </w:tc>
      </w:tr>
      <w:tr>
        <w:trPr>
          <w:trHeight w:val="230"/>
        </w:trPr>
        <w:tc>
          <w:tcPr>
            <w:tcW w:w="4160" w:type="dxa"/>
            <w:vAlign w:val="bottom"/>
          </w:tcPr>
          <w:p>
            <w:pPr>
              <w:jc w:val="center"/>
              <w:ind w:right="1910"/>
              <w:spacing w:after="0"/>
              <w:rPr>
                <w:sz w:val="20"/>
                <w:szCs w:val="20"/>
                <w:color w:val="auto"/>
              </w:rPr>
            </w:pPr>
            <w:r>
              <w:rPr>
                <w:rFonts w:ascii="Arial" w:cs="Arial" w:eastAsia="Arial" w:hAnsi="Arial"/>
                <w:sz w:val="18"/>
                <w:szCs w:val="18"/>
                <w:color w:val="auto"/>
                <w:w w:val="92"/>
              </w:rPr>
              <w:t>incorporation or organization)</w:t>
            </w:r>
          </w:p>
        </w:tc>
        <w:tc>
          <w:tcPr>
            <w:tcW w:w="3320" w:type="dxa"/>
            <w:vAlign w:val="bottom"/>
          </w:tcPr>
          <w:p>
            <w:pPr>
              <w:jc w:val="center"/>
              <w:ind w:left="18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733-4730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102 Woodmont Blvd., Suite 610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733-4730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H. Nixon III,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Waller Lansden Dortch &amp; Davis,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511 Union Street, Suite 2700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244-6380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the effective date of this registration statement.</w:t>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4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4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 ]</w:t>
      </w:r>
    </w:p>
    <w:p>
      <w:pPr>
        <w:spacing w:after="0" w:line="17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449" w:right="339" w:bottom="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Non-accelerated filer [X]</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Smaller Reporting Company [X]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Emerging Growth Company [ ]</w:t>
      </w:r>
    </w:p>
    <w:p>
      <w:pPr>
        <w:spacing w:after="0" w:line="452" w:lineRule="exact"/>
        <w:rPr>
          <w:sz w:val="20"/>
          <w:szCs w:val="20"/>
          <w:color w:val="auto"/>
        </w:rPr>
      </w:pPr>
    </w:p>
    <w:p>
      <w:pPr>
        <w:sectPr>
          <w:pgSz w:w="11900" w:h="16838" w:orient="portrait"/>
          <w:cols w:equalWidth="0" w:num="5">
            <w:col w:w="1880" w:space="400"/>
            <w:col w:w="1280" w:space="720"/>
            <w:col w:w="1820" w:space="420"/>
            <w:col w:w="1340" w:space="580"/>
            <w:col w:w="2800"/>
          </w:cols>
          <w:pgMar w:left="320" w:top="341" w:right="339" w:bottom="1440" w:gutter="0" w:footer="0" w:header="0"/>
        </w:sect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Securities Act.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5720" w:type="dxa"/>
            <w:vAlign w:val="bottom"/>
            <w:gridSpan w:val="8"/>
          </w:tcPr>
          <w:p>
            <w:pPr>
              <w:jc w:val="right"/>
              <w:ind w:right="1980"/>
              <w:spacing w:after="0"/>
              <w:rPr>
                <w:sz w:val="20"/>
                <w:szCs w:val="20"/>
                <w:color w:val="auto"/>
              </w:rPr>
            </w:pPr>
            <w:r>
              <w:rPr>
                <w:rFonts w:ascii="Arial" w:cs="Arial" w:eastAsia="Arial" w:hAnsi="Arial"/>
                <w:sz w:val="18"/>
                <w:szCs w:val="18"/>
                <w:b w:val="1"/>
                <w:bCs w:val="1"/>
                <w:color w:val="auto"/>
              </w:rPr>
              <w:t>CALCULATION OF REGISTRATION FEE</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Proposed Maximum</w:t>
            </w:r>
          </w:p>
        </w:tc>
        <w:tc>
          <w:tcPr>
            <w:tcW w:w="240" w:type="dxa"/>
            <w:vAlign w:val="bottom"/>
          </w:tcPr>
          <w:p>
            <w:pPr>
              <w:spacing w:after="0"/>
              <w:rPr>
                <w:sz w:val="24"/>
                <w:szCs w:val="24"/>
                <w:color w:val="auto"/>
              </w:rPr>
            </w:pPr>
          </w:p>
        </w:tc>
        <w:tc>
          <w:tcPr>
            <w:tcW w:w="16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1"/>
              </w:rPr>
              <w:t>Amount of</w:t>
            </w:r>
          </w:p>
        </w:tc>
      </w:tr>
      <w:tr>
        <w:trPr>
          <w:trHeight w:val="230"/>
        </w:trPr>
        <w:tc>
          <w:tcPr>
            <w:tcW w:w="3620" w:type="dxa"/>
            <w:vAlign w:val="bottom"/>
          </w:tcPr>
          <w:p>
            <w:pPr>
              <w:ind w:left="1420"/>
              <w:spacing w:after="0"/>
              <w:rPr>
                <w:sz w:val="20"/>
                <w:szCs w:val="20"/>
                <w:color w:val="auto"/>
              </w:rPr>
            </w:pPr>
            <w:r>
              <w:rPr>
                <w:rFonts w:ascii="Arial" w:cs="Arial" w:eastAsia="Arial" w:hAnsi="Arial"/>
                <w:sz w:val="18"/>
                <w:szCs w:val="18"/>
                <w:b w:val="1"/>
                <w:bCs w:val="1"/>
                <w:color w:val="auto"/>
              </w:rPr>
              <w:t>Title of Each Class of</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Amount to be</w:t>
            </w:r>
          </w:p>
        </w:tc>
        <w:tc>
          <w:tcPr>
            <w:tcW w:w="220" w:type="dxa"/>
            <w:vAlign w:val="bottom"/>
          </w:tcPr>
          <w:p>
            <w:pPr>
              <w:spacing w:after="0"/>
              <w:rPr>
                <w:sz w:val="19"/>
                <w:szCs w:val="19"/>
                <w:color w:val="auto"/>
              </w:rPr>
            </w:pPr>
          </w:p>
        </w:tc>
        <w:tc>
          <w:tcPr>
            <w:tcW w:w="23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Aggregate</w:t>
            </w:r>
          </w:p>
        </w:tc>
        <w:tc>
          <w:tcPr>
            <w:tcW w:w="240" w:type="dxa"/>
            <w:vAlign w:val="bottom"/>
          </w:tcPr>
          <w:p>
            <w:pPr>
              <w:spacing w:after="0"/>
              <w:rPr>
                <w:sz w:val="19"/>
                <w:szCs w:val="19"/>
                <w:color w:val="auto"/>
              </w:rPr>
            </w:pPr>
          </w:p>
        </w:tc>
        <w:tc>
          <w:tcPr>
            <w:tcW w:w="166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9"/>
              </w:rPr>
              <w:t>Registration</w:t>
            </w:r>
          </w:p>
        </w:tc>
      </w:tr>
      <w:tr>
        <w:trPr>
          <w:trHeight w:val="241"/>
        </w:trPr>
        <w:tc>
          <w:tcPr>
            <w:tcW w:w="3620" w:type="dxa"/>
            <w:vAlign w:val="bottom"/>
          </w:tcPr>
          <w:p>
            <w:pPr>
              <w:ind w:left="1220"/>
              <w:spacing w:after="0"/>
              <w:rPr>
                <w:sz w:val="20"/>
                <w:szCs w:val="20"/>
                <w:color w:val="auto"/>
              </w:rPr>
            </w:pPr>
            <w:r>
              <w:rPr>
                <w:rFonts w:ascii="Arial" w:cs="Arial" w:eastAsia="Arial" w:hAnsi="Arial"/>
                <w:sz w:val="18"/>
                <w:szCs w:val="18"/>
                <w:b w:val="1"/>
                <w:bCs w:val="1"/>
                <w:color w:val="auto"/>
              </w:rPr>
              <w:t>Securities to be Registered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5"/>
              </w:rPr>
              <w:t>Registered (1)(2)</w:t>
            </w:r>
          </w:p>
        </w:tc>
        <w:tc>
          <w:tcPr>
            <w:tcW w:w="220" w:type="dxa"/>
            <w:vAlign w:val="bottom"/>
          </w:tcPr>
          <w:p>
            <w:pPr>
              <w:spacing w:after="0"/>
              <w:rPr>
                <w:sz w:val="20"/>
                <w:szCs w:val="20"/>
                <w:color w:val="auto"/>
              </w:rPr>
            </w:pPr>
          </w:p>
        </w:tc>
        <w:tc>
          <w:tcPr>
            <w:tcW w:w="23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Offering Price (1)(2)</w:t>
            </w:r>
          </w:p>
        </w:tc>
        <w:tc>
          <w:tcPr>
            <w:tcW w:w="240" w:type="dxa"/>
            <w:vAlign w:val="bottom"/>
          </w:tcPr>
          <w:p>
            <w:pPr>
              <w:spacing w:after="0"/>
              <w:rPr>
                <w:sz w:val="20"/>
                <w:szCs w:val="20"/>
                <w:color w:val="auto"/>
              </w:rPr>
            </w:pPr>
          </w:p>
        </w:tc>
        <w:tc>
          <w:tcPr>
            <w:tcW w:w="16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9"/>
              </w:rPr>
              <w:t>Fee (7)</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Common Stock, par value $0.001 per share(3)</w:t>
            </w: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6"/>
              </w:rPr>
              <w:t>Preferred Stock, par value $0.001 per share(3)</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Depository Shares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Warrants(4)</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Units(5)</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Debt Securities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Total(6)</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(8)</w:t>
            </w:r>
          </w:p>
        </w:tc>
      </w:tr>
      <w:tr>
        <w:trPr>
          <w:trHeight w:val="20"/>
        </w:trPr>
        <w:tc>
          <w:tcPr>
            <w:tcW w:w="3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are being registered hereunder such indeterminate number of shares of common stock and preferred stock, such indeterminate number of depositary shares, such indeterminate number of warrants to purchase common stock, preferred stock and/or debt securities, and such indeterminate principal amount of debt securities as may be sold by the registrant from time to time, which together shall have an aggregate initial offering price not to exceed $125,000,000; or (i) if any debt securities are issued at an original issue discount, such greater principal amount at maturity as shall result in an aggregate initial offering price equal to the amount to be registered or (ii) if any securities are issued in an amount denominated in a foreign currency, foreign currency units or composite currency, then such amount as shall result in an aggregate initial offering price equivalent thereto in United States dollars at the time of initial offering.</w:t>
      </w:r>
    </w:p>
    <w:p>
      <w:pPr>
        <w:spacing w:after="0" w:line="194"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estimated the amount to be registered and the proposed maximum offering price solely for the purpose of calculating the registration fee pursuant to Rule 457(o). The amount and price are exclusive of accrued interest, if any, on the debt securities. The amount to be registered and proposed maximum aggregate offering price are not specified as to each class of security pursuant to General Instruction II.D. of Form S-3 under the Securities Act.</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any securities that may be registered hereunder, we are also registering an indeterminate number of shares of common stock or preferred stock as may be issued upon conversion, exercise or exchange of the securities issued directly hereunder.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warrants to purchase common stock, warrants to purchase preferred stock and warrants to purchase debt securities.</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Will represent an interest in any combination of common stock, preferred stock, debt securities, or warrants, which may or may not be separable from one another.</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securities registered hereunder may be sold separately, or as units with other securities registered hereby. The proposed maximum offering price per unit will be determined by us in connection with the issuance of the securities. In no event will the aggregate offering price of all securities issued from time to time pursuant to this Registration Statement exceed $125,000,000 or the equivalent thereof in one or more foreign currencies, foreign currency units or composite currencies.</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25"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July 2, 2020, the registrant filed a registration statement on Form S-3 (File No. 333-239669), registering the issuance of $100,000,000 of securities of the registrant (the “Prior Registration Statement”). The Prior Registration Statement was declared effective on July 13, 2020. The Registrant has determined that $24,400,000 of securities previously registered remain unsold under the Prior S-3 Registration Statement (the “Unsold Securities”). Pursuant to Rule 457(p) under the Securities Act, the registration fee applicable to the securities registered hereby in the amount of $13,638 is offset by $3,167 in registration fees previously paid by the registrant with respect to the Unsold Securities. Accordingly, a registration fee of $10,471 is being paid at this time.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SEPTEMBER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3880" w:hanging="160"/>
        <w:spacing w:after="0"/>
        <w:tabs>
          <w:tab w:leader="none" w:pos="3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“HROW.” On September 2, 2021, the closing price of our common stock on the Nasdaq Global Market was $10.36 per share.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of this prospectus, as well as the “Risk Factors” incorporated by reference herein from our most recent Annual Report on Form 10-K, our Quarterly Reports on Form 10-Q and other reports and information that we file with the Securities and Exchange Commission, for information you should consider before investing in our securities.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This prospectus is dated 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00" w:type="dxa"/>
            <w:vAlign w:val="bottom"/>
            <w:gridSpan w:val="2"/>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100" w:type="dxa"/>
            <w:vAlign w:val="bottom"/>
            <w:tcBorders>
              <w:top w:val="single" w:sz="8" w:color="CCEEFF"/>
              <w:bottom w:val="single" w:sz="8" w:color="0000EE"/>
            </w:tcBorders>
            <w:gridSpan w:val="7"/>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SUMMARY</w:t>
              </w:r>
            </w:hyperlink>
          </w:p>
        </w:tc>
        <w:tc>
          <w:tcPr>
            <w:tcW w:w="8020" w:type="dxa"/>
            <w:vAlign w:val="bottom"/>
            <w:tcBorders>
              <w:top w:val="single" w:sz="8" w:color="CCEEFF"/>
              <w:bottom w:val="single" w:sz="8" w:color="CCEEFF"/>
            </w:tcBorders>
            <w:gridSpan w:val="8"/>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120" w:type="dxa"/>
            <w:vAlign w:val="bottom"/>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FORWARD-LOOKING STATEMENTS</w:t>
              </w:r>
            </w:hyperlink>
          </w:p>
        </w:tc>
        <w:tc>
          <w:tcPr>
            <w:tcW w:w="718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120" w:type="dxa"/>
            <w:vAlign w:val="bottom"/>
            <w:gridSpan w:val="15"/>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DILUTION</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120" w:type="dxa"/>
            <w:vAlign w:val="bottom"/>
            <w:gridSpan w:val="15"/>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DIVIDEND POLICY</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DESCRIPTION OF CAPITAL STOCK</w:t>
              </w:r>
            </w:hyperlink>
          </w:p>
        </w:tc>
        <w:tc>
          <w:tcPr>
            <w:tcW w:w="724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120" w:type="dxa"/>
            <w:vAlign w:val="bottom"/>
            <w:gridSpan w:val="1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THE DEPOSITARY SHARES</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THE WARRANTS</w:t>
              </w:r>
            </w:hyperlink>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UNITS</w:t>
              </w:r>
            </w:hyperlink>
          </w:p>
        </w:tc>
        <w:tc>
          <w:tcPr>
            <w:tcW w:w="7240" w:type="dxa"/>
            <w:vAlign w:val="bottom"/>
            <w:tcBorders>
              <w:top w:val="single" w:sz="8" w:color="CCEEFF"/>
            </w:tcBorders>
            <w:gridSpan w:val="6"/>
          </w:tcPr>
          <w:p>
            <w:pPr>
              <w:spacing w:after="0"/>
              <w:rPr>
                <w:sz w:val="15"/>
                <w:szCs w:val="15"/>
                <w:color w:val="auto"/>
              </w:rPr>
            </w:pPr>
          </w:p>
        </w:tc>
        <w:tc>
          <w:tcPr>
            <w:tcW w:w="11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THE DEBT SECURITIES</w:t>
              </w:r>
            </w:hyperlink>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2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PLAN OF DISTRIBUTION</w:t>
              </w:r>
            </w:hyperlink>
          </w:p>
        </w:tc>
        <w:tc>
          <w:tcPr>
            <w:tcW w:w="6700" w:type="dxa"/>
            <w:vAlign w:val="bottom"/>
            <w:tcBorders>
              <w:top w:val="single" w:sz="8" w:color="CCEEFF"/>
            </w:tcBorders>
            <w:gridSpan w:val="4"/>
          </w:tcPr>
          <w:p>
            <w:pPr>
              <w:spacing w:after="0"/>
              <w:rPr>
                <w:sz w:val="15"/>
                <w:szCs w:val="15"/>
                <w:color w:val="auto"/>
              </w:rPr>
            </w:pPr>
          </w:p>
        </w:tc>
        <w:tc>
          <w:tcPr>
            <w:tcW w:w="11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866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15"/>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INCORPORATION OF CERTAIN DOCUMENTS BY REFERENCE</w:t>
              </w:r>
            </w:hyperlink>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WHERE YOU CAN FIND MORE INFORMATION</w:t>
              </w:r>
            </w:hyperlink>
          </w:p>
        </w:tc>
        <w:tc>
          <w:tcPr>
            <w:tcW w:w="506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$125,000,000.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750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t>PROSPECTUS SUMMARY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specialize in the development, production and sale of innovative medications that offer unique competitive advantages and serve unmet needs in the marketplace through our subsidiaries and deconsolidated companies. We own and operate one of the nation’s leading ophthalmic pharmaceutical businesses, ImprimisRx. In addition to wholly owning ImprimisRx, we also have non-controlling equity positions in Eton Pharmaceuticals, Inc., or Eton, Surface Ophthalmics, Inc., or Surface, and Melt Pharmaceuticals, Inc., or Melt, all companies that began as our subsidiaries. We also recently launched a new business called Visionology.</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ImprimisRx is our ophthalmic focused prescription pharmaceutical business. We offer to over 10,000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U.S. Food and Drug Administration, or FDA, guidance documents, in our FDA-registered outsourcing facility located in New Jersey.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ownership interests in Eton, Surface and Melt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or NDA, where at least some of the information required for approval comes from studies not conducted by or for the applicant and for which the applicant has not obtained a right of reference. We expect any new subsidiaries to be focused on eye care.</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Prior to 2020, we incurred significant operating losses and negative cash flows from operations since July 24, 1998 (inception). As of June 30, 2021, we had an accumulated deficit of approximately $79.7 million. Our current projections indicate that we will have operating income and/or net income during 2021; however, these projections may not be correct and our plans could change. Also, we could incur increasing operating losses in the foreseeable future for our commercialization activities, research and development and our pharmaceutical compounding business which would impact net income. The accounting for equity investments with readily determinable fair values require those investments to be measured at fair market value, which may cause our earnings (losses) to become volatile as the stock prices of those equity investments fluctuate. Although we have been generating revenue from our pharmaceutical compounding operations, our ability to generate the revenues necessary to achieve profitability will depend on many factors.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6064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064885"/>
                    </a:xfrm>
                    <a:prstGeom prst="rect">
                      <a:avLst/>
                    </a:prstGeom>
                    <a:noFill/>
                  </pic:spPr>
                </pic:pic>
              </a:graphicData>
            </a:graphic>
          </wp:anchor>
        </w:drawing>
        <w:t>Corporate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Arial" w:cs="Arial" w:eastAsia="Arial" w:hAnsi="Arial"/>
          <w:sz w:val="18"/>
          <w:szCs w:val="18"/>
          <w:i w:val="1"/>
          <w:iCs w:val="1"/>
          <w:color w:val="auto"/>
        </w:rPr>
        <w:t>harrowinc.com</w:t>
      </w:r>
      <w:r>
        <w:rPr>
          <w:rFonts w:ascii="Arial" w:cs="Arial" w:eastAsia="Arial" w:hAnsi="Arial"/>
          <w:sz w:val="18"/>
          <w:szCs w:val="18"/>
          <w:color w:val="auto"/>
        </w:rPr>
        <w:t>. Information contained on our website is not deemed part of this prospectus and is not incorporated in this prospectus or any other document that we file with the SEC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offer up to $125.0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3458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3458845"/>
                    </a:xfrm>
                    <a:prstGeom prst="rect">
                      <a:avLst/>
                    </a:prstGeom>
                    <a:noFill/>
                  </pic:spPr>
                </pic:pic>
              </a:graphicData>
            </a:graphic>
          </wp:anchor>
        </w:drawing>
        <w:t>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Reports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2020 and in our Quarterly Reports on Form 10-Q for the three months ended March 31, 2021 and six months ended June 30, 2021, which are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of the increase in such net tangible book value per share attributable to the cash payments made by purchasers in the offering;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products,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August 27, 2021 there were approximately 87 stockholders of record (excluding an indeterminable number of stockholders whose shares are held in street or “nominee” name) of our common stock. In addition, as of June 30, 2021, there were outstanding (i) options to acquire 3,050,475 shares of our common stock with a weighted average exercise price of $5.50 per share, (ii) warrants to purchase 373,847 shares of common stock with a weighted average exercise price of $2.08 per share, (iii) 697,076 unvested restricted stock units, and (iv) 235,973 vested restricted stock units for which delivery of the shares had been deferred.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5, 2021, we issued and sold an aggregate of 440,000 shares of Series B Cumulative Preferred Stock, par value $0.001 per share and liquidation preference of $25.00 per share (the “Series B Preferred Stock”), to B. Riley Securities, Inc. On June 17, 2021, we redeemed all of the outstanding shares of Series B Preferred Stock. As of the date of this prospectus, no shares of preferred stock are outstanding and we currently have no plan to issue any shares of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Liability and Indemnification of Directors and Officers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Transfer Agent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“HROW”. The transfer agent and registrar for our common stock is Action Stock Transfer Corporation, 2469 E. Fort Union Blvd., Suite 214, Salt Lake City, UT 84121.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 distributed to holders of depositary shares will be reduced by any amounts required to be withheld by us or the depositary on account of taxes or other governmental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jc w:val="right"/>
        <w:ind w:left="5580" w:right="5520" w:hanging="4924"/>
        <w:spacing w:after="0" w:line="623" w:lineRule="auto"/>
        <w:tabs>
          <w:tab w:leader="none" w:pos="981"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withdrawals of preferred stock by owners of depositary shares.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designation and terms of the debt securities, including any conversion rights, purchasable upon exercise of the debt warrants;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applicable, the date from and after which the warrants and any securities issued with the warrants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200" w:hanging="4"/>
        <w:spacing w:after="0" w:line="500" w:lineRule="auto"/>
        <w:tabs>
          <w:tab w:leader="none" w:pos="98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UNITS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the securities comprising the units;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units will be issued fully registered or in global form;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April, May and June, 2021, we completed the sale of an aggregate principal amount of $75,000,000 unsecured senior notes in public offerings, which are all treated as a single series (collectively, the “Senior Notes”). The Senior Notes were issued pursuant to that certain Indenture (the “Base Indenture”) and that certain First Supplemental Indenture (the “First Supplemental Indenture” and, together with the Base Indenture, the “Indenture”) each dated April 20, 2021, between the Company and U.S. Bank National Association, as trustee (the “Trustee”). The Senior Notes bear interest at the rate of 8.625% per annum and mature on April 30, 2026. Interest on the Senior Notes is payable quarterly in arrears on January 31, April 30, July 31 and October 31 of each year, commencing on July 31, 2021. The Senior Notes are listed on the NASDAQ Global Market under the symbol “HROWL.”</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Notes are senior unsecured obligations of the Company and rank equally in right of payment with all of the Company’s other existing and future senior unsecured and unsubordinated indebtedness. The Senior Notes are effectively subordinated in right of payment to all of the Company’s existing and future secured indebtedness and structurally subordinated to all existing and future indebtedness of the Company’s subsidiaries, including trade payables.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February 1, 2026, the Company may, at its option, redeem the Senior Notes, in whole at any time or in part from time to time, at a redemption price equal to 100% of the principal amount of the Senior Notes to be redeemed, plus a make-whole amount that is further described in the First Supplemental Indenture, if any, plus accrued and unpaid interest to, but excluding, the date of redemption. The Company may redeem the Senior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Senior Notes.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is incorporated by reference into the registration statement of which this prospectus is a part.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debt securities of any series may be represented, in whole or in part, by one or more global certificates. Each global certificate will:</w:t>
      </w:r>
    </w:p>
    <w:p>
      <w:pPr>
        <w:spacing w:after="0" w:line="23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ind w:firstLine="648"/>
        <w:spacing w:after="0" w:line="263"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wholly owned subsidiary of us) or sell, transfer, lease, convey or otherwise dispose of all or substantially all of our property to, any person (other than a subsidiary of us), unless:</w:t>
      </w:r>
    </w:p>
    <w:p>
      <w:pPr>
        <w:spacing w:after="0" w:line="184"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shall be the surviving person, or the successor entity, if any, is a U.S. corporation, limited liability company, partnership, trust or other business entity;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successor entity (if other than the Company) expressly assumes our obligations on the debt securities and under the indentures;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the transaction, no default or event of default shall have occurred and be continuing;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firstLine="648"/>
        <w:spacing w:after="0" w:line="301"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130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debt securities of that series;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8"/>
          <w:szCs w:val="18"/>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be subject to U.S. federal income tax differently than if we did not make the election and instead paid the amounts due on the debt securities as and when due.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right="3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ind w:firstLine="648"/>
        <w:spacing w:after="0" w:line="263"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ind w:left="980" w:hanging="324"/>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5" w:lineRule="exact"/>
        <w:rPr>
          <w:sz w:val="20"/>
          <w:szCs w:val="20"/>
          <w:color w:val="auto"/>
        </w:rPr>
      </w:pPr>
    </w:p>
    <w:p>
      <w:pPr>
        <w:jc w:val="both"/>
        <w:ind w:left="980" w:hanging="324"/>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KMJ Corbin &amp; Company LLP, an independent registered public accounting firm, has audited our consolidated financial statements included in our Annual Report on Form 10-K for the year ended December 31, 2020, as set forth in its report, which is incorporated by reference in this prospectus and elsewhere in the registration statement. Our consolidated financial statements are incorporated by reference in reliance upon the report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7"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2020 filed with the SEC on March 8, 2021;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amended, filed with the SEC on April 23, 2021;</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2021 and June 30, 2021, filed with the SEC on May 11, 2021 and August 10, 2021, respectively;</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21, 2021, January 27, 2021, February 4, 2021, February 9, 2021, April 5, 2021, April 8, 2021, April 12, 2021, April 20, 2021, May 5, 2021, June 7, 2021, June 17, 2021, July 21, 2021, July 27, 2021, August 18, 2021, August 23, 2021 and September 2, 2021;</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February 7, 2013, and any amendments or reports filed for the purpose of updating such description;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description of our 8.625% Senior Notes due 2026 contained in our Registration Statement on Form 8-A filed with the SEC on April 20, 2021 (File No. 001-35814), pursuant to Section 12(b) of the Exchange Act, including any amendment or report filed for the purpose of updating such description.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(615) 733-4730.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aggregate estimated (other than the registration fee) costs and expenses payable by Harrow in connection with a distribution of securities registered hereby:</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520" w:type="dxa"/>
            <w:vAlign w:val="bottom"/>
            <w:gridSpan w:val="2"/>
            <w:shd w:val="clear" w:color="auto" w:fill="CCEEFF"/>
          </w:tcPr>
          <w:p>
            <w:pPr>
              <w:jc w:val="right"/>
              <w:ind w:right="389"/>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13,637.50</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6"/>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7200" w:type="dxa"/>
            <w:vAlign w:val="bottom"/>
          </w:tcPr>
          <w:p>
            <w:pPr>
              <w:ind w:left="180"/>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16802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8021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right="20" w:hanging="4"/>
        <w:spacing w:after="0" w:line="277" w:lineRule="auto"/>
        <w:tabs>
          <w:tab w:leader="none" w:pos="9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applicable prospectus supplement will set forth the estimated aggregate amount of expenses payable with respect to any offering of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Certificate of Incorporation contains provisions that eliminate, to the maximum extent permitted by the General Corporation Law of the State of Delaware, the personal liability of directors and executive officers for monetary damages for breach of their fiduciary duties as a director or officer. Our Certificate of Incorporation and Bylaws provide that we shall indemnify our directors and executive officers and may indemnify our employees and other agents to the fullest extent permitted by the General Corporation Law of the State of Delaware.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indemnification provisions contained in Harrow’s charter documents, Harrow generally enters into separate indemnification agreements with Harrow’s directors and officers. These agreements require Harrow, among other things, to indemnify the director or officer against specified expenses and liabilities, such as attorneys’ fees, judgments, fines and settlements, paid by the individual in connection with any action, suit or proceeding arising out of the individual’s status or service as Harrow’s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Harrow.</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Item 17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gridSpan w:val="12"/>
          </w:tcPr>
          <w:p>
            <w:pPr>
              <w:ind w:left="140"/>
              <w:spacing w:after="0"/>
              <w:rPr>
                <w:sz w:val="20"/>
                <w:szCs w:val="20"/>
                <w:color w:val="auto"/>
              </w:rPr>
            </w:pPr>
            <w:r>
              <w:rPr>
                <w:rFonts w:ascii="Arial" w:cs="Arial" w:eastAsia="Arial" w:hAnsi="Arial"/>
                <w:sz w:val="18"/>
                <w:szCs w:val="18"/>
                <w:b w:val="1"/>
                <w:bCs w:val="1"/>
                <w:color w:val="auto"/>
              </w:rPr>
              <w:t>Exhibit Title</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Arial" w:cs="Arial" w:eastAsia="Arial" w:hAnsi="Arial"/>
                <w:sz w:val="18"/>
                <w:szCs w:val="18"/>
                <w:color w:val="auto"/>
              </w:rPr>
              <w:t>Form of Underwriting Agreement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5"/>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Amended and Restated Certificate of Incorporation, effective September 10, 2014 (incorporated herein by reference to Exhibit 3.1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Annual Report on Form 10-K of the Company for the year ended December 31, 2014 filed with the SEC on March 12, 2015).</w:t>
              </w:r>
            </w:hyperlink>
          </w:p>
        </w:tc>
        <w:tc>
          <w:tcPr>
            <w:tcW w:w="1080" w:type="dxa"/>
            <w:vAlign w:val="bottom"/>
            <w:gridSpan w:val="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5"/>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Amendment to Amended and Restated Certificate of Incorporation, filed July 2, 2018 (incorporated herein by reference to Exhibit 3.1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Current Report on Form 8-K of the Company filed with the SEC on July 2, 2018).</w:t>
              </w:r>
            </w:hyperlink>
          </w:p>
        </w:tc>
        <w:tc>
          <w:tcPr>
            <w:tcW w:w="4220" w:type="dxa"/>
            <w:vAlign w:val="bottom"/>
            <w:gridSpan w:val="7"/>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5"/>
          </w:tcPr>
          <w:p>
            <w:pPr>
              <w:spacing w:after="0"/>
              <w:rPr>
                <w:rFonts w:ascii="Arial" w:cs="Arial" w:eastAsia="Arial" w:hAnsi="Arial"/>
                <w:sz w:val="18"/>
                <w:szCs w:val="18"/>
                <w:color w:val="0000EE"/>
                <w:w w:val="94"/>
              </w:rPr>
            </w:pPr>
            <w:hyperlink r:id="rId58">
              <w:r>
                <w:rPr>
                  <w:rFonts w:ascii="Arial" w:cs="Arial" w:eastAsia="Arial" w:hAnsi="Arial"/>
                  <w:sz w:val="18"/>
                  <w:szCs w:val="18"/>
                  <w:color w:val="0000EE"/>
                  <w:w w:val="94"/>
                </w:rPr>
                <w:t>Amendment to Amended and Restated Certificate of Incorporation, filed as of December 27, 2018 (incorporated herein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Exhibit 3.1 to the Current Report on Form 8-K of the Company filed with the SEC on December 31, 2018).</w:t>
              </w:r>
            </w:hyperlink>
          </w:p>
        </w:tc>
        <w:tc>
          <w:tcPr>
            <w:tcW w:w="2400" w:type="dxa"/>
            <w:vAlign w:val="bottom"/>
            <w:gridSpan w:val="6"/>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5"/>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Certificate of Designation of Series A Convertible Preferred Stock (incorporated herein by reference to Exhibit 3.1 to the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Form 8-K of the Company filed with the SEC on December 20, 2011).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5"/>
          </w:tcPr>
          <w:p>
            <w:pPr>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Certificate of Designation of Series B Cumulative Preferred Stock (incorporated herein by reference to Exhibit 3.1 to the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Form 8-K of the Company filed with the SEC on May 5,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5"/>
          </w:tcPr>
          <w:p>
            <w:pPr>
              <w:spacing w:after="0"/>
              <w:rPr>
                <w:rFonts w:ascii="Arial" w:cs="Arial" w:eastAsia="Arial" w:hAnsi="Arial"/>
                <w:sz w:val="18"/>
                <w:szCs w:val="18"/>
                <w:color w:val="0000EE"/>
                <w:w w:val="92"/>
              </w:rPr>
            </w:pPr>
            <w:hyperlink r:id="rId61">
              <w:r>
                <w:rPr>
                  <w:rFonts w:ascii="Arial" w:cs="Arial" w:eastAsia="Arial" w:hAnsi="Arial"/>
                  <w:sz w:val="18"/>
                  <w:szCs w:val="18"/>
                  <w:color w:val="0000EE"/>
                  <w:w w:val="92"/>
                </w:rPr>
                <w:t>Amended and Restated Bylaws of Imprimis Pharmaceuticals, Inc. (incorporated herein by reference to Exhibit 3.2 to the Annual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Form 10-K of Imprimis Pharmaceuticals, Inc. for the year ended December 31, 2013 filed with the SEC on March 28, 2014).</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5"/>
          </w:tcPr>
          <w:p>
            <w:pPr>
              <w:spacing w:after="0"/>
              <w:rPr>
                <w:rFonts w:ascii="Arial" w:cs="Arial" w:eastAsia="Arial" w:hAnsi="Arial"/>
                <w:sz w:val="18"/>
                <w:szCs w:val="18"/>
                <w:color w:val="0000EE"/>
                <w:w w:val="92"/>
              </w:rPr>
            </w:pPr>
            <w:hyperlink r:id="rId62">
              <w:r>
                <w:rPr>
                  <w:rFonts w:ascii="Arial" w:cs="Arial" w:eastAsia="Arial" w:hAnsi="Arial"/>
                  <w:sz w:val="18"/>
                  <w:szCs w:val="18"/>
                  <w:color w:val="0000EE"/>
                  <w:w w:val="92"/>
                </w:rPr>
                <w:t>Form of Senior Indenture (incorporated herein by reference to Exhibit 4.1 to the Registration Statement on Form S-3 of the Company filed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with the SEC on July 2, 2020, Registration No. 333-239669).</w:t>
              </w:r>
            </w:hyperlink>
          </w:p>
        </w:tc>
        <w:tc>
          <w:tcPr>
            <w:tcW w:w="5720" w:type="dxa"/>
            <w:vAlign w:val="bottom"/>
            <w:gridSpan w:val="1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Form of Subordinated Indenture (incorporated herein by reference to Exhibit 4.2 to the Registration Statement on Form S-3 of the Company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filed with the SEC on July 2, 2020, Registration No. 333-239669).</w:t>
              </w:r>
            </w:hyperlink>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396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r:id="rId62">
              <w:r>
                <w:rPr>
                  <w:rFonts w:ascii="Arial" w:cs="Arial" w:eastAsia="Arial" w:hAnsi="Arial"/>
                  <w:sz w:val="18"/>
                  <w:szCs w:val="18"/>
                  <w:color w:val="0000EE"/>
                  <w:w w:val="92"/>
                </w:rPr>
                <w:t>Form of Senior Debt Security (included in Exhibit 4.1)</w:t>
              </w:r>
            </w:hyperlink>
          </w:p>
        </w:tc>
        <w:tc>
          <w:tcPr>
            <w:tcW w:w="820" w:type="dxa"/>
            <w:vAlign w:val="bottom"/>
            <w:tcBorders>
              <w:top w:val="single" w:sz="8" w:color="0000EE"/>
            </w:tcBorders>
            <w:gridSpan w:val="5"/>
          </w:tcPr>
          <w:p>
            <w:pPr>
              <w:spacing w:after="0"/>
              <w:rPr>
                <w:sz w:val="24"/>
                <w:szCs w:val="24"/>
                <w:color w:val="auto"/>
              </w:rPr>
            </w:pPr>
          </w:p>
        </w:tc>
        <w:tc>
          <w:tcPr>
            <w:tcW w:w="5360" w:type="dxa"/>
            <w:vAlign w:val="bottom"/>
            <w:gridSpan w:val="9"/>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r:id="rId63">
              <w:r>
                <w:rPr>
                  <w:rFonts w:ascii="Arial" w:cs="Arial" w:eastAsia="Arial" w:hAnsi="Arial"/>
                  <w:sz w:val="18"/>
                  <w:szCs w:val="18"/>
                  <w:color w:val="0000EE"/>
                </w:rPr>
                <w:t>Form of Subordinated Debt Security (included in Exhibit 4.2)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5"/>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Indenture, dated as of April 20, 2021, by and between the Company and U.S. Bank National Association, as Trustee (incorporated herein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reference to Exhibit 4.1 to the Current Report on Form 8-K of the Company filed with the SEC on April 20, 2021).</w:t>
              </w:r>
            </w:hyperlink>
          </w:p>
        </w:tc>
        <w:tc>
          <w:tcPr>
            <w:tcW w:w="1860" w:type="dxa"/>
            <w:vAlign w:val="bottom"/>
            <w:gridSpan w:val="5"/>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5"/>
          </w:tcPr>
          <w:p>
            <w:pPr>
              <w:spacing w:after="0"/>
              <w:rPr>
                <w:rFonts w:ascii="Arial" w:cs="Arial" w:eastAsia="Arial" w:hAnsi="Arial"/>
                <w:sz w:val="18"/>
                <w:szCs w:val="18"/>
                <w:color w:val="0000EE"/>
                <w:w w:val="93"/>
              </w:rPr>
            </w:pPr>
            <w:hyperlink r:id="rId65">
              <w:r>
                <w:rPr>
                  <w:rFonts w:ascii="Arial" w:cs="Arial" w:eastAsia="Arial" w:hAnsi="Arial"/>
                  <w:sz w:val="18"/>
                  <w:szCs w:val="18"/>
                  <w:color w:val="0000EE"/>
                  <w:w w:val="93"/>
                </w:rPr>
                <w:t>First Supplemental Indenture, dated as of April 20, 2021, by and between the Company and U.S. Bank National Association, as Trustee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(incorporated herein by reference to Exhibit 4.2 to the Current Report on Form 8-K of the Company filed with the SEC on April 20, 2021).</w:t>
              </w:r>
            </w:hyperlink>
          </w:p>
        </w:tc>
        <w:tc>
          <w:tcPr>
            <w:tcW w:w="120" w:type="dxa"/>
            <w:vAlign w:val="bottom"/>
            <w:gridSpan w:val="2"/>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4620" w:type="dxa"/>
            <w:vAlign w:val="bottom"/>
            <w:tcBorders>
              <w:bottom w:val="single" w:sz="8" w:color="0000EE"/>
            </w:tcBorders>
            <w:gridSpan w:val="5"/>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Form of 8.625% Senior Note due 2026 (included in Exhibit 4.6)</w:t>
              </w:r>
            </w:hyperlink>
          </w:p>
        </w:tc>
        <w:tc>
          <w:tcPr>
            <w:tcW w:w="5520" w:type="dxa"/>
            <w:vAlign w:val="bottom"/>
            <w:gridSpan w:val="10"/>
          </w:tcPr>
          <w:p>
            <w:pPr>
              <w:spacing w:after="0"/>
              <w:rPr>
                <w:sz w:val="24"/>
                <w:szCs w:val="24"/>
                <w:color w:val="auto"/>
              </w:rPr>
            </w:pPr>
          </w:p>
        </w:tc>
      </w:tr>
      <w:tr>
        <w:trPr>
          <w:trHeight w:val="453"/>
        </w:trPr>
        <w:tc>
          <w:tcPr>
            <w:tcW w:w="980" w:type="dxa"/>
            <w:vAlign w:val="bottom"/>
          </w:tcPr>
          <w:p>
            <w:pPr>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Arial" w:cs="Arial" w:eastAsia="Arial" w:hAnsi="Arial"/>
                <w:sz w:val="18"/>
                <w:szCs w:val="18"/>
                <w:color w:val="auto"/>
              </w:rPr>
              <w:t>Form of Certificate of Designation</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0140" w:type="dxa"/>
            <w:vAlign w:val="bottom"/>
            <w:gridSpan w:val="15"/>
          </w:tcPr>
          <w:p>
            <w:pPr>
              <w:spacing w:after="0"/>
              <w:rPr>
                <w:sz w:val="20"/>
                <w:szCs w:val="20"/>
                <w:color w:val="auto"/>
              </w:rPr>
            </w:pPr>
            <w:r>
              <w:rPr>
                <w:rFonts w:ascii="Arial" w:cs="Arial" w:eastAsia="Arial" w:hAnsi="Arial"/>
                <w:sz w:val="18"/>
                <w:szCs w:val="18"/>
                <w:color w:val="auto"/>
              </w:rPr>
              <w:t>Form of Preferred Stock Certificate</w:t>
            </w:r>
          </w:p>
        </w:tc>
      </w:tr>
      <w:tr>
        <w:trPr>
          <w:trHeight w:val="466"/>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14"/>
          </w:tcPr>
          <w:p>
            <w:pPr>
              <w:ind w:left="42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240"/>
          </w:cols>
          <w:pgMar w:left="320" w:top="661"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4.10*</w:t>
            </w: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Deposit Agreement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4.11*</w:t>
            </w: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Depositary Receipt (included in Exhibit 4.10)</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4.12*</w:t>
            </w: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4.13*</w:t>
            </w: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Warrant Certificate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4.14*</w:t>
            </w: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Unit Agreement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4.15*</w:t>
            </w:r>
          </w:p>
        </w:tc>
        <w:tc>
          <w:tcPr>
            <w:tcW w:w="10140" w:type="dxa"/>
            <w:vAlign w:val="bottom"/>
            <w:gridSpan w:val="6"/>
          </w:tcPr>
          <w:p>
            <w:pPr>
              <w:spacing w:after="0"/>
              <w:rPr>
                <w:sz w:val="20"/>
                <w:szCs w:val="20"/>
                <w:color w:val="auto"/>
              </w:rPr>
            </w:pPr>
            <w:r>
              <w:rPr>
                <w:rFonts w:ascii="Arial" w:cs="Arial" w:eastAsia="Arial" w:hAnsi="Arial"/>
                <w:sz w:val="18"/>
                <w:szCs w:val="18"/>
                <w:color w:val="auto"/>
              </w:rPr>
              <w:t>Form of Unit</w:t>
            </w:r>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4.16</w:t>
            </w:r>
          </w:p>
        </w:tc>
        <w:tc>
          <w:tcPr>
            <w:tcW w:w="10140" w:type="dxa"/>
            <w:vAlign w:val="bottom"/>
            <w:tcBorders>
              <w:bottom w:val="single" w:sz="8" w:color="0000EE"/>
            </w:tcBorders>
            <w:gridSpan w:val="6"/>
          </w:tcPr>
          <w:p>
            <w:pPr>
              <w:spacing w:after="0"/>
              <w:rPr>
                <w:rFonts w:ascii="Arial" w:cs="Arial" w:eastAsia="Arial" w:hAnsi="Arial"/>
                <w:sz w:val="18"/>
                <w:szCs w:val="18"/>
                <w:color w:val="0000EE"/>
                <w:w w:val="97"/>
              </w:rPr>
            </w:pPr>
            <w:hyperlink r:id="rId66">
              <w:r>
                <w:rPr>
                  <w:rFonts w:ascii="Arial" w:cs="Arial" w:eastAsia="Arial" w:hAnsi="Arial"/>
                  <w:sz w:val="18"/>
                  <w:szCs w:val="18"/>
                  <w:color w:val="0000EE"/>
                  <w:w w:val="97"/>
                </w:rPr>
                <w:t>Description of the Company’s Securities (incorporated herein by reference to Exhibit 4.1 to the Annual Report on Form 10-K of the</w:t>
              </w:r>
            </w:hyperlink>
          </w:p>
        </w:tc>
      </w:tr>
      <w:tr>
        <w:trPr>
          <w:trHeight w:val="196"/>
        </w:trPr>
        <w:tc>
          <w:tcPr>
            <w:tcW w:w="1100" w:type="dxa"/>
            <w:vAlign w:val="bottom"/>
          </w:tcPr>
          <w:p>
            <w:pPr>
              <w:spacing w:after="0"/>
              <w:rPr>
                <w:sz w:val="17"/>
                <w:szCs w:val="17"/>
                <w:color w:val="auto"/>
              </w:rPr>
            </w:pPr>
          </w:p>
        </w:tc>
        <w:tc>
          <w:tcPr>
            <w:tcW w:w="6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Company for the year ended December 31, 2020 filed with the SEC on March 8, 2021).</w:t>
              </w:r>
            </w:hyperlink>
          </w:p>
        </w:tc>
        <w:tc>
          <w:tcPr>
            <w:tcW w:w="38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5.1**</w:t>
            </w:r>
          </w:p>
        </w:tc>
        <w:tc>
          <w:tcPr>
            <w:tcW w:w="1014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Opinion of Waller Lansden Dortch &amp; Davis, LLP</w:t>
              </w:r>
            </w:hyperlink>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23.1**</w:t>
            </w:r>
          </w:p>
        </w:tc>
        <w:tc>
          <w:tcPr>
            <w:tcW w:w="304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Consent of KMJ Corbin &amp; Company LLP</w:t>
              </w:r>
            </w:hyperlink>
          </w:p>
        </w:tc>
        <w:tc>
          <w:tcPr>
            <w:tcW w:w="520" w:type="dxa"/>
            <w:vAlign w:val="bottom"/>
            <w:tcBorders>
              <w:top w:val="single" w:sz="8" w:color="0000EE"/>
            </w:tcBorders>
          </w:tcPr>
          <w:p>
            <w:pPr>
              <w:spacing w:after="0"/>
              <w:rPr>
                <w:sz w:val="24"/>
                <w:szCs w:val="24"/>
                <w:color w:val="auto"/>
              </w:rPr>
            </w:pPr>
          </w:p>
        </w:tc>
        <w:tc>
          <w:tcPr>
            <w:tcW w:w="6580" w:type="dxa"/>
            <w:vAlign w:val="bottom"/>
            <w:gridSpan w:val="4"/>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23.2**</w:t>
            </w:r>
          </w:p>
        </w:tc>
        <w:tc>
          <w:tcPr>
            <w:tcW w:w="53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Consent of Waller Lansden Dortch &amp; Davis, LLP (included in Exhibit 5.1)</w:t>
              </w:r>
            </w:hyperlink>
          </w:p>
        </w:tc>
        <w:tc>
          <w:tcPr>
            <w:tcW w:w="4760" w:type="dxa"/>
            <w:vAlign w:val="bottom"/>
            <w:gridSpan w:val="2"/>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24.1**</w:t>
            </w:r>
          </w:p>
        </w:tc>
        <w:tc>
          <w:tcPr>
            <w:tcW w:w="10140" w:type="dxa"/>
            <w:vAlign w:val="bottom"/>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Power of Attorney (included on the signature page)</w:t>
              </w:r>
            </w:hyperlink>
          </w:p>
        </w:tc>
      </w:tr>
      <w:tr>
        <w:trPr>
          <w:trHeight w:val="20"/>
        </w:trPr>
        <w:tc>
          <w:tcPr>
            <w:tcW w:w="110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25.1*</w:t>
            </w:r>
          </w:p>
        </w:tc>
        <w:tc>
          <w:tcPr>
            <w:tcW w:w="10140" w:type="dxa"/>
            <w:vAlign w:val="bottom"/>
            <w:gridSpan w:val="6"/>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25.2*</w:t>
            </w:r>
          </w:p>
        </w:tc>
        <w:tc>
          <w:tcPr>
            <w:tcW w:w="10140" w:type="dxa"/>
            <w:vAlign w:val="bottom"/>
            <w:gridSpan w:val="6"/>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660" w:right="20" w:hanging="652"/>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 to:</w:t>
      </w:r>
    </w:p>
    <w:p>
      <w:pPr>
        <w:spacing w:after="0" w:line="236" w:lineRule="exact"/>
        <w:rPr>
          <w:rFonts w:ascii="Arial" w:cs="Arial" w:eastAsia="Arial" w:hAnsi="Arial"/>
          <w:sz w:val="17"/>
          <w:szCs w:val="17"/>
          <w:color w:val="auto"/>
        </w:rPr>
      </w:pPr>
    </w:p>
    <w:p>
      <w:pPr>
        <w:ind w:left="1960" w:hanging="656"/>
        <w:spacing w:after="0"/>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960" w:hanging="656"/>
        <w:spacing w:after="0" w:line="254" w:lineRule="auto"/>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 and</w:t>
      </w:r>
    </w:p>
    <w:p>
      <w:pPr>
        <w:spacing w:after="0" w:line="191" w:lineRule="exact"/>
        <w:rPr>
          <w:rFonts w:ascii="Arial" w:cs="Arial" w:eastAsia="Arial" w:hAnsi="Arial"/>
          <w:sz w:val="18"/>
          <w:szCs w:val="18"/>
          <w:color w:val="auto"/>
        </w:rPr>
      </w:pPr>
    </w:p>
    <w:p>
      <w:pPr>
        <w:ind w:left="1960" w:right="20" w:hanging="656"/>
        <w:spacing w:after="0" w:line="277" w:lineRule="auto"/>
        <w:tabs>
          <w:tab w:leader="none" w:pos="19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the information required to be included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1960" w:hanging="656"/>
        <w:spacing w:after="0" w:line="287" w:lineRule="auto"/>
        <w:tabs>
          <w:tab w:leader="none" w:pos="19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both"/>
        <w:ind w:left="1300" w:hanging="644"/>
        <w:spacing w:after="0" w:line="275" w:lineRule="auto"/>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176" w:lineRule="exact"/>
        <w:rPr>
          <w:rFonts w:ascii="Arial" w:cs="Arial" w:eastAsia="Arial" w:hAnsi="Arial"/>
          <w:sz w:val="17"/>
          <w:szCs w:val="17"/>
          <w:color w:val="auto"/>
        </w:rPr>
      </w:pPr>
    </w:p>
    <w:p>
      <w:pPr>
        <w:ind w:left="1960" w:right="20" w:hanging="656"/>
        <w:spacing w:after="0" w:line="277"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5" w:lineRule="exact"/>
        <w:rPr>
          <w:rFonts w:ascii="Arial" w:cs="Arial" w:eastAsia="Arial" w:hAnsi="Arial"/>
          <w:sz w:val="16"/>
          <w:szCs w:val="16"/>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w:t>
      </w:r>
    </w:p>
    <w:p>
      <w:pPr>
        <w:ind w:left="920" w:hanging="264"/>
        <w:spacing w:after="0"/>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the Trust Indenture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Nashville, State of Tennessee, on September 3, 2021.</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Chairman of the Board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Mark L. Baum and Andrew R. Boll, and each of them, his true and lawful attorneys-in-fact and agents with full power of substitution, for him and in his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or by virtue hereof.</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stated.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39"/>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Chief Executive Officer and</w:t>
            </w:r>
          </w:p>
        </w:tc>
        <w:tc>
          <w:tcPr>
            <w:tcW w:w="2680" w:type="dxa"/>
            <w:vAlign w:val="bottom"/>
          </w:tcPr>
          <w:p>
            <w:pPr>
              <w:spacing w:after="0"/>
              <w:rPr>
                <w:sz w:val="20"/>
                <w:szCs w:val="20"/>
                <w:color w:val="auto"/>
              </w:rPr>
            </w:pPr>
            <w:r>
              <w:rPr>
                <w:rFonts w:ascii="Arial" w:cs="Arial" w:eastAsia="Arial" w:hAnsi="Arial"/>
                <w:sz w:val="18"/>
                <w:szCs w:val="18"/>
                <w:color w:val="auto"/>
              </w:rPr>
              <w:t>September 3, 2021</w:t>
            </w: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17"/>
                <w:szCs w:val="17"/>
                <w:color w:val="auto"/>
              </w:rPr>
            </w:pPr>
          </w:p>
        </w:tc>
        <w:tc>
          <w:tcPr>
            <w:tcW w:w="450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of Directors</w:t>
            </w:r>
          </w:p>
        </w:tc>
        <w:tc>
          <w:tcPr>
            <w:tcW w:w="2680" w:type="dxa"/>
            <w:vAlign w:val="bottom"/>
          </w:tcPr>
          <w:p>
            <w:pPr>
              <w:spacing w:after="0"/>
              <w:rPr>
                <w:sz w:val="17"/>
                <w:szCs w:val="17"/>
                <w:color w:val="auto"/>
              </w:rPr>
            </w:pPr>
          </w:p>
        </w:tc>
      </w:tr>
      <w:tr>
        <w:trPr>
          <w:trHeight w:val="230"/>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680" w:type="dxa"/>
            <w:vAlign w:val="bottom"/>
          </w:tcPr>
          <w:p>
            <w:pPr>
              <w:spacing w:after="0"/>
              <w:rPr>
                <w:sz w:val="20"/>
                <w:szCs w:val="20"/>
                <w:color w:val="auto"/>
              </w:rPr>
            </w:pPr>
          </w:p>
        </w:tc>
      </w:tr>
      <w:tr>
        <w:trPr>
          <w:trHeight w:val="439"/>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680" w:type="dxa"/>
            <w:vAlign w:val="bottom"/>
          </w:tcPr>
          <w:p>
            <w:pPr>
              <w:spacing w:after="0"/>
              <w:rPr>
                <w:sz w:val="20"/>
                <w:szCs w:val="20"/>
                <w:color w:val="auto"/>
              </w:rPr>
            </w:pPr>
            <w:r>
              <w:rPr>
                <w:rFonts w:ascii="Arial" w:cs="Arial" w:eastAsia="Arial" w:hAnsi="Arial"/>
                <w:sz w:val="18"/>
                <w:szCs w:val="18"/>
                <w:color w:val="auto"/>
              </w:rPr>
              <w:t>September 3, 2021</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Andrew R. Boll</w:t>
            </w:r>
          </w:p>
        </w:tc>
        <w:tc>
          <w:tcPr>
            <w:tcW w:w="240" w:type="dxa"/>
            <w:vAlign w:val="bottom"/>
          </w:tcPr>
          <w:p>
            <w:pPr>
              <w:spacing w:after="0"/>
              <w:rPr>
                <w:sz w:val="20"/>
                <w:szCs w:val="20"/>
                <w:color w:val="auto"/>
              </w:rPr>
            </w:pPr>
          </w:p>
        </w:tc>
        <w:tc>
          <w:tcPr>
            <w:tcW w:w="450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spacing w:after="0"/>
              <w:rPr>
                <w:sz w:val="20"/>
                <w:szCs w:val="20"/>
                <w:color w:val="auto"/>
              </w:rPr>
            </w:pPr>
            <w:r>
              <w:rPr>
                <w:rFonts w:ascii="Arial" w:cs="Arial" w:eastAsia="Arial" w:hAnsi="Arial"/>
                <w:sz w:val="18"/>
                <w:szCs w:val="18"/>
                <w:color w:val="auto"/>
              </w:rPr>
              <w:t>September 3, 2021</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Robert J. Kammer</w:t>
            </w: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spacing w:after="0"/>
              <w:rPr>
                <w:sz w:val="20"/>
                <w:szCs w:val="20"/>
                <w:color w:val="auto"/>
              </w:rPr>
            </w:pPr>
            <w:r>
              <w:rPr>
                <w:rFonts w:ascii="Arial" w:cs="Arial" w:eastAsia="Arial" w:hAnsi="Arial"/>
                <w:sz w:val="18"/>
                <w:szCs w:val="18"/>
                <w:color w:val="auto"/>
              </w:rPr>
              <w:t>September 3, 2021</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Richard L. Lindstrom</w:t>
            </w: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Teresa F. Sparks</w:t>
            </w:r>
          </w:p>
        </w:tc>
        <w:tc>
          <w:tcPr>
            <w:tcW w:w="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spacing w:after="0"/>
              <w:rPr>
                <w:sz w:val="20"/>
                <w:szCs w:val="20"/>
                <w:color w:val="auto"/>
              </w:rPr>
            </w:pPr>
            <w:r>
              <w:rPr>
                <w:rFonts w:ascii="Arial" w:cs="Arial" w:eastAsia="Arial" w:hAnsi="Arial"/>
                <w:sz w:val="18"/>
                <w:szCs w:val="18"/>
                <w:color w:val="auto"/>
              </w:rPr>
              <w:t>September 3, 2021</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Teresa F. Sparks</w:t>
            </w: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 Lawrence Van Horn</w:t>
            </w:r>
          </w:p>
        </w:tc>
        <w:tc>
          <w:tcPr>
            <w:tcW w:w="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80" w:type="dxa"/>
            <w:vAlign w:val="bottom"/>
          </w:tcPr>
          <w:p>
            <w:pPr>
              <w:spacing w:after="0"/>
              <w:rPr>
                <w:sz w:val="20"/>
                <w:szCs w:val="20"/>
                <w:color w:val="auto"/>
              </w:rPr>
            </w:pPr>
            <w:r>
              <w:rPr>
                <w:rFonts w:ascii="Arial" w:cs="Arial" w:eastAsia="Arial" w:hAnsi="Arial"/>
                <w:sz w:val="18"/>
                <w:szCs w:val="18"/>
                <w:color w:val="auto"/>
              </w:rPr>
              <w:t>September 3, 2021</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R. Lawrence Van Horn</w:t>
            </w:r>
          </w:p>
        </w:tc>
        <w:tc>
          <w:tcPr>
            <w:tcW w:w="2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25"/>
        </w:trPr>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5229225" cy="454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2292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 37205</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acted as special securities counsel to Harrow Health,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Registration Statement on Form S-3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to be filed by the Company with the Securities and Exchange Commission relating to the registration of up to $125,000,000 in aggregate amount of (i) shares of Common Stock, $0.001 par value (“</w:t>
      </w:r>
      <w:r>
        <w:rPr>
          <w:rFonts w:ascii="Arial" w:cs="Arial" w:eastAsia="Arial" w:hAnsi="Arial"/>
          <w:sz w:val="16"/>
          <w:szCs w:val="16"/>
          <w:u w:val="single" w:color="auto"/>
          <w:color w:val="auto"/>
        </w:rPr>
        <w:t>Common Shares</w:t>
      </w:r>
      <w:r>
        <w:rPr>
          <w:rFonts w:ascii="Arial" w:cs="Arial" w:eastAsia="Arial" w:hAnsi="Arial"/>
          <w:sz w:val="16"/>
          <w:szCs w:val="16"/>
          <w:color w:val="auto"/>
        </w:rPr>
        <w:t>”), (ii) shares of Preferred Stock, $0.001 par value (“</w:t>
      </w:r>
      <w:r>
        <w:rPr>
          <w:rFonts w:ascii="Arial" w:cs="Arial" w:eastAsia="Arial" w:hAnsi="Arial"/>
          <w:sz w:val="16"/>
          <w:szCs w:val="16"/>
          <w:u w:val="single" w:color="auto"/>
          <w:color w:val="auto"/>
        </w:rPr>
        <w:t>Preferred Shares</w:t>
      </w:r>
      <w:r>
        <w:rPr>
          <w:rFonts w:ascii="Arial" w:cs="Arial" w:eastAsia="Arial" w:hAnsi="Arial"/>
          <w:sz w:val="16"/>
          <w:szCs w:val="16"/>
          <w:color w:val="auto"/>
        </w:rPr>
        <w:t>”), (iii) debt securities (“</w:t>
      </w:r>
      <w:r>
        <w:rPr>
          <w:rFonts w:ascii="Arial" w:cs="Arial" w:eastAsia="Arial" w:hAnsi="Arial"/>
          <w:sz w:val="16"/>
          <w:szCs w:val="16"/>
          <w:u w:val="single" w:color="auto"/>
          <w:color w:val="auto"/>
        </w:rPr>
        <w:t>Debt Securities</w:t>
      </w:r>
      <w:r>
        <w:rPr>
          <w:rFonts w:ascii="Arial" w:cs="Arial" w:eastAsia="Arial" w:hAnsi="Arial"/>
          <w:sz w:val="16"/>
          <w:szCs w:val="16"/>
          <w:color w:val="auto"/>
        </w:rPr>
        <w:t>”), which may be either senior or subordinated and which may be convertible into or exchangeable for Common Shares or Preferred Shares, (iv) warrants to purchase any of the foregoing securities (“</w:t>
      </w:r>
      <w:r>
        <w:rPr>
          <w:rFonts w:ascii="Arial" w:cs="Arial" w:eastAsia="Arial" w:hAnsi="Arial"/>
          <w:sz w:val="16"/>
          <w:szCs w:val="16"/>
          <w:u w:val="single" w:color="auto"/>
          <w:color w:val="auto"/>
        </w:rPr>
        <w:t>Warrants</w:t>
      </w:r>
      <w:r>
        <w:rPr>
          <w:rFonts w:ascii="Arial" w:cs="Arial" w:eastAsia="Arial" w:hAnsi="Arial"/>
          <w:sz w:val="16"/>
          <w:szCs w:val="16"/>
          <w:color w:val="auto"/>
        </w:rPr>
        <w:t>”), (v) depositary shares representing fractional interests in the Preferred Shares (“</w:t>
      </w:r>
      <w:r>
        <w:rPr>
          <w:rFonts w:ascii="Arial" w:cs="Arial" w:eastAsia="Arial" w:hAnsi="Arial"/>
          <w:sz w:val="16"/>
          <w:szCs w:val="16"/>
          <w:u w:val="single" w:color="auto"/>
          <w:color w:val="auto"/>
        </w:rPr>
        <w:t>Depositary Shares</w:t>
      </w:r>
      <w:r>
        <w:rPr>
          <w:rFonts w:ascii="Arial" w:cs="Arial" w:eastAsia="Arial" w:hAnsi="Arial"/>
          <w:sz w:val="16"/>
          <w:szCs w:val="16"/>
          <w:color w:val="auto"/>
        </w:rPr>
        <w:t>”), and (vi) units, comprised of any combination of the foregoing securities, which may be separable from one another (“</w:t>
      </w:r>
      <w:r>
        <w:rPr>
          <w:rFonts w:ascii="Arial" w:cs="Arial" w:eastAsia="Arial" w:hAnsi="Arial"/>
          <w:sz w:val="16"/>
          <w:szCs w:val="16"/>
          <w:u w:val="single" w:color="auto"/>
          <w:color w:val="auto"/>
        </w:rPr>
        <w:t>Units</w:t>
      </w:r>
      <w:r>
        <w:rPr>
          <w:rFonts w:ascii="Arial" w:cs="Arial" w:eastAsia="Arial" w:hAnsi="Arial"/>
          <w:sz w:val="16"/>
          <w:szCs w:val="16"/>
          <w:color w:val="auto"/>
        </w:rPr>
        <w:t>” and, together with Depositary Shares, Warrants, Debt Securities, Preferred Shares and Common Shares, the “</w:t>
      </w:r>
      <w:r>
        <w:rPr>
          <w:rFonts w:ascii="Arial" w:cs="Arial" w:eastAsia="Arial" w:hAnsi="Arial"/>
          <w:sz w:val="16"/>
          <w:szCs w:val="16"/>
          <w:u w:val="single" w:color="auto"/>
          <w:color w:val="auto"/>
        </w:rPr>
        <w:t>Securities</w:t>
      </w:r>
      <w:r>
        <w:rPr>
          <w:rFonts w:ascii="Arial" w:cs="Arial" w:eastAsia="Arial" w:hAnsi="Arial"/>
          <w:sz w:val="16"/>
          <w:szCs w:val="16"/>
          <w:color w:val="auto"/>
        </w:rPr>
        <w:t>”), all of which Securities may be offered and sold by the Company from time to time as set forth in the prospectus which forms a part of the Registration Statement (the “</w:t>
      </w:r>
      <w:r>
        <w:rPr>
          <w:rFonts w:ascii="Arial" w:cs="Arial" w:eastAsia="Arial" w:hAnsi="Arial"/>
          <w:sz w:val="16"/>
          <w:szCs w:val="16"/>
          <w:u w:val="single" w:color="auto"/>
          <w:color w:val="auto"/>
        </w:rPr>
        <w:t>Prospectus</w:t>
      </w:r>
      <w:r>
        <w:rPr>
          <w:rFonts w:ascii="Arial" w:cs="Arial" w:eastAsia="Arial" w:hAnsi="Arial"/>
          <w:sz w:val="16"/>
          <w:szCs w:val="16"/>
          <w:color w:val="auto"/>
        </w:rPr>
        <w:t>”), and as to be set forth in one or more supplements to the Prospectus (each, a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assumed that the issuance, sale, amount and terms of the Securities to be offered from time to time will be duly authorized and determined by proper action of the Board of Directors of the Company (each, a “</w:t>
      </w:r>
      <w:r>
        <w:rPr>
          <w:rFonts w:ascii="Arial" w:cs="Arial" w:eastAsia="Arial" w:hAnsi="Arial"/>
          <w:sz w:val="17"/>
          <w:szCs w:val="17"/>
          <w:u w:val="single" w:color="auto"/>
          <w:color w:val="auto"/>
        </w:rPr>
        <w:t>Board Action</w:t>
      </w:r>
      <w:r>
        <w:rPr>
          <w:rFonts w:ascii="Arial" w:cs="Arial" w:eastAsia="Arial" w:hAnsi="Arial"/>
          <w:sz w:val="17"/>
          <w:szCs w:val="17"/>
          <w:color w:val="auto"/>
        </w:rPr>
        <w:t>”) and in accordance with the Company’s Amended and Restated Certificate of Incorporation, as amended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and applicable Delaware law. We further assume that (i) any Debt Securities will be issued pursuant to an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a financial institution identified therein as a trustee (each, a “</w:t>
      </w:r>
      <w:r>
        <w:rPr>
          <w:rFonts w:ascii="Arial" w:cs="Arial" w:eastAsia="Arial" w:hAnsi="Arial"/>
          <w:sz w:val="17"/>
          <w:szCs w:val="17"/>
          <w:u w:val="single" w:color="auto"/>
          <w:color w:val="auto"/>
        </w:rPr>
        <w:t>Trustee</w:t>
      </w:r>
      <w:r>
        <w:rPr>
          <w:rFonts w:ascii="Arial" w:cs="Arial" w:eastAsia="Arial" w:hAnsi="Arial"/>
          <w:sz w:val="17"/>
          <w:szCs w:val="17"/>
          <w:color w:val="auto"/>
        </w:rPr>
        <w:t>”), (ii) any Warrants will be issued under one or more warrant agreements (each, a “</w:t>
      </w:r>
      <w:r>
        <w:rPr>
          <w:rFonts w:ascii="Arial" w:cs="Arial" w:eastAsia="Arial" w:hAnsi="Arial"/>
          <w:sz w:val="17"/>
          <w:szCs w:val="17"/>
          <w:u w:val="single" w:color="auto"/>
          <w:color w:val="auto"/>
        </w:rPr>
        <w:t>Warrant Agreement</w:t>
      </w:r>
      <w:r>
        <w:rPr>
          <w:rFonts w:ascii="Arial" w:cs="Arial" w:eastAsia="Arial" w:hAnsi="Arial"/>
          <w:sz w:val="17"/>
          <w:szCs w:val="17"/>
          <w:color w:val="auto"/>
        </w:rPr>
        <w:t>”), each to be between the Company and a financial institution identified therein as a warrant agent, if any (each, a “</w:t>
      </w:r>
      <w:r>
        <w:rPr>
          <w:rFonts w:ascii="Arial" w:cs="Arial" w:eastAsia="Arial" w:hAnsi="Arial"/>
          <w:sz w:val="17"/>
          <w:szCs w:val="17"/>
          <w:u w:val="single" w:color="auto"/>
          <w:color w:val="auto"/>
        </w:rPr>
        <w:t>Warrant Agent</w:t>
      </w:r>
      <w:r>
        <w:rPr>
          <w:rFonts w:ascii="Arial" w:cs="Arial" w:eastAsia="Arial" w:hAnsi="Arial"/>
          <w:sz w:val="17"/>
          <w:szCs w:val="17"/>
          <w:color w:val="auto"/>
        </w:rPr>
        <w:t>”), (iii) any Depositary Shares will be issued pursuant to a “</w:t>
      </w:r>
      <w:r>
        <w:rPr>
          <w:rFonts w:ascii="Arial" w:cs="Arial" w:eastAsia="Arial" w:hAnsi="Arial"/>
          <w:sz w:val="17"/>
          <w:szCs w:val="17"/>
          <w:u w:val="single" w:color="auto"/>
          <w:color w:val="auto"/>
        </w:rPr>
        <w:t>Deposit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the financial institution identified therein as a depositary, the form of which will be filed by amendment to the Registration Statement or as an exhibit to a document to be incorporated therein by reference, and (iv) any Units will be issued pursuant to a “</w:t>
      </w:r>
      <w:r>
        <w:rPr>
          <w:rFonts w:ascii="Arial" w:cs="Arial" w:eastAsia="Arial" w:hAnsi="Arial"/>
          <w:sz w:val="17"/>
          <w:szCs w:val="17"/>
          <w:u w:val="single" w:color="auto"/>
          <w:color w:val="auto"/>
        </w:rPr>
        <w:t>Unit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between the Company and a financial institution identified therein as a unit agent, the form of which will be filed by amendment to the Registration Statement or as an exhibit to a document to be incorporated therein by reference.</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this opinion, we have examined and relied upon such records, documents and other instruments as in our judgment are necessary or appropriate in order to express the opinions hereinafter set forth and have assumed the genuineness of all signatures, the authenticity of all documents submitted to us as originals, and the conformity to original documents of all documents submitted to us as certified or photostatic copies.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rendering the following opinion, we express no opinion as to the laws of any jurisdiction other than the State of Tennessee, the General Corporation Law of the State of Delaware and the federal law of the United States to the extent specifically referred to herein. All opinions expressed are as of the date hereof except where expressly stated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subject to and limited by the foregoing, we are of the opinion that, as of the date hereof:</w:t>
      </w:r>
    </w:p>
    <w:p>
      <w:pPr>
        <w:spacing w:after="0" w:line="225" w:lineRule="exact"/>
        <w:rPr>
          <w:sz w:val="20"/>
          <w:szCs w:val="20"/>
          <w:color w:val="auto"/>
        </w:rPr>
      </w:pPr>
    </w:p>
    <w:p>
      <w:pPr>
        <w:jc w:val="both"/>
        <w:ind w:firstLine="656"/>
        <w:spacing w:after="0" w:line="293" w:lineRule="auto"/>
        <w:tabs>
          <w:tab w:leader="none" w:pos="1223"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When the Registration Statement has become effective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upon due authorization by Board Action of an issuance of Common Shares, and upon issuance and delivery of certificates, if any, for Common Shares against payment therefor in accordance with the terms of such Board Action, any applicable underwriting agreement and as contemplated by the Registration Statement and/or the applicable Prospectus Supplement, and, if issued upon the conversion, exchange or exercise of Preferred Shares, Debt Securities, Warrants or Units, when such shares have been duly issued and delivered as contemplated by the terms of the applicable Indenture, Warrant Agreement, Unit Agreement or the Certificate of Incorporation, the shares represented by such certificates, if any, will be duly authorized and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656"/>
        <w:spacing w:after="0" w:line="272" w:lineRule="auto"/>
        <w:tabs>
          <w:tab w:leader="none" w:pos="1217" w:val="left"/>
        </w:tabs>
        <w:numPr>
          <w:ilvl w:val="0"/>
          <w:numId w:val="43"/>
        </w:numPr>
        <w:rPr>
          <w:rFonts w:ascii="Arial" w:cs="Arial" w:eastAsia="Arial" w:hAnsi="Arial"/>
          <w:sz w:val="17"/>
          <w:szCs w:val="17"/>
          <w:color w:val="auto"/>
        </w:rPr>
      </w:pPr>
      <w:r>
        <w:rPr>
          <w:rFonts w:ascii="Arial" w:cs="Arial" w:eastAsia="Arial" w:hAnsi="Arial"/>
          <w:sz w:val="17"/>
          <w:szCs w:val="17"/>
          <w:color w:val="auto"/>
        </w:rPr>
        <w:t>When the Registration Statement has become effective under the Act and when a series of Preferred Shares has been duly authorized and established by applicable Board Action, in accordance with the terms of the Certificate of Incorporation and applicable law, and, upon issuance and delivery of certificates, if any, for such series of Preferred Shares against payment therefor in accordance with the terms of such Board Action, any applicable underwriting agreement, and as contemplated by the Registration Statement and/or the applicable Prospectus Supplement, and, if issued upon the conversion, exchange or exercise of Debt Securities, Warrants, Depositary Shares or Units, when such shares have been duly issued and delivered as contemplated by the terms of the applicable Indenture, Warrant Agreement, Deposit Agreement or Unit Agreement, the shares represented by such certificates, if any, will be duly authorized and validly issued, fully paid and non-assessable.</w:t>
      </w:r>
    </w:p>
    <w:p>
      <w:pPr>
        <w:spacing w:after="0" w:line="177" w:lineRule="exact"/>
        <w:rPr>
          <w:rFonts w:ascii="Arial" w:cs="Arial" w:eastAsia="Arial" w:hAnsi="Arial"/>
          <w:sz w:val="17"/>
          <w:szCs w:val="17"/>
          <w:color w:val="auto"/>
        </w:rPr>
      </w:pPr>
    </w:p>
    <w:p>
      <w:pPr>
        <w:jc w:val="both"/>
        <w:ind w:firstLine="656"/>
        <w:spacing w:after="0" w:line="255" w:lineRule="auto"/>
        <w:tabs>
          <w:tab w:leader="none" w:pos="11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When the Registration Statement has become effective under the Act, and when a series of Debt Securities has been (a) duly established by an Indenture or any supplemental indenture thereto, (b) duly authorized and established by applicable Board Action and duly authenticated by the Trustee under such Indenture, and (c) duly executed and delivered on behalf of the Company against payment therefor in accordance with the terms of such Board Action, any applicable underwriting agreement, the Indenture and any applicable supplemental indenture thereto, and as contemplated by the Registration Statement and/or the applicable Prospectus Supplement, the Debt Securities will be valid and binding obligations of the Company enforceable against the Company in accordance with their respective terms.</w:t>
      </w:r>
    </w:p>
    <w:p>
      <w:pPr>
        <w:spacing w:after="0" w:line="192" w:lineRule="exact"/>
        <w:rPr>
          <w:rFonts w:ascii="Arial" w:cs="Arial" w:eastAsia="Arial" w:hAnsi="Arial"/>
          <w:sz w:val="18"/>
          <w:szCs w:val="18"/>
          <w:color w:val="auto"/>
        </w:rPr>
      </w:pPr>
    </w:p>
    <w:p>
      <w:pPr>
        <w:jc w:val="both"/>
        <w:ind w:firstLine="656"/>
        <w:spacing w:after="0" w:line="296" w:lineRule="auto"/>
        <w:tabs>
          <w:tab w:leader="none" w:pos="1274"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When the Registration Statement has become effective under the Act and when Warrants have been (a) duly established by the related Warrant Agreement, (b) duly authorized and established by applicable Board Action and duly authenticated by the Warrant Agent to the extent applicable, and (c) duly executed and delivered on behalf of the Company against payment therefor in accordance with the terms of such Board Action, any applicable underwriting agreement, the applicable Warrant Agreement, and as contemplated by the Registration Statement and/or the applicable Prospectus Supplement, the Warrants will be valid and binding obligations of the Company enforceable against the Company in accordance with their terms.</w:t>
      </w:r>
    </w:p>
    <w:p>
      <w:pPr>
        <w:spacing w:after="0" w:line="161" w:lineRule="exact"/>
        <w:rPr>
          <w:rFonts w:ascii="Arial" w:cs="Arial" w:eastAsia="Arial" w:hAnsi="Arial"/>
          <w:sz w:val="16"/>
          <w:szCs w:val="16"/>
          <w:color w:val="auto"/>
        </w:rPr>
      </w:pPr>
    </w:p>
    <w:p>
      <w:pPr>
        <w:jc w:val="both"/>
        <w:ind w:firstLine="656"/>
        <w:spacing w:after="0" w:line="270" w:lineRule="auto"/>
        <w:tabs>
          <w:tab w:leader="none" w:pos="1267" w:val="left"/>
        </w:tabs>
        <w:numPr>
          <w:ilvl w:val="0"/>
          <w:numId w:val="43"/>
        </w:numPr>
        <w:rPr>
          <w:rFonts w:ascii="Arial" w:cs="Arial" w:eastAsia="Arial" w:hAnsi="Arial"/>
          <w:sz w:val="17"/>
          <w:szCs w:val="17"/>
          <w:color w:val="auto"/>
        </w:rPr>
      </w:pPr>
      <w:r>
        <w:rPr>
          <w:rFonts w:ascii="Arial" w:cs="Arial" w:eastAsia="Arial" w:hAnsi="Arial"/>
          <w:sz w:val="17"/>
          <w:szCs w:val="17"/>
          <w:color w:val="auto"/>
        </w:rPr>
        <w:t>When the Registration Statement has become effective under the Act, and (a) when Depositary Shares have been duly established by a Deposit Agreement and the related depositary receipts, (b) when any Preferred Shares underlying such Depositary Shares have been duly and validly issued and are fully paid and nonassessable as contemplated in Opinion Paragraph 2 above and deposited with a bank or trust company (which meets the requirements for depositary set forth in the Registration Statement) under the applicable Deposit Agreement, (c) when the Depositary Shares and the related depositary receipts have been duly authorized and established by applicable Board Action and duly authenticated by the depositary to the extent applicable, and (d) when the Depositary Shares and the related depositary receipts have been duly executed and delivered on behalf of the Company against payment therefor in accordance with the terms of such Board Action, the Deposit Agreement, and as contemplated by the Registration Statement and/or the applicable Prospectus Supplement, the Depositary Shares will be validly issued, fully paid and non-assessable and entitle the holders thereof to the rights specified in such depositary receipts and Deposit Agreement.</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the obligations of the Company under any agreement (including, without limitation, any Indenture, Warrant Agreement, Deposit Agreement, or Unit Agreement) may be dependent upon such matters, we assume for purposes of this opinion that: (i) the other party or parties to such agreement is duly organized, validly existing and in good standing under the laws of its jurisdiction of organization; (ii) the other party or parties to such agreement is duly qualified to engage in the activities contemplated by the agreement, as applicable; (iii) the agreement has been duly authorized, executed and delivered by the other party or parties to such agreement, as applicable, and constitutes the valid and binding obligation of the other party or parties to such agreement, as applicable, enforceable against the other party or parties to such agreement, as applicable, in accordance with its terms; (iv) the other party or parties to such agreement is in compliance, with respect to any actions the other party to such agreement may take under such agreement, as applicable, with all applicable laws and regulations; and (v) the other party or parties to such agreement has the requisite organizational and legal power and authority to perform its obligations under such agreement, as applicable.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assume no obligation to advise you of any changes in the foregoing subsequent to the delivery of this opinion letter. This opinion letter has been prepared solely for your use in connection with the transmitting for filing of the Registration Statement on the date of this opinion letter and should not be quoted in whole or in part or otherwise be referred to, or filed with or furnished to any governmental agency or other person or entity, without the prior written consent of this firm.</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hereby consent to the filing of this opinion letter as </w:t>
      </w:r>
      <w:r>
        <w:rPr>
          <w:rFonts w:ascii="Arial" w:cs="Arial" w:eastAsia="Arial" w:hAnsi="Arial"/>
          <w:sz w:val="18"/>
          <w:szCs w:val="18"/>
          <w:u w:val="single" w:color="auto"/>
          <w:color w:val="auto"/>
        </w:rPr>
        <w:t>Exhibit 5.1</w:t>
      </w:r>
      <w:r>
        <w:rPr>
          <w:rFonts w:ascii="Arial" w:cs="Arial" w:eastAsia="Arial" w:hAnsi="Arial"/>
          <w:sz w:val="18"/>
          <w:szCs w:val="18"/>
          <w:color w:val="auto"/>
        </w:rPr>
        <w:t xml:space="preserve"> to the Registration Statement and further consent to the reference to this firm under the caption “Legal Matters” in the Prospectus. In giving such consent, we do not thereby admit that we are in the category of persons whose consent is required under Section 7 of the Act.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Waller Lansden Dortch &amp; Davis,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ind w:left="1012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S-3 of Harrow Health, Inc. of our report dated March 8, 2021, relating to the consolidated financial statements of Harrow Health, Inc. and subsidiaries, appearing in the Annual Report on Form 10-K of Harrow Health, Inc.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the prospectus, which is part of this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lvl w:ilvl="1">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
    <w:nsid w:val="580BD78F"/>
    <w:multiLevelType w:val="hybridMultilevel"/>
    <w:lvl w:ilvl="0">
      <w:lvlJc w:val="left"/>
      <w:lvlText w:val="(%1)"/>
      <w:numFmt w:val="decimal"/>
      <w:start w:val="2"/>
    </w:lvl>
    <w:lvl w:ilvl="1">
      <w:lvlJc w:val="left"/>
      <w:lvlText w:val="(%2)"/>
      <w:numFmt w:val="lowerRoman"/>
      <w:start w:val="1"/>
    </w:lvl>
  </w:abstractNum>
  <w:abstractNum w:abstractNumId="38">
    <w:nsid w:val="153EA438"/>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9">
    <w:nsid w:val="3855585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0">
    <w:nsid w:val="70A64E2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jpe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56" Type="http://schemas.openxmlformats.org/officeDocument/2006/relationships/hyperlink" Target="https://www.sec.gov/Archives/edgar/data/1360214/000149315215000811/ex3-1.htm" TargetMode="External"/><Relationship Id="rId57" Type="http://schemas.openxmlformats.org/officeDocument/2006/relationships/hyperlink" Target="https://www.sec.gov/Archives/edgar/data/1360214/000149315218009586/ex3-1.htm" TargetMode="External"/><Relationship Id="rId58" Type="http://schemas.openxmlformats.org/officeDocument/2006/relationships/hyperlink" Target="https://www.sec.gov/Archives/edgar/data/1360214/000149315218018103/ex3-1.htm" TargetMode="External"/><Relationship Id="rId59" Type="http://schemas.openxmlformats.org/officeDocument/2006/relationships/hyperlink" Target="https://www.sec.gov/Archives/edgar/data/1360214/000107878211003672/f8k121911_ex3z1.htm" TargetMode="External"/><Relationship Id="rId60" Type="http://schemas.openxmlformats.org/officeDocument/2006/relationships/hyperlink" Target="https://www.sec.gov/Archives/edgar/data/1360214/000149315221010520/ex3-1.htm" TargetMode="External"/><Relationship Id="rId61" Type="http://schemas.openxmlformats.org/officeDocument/2006/relationships/hyperlink" Target="https://www.sec.gov/Archives/edgar/data/1360214/000149315214000878/ex3-2.htm" TargetMode="External"/><Relationship Id="rId62" Type="http://schemas.openxmlformats.org/officeDocument/2006/relationships/hyperlink" Target="https://www.sec.gov/Archives/edgar/data/1360214/000149315220012519/ex4-1.htm" TargetMode="External"/><Relationship Id="rId63" Type="http://schemas.openxmlformats.org/officeDocument/2006/relationships/hyperlink" Target="https://www.sec.gov/Archives/edgar/data/1360214/000149315220012519/ex4-2.htm" TargetMode="External"/><Relationship Id="rId64" Type="http://schemas.openxmlformats.org/officeDocument/2006/relationships/hyperlink" Target="https://www.sec.gov/Archives/edgar/data/1360214/000149315221009249/ex4-1.htm" TargetMode="External"/><Relationship Id="rId65" Type="http://schemas.openxmlformats.org/officeDocument/2006/relationships/hyperlink" Target="https://www.sec.gov/Archives/edgar/data/1360214/000149315221009249/ex4-2.htm" TargetMode="External"/><Relationship Id="rId66" Type="http://schemas.openxmlformats.org/officeDocument/2006/relationships/hyperlink" Target="https://www.sec.gov/Archives/edgar/data/1360214/000149315221005583/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2021-09-03T16:05:02Z</dcterms:created>
  <dcterms:modified xsi:type="dcterms:W3CDTF">2021-09-03T16:05:02Z</dcterms:modified>
</cp:coreProperties>
</file>