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9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9968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BOLL ANDREW 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HEALTH,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HARROW HEALTH,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HROW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01/02/2023</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8"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6"/>
          </w:tcPr>
          <w:p>
            <w:pPr>
              <w:jc w:val="center"/>
              <w:ind w:right="37"/>
              <w:spacing w:after="0" w:line="146"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TN</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37205</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01/02/2023</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23,000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5"/>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278,063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01/02/2023</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9,602</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268,461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01/02/2023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23,000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listed Acquired (as described in the table above) 23,000 shares of Harrow Health, Inc. ("Harrow") common stock represent restricted stock units ("RSUs") granted to Mr. Boll under the Issuer's 2017 Stock Incentive and Awards Plan on January 2, 2020. The RSUs vested in full on January 2, 2023, the third-year anniversary of the grant of the same, and settled as one share of common stock for each RSU. The listed Disposed (as described in the table above) 9,602 shares of Harrow common stock were not sold by Mr. Boll in any transaction; rather, they were shares of Harrow common stock withheld from the same aforementioned 23,000 share RSU issuance, by the Company, for payroll tax purposes only.</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Andrew R. Boll</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01/03/2023</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2150"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2023-01-03T20:55:02Z</dcterms:created>
  <dcterms:modified xsi:type="dcterms:W3CDTF">2023-01-03T20:55:02Z</dcterms:modified>
</cp:coreProperties>
</file>