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60" w:right="9440" w:hanging="7"/>
        <w:spacing w:after="0" w:line="530" w:lineRule="auto"/>
        <w:tabs>
          <w:tab w:leader="none" w:pos="61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600" w:hanging="147"/>
        <w:spacing w:after="0"/>
        <w:tabs>
          <w:tab w:leader="none" w:pos="6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572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57212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740" w:hanging="453"/>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280" w:right="10020" w:firstLine="468"/>
        <w:spacing w:after="0" w:line="266" w:lineRule="auto"/>
        <w:tabs>
          <w:tab w:leader="none" w:pos="98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3,065,416</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11.91%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25,745,967 shares of common stock issued and outstanding as of November 6, 2020 reported by the Issuer on its Form 10-Q filed with the Securities and Exchange Commission on November 9,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43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4322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Opaleye, L.P.</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020" w:firstLine="468"/>
        <w:spacing w:after="0" w:line="266" w:lineRule="auto"/>
        <w:tabs>
          <w:tab w:leader="none" w:pos="98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3,065,416</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11.91%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25,745,967 shares of common stock issued and outstanding as of November 6, 2020 reported by the Issuer on its Form 10-Q filed with the Securities and Exchange Commission on November 9,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43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4322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James Silverman</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020" w:firstLine="468"/>
        <w:spacing w:after="0" w:line="266" w:lineRule="auto"/>
        <w:tabs>
          <w:tab w:leader="none" w:pos="9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3,065,416</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3,065,416</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11.91%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25,745,967 shares of common stock issued and outstanding as of November 6, 2020 reported by the Issuer on its Form 10-Q filed with the Securities and Exchange Commission on November 9,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380" w:type="dxa"/>
            <w:vAlign w:val="bottom"/>
            <w:gridSpan w:val="12"/>
          </w:tcPr>
          <w:p>
            <w:pPr>
              <w:spacing w:after="0"/>
              <w:rPr>
                <w:sz w:val="20"/>
                <w:szCs w:val="20"/>
                <w:color w:val="auto"/>
              </w:rPr>
            </w:pPr>
            <w:r>
              <w:rPr>
                <w:rFonts w:ascii="Arial" w:cs="Arial" w:eastAsia="Arial" w:hAnsi="Arial"/>
                <w:sz w:val="18"/>
                <w:szCs w:val="18"/>
                <w:color w:val="auto"/>
              </w:rPr>
              <w:t>CUSIP No. 415858109</w:t>
            </w:r>
          </w:p>
        </w:tc>
        <w:tc>
          <w:tcPr>
            <w:tcW w:w="2680" w:type="dxa"/>
            <w:vAlign w:val="bottom"/>
            <w:gridSpan w:val="2"/>
          </w:tcPr>
          <w:p>
            <w:pPr>
              <w:spacing w:after="0"/>
              <w:rPr>
                <w:sz w:val="20"/>
                <w:szCs w:val="20"/>
                <w:color w:val="auto"/>
              </w:rPr>
            </w:pPr>
            <w:r>
              <w:rPr>
                <w:rFonts w:ascii="Arial" w:cs="Arial" w:eastAsia="Arial" w:hAnsi="Arial"/>
                <w:sz w:val="18"/>
                <w:szCs w:val="18"/>
                <w:color w:val="auto"/>
              </w:rPr>
              <w:t>13G/A</w:t>
            </w:r>
          </w:p>
        </w:tc>
        <w:tc>
          <w:tcPr>
            <w:tcW w:w="3180" w:type="dxa"/>
            <w:vAlign w:val="bottom"/>
            <w:gridSpan w:val="3"/>
          </w:tcPr>
          <w:p>
            <w:pPr>
              <w:ind w:left="700"/>
              <w:spacing w:after="0"/>
              <w:rPr>
                <w:sz w:val="20"/>
                <w:szCs w:val="20"/>
                <w:color w:val="auto"/>
              </w:rPr>
            </w:pPr>
            <w:r>
              <w:rPr>
                <w:rFonts w:ascii="Arial" w:cs="Arial" w:eastAsia="Arial" w:hAnsi="Arial"/>
                <w:sz w:val="18"/>
                <w:szCs w:val="18"/>
                <w:color w:val="auto"/>
              </w:rPr>
              <w:t>Page 5 of 8 Pages</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Name of Issuer: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1"/>
        </w:trPr>
        <w:tc>
          <w:tcPr>
            <w:tcW w:w="136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The name of the issuer is Harrow Health, Inc. (the “Company”).</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3740" w:type="dxa"/>
            <w:vAlign w:val="bottom"/>
            <w:gridSpan w:val="8"/>
          </w:tcPr>
          <w:p>
            <w:pPr>
              <w:spacing w:after="0"/>
              <w:rPr>
                <w:sz w:val="20"/>
                <w:szCs w:val="20"/>
                <w:color w:val="auto"/>
              </w:rPr>
            </w:pPr>
            <w:r>
              <w:rPr>
                <w:rFonts w:ascii="Arial" w:cs="Arial" w:eastAsia="Arial" w:hAnsi="Arial"/>
                <w:sz w:val="18"/>
                <w:szCs w:val="18"/>
                <w:b w:val="1"/>
                <w:bCs w:val="1"/>
                <w:color w:val="auto"/>
                <w:w w:val="90"/>
              </w:rPr>
              <w:t>Address of Issuer’s Principal Executive Offices:</w:t>
            </w:r>
          </w:p>
        </w:tc>
        <w:tc>
          <w:tcPr>
            <w:tcW w:w="280" w:type="dxa"/>
            <w:vAlign w:val="bottom"/>
            <w:tcBorders>
              <w:top w:val="single" w:sz="8" w:color="auto"/>
            </w:tcBorders>
            <w:gridSpan w:val="3"/>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rPr>
              <w:t>The Company’s principal executive offices are located at 102 Woodmont Blvd., Suite 610, Nashville, Tennessee 37205.</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Name of Person Filing.</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5"/>
              </w:rPr>
              <w:t>This statement is filed by the entities and persons listed below, who are collectively referred to herein as “Reporting Persons” with</w:t>
            </w:r>
          </w:p>
        </w:tc>
      </w:tr>
      <w:tr>
        <w:trPr>
          <w:trHeight w:val="237"/>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w w:val="89"/>
              </w:rPr>
              <w:t>respect to the shares of common stock of the Company:</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Opaleye Fund</w:t>
            </w:r>
          </w:p>
        </w:tc>
        <w:tc>
          <w:tcPr>
            <w:tcW w:w="30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Opaleye, L.P. (the “Opaleye Fund”), a private fund formed in the state of Delaware.</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Investment Manager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1"/>
              </w:rPr>
              <w:t>Opaleye Management Inc. (the “Investment Manager”), with respect to the shares of common stock held by the Opaleye Fund, a private</w:t>
            </w:r>
          </w:p>
        </w:tc>
      </w:tr>
      <w:tr>
        <w:trPr>
          <w:trHeight w:val="20"/>
        </w:trPr>
        <w:tc>
          <w:tcPr>
            <w:tcW w:w="1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0"/>
              </w:rPr>
              <w:t>fund to which the Investment Manager serves as investment manager. The Investment Manager also serves as a portfolio manager for a</w:t>
            </w:r>
          </w:p>
        </w:tc>
      </w:tr>
      <w:tr>
        <w:trPr>
          <w:trHeight w:val="190"/>
        </w:trPr>
        <w:tc>
          <w:tcPr>
            <w:tcW w:w="1360" w:type="dxa"/>
            <w:vAlign w:val="bottom"/>
          </w:tcPr>
          <w:p>
            <w:pPr>
              <w:spacing w:after="0"/>
              <w:rPr>
                <w:sz w:val="16"/>
                <w:szCs w:val="16"/>
                <w:color w:val="auto"/>
              </w:rPr>
            </w:pPr>
          </w:p>
        </w:tc>
        <w:tc>
          <w:tcPr>
            <w:tcW w:w="9880" w:type="dxa"/>
            <w:vAlign w:val="bottom"/>
            <w:gridSpan w:val="16"/>
          </w:tcPr>
          <w:p>
            <w:pPr>
              <w:spacing w:after="0" w:line="190" w:lineRule="exact"/>
              <w:rPr>
                <w:sz w:val="20"/>
                <w:szCs w:val="20"/>
                <w:color w:val="auto"/>
              </w:rPr>
            </w:pPr>
            <w:r>
              <w:rPr>
                <w:rFonts w:ascii="Arial" w:cs="Arial" w:eastAsia="Arial" w:hAnsi="Arial"/>
                <w:sz w:val="18"/>
                <w:szCs w:val="18"/>
                <w:color w:val="auto"/>
                <w:w w:val="97"/>
              </w:rPr>
              <w:t>separate managed account (the “Managed Account”) and may be deemed to indirectly beneficially own securities owned by the</w:t>
            </w:r>
          </w:p>
        </w:tc>
      </w:tr>
      <w:tr>
        <w:trPr>
          <w:trHeight w:val="20"/>
        </w:trPr>
        <w:tc>
          <w:tcPr>
            <w:tcW w:w="1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rPr>
              <w:t>Managed Account. The Investment Manager disclaims beneficial ownership of the shares held by the Managed Account.</w:t>
            </w:r>
          </w:p>
        </w:tc>
      </w:tr>
      <w:tr>
        <w:trPr>
          <w:trHeight w:val="391"/>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Reporting Individual</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1"/>
              </w:rPr>
              <w:t>Mr. James Silverman (the “Reporting Individual”), with respect to the shares of common stock held by the Opaleye Fund. Mr. Silverman</w:t>
            </w:r>
          </w:p>
        </w:tc>
      </w:tr>
      <w:tr>
        <w:trPr>
          <w:trHeight w:val="20"/>
        </w:trPr>
        <w:tc>
          <w:tcPr>
            <w:tcW w:w="13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is the President of the Investment Manager.</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6700" w:type="dxa"/>
            <w:vAlign w:val="bottom"/>
            <w:gridSpan w:val="13"/>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8"/>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Boston, Massachusetts 02108</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Citizenship.</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4"/>
              </w:rPr>
              <w:t>Citizenship is set forth in Row 4 of the cover page for each Reporting Person and is incorporated herein by reference for each such</w:t>
            </w:r>
          </w:p>
        </w:tc>
      </w:tr>
      <w:tr>
        <w:trPr>
          <w:trHeight w:val="230"/>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Reporting Person.</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Title of Class of Securities.</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Common Stock, $0.001 par value per share</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CUSIP Number.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415858109</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9"/>
        </w:trPr>
        <w:tc>
          <w:tcPr>
            <w:tcW w:w="1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 w:name="page6"/>
    <w:bookmarkEnd w:id="5"/>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1820" w:hanging="1416"/>
        <w:spacing w:after="0" w:line="277" w:lineRule="auto"/>
        <w:tabs>
          <w:tab w:leader="none" w:pos="13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Management Inc. — 3,065,416 shares of common stock*</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 — 3,065,416 shares of common stock*</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 — 3,065,416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136,016 shares of common stock held by the Managed Account</w:t>
      </w:r>
    </w:p>
    <w:p>
      <w:pPr>
        <w:spacing w:after="0" w:line="225" w:lineRule="exact"/>
        <w:rPr>
          <w:sz w:val="20"/>
          <w:szCs w:val="20"/>
          <w:color w:val="auto"/>
        </w:rPr>
      </w:pPr>
    </w:p>
    <w:p>
      <w:pPr>
        <w:ind w:left="780" w:hanging="7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Management Inc. — 11.91%**</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 — 11.91%**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 — 11.91%**</w:t>
      </w:r>
    </w:p>
    <w:p>
      <w:pPr>
        <w:spacing w:after="0" w:line="211" w:lineRule="exact"/>
        <w:rPr>
          <w:sz w:val="20"/>
          <w:szCs w:val="20"/>
          <w:color w:val="auto"/>
        </w:rPr>
      </w:pPr>
    </w:p>
    <w:p>
      <w:pPr>
        <w:jc w:val="both"/>
        <w:ind w:firstLine="8"/>
        <w:spacing w:after="0" w:line="263" w:lineRule="auto"/>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upon 25,745,967 shares of common stock issued and outstanding as of November 6, 2020 reported by the Issuer on its Form 10-Q filed with the Securities and Exchange Commission on November 9,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420" w:hanging="643"/>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20" w:right="70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420" w:hanging="643"/>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Opaleye Management Inc. — 3,065,416 shares of common stock*</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Opaleye, L.P. — 3,065,416 shares of common stock*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James Silverman — 3,065,416 shares of common stock*</w:t>
      </w:r>
    </w:p>
    <w:p>
      <w:pPr>
        <w:spacing w:after="0" w:line="21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136,016 shares of common stock held by the Managed Account</w:t>
      </w:r>
    </w:p>
    <w:p>
      <w:pPr>
        <w:spacing w:after="0" w:line="225" w:lineRule="exact"/>
        <w:rPr>
          <w:rFonts w:ascii="Arial" w:cs="Arial" w:eastAsia="Arial" w:hAnsi="Arial"/>
          <w:sz w:val="18"/>
          <w:szCs w:val="18"/>
          <w:color w:val="auto"/>
        </w:rPr>
      </w:pPr>
    </w:p>
    <w:p>
      <w:pPr>
        <w:ind w:left="1420" w:hanging="64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420" w:right="70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420" w:hanging="64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420" w:right="504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3,065,416 shares of common stock* Opaleye, L.P. — 3,065,416 shares of common stock*</w:t>
      </w: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3,065,416 shares of common stock*</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136,016 shares of common stock held by the Managed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415858109</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Opaleye, L.P.</w:t>
            </w:r>
          </w:p>
        </w:tc>
      </w:tr>
      <w:tr>
        <w:trPr>
          <w:trHeight w:val="453"/>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Opaleye Management Inc.</w:t>
            </w:r>
          </w:p>
        </w:tc>
      </w:tr>
      <w:tr>
        <w:trPr>
          <w:trHeight w:val="453"/>
        </w:trPr>
        <w:tc>
          <w:tcPr>
            <w:tcW w:w="3700" w:type="dxa"/>
            <w:vAlign w:val="bottom"/>
          </w:tcPr>
          <w:p>
            <w:pPr>
              <w:spacing w:after="0"/>
              <w:rPr>
                <w:sz w:val="20"/>
                <w:szCs w:val="20"/>
                <w:color w:val="auto"/>
              </w:rPr>
            </w:pPr>
            <w:r>
              <w:rPr>
                <w:rFonts w:ascii="Arial" w:cs="Arial" w:eastAsia="Arial" w:hAnsi="Arial"/>
                <w:sz w:val="18"/>
                <w:szCs w:val="18"/>
                <w:color w:val="auto"/>
              </w:rPr>
              <w:t>Date: February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Joint Filing Agreement, dated February 12, 2021,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common stock, $0.001 par value per share, of Harrow Health,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8"/>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
      <w:numFmt w:val="bullet"/>
      <w:start w:val="1"/>
    </w:lvl>
    <w:lvl w:ilvl="1">
      <w:lvlJc w:val="left"/>
      <w:lvlText w:val="%2"/>
      <w:numFmt w:val="decimal"/>
      <w:start w:val="10"/>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10"/>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8"/>
      <w:numFmt w:val="bullet"/>
      <w:start w:val="1"/>
    </w:lvl>
  </w:abstractNum>
  <w:abstractNum w:abstractNumId="15">
    <w:nsid w:val="257130A3"/>
    <w:multiLevelType w:val="hybridMultilevel"/>
    <w:lvl w:ilvl="0">
      <w:lvlJc w:val="left"/>
      <w:lvlText w:val="9"/>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0"/>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3"/>
    </w:lvl>
    <w:lvl w:ilvl="1">
      <w:lvlJc w:val="left"/>
      <w:lvlText w:val="(%2)"/>
      <w:numFmt w:val="lowerRoman"/>
      <w:start w:val="1"/>
    </w:lvl>
  </w:abstractNum>
  <w:abstractNum w:abstractNumId="22">
    <w:nsid w:val="2D1D5AE9"/>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2021-02-12T16:25:34Z</dcterms:created>
  <dcterms:modified xsi:type="dcterms:W3CDTF">2021-02-12T16:25:34Z</dcterms:modified>
</cp:coreProperties>
</file>