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9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94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BOSTON PLACE, 26TH FLOOR</w:t>
            </w: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HARROW,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04/23/2024</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04/23/2024</w:t>
            </w: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11,715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3,786,715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04/24/2024</w:t>
            </w: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8,285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10.15</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3,795,000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$10.28-$10.2942 inclusive. The reporting person undertakes to provide, upon request by the SEC staff, the issuer, or a security holder of the issuer, full information regarding the number of shares purchased at each price.</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$10.09-$10.19 inclusive. The reporting person undertakes to provide, upon request by the SEC staff, the issuer, or a security holder of the issuer, full information regarding the number of shares purchased at each price.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04/24/2024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2024-04-24T15:47:36Z</dcterms:created>
  <dcterms:modified xsi:type="dcterms:W3CDTF">2024-04-24T15:47:36Z</dcterms:modified>
</cp:coreProperties>
</file>