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40101__20"/>
      <w:bookmarkEnd w:id="2"/>
      <w:r>
        <w:rPr>
          <w:rFonts w:ascii="Times New Roman;Times;Serif" w:hAnsi="Times New Roman;Times;Serif"/>
          <w:b/>
          <w:i w:val="false"/>
          <w:caps w:val="false"/>
          <w:smallCaps w:val="false"/>
          <w:sz w:val="36"/>
        </w:rPr>
        <w:t xml:space="preserve">10-Q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 w:name="xdx_909_edei--DocumentQuarterlyReport_c2"/>
      <w:bookmarkEnd w:id="3"/>
      <w:r>
        <w:rPr>
          <w:caps w:val="false"/>
          <w:smallCaps w:val="false"/>
        </w:rPr>
        <w:t xml:space="preserve">☒ </w:t>
      </w:r>
      <w:r>
        <w:rPr>
          <w:rFonts w:ascii="Times New Roman;Times;Serif" w:hAnsi="Times New Roman;Times;Serif"/>
          <w:b/>
          <w:i w:val="false"/>
          <w:caps w:val="false"/>
          <w:smallCaps w:val="false"/>
          <w:sz w:val="20"/>
        </w:rPr>
        <w:t xml:space="preserve">QUARTERLY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D_edei--DocumentPeriodEndDate_c202"/>
      <w:bookmarkEnd w:id="4"/>
      <w:r>
        <w:rPr>
          <w:rFonts w:ascii="Times New Roman;Times;Serif" w:hAnsi="Times New Roman;Times;Serif"/>
          <w:b/>
          <w:i w:val="false"/>
          <w:caps w:val="false"/>
          <w:smallCaps w:val="false"/>
          <w:sz w:val="20"/>
        </w:rPr>
        <w:t xml:space="preserve">September 30, </w:t>
      </w:r>
      <w:bookmarkStart w:id="5" w:name="xdx_903_edei--DocumentFiscalYearFocus_c2"/>
      <w:bookmarkEnd w:id="5"/>
      <w:r>
        <w:rPr>
          <w:rFonts w:ascii="Times New Roman;Times;Serif" w:hAnsi="Times New Roman;Times;Serif"/>
          <w:b/>
          <w:i w:val="false"/>
          <w:caps w:val="false"/>
          <w:smallCaps w:val="false"/>
          <w:sz w:val="20"/>
        </w:rPr>
        <w:t>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 w:name="xdx_90B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5_edei--EntityFileNumber_c20240101"/>
      <w:bookmarkEnd w:id="7"/>
      <w:r>
        <w:rPr>
          <w:rFonts w:ascii="Times New Roman;Times;Serif" w:hAnsi="Times New Roman;Times;Serif"/>
          <w:b/>
          <w:i w:val="false"/>
          <w:caps w:val="false"/>
          <w:smallCaps w:val="false"/>
          <w:sz w:val="20"/>
        </w:rPr>
        <w:t>001-35814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2_edei--EntityRegistrantName_c2024"/>
      <w:bookmarkEnd w:id="8"/>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3215"/>
        <w:gridCol w:w="60"/>
        <w:gridCol w:w="1535"/>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6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TaxIdentificationNum"/>
            <w:bookmarkEnd w:id="10"/>
            <w:r>
              <w:rPr>
                <w:rFonts w:ascii="Times New Roman;Times;Serif" w:hAnsi="Times New Roman;Times;Serif"/>
                <w:b/>
                <w:i w:val="false"/>
                <w:caps w:val="false"/>
                <w:smallCaps w:val="false"/>
                <w:sz w:val="20"/>
              </w:rPr>
              <w:t>45-0567010</w:t>
            </w:r>
          </w:p>
        </w:tc>
      </w:tr>
      <w:tr>
        <w:trPr/>
        <w:tc>
          <w:tcPr>
            <w:tcW w:w="321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E_edei--EntityAddressAddressLine1_"/>
            <w:bookmarkEnd w:id="11"/>
            <w:r>
              <w:rPr>
                <w:rFonts w:ascii="Times New Roman;Times;Serif" w:hAnsi="Times New Roman;Times;Serif"/>
                <w:b/>
                <w:i w:val="false"/>
                <w:caps w:val="false"/>
                <w:smallCaps w:val="false"/>
                <w:sz w:val="20"/>
              </w:rPr>
              <w:t xml:space="preserve">1A Burton Hills Blvd., </w:t>
            </w:r>
            <w:bookmarkStart w:id="12" w:name="xdx_905_edei--EntityAddressAddressLine2_"/>
            <w:bookmarkEnd w:id="12"/>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F_edei--EntityAddressCityOrTown_c2"/>
            <w:bookmarkEnd w:id="13"/>
            <w:r>
              <w:rPr>
                <w:rFonts w:ascii="Times New Roman;Times;Serif" w:hAnsi="Times New Roman;Times;Serif"/>
                <w:b/>
                <w:i w:val="false"/>
                <w:caps w:val="false"/>
                <w:smallCaps w:val="false"/>
                <w:sz w:val="20"/>
              </w:rPr>
              <w:t xml:space="preserve">Nashville, </w:t>
            </w:r>
            <w:bookmarkStart w:id="14" w:name="xdx_908_edei--EntityAddressStateOrProvin"/>
            <w:bookmarkEnd w:id="14"/>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A_edei--EntityAddressPostalZipCode"/>
            <w:bookmarkEnd w:id="15"/>
            <w:r>
              <w:rPr>
                <w:rFonts w:ascii="Times New Roman;Times;Serif" w:hAnsi="Times New Roman;Times;Serif"/>
                <w:b/>
                <w:i w:val="false"/>
                <w:caps w:val="false"/>
                <w:smallCaps w:val="false"/>
                <w:sz w:val="20"/>
              </w:rPr>
              <w:t>37215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4_edei--CityAreaCode_c20240101__20"/>
      <w:bookmarkEnd w:id="16"/>
      <w:r>
        <w:rPr>
          <w:rFonts w:ascii="Times New Roman;Times;Serif" w:hAnsi="Times New Roman;Times;Serif"/>
          <w:b/>
          <w:i w:val="false"/>
          <w:caps w:val="false"/>
          <w:smallCaps w:val="false"/>
          <w:sz w:val="20"/>
        </w:rPr>
        <w:t xml:space="preserve">(615) </w:t>
      </w:r>
      <w:bookmarkStart w:id="17" w:name="xdx_90A_edei--LocalPhoneNumber_c20240101"/>
      <w:bookmarkEnd w:id="17"/>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12bTitle_c20240101"/>
            <w:bookmarkEnd w:id="18"/>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TradingSymbol_c20240101__2"/>
            <w:bookmarkEnd w:id="19"/>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SecurityExchangeName_c2024"/>
            <w:bookmarkEnd w:id="20"/>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Security12bTitle_c20240101"/>
            <w:bookmarkEnd w:id="21"/>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9_edei--TradingSymbol_c20240101__2"/>
            <w:bookmarkEnd w:id="22"/>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3_edei--SecurityExchangeName_c2024"/>
            <w:bookmarkEnd w:id="23"/>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5_edei--Security12bTitle_c20240101"/>
            <w:bookmarkEnd w:id="24"/>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4_edei--TradingSymbol_c20240101__2"/>
            <w:bookmarkEnd w:id="25"/>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2_edei--SecurityExchangeName_c2024"/>
            <w:bookmarkEnd w:id="26"/>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1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F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xdx_906_edei--EntityFilerCategory_c20240"/>
            <w:bookmarkEnd w:id="29"/>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30" w:name="xdx_90D_edei--EntitySmallBusiness_c20240"/>
            <w:bookmarkEnd w:id="30"/>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31" w:name="xdx_901_edei--EntityEmergingGrowthCompan"/>
            <w:bookmarkEnd w:id="31"/>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a check mark whether the registrant is a shell company (as defined in Rule 12b-2 of the Exchange Act). Yes ☐ No </w:t>
      </w:r>
      <w:bookmarkStart w:id="32" w:name="xdx_902_edei--EntityShellCompany_dbF_c20"/>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November 12, 2024, there were </w:t>
      </w:r>
      <w:bookmarkStart w:id="33" w:name="xdx_908_edei--EntityCommonStockSharesOut"/>
      <w:bookmarkEnd w:id="33"/>
      <w:r>
        <w:rPr>
          <w:rFonts w:ascii="Times New Roman;Times;Serif" w:hAnsi="Times New Roman;Times;Serif"/>
          <w:b w:val="false"/>
          <w:i w:val="false"/>
          <w:caps w:val="false"/>
          <w:smallCaps w:val="false"/>
          <w:sz w:val="20"/>
        </w:rPr>
        <w:t>35,614,718 shares of the registrant’s common stock, $</w:t>
      </w:r>
      <w:bookmarkStart w:id="34" w:name="xdx_901_edei--EntityListingParValuePerSh"/>
      <w:bookmarkEnd w:id="34"/>
      <w:r>
        <w:rPr>
          <w:rFonts w:ascii="Times New Roman;Times;Serif" w:hAnsi="Times New Roman;Times;Serif"/>
          <w:b w:val="false"/>
          <w:i w:val="false"/>
          <w:caps w:val="false"/>
          <w:smallCaps w:val="false"/>
          <w:sz w:val="20"/>
        </w:rPr>
        <w:t>0.001 par value,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both"/>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725"/>
        <w:gridCol w:w="7280"/>
        <w:gridCol w:w="45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7280" w:type="dxa"/>
            <w:tcBorders/>
            <w:shd w:fill="CCEEFF" w:val="clear"/>
            <w:vAlign w:val="center"/>
          </w:tcPr>
          <w:p>
            <w:pPr>
              <w:pStyle w:val="TableContents"/>
              <w:bidi w:val="0"/>
              <w:spacing w:before="0" w:after="283"/>
              <w:jc w:val="left"/>
              <w:rPr/>
            </w:pPr>
            <w:hyperlink w:anchor="b_001">
              <w:r>
                <w:rPr>
                  <w:rStyle w:val="InternetLink"/>
                  <w:rFonts w:ascii="Times New Roman;Times;Serif" w:hAnsi="Times New Roman;Times;Serif"/>
                  <w:b w:val="false"/>
                  <w:i w:val="false"/>
                  <w:caps w:val="false"/>
                  <w:smallCaps w:val="false"/>
                  <w:sz w:val="20"/>
                </w:rPr>
                <w:t>FINANCIAL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b_002">
              <w:r>
                <w:rPr>
                  <w:rStyle w:val="InternetLink"/>
                  <w:rFonts w:ascii="Times New Roman;Times;Serif" w:hAnsi="Times New Roman;Times;Serif"/>
                  <w:b w:val="false"/>
                  <w:i w:val="false"/>
                  <w:caps w:val="false"/>
                  <w:smallCaps w:val="false"/>
                  <w:sz w:val="20"/>
                </w:rPr>
                <w:t>Financial Statements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728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Legal Proceedings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Defaults Upon Senior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Signatures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b_001"/>
      <w:bookmarkEnd w:id="35"/>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b_002"/>
      <w:bookmarkEnd w:id="36"/>
      <w:r>
        <w:rPr>
          <w:rFonts w:ascii="Times New Roman;Times;Serif" w:hAnsi="Times New Roman;Times;Serif"/>
          <w:b/>
          <w:i w:val="false"/>
          <w:caps w:val="false"/>
          <w:smallCaps w:val="false"/>
          <w:sz w:val="20"/>
        </w:rPr>
        <w:t>Item 1.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b_003"/>
      <w:bookmarkEnd w:id="37"/>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8" w:name="xdx_304_111_zPu1IbA25Kf2"/>
      <w:bookmarkStart w:id="39" w:name="xdx_304_111_zPu1IbA25Kf2"/>
      <w:bookmarkEnd w:id="39"/>
    </w:p>
    <w:tbl>
      <w:tblPr>
        <w:tblW w:w="10205" w:type="dxa"/>
        <w:jc w:val="left"/>
        <w:tblInd w:w="0" w:type="dxa"/>
        <w:tblLayout w:type="fixed"/>
        <w:tblCellMar>
          <w:top w:w="0" w:type="dxa"/>
          <w:left w:w="0" w:type="dxa"/>
          <w:bottom w:w="0" w:type="dxa"/>
          <w:right w:w="0" w:type="dxa"/>
        </w:tblCellMar>
      </w:tblPr>
      <w:tblGrid>
        <w:gridCol w:w="6997"/>
        <w:gridCol w:w="60"/>
        <w:gridCol w:w="140"/>
        <w:gridCol w:w="1306"/>
        <w:gridCol w:w="95"/>
        <w:gridCol w:w="60"/>
        <w:gridCol w:w="140"/>
        <w:gridCol w:w="1295"/>
        <w:gridCol w:w="112"/>
      </w:tblGrid>
      <w:tr>
        <w:trPr/>
        <w:tc>
          <w:tcPr>
            <w:tcW w:w="6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 w:name="xdx_49B_20240930_zUuv3WOSZwj7"/>
            <w:bookmarkEnd w:id="40"/>
          </w:p>
        </w:tc>
        <w:tc>
          <w:tcPr>
            <w:tcW w:w="1446"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 w:name="xdx_49D_20231231_zMfGi051WM8a"/>
            <w:bookmarkEnd w:id="41"/>
          </w:p>
        </w:tc>
        <w:tc>
          <w:tcPr>
            <w:tcW w:w="1435"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2"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6"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42" w:name="xdx_40B_eus-gaap--AssetsAbstract_iB_zgJh"/>
            <w:bookmarkEnd w:id="42"/>
          </w:p>
        </w:tc>
      </w:tr>
      <w:tr>
        <w:trPr/>
        <w:tc>
          <w:tcPr>
            <w:tcW w:w="6997"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3" w:name="xdx_40C_eus-gaap--AssetsCurrentAbstract_"/>
            <w:bookmarkEnd w:id="43"/>
          </w:p>
        </w:tc>
      </w:tr>
      <w:tr>
        <w:trPr/>
        <w:tc>
          <w:tcPr>
            <w:tcW w:w="6997"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4" w:name="xdx_400_eus-gaap--CashAndCashEquivalents"/>
            <w:bookmarkEnd w:id="44"/>
          </w:p>
        </w:tc>
      </w:tr>
      <w:tr>
        <w:trPr/>
        <w:tc>
          <w:tcPr>
            <w:tcW w:w="699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06" w:type="dxa"/>
            <w:tcBorders/>
            <w:shd w:fill="CCEEFF" w:val="clear"/>
            <w:vAlign w:val="center"/>
          </w:tcPr>
          <w:p>
            <w:pPr>
              <w:pStyle w:val="TableContents"/>
              <w:bidi w:val="0"/>
              <w:spacing w:before="0" w:after="283"/>
              <w:jc w:val="right"/>
              <w:rPr/>
            </w:pPr>
            <w:r>
              <w:rPr/>
              <w:t>72,601,000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74,085,000</w:t>
            </w:r>
          </w:p>
        </w:tc>
        <w:tc>
          <w:tcPr>
            <w:tcW w:w="112" w:type="dxa"/>
            <w:tcBorders/>
            <w:shd w:fill="CCEEFF" w:val="clear"/>
            <w:vAlign w:val="center"/>
          </w:tcPr>
          <w:p>
            <w:pPr>
              <w:pStyle w:val="TableContents"/>
              <w:bidi w:val="0"/>
              <w:spacing w:before="0" w:after="283"/>
              <w:jc w:val="left"/>
              <w:rPr/>
            </w:pPr>
            <w:r>
              <w:rPr/>
              <w:t> </w:t>
            </w:r>
            <w:bookmarkStart w:id="45" w:name="xdx_406_eus-gaap--ShortTermInvestments_i"/>
            <w:bookmarkEnd w:id="45"/>
          </w:p>
        </w:tc>
      </w:tr>
      <w:tr>
        <w:trPr/>
        <w:tc>
          <w:tcPr>
            <w:tcW w:w="6997" w:type="dxa"/>
            <w:tcBorders/>
            <w:shd w:fill="FFFFFF" w:val="clear"/>
            <w:vAlign w:val="center"/>
          </w:tcPr>
          <w:p>
            <w:pPr>
              <w:pStyle w:val="TableContents"/>
              <w:bidi w:val="0"/>
              <w:spacing w:before="0" w:after="283"/>
              <w:jc w:val="left"/>
              <w:rPr/>
            </w:pPr>
            <w:r>
              <w:rPr/>
              <w:t>Investment in Eton Pharmaceuticals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8,681,000</w:t>
            </w:r>
          </w:p>
        </w:tc>
        <w:tc>
          <w:tcPr>
            <w:tcW w:w="112" w:type="dxa"/>
            <w:tcBorders/>
            <w:shd w:fill="FFFFFF" w:val="clear"/>
            <w:vAlign w:val="center"/>
          </w:tcPr>
          <w:p>
            <w:pPr>
              <w:pStyle w:val="TableContents"/>
              <w:bidi w:val="0"/>
              <w:spacing w:before="0" w:after="283"/>
              <w:jc w:val="left"/>
              <w:rPr/>
            </w:pPr>
            <w:r>
              <w:rPr/>
              <w:t> </w:t>
            </w:r>
            <w:bookmarkStart w:id="46" w:name="xdx_40F_eus-gaap--AccountsReceivableNetC"/>
            <w:bookmarkEnd w:id="46"/>
          </w:p>
        </w:tc>
      </w:tr>
      <w:tr>
        <w:trPr/>
        <w:tc>
          <w:tcPr>
            <w:tcW w:w="6997"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53,734,000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36,261,000</w:t>
            </w:r>
          </w:p>
        </w:tc>
        <w:tc>
          <w:tcPr>
            <w:tcW w:w="112" w:type="dxa"/>
            <w:tcBorders/>
            <w:shd w:fill="CCEEFF" w:val="clear"/>
            <w:vAlign w:val="center"/>
          </w:tcPr>
          <w:p>
            <w:pPr>
              <w:pStyle w:val="TableContents"/>
              <w:bidi w:val="0"/>
              <w:spacing w:before="0" w:after="283"/>
              <w:jc w:val="left"/>
              <w:rPr/>
            </w:pPr>
            <w:r>
              <w:rPr/>
              <w:t> </w:t>
            </w:r>
            <w:bookmarkStart w:id="47" w:name="xdx_408_eus-gaap--InventoryNet_i02I_maAC"/>
            <w:bookmarkEnd w:id="47"/>
          </w:p>
        </w:tc>
      </w:tr>
      <w:tr>
        <w:trPr/>
        <w:tc>
          <w:tcPr>
            <w:tcW w:w="6997"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10,156,000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10,867,000</w:t>
            </w:r>
          </w:p>
        </w:tc>
        <w:tc>
          <w:tcPr>
            <w:tcW w:w="112" w:type="dxa"/>
            <w:tcBorders/>
            <w:shd w:fill="FFFFFF" w:val="clear"/>
            <w:vAlign w:val="center"/>
          </w:tcPr>
          <w:p>
            <w:pPr>
              <w:pStyle w:val="TableContents"/>
              <w:bidi w:val="0"/>
              <w:spacing w:before="0" w:after="283"/>
              <w:jc w:val="left"/>
              <w:rPr/>
            </w:pPr>
            <w:r>
              <w:rPr/>
              <w:t> </w:t>
            </w:r>
            <w:bookmarkStart w:id="48" w:name="xdx_400_eus-gaap--PrepaidExpenseAndOther"/>
            <w:bookmarkEnd w:id="48"/>
          </w:p>
        </w:tc>
      </w:tr>
      <w:tr>
        <w:trPr/>
        <w:tc>
          <w:tcPr>
            <w:tcW w:w="6997"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10,571,000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9,588,000</w:t>
            </w:r>
          </w:p>
        </w:tc>
        <w:tc>
          <w:tcPr>
            <w:tcW w:w="112" w:type="dxa"/>
            <w:tcBorders/>
            <w:shd w:fill="CCEEFF" w:val="clear"/>
            <w:vAlign w:val="center"/>
          </w:tcPr>
          <w:p>
            <w:pPr>
              <w:pStyle w:val="TableContents"/>
              <w:bidi w:val="0"/>
              <w:spacing w:before="0" w:after="283"/>
              <w:jc w:val="left"/>
              <w:rPr/>
            </w:pPr>
            <w:r>
              <w:rPr/>
              <w:t> </w:t>
            </w:r>
            <w:bookmarkStart w:id="49" w:name="xdx_40E_eus-gaap--AssetsCurrent_i02TI_mt"/>
            <w:bookmarkEnd w:id="49"/>
          </w:p>
        </w:tc>
      </w:tr>
      <w:tr>
        <w:trPr/>
        <w:tc>
          <w:tcPr>
            <w:tcW w:w="6997"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147,062,000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139,482,000</w:t>
            </w:r>
          </w:p>
        </w:tc>
        <w:tc>
          <w:tcPr>
            <w:tcW w:w="112" w:type="dxa"/>
            <w:tcBorders/>
            <w:shd w:fill="FFFFFF" w:val="clear"/>
            <w:vAlign w:val="center"/>
          </w:tcPr>
          <w:p>
            <w:pPr>
              <w:pStyle w:val="TableContents"/>
              <w:bidi w:val="0"/>
              <w:spacing w:before="0" w:after="283"/>
              <w:jc w:val="left"/>
              <w:rPr/>
            </w:pPr>
            <w:r>
              <w:rPr/>
              <w:t> </w:t>
            </w:r>
            <w:bookmarkStart w:id="50" w:name="xdx_403_eus-gaap--PropertyPlantAndEquipm"/>
            <w:bookmarkEnd w:id="50"/>
          </w:p>
        </w:tc>
      </w:tr>
      <w:tr>
        <w:trPr/>
        <w:tc>
          <w:tcPr>
            <w:tcW w:w="6997"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3,625,000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3,521,000</w:t>
            </w:r>
          </w:p>
        </w:tc>
        <w:tc>
          <w:tcPr>
            <w:tcW w:w="112" w:type="dxa"/>
            <w:tcBorders/>
            <w:shd w:fill="CCEEFF" w:val="clear"/>
            <w:vAlign w:val="center"/>
          </w:tcPr>
          <w:p>
            <w:pPr>
              <w:pStyle w:val="TableContents"/>
              <w:bidi w:val="0"/>
              <w:spacing w:before="0" w:after="283"/>
              <w:jc w:val="left"/>
              <w:rPr/>
            </w:pPr>
            <w:r>
              <w:rPr/>
              <w:t> </w:t>
            </w:r>
            <w:bookmarkStart w:id="51" w:name="xdx_40F_eus-gaap--CapitalizedComputerSof"/>
            <w:bookmarkEnd w:id="51"/>
          </w:p>
        </w:tc>
      </w:tr>
      <w:tr>
        <w:trPr/>
        <w:tc>
          <w:tcPr>
            <w:tcW w:w="6997" w:type="dxa"/>
            <w:tcBorders/>
            <w:shd w:fill="FFFFFF" w:val="clear"/>
            <w:vAlign w:val="center"/>
          </w:tcPr>
          <w:p>
            <w:pPr>
              <w:pStyle w:val="TableContents"/>
              <w:bidi w:val="0"/>
              <w:spacing w:before="0" w:after="283"/>
              <w:jc w:val="left"/>
              <w:rPr/>
            </w:pPr>
            <w:r>
              <w:rPr/>
              <w:t>Capitalized software costs,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1,869,000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2,138,000</w:t>
            </w:r>
          </w:p>
        </w:tc>
        <w:tc>
          <w:tcPr>
            <w:tcW w:w="112" w:type="dxa"/>
            <w:tcBorders/>
            <w:shd w:fill="FFFFFF" w:val="clear"/>
            <w:vAlign w:val="center"/>
          </w:tcPr>
          <w:p>
            <w:pPr>
              <w:pStyle w:val="TableContents"/>
              <w:bidi w:val="0"/>
              <w:spacing w:before="0" w:after="283"/>
              <w:jc w:val="left"/>
              <w:rPr/>
            </w:pPr>
            <w:r>
              <w:rPr/>
              <w:t> </w:t>
            </w:r>
            <w:bookmarkStart w:id="52" w:name="xdx_401_eus-gaap--OperatingLeaseRightOfU"/>
            <w:bookmarkEnd w:id="52"/>
          </w:p>
        </w:tc>
      </w:tr>
      <w:tr>
        <w:trPr/>
        <w:tc>
          <w:tcPr>
            <w:tcW w:w="6997"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9,379,000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6,785,000</w:t>
            </w:r>
          </w:p>
        </w:tc>
        <w:tc>
          <w:tcPr>
            <w:tcW w:w="112" w:type="dxa"/>
            <w:tcBorders/>
            <w:shd w:fill="CCEEFF" w:val="clear"/>
            <w:vAlign w:val="center"/>
          </w:tcPr>
          <w:p>
            <w:pPr>
              <w:pStyle w:val="TableContents"/>
              <w:bidi w:val="0"/>
              <w:spacing w:before="0" w:after="283"/>
              <w:jc w:val="left"/>
              <w:rPr/>
            </w:pPr>
            <w:r>
              <w:rPr/>
              <w:t> </w:t>
            </w:r>
            <w:bookmarkStart w:id="53" w:name="xdx_40D_eus-gaap--IntangibleAssetsNetExc"/>
            <w:bookmarkEnd w:id="53"/>
          </w:p>
        </w:tc>
      </w:tr>
      <w:tr>
        <w:trPr/>
        <w:tc>
          <w:tcPr>
            <w:tcW w:w="6997"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189,272,000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159,906,000</w:t>
            </w:r>
          </w:p>
        </w:tc>
        <w:tc>
          <w:tcPr>
            <w:tcW w:w="112" w:type="dxa"/>
            <w:tcBorders/>
            <w:shd w:fill="FFFFFF" w:val="clear"/>
            <w:vAlign w:val="center"/>
          </w:tcPr>
          <w:p>
            <w:pPr>
              <w:pStyle w:val="TableContents"/>
              <w:bidi w:val="0"/>
              <w:spacing w:before="0" w:after="283"/>
              <w:jc w:val="left"/>
              <w:rPr/>
            </w:pPr>
            <w:r>
              <w:rPr/>
              <w:t> </w:t>
            </w:r>
            <w:bookmarkStart w:id="54" w:name="xdx_40E_eus-gaap--Goodwill_i01I_maAz3Tg_"/>
            <w:bookmarkEnd w:id="54"/>
          </w:p>
        </w:tc>
      </w:tr>
      <w:tr>
        <w:trPr/>
        <w:tc>
          <w:tcPr>
            <w:tcW w:w="6997"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332,000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332,000</w:t>
            </w:r>
          </w:p>
        </w:tc>
        <w:tc>
          <w:tcPr>
            <w:tcW w:w="112" w:type="dxa"/>
            <w:tcBorders/>
            <w:shd w:fill="CCEEFF" w:val="clear"/>
            <w:vAlign w:val="center"/>
          </w:tcPr>
          <w:p>
            <w:pPr>
              <w:pStyle w:val="TableContents"/>
              <w:bidi w:val="0"/>
              <w:spacing w:before="0" w:after="283"/>
              <w:jc w:val="left"/>
              <w:rPr/>
            </w:pPr>
            <w:r>
              <w:rPr/>
              <w:t> </w:t>
            </w:r>
            <w:bookmarkStart w:id="55" w:name="xdx_404_eus-gaap--Assets_i01TI_mtAz3Tg_z"/>
            <w:bookmarkEnd w:id="55"/>
          </w:p>
        </w:tc>
      </w:tr>
      <w:tr>
        <w:trPr/>
        <w:tc>
          <w:tcPr>
            <w:tcW w:w="6997"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pPr>
            <w:r>
              <w:rPr/>
              <w:t>351,539,000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312,164,000</w:t>
            </w:r>
          </w:p>
        </w:tc>
        <w:tc>
          <w:tcPr>
            <w:tcW w:w="112" w:type="dxa"/>
            <w:tcBorders/>
            <w:shd w:fill="FFFFFF" w:val="clear"/>
            <w:vAlign w:val="center"/>
          </w:tcPr>
          <w:p>
            <w:pPr>
              <w:pStyle w:val="TableContents"/>
              <w:bidi w:val="0"/>
              <w:spacing w:before="0" w:after="283"/>
              <w:jc w:val="left"/>
              <w:rPr/>
            </w:pPr>
            <w:r>
              <w:rPr/>
              <w:t> </w:t>
            </w:r>
            <w:bookmarkStart w:id="56" w:name="xdx_404_eus-gaap--LiabilitiesAndStockhol"/>
            <w:bookmarkEnd w:id="56"/>
          </w:p>
        </w:tc>
      </w:tr>
      <w:tr>
        <w:trPr/>
        <w:tc>
          <w:tcPr>
            <w:tcW w:w="6997" w:type="dxa"/>
            <w:tcBorders/>
            <w:shd w:fill="CCEEFF" w:val="clear"/>
            <w:vAlign w:val="center"/>
          </w:tcPr>
          <w:p>
            <w:pPr>
              <w:pStyle w:val="TableContents"/>
              <w:bidi w:val="0"/>
              <w:spacing w:before="0" w:after="283"/>
              <w:jc w:val="center"/>
              <w:rPr/>
            </w:pPr>
            <w:r>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7" w:name="xdx_40F_eus-gaap--LiabilitiesCurrentAbst"/>
            <w:bookmarkEnd w:id="57"/>
          </w:p>
        </w:tc>
      </w:tr>
      <w:tr>
        <w:trPr/>
        <w:tc>
          <w:tcPr>
            <w:tcW w:w="699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8" w:name="xdx_409_eus-gaap--AccountsPayableAndAccr"/>
            <w:bookmarkEnd w:id="58"/>
          </w:p>
        </w:tc>
      </w:tr>
      <w:tr>
        <w:trPr/>
        <w:tc>
          <w:tcPr>
            <w:tcW w:w="6997"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06" w:type="dxa"/>
            <w:tcBorders/>
            <w:shd w:fill="CCEEFF" w:val="clear"/>
            <w:vAlign w:val="center"/>
          </w:tcPr>
          <w:p>
            <w:pPr>
              <w:pStyle w:val="TableContents"/>
              <w:bidi w:val="0"/>
              <w:spacing w:before="0" w:after="283"/>
              <w:jc w:val="right"/>
              <w:rPr/>
            </w:pPr>
            <w:r>
              <w:rPr/>
              <w:t>25,277,000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24,581,000</w:t>
            </w:r>
          </w:p>
        </w:tc>
        <w:tc>
          <w:tcPr>
            <w:tcW w:w="112" w:type="dxa"/>
            <w:tcBorders/>
            <w:shd w:fill="CCEEFF" w:val="clear"/>
            <w:vAlign w:val="center"/>
          </w:tcPr>
          <w:p>
            <w:pPr>
              <w:pStyle w:val="TableContents"/>
              <w:bidi w:val="0"/>
              <w:spacing w:before="0" w:after="283"/>
              <w:jc w:val="left"/>
              <w:rPr/>
            </w:pPr>
            <w:r>
              <w:rPr/>
              <w:t> </w:t>
            </w:r>
            <w:bookmarkStart w:id="59" w:name="xdx_405_eus-gaap--BusinessCombinationCon"/>
            <w:bookmarkEnd w:id="59"/>
          </w:p>
        </w:tc>
      </w:tr>
      <w:tr>
        <w:trPr/>
        <w:tc>
          <w:tcPr>
            <w:tcW w:w="6997" w:type="dxa"/>
            <w:tcBorders/>
            <w:shd w:fill="FFFFFF" w:val="clear"/>
            <w:vAlign w:val="center"/>
          </w:tcPr>
          <w:p>
            <w:pPr>
              <w:pStyle w:val="TableContents"/>
              <w:bidi w:val="0"/>
              <w:spacing w:before="0" w:after="283"/>
              <w:jc w:val="left"/>
              <w:rPr/>
            </w:pPr>
            <w:r>
              <w:rPr/>
              <w:t>Contingent consideration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37,000,000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60" w:name="xdx_40F_ecustom--AccruedRebatesAndCopayA"/>
            <w:bookmarkEnd w:id="60"/>
          </w:p>
        </w:tc>
      </w:tr>
      <w:tr>
        <w:trPr/>
        <w:tc>
          <w:tcPr>
            <w:tcW w:w="6997" w:type="dxa"/>
            <w:tcBorders/>
            <w:shd w:fill="CCEEFF" w:val="clear"/>
            <w:vAlign w:val="center"/>
          </w:tcPr>
          <w:p>
            <w:pPr>
              <w:pStyle w:val="TableContents"/>
              <w:bidi w:val="0"/>
              <w:spacing w:before="0" w:after="283"/>
              <w:jc w:val="left"/>
              <w:rPr/>
            </w:pPr>
            <w:r>
              <w:rPr/>
              <w:t>Accrued rebates and copay assistance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24,899,000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18,432,000</w:t>
            </w:r>
          </w:p>
        </w:tc>
        <w:tc>
          <w:tcPr>
            <w:tcW w:w="112" w:type="dxa"/>
            <w:tcBorders/>
            <w:shd w:fill="CCEEFF" w:val="clear"/>
            <w:vAlign w:val="center"/>
          </w:tcPr>
          <w:p>
            <w:pPr>
              <w:pStyle w:val="TableContents"/>
              <w:bidi w:val="0"/>
              <w:spacing w:before="0" w:after="283"/>
              <w:jc w:val="left"/>
              <w:rPr/>
            </w:pPr>
            <w:r>
              <w:rPr/>
              <w:t> </w:t>
            </w:r>
            <w:bookmarkStart w:id="61" w:name="xdx_40E_eus-gaap--EmployeeRelatedLiabili"/>
            <w:bookmarkEnd w:id="61"/>
          </w:p>
        </w:tc>
      </w:tr>
      <w:tr>
        <w:trPr/>
        <w:tc>
          <w:tcPr>
            <w:tcW w:w="6997" w:type="dxa"/>
            <w:tcBorders/>
            <w:shd w:fill="FFFFFF" w:val="clear"/>
            <w:vAlign w:val="center"/>
          </w:tcPr>
          <w:p>
            <w:pPr>
              <w:pStyle w:val="TableContents"/>
              <w:bidi w:val="0"/>
              <w:spacing w:before="0" w:after="283"/>
              <w:jc w:val="left"/>
              <w:rPr/>
            </w:pPr>
            <w:r>
              <w:rPr/>
              <w:t>Accrued payroll and related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7,185,000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5,450,000</w:t>
            </w:r>
          </w:p>
        </w:tc>
        <w:tc>
          <w:tcPr>
            <w:tcW w:w="112" w:type="dxa"/>
            <w:tcBorders/>
            <w:shd w:fill="FFFFFF" w:val="clear"/>
            <w:vAlign w:val="center"/>
          </w:tcPr>
          <w:p>
            <w:pPr>
              <w:pStyle w:val="TableContents"/>
              <w:bidi w:val="0"/>
              <w:spacing w:before="0" w:after="283"/>
              <w:jc w:val="left"/>
              <w:rPr/>
            </w:pPr>
            <w:r>
              <w:rPr/>
              <w:t> </w:t>
            </w:r>
            <w:bookmarkStart w:id="62" w:name="xdx_40D_eus-gaap--ContractWithCustomerLi"/>
            <w:bookmarkEnd w:id="62"/>
          </w:p>
        </w:tc>
      </w:tr>
      <w:tr>
        <w:trPr/>
        <w:tc>
          <w:tcPr>
            <w:tcW w:w="6997" w:type="dxa"/>
            <w:tcBorders/>
            <w:shd w:fill="CCEEFF" w:val="clear"/>
            <w:vAlign w:val="center"/>
          </w:tcPr>
          <w:p>
            <w:pPr>
              <w:pStyle w:val="TableContents"/>
              <w:bidi w:val="0"/>
              <w:spacing w:before="0" w:after="283"/>
              <w:jc w:val="left"/>
              <w:rPr/>
            </w:pPr>
            <w:r>
              <w:rPr/>
              <w:t>Deferred revenue and 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137,000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75,000</w:t>
            </w:r>
          </w:p>
        </w:tc>
        <w:tc>
          <w:tcPr>
            <w:tcW w:w="112" w:type="dxa"/>
            <w:tcBorders/>
            <w:shd w:fill="CCEEFF" w:val="clear"/>
            <w:vAlign w:val="center"/>
          </w:tcPr>
          <w:p>
            <w:pPr>
              <w:pStyle w:val="TableContents"/>
              <w:bidi w:val="0"/>
              <w:spacing w:before="0" w:after="283"/>
              <w:jc w:val="left"/>
              <w:rPr/>
            </w:pPr>
            <w:r>
              <w:rPr/>
              <w:t> </w:t>
            </w:r>
            <w:bookmarkStart w:id="63" w:name="xdx_402_eus-gaap--OperatingLeaseLiabilit"/>
            <w:bookmarkEnd w:id="63"/>
          </w:p>
        </w:tc>
      </w:tr>
      <w:tr>
        <w:trPr/>
        <w:tc>
          <w:tcPr>
            <w:tcW w:w="6997" w:type="dxa"/>
            <w:tcBorders/>
            <w:shd w:fill="FFFFFF" w:val="clear"/>
            <w:vAlign w:val="center"/>
          </w:tcPr>
          <w:p>
            <w:pPr>
              <w:pStyle w:val="TableContents"/>
              <w:bidi w:val="0"/>
              <w:spacing w:before="0" w:after="283"/>
              <w:jc w:val="left"/>
              <w:rPr/>
            </w:pPr>
            <w:r>
              <w:rPr/>
              <w:t>Current portion of operating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FFFFFF" w:val="clear"/>
            <w:tcMar>
              <w:bottom w:w="28" w:type="dxa"/>
            </w:tcMar>
            <w:vAlign w:val="center"/>
          </w:tcPr>
          <w:p>
            <w:pPr>
              <w:pStyle w:val="TableContents"/>
              <w:bidi w:val="0"/>
              <w:spacing w:before="0" w:after="283"/>
              <w:jc w:val="right"/>
              <w:rPr/>
            </w:pPr>
            <w:r>
              <w:rPr/>
              <w:t>507,000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806,000</w:t>
            </w:r>
          </w:p>
        </w:tc>
        <w:tc>
          <w:tcPr>
            <w:tcW w:w="112" w:type="dxa"/>
            <w:tcBorders/>
            <w:shd w:fill="FFFFFF" w:val="clear"/>
            <w:vAlign w:val="center"/>
          </w:tcPr>
          <w:p>
            <w:pPr>
              <w:pStyle w:val="TableContents"/>
              <w:bidi w:val="0"/>
              <w:spacing w:before="0" w:after="283"/>
              <w:jc w:val="left"/>
              <w:rPr/>
            </w:pPr>
            <w:r>
              <w:rPr/>
              <w:t> </w:t>
            </w:r>
            <w:bookmarkStart w:id="64" w:name="xdx_40D_eus-gaap--LiabilitiesCurrent_i02"/>
            <w:bookmarkEnd w:id="64"/>
          </w:p>
        </w:tc>
      </w:tr>
      <w:tr>
        <w:trPr/>
        <w:tc>
          <w:tcPr>
            <w:tcW w:w="699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95,005,000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49,344,000</w:t>
            </w:r>
          </w:p>
        </w:tc>
        <w:tc>
          <w:tcPr>
            <w:tcW w:w="112" w:type="dxa"/>
            <w:tcBorders/>
            <w:shd w:fill="CCEEFF" w:val="clear"/>
            <w:vAlign w:val="center"/>
          </w:tcPr>
          <w:p>
            <w:pPr>
              <w:pStyle w:val="TableContents"/>
              <w:bidi w:val="0"/>
              <w:spacing w:before="0" w:after="283"/>
              <w:jc w:val="left"/>
              <w:rPr/>
            </w:pPr>
            <w:r>
              <w:rPr/>
              <w:t> </w:t>
            </w:r>
            <w:bookmarkStart w:id="65" w:name="xdx_409_eus-gaap--OperatingLeaseLiabilit"/>
            <w:bookmarkEnd w:id="65"/>
          </w:p>
        </w:tc>
      </w:tr>
      <w:tr>
        <w:trPr/>
        <w:tc>
          <w:tcPr>
            <w:tcW w:w="6997" w:type="dxa"/>
            <w:tcBorders/>
            <w:shd w:fill="FFFFFF" w:val="clear"/>
            <w:vAlign w:val="center"/>
          </w:tcPr>
          <w:p>
            <w:pPr>
              <w:pStyle w:val="TableContents"/>
              <w:bidi w:val="0"/>
              <w:spacing w:before="0" w:after="283"/>
              <w:jc w:val="left"/>
              <w:rPr/>
            </w:pPr>
            <w:r>
              <w:rPr/>
              <w:t>Operating lease obligations,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9,500,000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6,524,000</w:t>
            </w:r>
          </w:p>
        </w:tc>
        <w:tc>
          <w:tcPr>
            <w:tcW w:w="112" w:type="dxa"/>
            <w:tcBorders/>
            <w:shd w:fill="FFFFFF" w:val="clear"/>
            <w:vAlign w:val="center"/>
          </w:tcPr>
          <w:p>
            <w:pPr>
              <w:pStyle w:val="TableContents"/>
              <w:bidi w:val="0"/>
              <w:spacing w:before="0" w:after="283"/>
              <w:jc w:val="left"/>
              <w:rPr/>
            </w:pPr>
            <w:r>
              <w:rPr/>
              <w:t> </w:t>
            </w:r>
            <w:bookmarkStart w:id="66" w:name="xdx_403_eus-gaap--AccountsPayableAndAccr"/>
            <w:bookmarkEnd w:id="66"/>
          </w:p>
        </w:tc>
      </w:tr>
      <w:tr>
        <w:trPr/>
        <w:tc>
          <w:tcPr>
            <w:tcW w:w="6997" w:type="dxa"/>
            <w:tcBorders/>
            <w:shd w:fill="CCEEFF" w:val="clear"/>
            <w:vAlign w:val="center"/>
          </w:tcPr>
          <w:p>
            <w:pPr>
              <w:pStyle w:val="TableContents"/>
              <w:bidi w:val="0"/>
              <w:spacing w:before="0" w:after="283"/>
              <w:jc w:val="left"/>
              <w:rPr/>
            </w:pPr>
            <w:r>
              <w:rPr/>
              <w:t>Accrued expenses,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2,713,000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2,713,000</w:t>
            </w:r>
          </w:p>
        </w:tc>
        <w:tc>
          <w:tcPr>
            <w:tcW w:w="112" w:type="dxa"/>
            <w:tcBorders/>
            <w:shd w:fill="CCEEFF" w:val="clear"/>
            <w:vAlign w:val="center"/>
          </w:tcPr>
          <w:p>
            <w:pPr>
              <w:pStyle w:val="TableContents"/>
              <w:bidi w:val="0"/>
              <w:spacing w:before="0" w:after="283"/>
              <w:jc w:val="left"/>
              <w:rPr/>
            </w:pPr>
            <w:r>
              <w:rPr/>
              <w:t> </w:t>
            </w:r>
            <w:bookmarkStart w:id="67" w:name="xdx_40A_ecustom--DeferredTaxLiability_i0"/>
            <w:bookmarkEnd w:id="67"/>
          </w:p>
        </w:tc>
      </w:tr>
      <w:tr>
        <w:trPr/>
        <w:tc>
          <w:tcPr>
            <w:tcW w:w="6997"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643,000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68" w:name="xdx_40A_eus-gaap--LongTermNotesPayable_i"/>
            <w:bookmarkEnd w:id="68"/>
          </w:p>
        </w:tc>
      </w:tr>
      <w:tr>
        <w:trPr/>
        <w:tc>
          <w:tcPr>
            <w:tcW w:w="6997" w:type="dxa"/>
            <w:tcBorders/>
            <w:shd w:fill="CCEEFF" w:val="clear"/>
            <w:vAlign w:val="center"/>
          </w:tcPr>
          <w:p>
            <w:pPr>
              <w:pStyle w:val="TableContents"/>
              <w:bidi w:val="0"/>
              <w:spacing w:before="0" w:after="283"/>
              <w:jc w:val="left"/>
              <w:rPr/>
            </w:pPr>
            <w:r>
              <w:rPr/>
              <w:t>Notes payable, net of unamortized debt discounts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186,057,000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183,172,000</w:t>
            </w:r>
          </w:p>
        </w:tc>
        <w:tc>
          <w:tcPr>
            <w:tcW w:w="112" w:type="dxa"/>
            <w:tcBorders/>
            <w:shd w:fill="CCEEFF" w:val="clear"/>
            <w:vAlign w:val="center"/>
          </w:tcPr>
          <w:p>
            <w:pPr>
              <w:pStyle w:val="TableContents"/>
              <w:bidi w:val="0"/>
              <w:spacing w:before="0" w:after="283"/>
              <w:jc w:val="left"/>
              <w:rPr/>
            </w:pPr>
            <w:r>
              <w:rPr/>
              <w:t> </w:t>
            </w:r>
            <w:bookmarkStart w:id="69" w:name="xdx_400_eus-gaap--Liabilities_i01TI_mtLz"/>
            <w:bookmarkEnd w:id="69"/>
          </w:p>
        </w:tc>
      </w:tr>
      <w:tr>
        <w:trPr/>
        <w:tc>
          <w:tcPr>
            <w:tcW w:w="699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293,918,000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241,753,000</w:t>
            </w:r>
          </w:p>
        </w:tc>
        <w:tc>
          <w:tcPr>
            <w:tcW w:w="112" w:type="dxa"/>
            <w:tcBorders/>
            <w:shd w:fill="FFFFFF" w:val="clear"/>
            <w:vAlign w:val="center"/>
          </w:tcPr>
          <w:p>
            <w:pPr>
              <w:pStyle w:val="TableContents"/>
              <w:bidi w:val="0"/>
              <w:spacing w:before="0" w:after="283"/>
              <w:jc w:val="left"/>
              <w:rPr/>
            </w:pPr>
            <w:r>
              <w:rPr/>
              <w:t> </w:t>
            </w:r>
            <w:bookmarkStart w:id="70" w:name="xdx_402_eus-gaap--CommitmentsAndContinge"/>
            <w:bookmarkEnd w:id="70"/>
          </w:p>
        </w:tc>
      </w:tr>
      <w:tr>
        <w:trPr/>
        <w:tc>
          <w:tcPr>
            <w:tcW w:w="6997"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1" w:name="xdx_402_eus-gaap--StockholdersEquityAbst"/>
            <w:bookmarkEnd w:id="71"/>
          </w:p>
        </w:tc>
      </w:tr>
      <w:tr>
        <w:trPr/>
        <w:tc>
          <w:tcPr>
            <w:tcW w:w="6997"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2" w:name="xdx_404_eus-gaap--CommonStockValue_i02I_"/>
            <w:bookmarkEnd w:id="72"/>
          </w:p>
        </w:tc>
      </w:tr>
      <w:tr>
        <w:trPr/>
        <w:tc>
          <w:tcPr>
            <w:tcW w:w="6997" w:type="dxa"/>
            <w:tcBorders/>
            <w:shd w:fill="CCEEFF" w:val="clear"/>
            <w:vAlign w:val="center"/>
          </w:tcPr>
          <w:p>
            <w:pPr>
              <w:pStyle w:val="TableContents"/>
              <w:bidi w:val="0"/>
              <w:spacing w:before="0" w:after="283"/>
              <w:jc w:val="left"/>
              <w:rPr/>
            </w:pPr>
            <w:r>
              <w:rPr/>
              <w:t>Common stock, $</w:t>
            </w:r>
            <w:bookmarkStart w:id="73" w:name="xdx_902_eus-gaap--CommonStockParOrStated"/>
            <w:bookmarkStart w:id="74" w:name="xdx_90A_eus-gaap--CommonStockParOrStated"/>
            <w:bookmarkEnd w:id="73"/>
            <w:bookmarkEnd w:id="74"/>
            <w:r>
              <w:rPr/>
              <w:t xml:space="preserve">0.001 par value, </w:t>
            </w:r>
            <w:bookmarkStart w:id="75" w:name="xdx_908_eus-gaap--CommonStockSharesAutho"/>
            <w:bookmarkStart w:id="76" w:name="xdx_90D_eus-gaap--CommonStockSharesAutho"/>
            <w:bookmarkEnd w:id="75"/>
            <w:bookmarkEnd w:id="76"/>
            <w:r>
              <w:rPr/>
              <w:t xml:space="preserve">50,000,000 shares authorized, </w:t>
            </w:r>
            <w:bookmarkStart w:id="77" w:name="xdx_90A_eus-gaap--CommonStockSharesOutst"/>
            <w:bookmarkStart w:id="78" w:name="xdx_907_eus-gaap--CommonStockSharesIssue"/>
            <w:bookmarkEnd w:id="77"/>
            <w:bookmarkEnd w:id="78"/>
            <w:r>
              <w:rPr/>
              <w:t xml:space="preserve">35,611,365 and </w:t>
            </w:r>
            <w:bookmarkStart w:id="79" w:name="xdx_90F_eus-gaap--CommonStockSharesOutst"/>
            <w:bookmarkStart w:id="80" w:name="xdx_90C_eus-gaap--CommonStockSharesIssue"/>
            <w:bookmarkEnd w:id="79"/>
            <w:bookmarkEnd w:id="80"/>
            <w:r>
              <w:rPr/>
              <w:t>35,168,260 shares issued and outstanding at September 30,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35,000</w:t>
            </w:r>
          </w:p>
        </w:tc>
        <w:tc>
          <w:tcPr>
            <w:tcW w:w="112" w:type="dxa"/>
            <w:tcBorders/>
            <w:shd w:fill="CCEEFF" w:val="clear"/>
            <w:vAlign w:val="center"/>
          </w:tcPr>
          <w:p>
            <w:pPr>
              <w:pStyle w:val="TableContents"/>
              <w:bidi w:val="0"/>
              <w:spacing w:before="0" w:after="283"/>
              <w:jc w:val="left"/>
              <w:rPr/>
            </w:pPr>
            <w:r>
              <w:rPr/>
              <w:t> </w:t>
            </w:r>
            <w:bookmarkStart w:id="81" w:name="xdx_409_eus-gaap--AdditionalPaidInCapita"/>
            <w:bookmarkEnd w:id="81"/>
          </w:p>
        </w:tc>
      </w:tr>
      <w:tr>
        <w:trPr/>
        <w:tc>
          <w:tcPr>
            <w:tcW w:w="6997"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216,103,000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204,635,000</w:t>
            </w:r>
          </w:p>
        </w:tc>
        <w:tc>
          <w:tcPr>
            <w:tcW w:w="112" w:type="dxa"/>
            <w:tcBorders/>
            <w:shd w:fill="FFFFFF" w:val="clear"/>
            <w:vAlign w:val="center"/>
          </w:tcPr>
          <w:p>
            <w:pPr>
              <w:pStyle w:val="TableContents"/>
              <w:bidi w:val="0"/>
              <w:spacing w:before="0" w:after="283"/>
              <w:jc w:val="left"/>
              <w:rPr/>
            </w:pPr>
            <w:r>
              <w:rPr/>
              <w:t> </w:t>
            </w:r>
            <w:bookmarkStart w:id="82" w:name="xdx_40C_eus-gaap--RetainedEarningsAccumu"/>
            <w:bookmarkEnd w:id="82"/>
          </w:p>
        </w:tc>
      </w:tr>
      <w:tr>
        <w:trPr/>
        <w:tc>
          <w:tcPr>
            <w:tcW w:w="699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(158,162,000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(133,904,000</w:t>
            </w:r>
          </w:p>
        </w:tc>
        <w:tc>
          <w:tcPr>
            <w:tcW w:w="112" w:type="dxa"/>
            <w:tcBorders/>
            <w:shd w:fill="CCEEFF" w:val="clear"/>
            <w:vAlign w:val="center"/>
          </w:tcPr>
          <w:p>
            <w:pPr>
              <w:pStyle w:val="TableContents"/>
              <w:bidi w:val="0"/>
              <w:spacing w:before="0" w:after="283"/>
              <w:jc w:val="left"/>
              <w:rPr/>
            </w:pPr>
            <w:r>
              <w:rPr/>
              <w:t>)</w:t>
            </w:r>
            <w:bookmarkStart w:id="83" w:name="xdx_401_eus-gaap--StockholdersEquity_i02"/>
            <w:bookmarkEnd w:id="83"/>
          </w:p>
        </w:tc>
      </w:tr>
      <w:tr>
        <w:trPr/>
        <w:tc>
          <w:tcPr>
            <w:tcW w:w="6997" w:type="dxa"/>
            <w:tcBorders/>
            <w:shd w:fill="FFFFFF" w:val="clear"/>
            <w:vAlign w:val="center"/>
          </w:tcPr>
          <w:p>
            <w:pPr>
              <w:pStyle w:val="TableContents"/>
              <w:bidi w:val="0"/>
              <w:spacing w:before="0" w:after="283"/>
              <w:jc w:val="left"/>
              <w:rPr/>
            </w:pPr>
            <w:r>
              <w:rPr/>
              <w:t>TOTAL HARROW, INC.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57,976,000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70,766,000</w:t>
            </w:r>
          </w:p>
        </w:tc>
        <w:tc>
          <w:tcPr>
            <w:tcW w:w="112" w:type="dxa"/>
            <w:tcBorders/>
            <w:shd w:fill="FFFFFF" w:val="clear"/>
            <w:vAlign w:val="center"/>
          </w:tcPr>
          <w:p>
            <w:pPr>
              <w:pStyle w:val="TableContents"/>
              <w:bidi w:val="0"/>
              <w:spacing w:before="0" w:after="283"/>
              <w:jc w:val="left"/>
              <w:rPr/>
            </w:pPr>
            <w:r>
              <w:rPr/>
              <w:t> </w:t>
            </w:r>
            <w:bookmarkStart w:id="84" w:name="xdx_408_eus-gaap--MinorityInterest_i02I_"/>
            <w:bookmarkEnd w:id="84"/>
          </w:p>
        </w:tc>
      </w:tr>
      <w:tr>
        <w:trPr/>
        <w:tc>
          <w:tcPr>
            <w:tcW w:w="6997"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(355,000</w:t>
            </w:r>
          </w:p>
        </w:tc>
        <w:tc>
          <w:tcPr>
            <w:tcW w:w="112" w:type="dxa"/>
            <w:tcBorders/>
            <w:shd w:fill="CCEEFF" w:val="clear"/>
            <w:vAlign w:val="center"/>
          </w:tcPr>
          <w:p>
            <w:pPr>
              <w:pStyle w:val="TableContents"/>
              <w:bidi w:val="0"/>
              <w:spacing w:before="0" w:after="283"/>
              <w:jc w:val="left"/>
              <w:rPr/>
            </w:pPr>
            <w:r>
              <w:rPr/>
              <w:t>)</w:t>
            </w:r>
            <w:bookmarkStart w:id="85" w:name="xdx_402_eus-gaap--StockholdersEquityIncl"/>
            <w:bookmarkEnd w:id="85"/>
          </w:p>
        </w:tc>
      </w:tr>
      <w:tr>
        <w:trPr/>
        <w:tc>
          <w:tcPr>
            <w:tcW w:w="6997"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FFFFFF" w:val="clear"/>
            <w:tcMar>
              <w:bottom w:w="28" w:type="dxa"/>
            </w:tcMar>
            <w:vAlign w:val="center"/>
          </w:tcPr>
          <w:p>
            <w:pPr>
              <w:pStyle w:val="TableContents"/>
              <w:bidi w:val="0"/>
              <w:spacing w:before="0" w:after="283"/>
              <w:jc w:val="right"/>
              <w:rPr/>
            </w:pPr>
            <w:r>
              <w:rPr/>
              <w:t>57,621,000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70,411,000</w:t>
            </w:r>
          </w:p>
        </w:tc>
        <w:tc>
          <w:tcPr>
            <w:tcW w:w="112" w:type="dxa"/>
            <w:tcBorders/>
            <w:shd w:fill="FFFFFF" w:val="clear"/>
            <w:vAlign w:val="center"/>
          </w:tcPr>
          <w:p>
            <w:pPr>
              <w:pStyle w:val="TableContents"/>
              <w:bidi w:val="0"/>
              <w:spacing w:before="0" w:after="283"/>
              <w:jc w:val="left"/>
              <w:rPr/>
            </w:pPr>
            <w:r>
              <w:rPr/>
              <w:t> </w:t>
            </w:r>
            <w:bookmarkStart w:id="86" w:name="xdx_408_eus-gaap--LiabilitiesAndStockhol"/>
            <w:bookmarkEnd w:id="86"/>
          </w:p>
        </w:tc>
      </w:tr>
      <w:tr>
        <w:trPr/>
        <w:tc>
          <w:tcPr>
            <w:tcW w:w="6997"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6" w:type="dxa"/>
            <w:tcBorders>
              <w:bottom w:val="double" w:sz="6" w:space="0" w:color="000000"/>
            </w:tcBorders>
            <w:shd w:fill="CCEEFF" w:val="clear"/>
            <w:tcMar>
              <w:bottom w:w="28" w:type="dxa"/>
            </w:tcMar>
            <w:vAlign w:val="center"/>
          </w:tcPr>
          <w:p>
            <w:pPr>
              <w:pStyle w:val="TableContents"/>
              <w:bidi w:val="0"/>
              <w:spacing w:before="0" w:after="283"/>
              <w:jc w:val="right"/>
              <w:rPr/>
            </w:pPr>
            <w:r>
              <w:rPr/>
              <w:t>351,539,000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312,164,000</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7" w:name="xdx_307_113_zKKnmQxjpARa"/>
      <w:bookmarkStart w:id="88" w:name="xdx_307_113_zKKnmQxjpARa"/>
      <w:bookmarkEnd w:id="88"/>
    </w:p>
    <w:tbl>
      <w:tblPr>
        <w:tblW w:w="10205" w:type="dxa"/>
        <w:jc w:val="left"/>
        <w:tblInd w:w="0" w:type="dxa"/>
        <w:tblLayout w:type="fixed"/>
        <w:tblCellMar>
          <w:top w:w="0" w:type="dxa"/>
          <w:left w:w="0" w:type="dxa"/>
          <w:bottom w:w="0" w:type="dxa"/>
          <w:right w:w="0" w:type="dxa"/>
        </w:tblCellMar>
      </w:tblPr>
      <w:tblGrid>
        <w:gridCol w:w="4150"/>
        <w:gridCol w:w="60"/>
        <w:gridCol w:w="144"/>
        <w:gridCol w:w="1214"/>
        <w:gridCol w:w="98"/>
        <w:gridCol w:w="62"/>
        <w:gridCol w:w="144"/>
        <w:gridCol w:w="1214"/>
        <w:gridCol w:w="95"/>
        <w:gridCol w:w="60"/>
        <w:gridCol w:w="140"/>
        <w:gridCol w:w="1229"/>
        <w:gridCol w:w="95"/>
        <w:gridCol w:w="60"/>
        <w:gridCol w:w="140"/>
        <w:gridCol w:w="1183"/>
        <w:gridCol w:w="117"/>
      </w:tblGrid>
      <w:tr>
        <w:trPr/>
        <w:tc>
          <w:tcPr>
            <w:tcW w:w="4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9" w:name="xdx_492_20240701__20240930_zAqlMzl45ZXj"/>
            <w:bookmarkEnd w:id="89"/>
          </w:p>
        </w:tc>
        <w:tc>
          <w:tcPr>
            <w:tcW w:w="135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bookmarkStart w:id="90" w:name="xdx_498_20230701__20230930_zN2BcBNlFiZd"/>
            <w:bookmarkEnd w:id="90"/>
          </w:p>
        </w:tc>
        <w:tc>
          <w:tcPr>
            <w:tcW w:w="135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1" w:name="xdx_492_20240101__20240930_zxEDj8SqxdN8"/>
            <w:bookmarkEnd w:id="91"/>
          </w:p>
        </w:tc>
        <w:tc>
          <w:tcPr>
            <w:tcW w:w="136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2" w:name="xdx_49E_20230101__20230930_zfbAJc3nfGGl"/>
            <w:bookmarkEnd w:id="92"/>
          </w:p>
        </w:tc>
        <w:tc>
          <w:tcPr>
            <w:tcW w:w="1323"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7" w:type="dxa"/>
            <w:tcBorders/>
            <w:vAlign w:val="center"/>
          </w:tcPr>
          <w:p>
            <w:pPr>
              <w:pStyle w:val="TableContents"/>
              <w:bidi w:val="0"/>
              <w:spacing w:before="0" w:after="283"/>
              <w:jc w:val="center"/>
              <w:rPr/>
            </w:pPr>
            <w:r>
              <w:rPr/>
              <w:t> </w:t>
            </w:r>
          </w:p>
        </w:tc>
      </w:tr>
      <w:tr>
        <w:trPr/>
        <w:tc>
          <w:tcPr>
            <w:tcW w:w="4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6" w:type="dxa"/>
            <w:gridSpan w:val="6"/>
            <w:tcBorders/>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7" w:type="dxa"/>
            <w:gridSpan w:val="6"/>
            <w:tcBorders/>
            <w:vAlign w:val="center"/>
          </w:tcPr>
          <w:p>
            <w:pPr>
              <w:pStyle w:val="TableContents"/>
              <w:bidi w:val="0"/>
              <w:spacing w:before="0" w:after="283"/>
              <w:jc w:val="center"/>
              <w:rPr>
                <w:b/>
              </w:rPr>
            </w:pPr>
            <w:r>
              <w:rPr>
                <w:b/>
              </w:rPr>
              <w:t>For the Nine Months Ended</w:t>
            </w:r>
          </w:p>
        </w:tc>
        <w:tc>
          <w:tcPr>
            <w:tcW w:w="117" w:type="dxa"/>
            <w:tcBorders/>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7" w:type="dxa"/>
            <w:tcBorders/>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7" w:type="dxa"/>
            <w:tcBorders/>
            <w:vAlign w:val="center"/>
          </w:tcPr>
          <w:p>
            <w:pPr>
              <w:pStyle w:val="TableContents"/>
              <w:bidi w:val="0"/>
              <w:spacing w:before="0" w:after="283"/>
              <w:jc w:val="left"/>
              <w:rPr/>
            </w:pPr>
            <w:r>
              <w:rPr/>
              <w:t> </w:t>
            </w:r>
            <w:bookmarkStart w:id="93" w:name="xdx_400_eus-gaap--RevenuesAbstract_iB_zb"/>
            <w:bookmarkEnd w:id="93"/>
          </w:p>
        </w:tc>
      </w:tr>
      <w:tr>
        <w:trPr/>
        <w:tc>
          <w:tcPr>
            <w:tcW w:w="415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94" w:name="xdx_40E_eus-gaap--RevenueFromContractWit"/>
            <w:bookmarkEnd w:id="94"/>
          </w:p>
        </w:tc>
      </w:tr>
      <w:tr>
        <w:trPr/>
        <w:tc>
          <w:tcPr>
            <w:tcW w:w="4150" w:type="dxa"/>
            <w:tcBorders/>
            <w:shd w:fill="FFFFFF" w:val="clear"/>
            <w:vAlign w:val="center"/>
          </w:tcPr>
          <w:p>
            <w:pPr>
              <w:pStyle w:val="TableContents"/>
              <w:bidi w:val="0"/>
              <w:spacing w:before="0" w:after="283"/>
              <w:jc w:val="left"/>
              <w:rPr/>
            </w:pPr>
            <w:r>
              <w:rPr/>
              <w:t>Product sales, net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4" w:type="dxa"/>
            <w:tcBorders/>
            <w:shd w:fill="FFFFFF" w:val="clear"/>
            <w:vAlign w:val="center"/>
          </w:tcPr>
          <w:p>
            <w:pPr>
              <w:pStyle w:val="TableContents"/>
              <w:bidi w:val="0"/>
              <w:spacing w:before="0" w:after="283"/>
              <w:jc w:val="right"/>
              <w:rPr/>
            </w:pPr>
            <w:r>
              <w:rPr/>
              <w:t>49,019,000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4" w:type="dxa"/>
            <w:tcBorders/>
            <w:shd w:fill="FFFFFF" w:val="clear"/>
            <w:vAlign w:val="center"/>
          </w:tcPr>
          <w:p>
            <w:pPr>
              <w:pStyle w:val="TableContents"/>
              <w:bidi w:val="0"/>
              <w:spacing w:before="0" w:after="283"/>
              <w:jc w:val="right"/>
              <w:rPr/>
            </w:pPr>
            <w:r>
              <w:rPr/>
              <w:t>31,809,000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9" w:type="dxa"/>
            <w:tcBorders/>
            <w:shd w:fill="FFFFFF" w:val="clear"/>
            <w:vAlign w:val="center"/>
          </w:tcPr>
          <w:p>
            <w:pPr>
              <w:pStyle w:val="TableContents"/>
              <w:bidi w:val="0"/>
              <w:spacing w:before="0" w:after="283"/>
              <w:jc w:val="right"/>
              <w:rPr/>
            </w:pPr>
            <w:r>
              <w:rPr/>
              <w:t>132,398,000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83" w:type="dxa"/>
            <w:tcBorders/>
            <w:shd w:fill="FFFFFF" w:val="clear"/>
            <w:vAlign w:val="center"/>
          </w:tcPr>
          <w:p>
            <w:pPr>
              <w:pStyle w:val="TableContents"/>
              <w:bidi w:val="0"/>
              <w:spacing w:before="0" w:after="283"/>
              <w:jc w:val="right"/>
              <w:rPr/>
            </w:pPr>
            <w:r>
              <w:rPr/>
              <w:t>81,804,000</w:t>
            </w:r>
          </w:p>
        </w:tc>
        <w:tc>
          <w:tcPr>
            <w:tcW w:w="117" w:type="dxa"/>
            <w:tcBorders/>
            <w:shd w:fill="FFFFFF" w:val="clear"/>
            <w:vAlign w:val="center"/>
          </w:tcPr>
          <w:p>
            <w:pPr>
              <w:pStyle w:val="TableContents"/>
              <w:bidi w:val="0"/>
              <w:spacing w:before="0" w:after="283"/>
              <w:jc w:val="left"/>
              <w:rPr/>
            </w:pPr>
            <w:r>
              <w:rPr/>
              <w:t> </w:t>
            </w:r>
            <w:bookmarkStart w:id="95" w:name="xdx_40C_eus-gaap--RevenueFromContractWit"/>
            <w:bookmarkEnd w:id="95"/>
          </w:p>
        </w:tc>
      </w:tr>
      <w:tr>
        <w:trPr/>
        <w:tc>
          <w:tcPr>
            <w:tcW w:w="4150" w:type="dxa"/>
            <w:tcBorders/>
            <w:shd w:fill="CCEEFF" w:val="clear"/>
            <w:vAlign w:val="center"/>
          </w:tcPr>
          <w:p>
            <w:pPr>
              <w:pStyle w:val="TableContents"/>
              <w:bidi w:val="0"/>
              <w:spacing w:before="0" w:after="283"/>
              <w:jc w:val="left"/>
              <w:rPr/>
            </w:pPr>
            <w:r>
              <w:rPr/>
              <w:t>Other revenues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238,000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2,456,000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385,000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12,034,000</w:t>
            </w:r>
          </w:p>
        </w:tc>
        <w:tc>
          <w:tcPr>
            <w:tcW w:w="117" w:type="dxa"/>
            <w:tcBorders/>
            <w:shd w:fill="CCEEFF" w:val="clear"/>
            <w:vAlign w:val="center"/>
          </w:tcPr>
          <w:p>
            <w:pPr>
              <w:pStyle w:val="TableContents"/>
              <w:bidi w:val="0"/>
              <w:spacing w:before="0" w:after="283"/>
              <w:jc w:val="left"/>
              <w:rPr/>
            </w:pPr>
            <w:r>
              <w:rPr/>
              <w:t> </w:t>
            </w:r>
            <w:bookmarkStart w:id="96" w:name="xdx_40F_eus-gaap--RevenueFromContractWit"/>
            <w:bookmarkEnd w:id="96"/>
          </w:p>
        </w:tc>
      </w:tr>
      <w:tr>
        <w:trPr/>
        <w:tc>
          <w:tcPr>
            <w:tcW w:w="4150"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49,257,000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34,265,000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132,783,000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93,838,000</w:t>
            </w:r>
          </w:p>
        </w:tc>
        <w:tc>
          <w:tcPr>
            <w:tcW w:w="117" w:type="dxa"/>
            <w:tcBorders/>
            <w:shd w:fill="FFFFFF" w:val="clear"/>
            <w:vAlign w:val="center"/>
          </w:tcPr>
          <w:p>
            <w:pPr>
              <w:pStyle w:val="TableContents"/>
              <w:bidi w:val="0"/>
              <w:spacing w:before="0" w:after="283"/>
              <w:jc w:val="left"/>
              <w:rPr/>
            </w:pPr>
            <w:r>
              <w:rPr/>
              <w:t> </w:t>
            </w:r>
            <w:bookmarkStart w:id="97" w:name="xdx_404_eus-gaap--CostOfGoodsAndServices"/>
            <w:bookmarkEnd w:id="97"/>
          </w:p>
        </w:tc>
      </w:tr>
      <w:tr>
        <w:trPr/>
        <w:tc>
          <w:tcPr>
            <w:tcW w:w="415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(12,018,000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(10,067,000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(35,110,000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(28,338,000</w:t>
            </w:r>
          </w:p>
        </w:tc>
        <w:tc>
          <w:tcPr>
            <w:tcW w:w="117" w:type="dxa"/>
            <w:tcBorders/>
            <w:shd w:fill="CCEEFF" w:val="clear"/>
            <w:vAlign w:val="center"/>
          </w:tcPr>
          <w:p>
            <w:pPr>
              <w:pStyle w:val="TableContents"/>
              <w:bidi w:val="0"/>
              <w:spacing w:before="0" w:after="283"/>
              <w:jc w:val="left"/>
              <w:rPr/>
            </w:pPr>
            <w:r>
              <w:rPr/>
              <w:t>)</w:t>
            </w:r>
            <w:bookmarkStart w:id="98" w:name="xdx_404_eus-gaap--GrossProfit_iT_mtCzS1o"/>
            <w:bookmarkEnd w:id="98"/>
          </w:p>
        </w:tc>
      </w:tr>
      <w:tr>
        <w:trPr/>
        <w:tc>
          <w:tcPr>
            <w:tcW w:w="415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37,239,000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24,198,000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97,673,000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65,500,000</w:t>
            </w:r>
          </w:p>
        </w:tc>
        <w:tc>
          <w:tcPr>
            <w:tcW w:w="117" w:type="dxa"/>
            <w:tcBorders/>
            <w:shd w:fill="FFFFFF" w:val="clear"/>
            <w:vAlign w:val="center"/>
          </w:tcPr>
          <w:p>
            <w:pPr>
              <w:pStyle w:val="TableContents"/>
              <w:bidi w:val="0"/>
              <w:spacing w:before="0" w:after="283"/>
              <w:jc w:val="left"/>
              <w:rPr/>
            </w:pPr>
            <w:r>
              <w:rPr/>
              <w:t> </w:t>
            </w:r>
            <w:bookmarkStart w:id="99" w:name="xdx_400_eus-gaap--OperatingExpensesAbstr"/>
            <w:bookmarkEnd w:id="99"/>
          </w:p>
        </w:tc>
      </w:tr>
      <w:tr>
        <w:trPr/>
        <w:tc>
          <w:tcPr>
            <w:tcW w:w="415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100" w:name="xdx_40D_eus-gaap--SellingGeneralAndAdmin"/>
            <w:bookmarkEnd w:id="100"/>
          </w:p>
        </w:tc>
      </w:tr>
      <w:tr>
        <w:trPr/>
        <w:tc>
          <w:tcPr>
            <w:tcW w:w="415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33,645,000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21,033,000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94,275,000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56,878,000</w:t>
            </w:r>
          </w:p>
        </w:tc>
        <w:tc>
          <w:tcPr>
            <w:tcW w:w="117" w:type="dxa"/>
            <w:tcBorders/>
            <w:shd w:fill="FFFFFF" w:val="clear"/>
            <w:vAlign w:val="center"/>
          </w:tcPr>
          <w:p>
            <w:pPr>
              <w:pStyle w:val="TableContents"/>
              <w:bidi w:val="0"/>
              <w:spacing w:before="0" w:after="283"/>
              <w:jc w:val="left"/>
              <w:rPr/>
            </w:pPr>
            <w:r>
              <w:rPr/>
              <w:t> </w:t>
            </w:r>
            <w:bookmarkStart w:id="101" w:name="xdx_405_eus-gaap--ResearchAndDevelopment"/>
            <w:bookmarkEnd w:id="101"/>
          </w:p>
        </w:tc>
      </w:tr>
      <w:tr>
        <w:trPr/>
        <w:tc>
          <w:tcPr>
            <w:tcW w:w="415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2,273,000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1,421,000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7,475,000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3,316,000</w:t>
            </w:r>
          </w:p>
        </w:tc>
        <w:tc>
          <w:tcPr>
            <w:tcW w:w="117" w:type="dxa"/>
            <w:tcBorders/>
            <w:shd w:fill="CCEEFF" w:val="clear"/>
            <w:vAlign w:val="center"/>
          </w:tcPr>
          <w:p>
            <w:pPr>
              <w:pStyle w:val="TableContents"/>
              <w:bidi w:val="0"/>
              <w:spacing w:before="0" w:after="283"/>
              <w:jc w:val="left"/>
              <w:rPr/>
            </w:pPr>
            <w:r>
              <w:rPr/>
              <w:t> </w:t>
            </w:r>
            <w:bookmarkStart w:id="102" w:name="xdx_40F_eus-gaap--OperatingExpenses_i01T"/>
            <w:bookmarkEnd w:id="102"/>
          </w:p>
        </w:tc>
      </w:tr>
      <w:tr>
        <w:trPr/>
        <w:tc>
          <w:tcPr>
            <w:tcW w:w="415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35,918,000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22,454,000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101,750,000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60,194,000</w:t>
            </w:r>
          </w:p>
        </w:tc>
        <w:tc>
          <w:tcPr>
            <w:tcW w:w="117" w:type="dxa"/>
            <w:tcBorders/>
            <w:shd w:fill="FFFFFF" w:val="clear"/>
            <w:vAlign w:val="center"/>
          </w:tcPr>
          <w:p>
            <w:pPr>
              <w:pStyle w:val="TableContents"/>
              <w:bidi w:val="0"/>
              <w:spacing w:before="0" w:after="283"/>
              <w:jc w:val="left"/>
              <w:rPr/>
            </w:pPr>
            <w:r>
              <w:rPr/>
              <w:t> </w:t>
            </w:r>
            <w:bookmarkStart w:id="103" w:name="xdx_408_eus-gaap--OperatingIncomeLoss_iT"/>
            <w:bookmarkEnd w:id="103"/>
          </w:p>
        </w:tc>
      </w:tr>
      <w:tr>
        <w:trPr/>
        <w:tc>
          <w:tcPr>
            <w:tcW w:w="4150" w:type="dxa"/>
            <w:tcBorders/>
            <w:shd w:fill="CCEEFF" w:val="clear"/>
            <w:vAlign w:val="center"/>
          </w:tcPr>
          <w:p>
            <w:pPr>
              <w:pStyle w:val="TableContents"/>
              <w:bidi w:val="0"/>
              <w:spacing w:before="0" w:after="283"/>
              <w:jc w:val="left"/>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1,321,000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1,744,000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(4,077,000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5,306,000</w:t>
            </w:r>
          </w:p>
        </w:tc>
        <w:tc>
          <w:tcPr>
            <w:tcW w:w="117" w:type="dxa"/>
            <w:tcBorders/>
            <w:shd w:fill="CCEEFF" w:val="clear"/>
            <w:vAlign w:val="center"/>
          </w:tcPr>
          <w:p>
            <w:pPr>
              <w:pStyle w:val="TableContents"/>
              <w:bidi w:val="0"/>
              <w:spacing w:before="0" w:after="283"/>
              <w:jc w:val="left"/>
              <w:rPr/>
            </w:pPr>
            <w:r>
              <w:rPr/>
              <w:t> </w:t>
            </w:r>
            <w:bookmarkStart w:id="104" w:name="xdx_404_eus-gaap--NonoperatingIncomeExpe"/>
            <w:bookmarkEnd w:id="104"/>
          </w:p>
        </w:tc>
      </w:tr>
      <w:tr>
        <w:trPr/>
        <w:tc>
          <w:tcPr>
            <w:tcW w:w="4150"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05" w:name="xdx_400_eus-gaap--InterestExpenseNonoper"/>
            <w:bookmarkEnd w:id="105"/>
          </w:p>
        </w:tc>
      </w:tr>
      <w:tr>
        <w:trPr/>
        <w:tc>
          <w:tcPr>
            <w:tcW w:w="415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(5,525,000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(5,749,000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(16,411,000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(16,200,000</w:t>
            </w:r>
          </w:p>
        </w:tc>
        <w:tc>
          <w:tcPr>
            <w:tcW w:w="117" w:type="dxa"/>
            <w:tcBorders/>
            <w:shd w:fill="CCEEFF" w:val="clear"/>
            <w:vAlign w:val="center"/>
          </w:tcPr>
          <w:p>
            <w:pPr>
              <w:pStyle w:val="TableContents"/>
              <w:bidi w:val="0"/>
              <w:spacing w:before="0" w:after="283"/>
              <w:jc w:val="left"/>
              <w:rPr/>
            </w:pPr>
            <w:r>
              <w:rPr/>
              <w:t>)</w:t>
            </w:r>
            <w:bookmarkStart w:id="106" w:name="xdx_400_eus-gaap--GainLossOnInvestments_"/>
            <w:bookmarkEnd w:id="106"/>
          </w:p>
        </w:tc>
      </w:tr>
      <w:tr>
        <w:trPr/>
        <w:tc>
          <w:tcPr>
            <w:tcW w:w="4150" w:type="dxa"/>
            <w:tcBorders/>
            <w:shd w:fill="FFFFFF" w:val="clear"/>
            <w:vAlign w:val="center"/>
          </w:tcPr>
          <w:p>
            <w:pPr>
              <w:pStyle w:val="TableContents"/>
              <w:bidi w:val="0"/>
              <w:spacing w:before="0" w:after="283"/>
              <w:jc w:val="left"/>
              <w:rPr/>
            </w:pPr>
            <w:r>
              <w:rPr/>
              <w:t>Investment (loss) gain from Eton Pharmaceuticals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1,348,000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(3,171,000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2,676,000</w:t>
            </w:r>
          </w:p>
        </w:tc>
        <w:tc>
          <w:tcPr>
            <w:tcW w:w="117" w:type="dxa"/>
            <w:tcBorders/>
            <w:shd w:fill="FFFFFF" w:val="clear"/>
            <w:vAlign w:val="center"/>
          </w:tcPr>
          <w:p>
            <w:pPr>
              <w:pStyle w:val="TableContents"/>
              <w:bidi w:val="0"/>
              <w:spacing w:before="0" w:after="283"/>
              <w:jc w:val="left"/>
              <w:rPr/>
            </w:pPr>
            <w:r>
              <w:rPr/>
              <w:t> </w:t>
            </w:r>
            <w:bookmarkStart w:id="107" w:name="xdx_40C_eus-gaap--GainsLossesOnExtinguis"/>
            <w:bookmarkEnd w:id="107"/>
          </w:p>
        </w:tc>
      </w:tr>
      <w:tr>
        <w:trPr/>
        <w:tc>
          <w:tcPr>
            <w:tcW w:w="415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(5,465,000</w:t>
            </w:r>
          </w:p>
        </w:tc>
        <w:tc>
          <w:tcPr>
            <w:tcW w:w="117" w:type="dxa"/>
            <w:tcBorders/>
            <w:shd w:fill="CCEEFF" w:val="clear"/>
            <w:vAlign w:val="center"/>
          </w:tcPr>
          <w:p>
            <w:pPr>
              <w:pStyle w:val="TableContents"/>
              <w:bidi w:val="0"/>
              <w:spacing w:before="0" w:after="283"/>
              <w:jc w:val="left"/>
              <w:rPr/>
            </w:pPr>
            <w:r>
              <w:rPr/>
              <w:t>)</w:t>
            </w:r>
            <w:bookmarkStart w:id="108" w:name="xdx_40F_eus-gaap--OtherNonoperatingIncom"/>
            <w:bookmarkEnd w:id="108"/>
          </w:p>
        </w:tc>
      </w:tr>
      <w:tr>
        <w:trPr/>
        <w:tc>
          <w:tcPr>
            <w:tcW w:w="4150" w:type="dxa"/>
            <w:tcBorders/>
            <w:shd w:fill="FFFFFF" w:val="clear"/>
            <w:vAlign w:val="center"/>
          </w:tcPr>
          <w:p>
            <w:pPr>
              <w:pStyle w:val="TableContents"/>
              <w:bidi w:val="0"/>
              <w:spacing w:before="0" w:after="283"/>
              <w:jc w:val="left"/>
              <w:rPr/>
            </w:pPr>
            <w:r>
              <w:rPr/>
              <w:t>Other income (expenses), net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4,000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FFFFFF" w:val="clear"/>
            <w:tcMar>
              <w:bottom w:w="28" w:type="dxa"/>
            </w:tcMar>
            <w:vAlign w:val="center"/>
          </w:tcPr>
          <w:p>
            <w:pPr>
              <w:pStyle w:val="TableContents"/>
              <w:bidi w:val="0"/>
              <w:spacing w:before="0" w:after="283"/>
              <w:jc w:val="right"/>
              <w:rPr/>
            </w:pPr>
            <w:r>
              <w:rPr/>
              <w:t>(195,000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76,000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(344,000</w:t>
            </w:r>
          </w:p>
        </w:tc>
        <w:tc>
          <w:tcPr>
            <w:tcW w:w="117" w:type="dxa"/>
            <w:tcBorders/>
            <w:shd w:fill="FFFFFF" w:val="clear"/>
            <w:vAlign w:val="center"/>
          </w:tcPr>
          <w:p>
            <w:pPr>
              <w:pStyle w:val="TableContents"/>
              <w:bidi w:val="0"/>
              <w:spacing w:before="0" w:after="283"/>
              <w:jc w:val="left"/>
              <w:rPr/>
            </w:pPr>
            <w:r>
              <w:rPr/>
              <w:t>)</w:t>
            </w:r>
            <w:bookmarkStart w:id="109" w:name="xdx_40E_eus-gaap--NonoperatingIncomeExpe"/>
            <w:bookmarkEnd w:id="109"/>
          </w:p>
        </w:tc>
      </w:tr>
      <w:tr>
        <w:trPr/>
        <w:tc>
          <w:tcPr>
            <w:tcW w:w="4150" w:type="dxa"/>
            <w:tcBorders/>
            <w:shd w:fill="CCEEFF" w:val="clear"/>
            <w:vAlign w:val="center"/>
          </w:tcPr>
          <w:p>
            <w:pPr>
              <w:pStyle w:val="TableContents"/>
              <w:bidi w:val="0"/>
              <w:spacing w:before="0" w:after="283"/>
              <w:jc w:val="left"/>
              <w:rPr/>
            </w:pPr>
            <w:r>
              <w:rPr/>
              <w:t>Total other expense, net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(5,521,000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(4,596,000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(19,506,000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(19,333,000</w:t>
            </w:r>
          </w:p>
        </w:tc>
        <w:tc>
          <w:tcPr>
            <w:tcW w:w="117" w:type="dxa"/>
            <w:tcBorders/>
            <w:shd w:fill="CCEEFF" w:val="clear"/>
            <w:vAlign w:val="center"/>
          </w:tcPr>
          <w:p>
            <w:pPr>
              <w:pStyle w:val="TableContents"/>
              <w:bidi w:val="0"/>
              <w:spacing w:before="0" w:after="283"/>
              <w:jc w:val="left"/>
              <w:rPr/>
            </w:pPr>
            <w:r>
              <w:rPr/>
              <w:t>)</w:t>
            </w:r>
            <w:bookmarkStart w:id="110" w:name="xdx_40A_eus-gaap--IncomeLossFromContinui"/>
            <w:bookmarkEnd w:id="110"/>
          </w:p>
        </w:tc>
      </w:tr>
      <w:tr>
        <w:trPr/>
        <w:tc>
          <w:tcPr>
            <w:tcW w:w="4150"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(4,200,000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(2,852,000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(23,583,000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(14,027,000</w:t>
            </w:r>
          </w:p>
        </w:tc>
        <w:tc>
          <w:tcPr>
            <w:tcW w:w="117" w:type="dxa"/>
            <w:tcBorders/>
            <w:shd w:fill="FFFFFF" w:val="clear"/>
            <w:vAlign w:val="center"/>
          </w:tcPr>
          <w:p>
            <w:pPr>
              <w:pStyle w:val="TableContents"/>
              <w:bidi w:val="0"/>
              <w:spacing w:before="0" w:after="283"/>
              <w:jc w:val="left"/>
              <w:rPr/>
            </w:pPr>
            <w:r>
              <w:rPr/>
              <w:t>)</w:t>
            </w:r>
            <w:bookmarkStart w:id="111" w:name="xdx_40B_eus-gaap--IncomeTaxExpenseBenefi"/>
            <w:bookmarkEnd w:id="111"/>
          </w:p>
        </w:tc>
      </w:tr>
      <w:tr>
        <w:trPr/>
        <w:tc>
          <w:tcPr>
            <w:tcW w:w="415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(20,000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shd w:fill="CCEEFF" w:val="clear"/>
            <w:tcMar>
              <w:bottom w:w="28" w:type="dxa"/>
            </w:tcMar>
            <w:vAlign w:val="center"/>
          </w:tcPr>
          <w:p>
            <w:pPr>
              <w:pStyle w:val="TableContents"/>
              <w:bidi w:val="0"/>
              <w:spacing w:before="0" w:after="283"/>
              <w:jc w:val="right"/>
              <w:rPr/>
            </w:pPr>
            <w:r>
              <w:rPr/>
              <w:t>(1,539,000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CCEEFF" w:val="clear"/>
            <w:tcMar>
              <w:bottom w:w="28" w:type="dxa"/>
            </w:tcMar>
            <w:vAlign w:val="center"/>
          </w:tcPr>
          <w:p>
            <w:pPr>
              <w:pStyle w:val="TableContents"/>
              <w:bidi w:val="0"/>
              <w:spacing w:before="0" w:after="283"/>
              <w:jc w:val="right"/>
              <w:rPr/>
            </w:pPr>
            <w:r>
              <w:rPr/>
              <w:t>(675,000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(1,236,000</w:t>
            </w:r>
          </w:p>
        </w:tc>
        <w:tc>
          <w:tcPr>
            <w:tcW w:w="117" w:type="dxa"/>
            <w:tcBorders/>
            <w:shd w:fill="CCEEFF" w:val="clear"/>
            <w:vAlign w:val="center"/>
          </w:tcPr>
          <w:p>
            <w:pPr>
              <w:pStyle w:val="TableContents"/>
              <w:bidi w:val="0"/>
              <w:spacing w:before="0" w:after="283"/>
              <w:jc w:val="left"/>
              <w:rPr/>
            </w:pPr>
            <w:r>
              <w:rPr/>
              <w:t>)</w:t>
            </w:r>
            <w:bookmarkStart w:id="112" w:name="xdx_404_eus-gaap--NetIncomeLoss_iT_mtCzU"/>
            <w:bookmarkEnd w:id="112"/>
          </w:p>
        </w:tc>
      </w:tr>
      <w:tr>
        <w:trPr/>
        <w:tc>
          <w:tcPr>
            <w:tcW w:w="41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r>
              <w:rPr/>
              <w:t>(4,220,000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r>
              <w:rPr/>
              <w:t>(4,391,000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9" w:type="dxa"/>
            <w:tcBorders>
              <w:bottom w:val="double" w:sz="6" w:space="0" w:color="000000"/>
            </w:tcBorders>
            <w:shd w:fill="FFFFFF" w:val="clear"/>
            <w:tcMar>
              <w:bottom w:w="28" w:type="dxa"/>
            </w:tcMar>
            <w:vAlign w:val="center"/>
          </w:tcPr>
          <w:p>
            <w:pPr>
              <w:pStyle w:val="TableContents"/>
              <w:bidi w:val="0"/>
              <w:spacing w:before="0" w:after="283"/>
              <w:jc w:val="right"/>
              <w:rPr/>
            </w:pPr>
            <w:r>
              <w:rPr/>
              <w:t>(24,258,000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pPr>
            <w:r>
              <w:rPr/>
              <w:t>(15,263,000</w:t>
            </w:r>
          </w:p>
        </w:tc>
        <w:tc>
          <w:tcPr>
            <w:tcW w:w="117" w:type="dxa"/>
            <w:tcBorders/>
            <w:shd w:fill="FFFFFF" w:val="clear"/>
            <w:vAlign w:val="center"/>
          </w:tcPr>
          <w:p>
            <w:pPr>
              <w:pStyle w:val="TableContents"/>
              <w:bidi w:val="0"/>
              <w:spacing w:before="0" w:after="283"/>
              <w:jc w:val="left"/>
              <w:rPr/>
            </w:pPr>
            <w:r>
              <w:rPr/>
              <w:t>)</w:t>
            </w:r>
          </w:p>
        </w:tc>
      </w:tr>
      <w:tr>
        <w:trPr/>
        <w:tc>
          <w:tcPr>
            <w:tcW w:w="4150" w:type="dxa"/>
            <w:tcBorders/>
            <w:shd w:fill="CCEEFF" w:val="clear"/>
            <w:vAlign w:val="center"/>
          </w:tcPr>
          <w:p>
            <w:pPr>
              <w:pStyle w:val="TableContents"/>
              <w:bidi w:val="0"/>
              <w:spacing w:before="0" w:after="283"/>
              <w:jc w:val="left"/>
              <w:rPr/>
            </w:pPr>
            <w:r>
              <w:rPr/>
              <w:t>Basic and diluted net loss per share of common stock</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3" w:name="xdx_90E_eus-gaap--EarningsPerShareDilute"/>
            <w:bookmarkStart w:id="114" w:name="xdx_906_eus-gaap--EarningsPerShareBasic_"/>
            <w:bookmarkEnd w:id="113"/>
            <w:bookmarkEnd w:id="114"/>
            <w:r>
              <w:rPr/>
              <w:t>(0.12</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5" w:name="xdx_905_eus-gaap--EarningsPerShareDilute"/>
            <w:bookmarkStart w:id="116" w:name="xdx_905_eus-gaap--EarningsPerShareBasic_"/>
            <w:bookmarkEnd w:id="115"/>
            <w:bookmarkEnd w:id="116"/>
            <w:r>
              <w:rPr/>
              <w:t>(0.13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 w:name="xdx_901_eus-gaap--EarningsPerShareDilute"/>
            <w:bookmarkStart w:id="118" w:name="xdx_90A_eus-gaap--EarningsPerShareBasic_"/>
            <w:bookmarkEnd w:id="117"/>
            <w:bookmarkEnd w:id="118"/>
            <w:r>
              <w:rPr/>
              <w:t>(0.68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9" w:name="xdx_908_eus-gaap--EarningsPerShareDilute"/>
            <w:bookmarkStart w:id="120" w:name="xdx_909_eus-gaap--EarningsPerShareBasic_"/>
            <w:bookmarkEnd w:id="119"/>
            <w:bookmarkEnd w:id="120"/>
            <w:r>
              <w:rPr/>
              <w:t>(0.48</w:t>
            </w:r>
          </w:p>
        </w:tc>
        <w:tc>
          <w:tcPr>
            <w:tcW w:w="117" w:type="dxa"/>
            <w:tcBorders/>
            <w:shd w:fill="CCEEFF" w:val="clear"/>
            <w:vAlign w:val="center"/>
          </w:tcPr>
          <w:p>
            <w:pPr>
              <w:pStyle w:val="TableContents"/>
              <w:bidi w:val="0"/>
              <w:spacing w:before="0" w:after="283"/>
              <w:jc w:val="left"/>
              <w:rPr/>
            </w:pPr>
            <w:r>
              <w:rPr/>
              <w:t>)</w:t>
            </w:r>
          </w:p>
        </w:tc>
      </w:tr>
      <w:tr>
        <w:trPr/>
        <w:tc>
          <w:tcPr>
            <w:tcW w:w="4150" w:type="dxa"/>
            <w:tcBorders/>
            <w:shd w:fill="FFFFFF" w:val="cle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1" w:name="xdx_901_eus-gaap--WeightedAverageNumberO"/>
            <w:bookmarkStart w:id="122" w:name="xdx_904_eus-gaap--WeightedAverageNumberO"/>
            <w:bookmarkEnd w:id="121"/>
            <w:bookmarkEnd w:id="122"/>
            <w:r>
              <w:rPr/>
              <w:t>35,702,200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3" w:name="xdx_905_eus-gaap--WeightedAverageNumberO"/>
            <w:bookmarkStart w:id="124" w:name="xdx_900_eus-gaap--WeightedAverageNumberO"/>
            <w:bookmarkEnd w:id="123"/>
            <w:bookmarkEnd w:id="124"/>
            <w:r>
              <w:rPr/>
              <w:t>34,255,197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5" w:name="xdx_905_eus-gaap--WeightedAverageNumberO"/>
            <w:bookmarkStart w:id="126" w:name="xdx_905_eus-gaap--WeightedAverageNumberO"/>
            <w:bookmarkEnd w:id="125"/>
            <w:bookmarkEnd w:id="126"/>
            <w:r>
              <w:rPr/>
              <w:t>35,597,409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7" w:name="xdx_90D_eus-gaap--WeightedAverageNumberO"/>
            <w:bookmarkStart w:id="128" w:name="xdx_903_eus-gaap--WeightedAverageNumberO"/>
            <w:bookmarkEnd w:id="127"/>
            <w:bookmarkEnd w:id="128"/>
            <w:r>
              <w:rPr/>
              <w:t>31,689,947</w:t>
            </w:r>
          </w:p>
        </w:tc>
        <w:tc>
          <w:tcPr>
            <w:tcW w:w="11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HARROW,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periods ended September 30, 2024 and 2023</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9" w:name="xdx_30B_114_z7GlHLaAOyA5"/>
      <w:bookmarkStart w:id="130" w:name="xdx_30B_114_z7GlHLaAOyA5"/>
      <w:bookmarkEnd w:id="130"/>
    </w:p>
    <w:tbl>
      <w:tblPr>
        <w:tblW w:w="11785"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95"/>
        <w:gridCol w:w="60"/>
        <w:gridCol w:w="140"/>
        <w:gridCol w:w="1220"/>
        <w:gridCol w:w="95"/>
        <w:gridCol w:w="60"/>
        <w:gridCol w:w="140"/>
        <w:gridCol w:w="1295"/>
        <w:gridCol w:w="95"/>
        <w:gridCol w:w="60"/>
        <w:gridCol w:w="140"/>
        <w:gridCol w:w="1400"/>
        <w:gridCol w:w="95"/>
        <w:gridCol w:w="60"/>
        <w:gridCol w:w="213"/>
        <w:gridCol w:w="1337"/>
        <w:gridCol w:w="95"/>
        <w:gridCol w:w="60"/>
        <w:gridCol w:w="140"/>
        <w:gridCol w:w="1340"/>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1" w:name="xdx_4B7_us-gaap--StatementEquityComponen"/>
            <w:bookmarkEnd w:id="131"/>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2" w:name="xdx_4B7_us-gaap--StatementEquityComponen"/>
            <w:bookmarkEnd w:id="132"/>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3" w:name="xdx_4BE_us-gaap--StatementEquityComponen"/>
            <w:bookmarkEnd w:id="133"/>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4" w:name="xdx_4B9_us-gaap--StatementEquityComponen"/>
            <w:bookmarkEnd w:id="134"/>
          </w:p>
        </w:tc>
        <w:tc>
          <w:tcPr>
            <w:tcW w:w="1540" w:type="dxa"/>
            <w:gridSpan w:val="2"/>
            <w:tcBorders/>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5" w:name="xdx_4B2_us-gaap--StatementEquityComponen"/>
            <w:bookmarkEnd w:id="135"/>
          </w:p>
        </w:tc>
        <w:tc>
          <w:tcPr>
            <w:tcW w:w="1550" w:type="dxa"/>
            <w:gridSpan w:val="2"/>
            <w:tcBorders/>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6" w:name="xdx_4B9_zI6dUijF7UPf"/>
            <w:bookmarkEnd w:id="136"/>
          </w:p>
        </w:tc>
        <w:tc>
          <w:tcPr>
            <w:tcW w:w="148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b/>
              </w:rPr>
            </w:pPr>
            <w:r>
              <w:rPr>
                <w:b/>
              </w:rPr>
              <w:t>Harrow,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b/>
              </w:rPr>
            </w:pPr>
            <w:r>
              <w:rPr>
                <w:b/>
              </w:rPr>
              <w:t>Par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b/>
              </w:rPr>
            </w:pPr>
            <w:r>
              <w:rPr>
                <w:b/>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37" w:name="xdx_43C_c20230101__20230930_eus-gaap--St"/>
            <w:bookmarkEnd w:id="137"/>
          </w:p>
        </w:tc>
      </w:tr>
      <w:tr>
        <w:trPr/>
        <w:tc>
          <w:tcPr>
            <w:tcW w:w="1340" w:type="dxa"/>
            <w:tcBorders/>
            <w:shd w:fill="CCEEFF" w:val="clear"/>
            <w:vAlign w:val="center"/>
          </w:tcPr>
          <w:p>
            <w:pPr>
              <w:pStyle w:val="TableContents"/>
              <w:bidi w:val="0"/>
              <w:spacing w:before="0" w:after="283"/>
              <w:jc w:val="left"/>
              <w:rPr/>
            </w:pPr>
            <w:r>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8" w:name="xdx_988_eus-gaap--SharesOutstanding_iS_c"/>
            <w:bookmarkEnd w:id="138"/>
          </w:p>
        </w:tc>
        <w:tc>
          <w:tcPr>
            <w:tcW w:w="1100" w:type="dxa"/>
            <w:tcBorders/>
            <w:shd w:fill="CCEEFF" w:val="clear"/>
            <w:vAlign w:val="center"/>
          </w:tcPr>
          <w:p>
            <w:pPr>
              <w:pStyle w:val="TableContents"/>
              <w:bidi w:val="0"/>
              <w:spacing w:before="0" w:after="283"/>
              <w:jc w:val="right"/>
              <w:rPr/>
            </w:pPr>
            <w:r>
              <w:rPr/>
              <w:t>29,901,530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137,058,000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(109,493,000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27,595,000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337"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27,240,000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9" w:name="xdx_405_eus-gaap--StockIssuedDuringPerio"/>
            <w:bookmarkEnd w:id="139"/>
          </w:p>
        </w:tc>
      </w:tr>
      <w:tr>
        <w:trPr/>
        <w:tc>
          <w:tcPr>
            <w:tcW w:w="1340" w:type="dxa"/>
            <w:tcBorders/>
            <w:shd w:fill="FFFFFF" w:val="clear"/>
            <w:vAlign w:val="center"/>
          </w:tcPr>
          <w:p>
            <w:pPr>
              <w:pStyle w:val="TableContents"/>
              <w:bidi w:val="0"/>
              <w:spacing w:before="0" w:after="283"/>
              <w:jc w:val="left"/>
              <w:rPr/>
            </w:pPr>
            <w:r>
              <w:rPr/>
              <w:t>Public offering, net of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0" w:name="xdx_98E_eus-gaap--StockIssuedDuringPerio"/>
            <w:bookmarkEnd w:id="140"/>
          </w:p>
        </w:tc>
        <w:tc>
          <w:tcPr>
            <w:tcW w:w="1100" w:type="dxa"/>
            <w:tcBorders/>
            <w:shd w:fill="FFFFFF" w:val="clear"/>
            <w:vAlign w:val="center"/>
          </w:tcPr>
          <w:p>
            <w:pPr>
              <w:pStyle w:val="TableContents"/>
              <w:bidi w:val="0"/>
              <w:spacing w:before="0" w:after="283"/>
              <w:jc w:val="right"/>
              <w:rPr/>
            </w:pPr>
            <w:r>
              <w:rPr/>
              <w:t>3,887,324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64,516,000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64,520,000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64,520,000</w:t>
            </w:r>
          </w:p>
        </w:tc>
        <w:tc>
          <w:tcPr>
            <w:tcW w:w="110" w:type="dxa"/>
            <w:tcBorders/>
            <w:shd w:fill="FFFFFF" w:val="clear"/>
            <w:vAlign w:val="center"/>
          </w:tcPr>
          <w:p>
            <w:pPr>
              <w:pStyle w:val="TableContents"/>
              <w:bidi w:val="0"/>
              <w:spacing w:before="0" w:after="283"/>
              <w:jc w:val="left"/>
              <w:rPr/>
            </w:pPr>
            <w:r>
              <w:rPr/>
              <w:t> </w:t>
            </w:r>
            <w:bookmarkStart w:id="141" w:name="xdx_403_eus-gaap--StockIssuedDuringPerio"/>
            <w:bookmarkEnd w:id="141"/>
          </w:p>
        </w:tc>
      </w:tr>
      <w:tr>
        <w:trPr/>
        <w:tc>
          <w:tcPr>
            <w:tcW w:w="1340" w:type="dxa"/>
            <w:tcBorders/>
            <w:shd w:fill="CCEEFF" w:val="clear"/>
            <w:vAlign w:val="center"/>
          </w:tcPr>
          <w:p>
            <w:pPr>
              <w:pStyle w:val="TableContents"/>
              <w:bidi w:val="0"/>
              <w:spacing w:before="0" w:after="283"/>
              <w:jc w:val="left"/>
              <w:rPr/>
            </w:pPr>
            <w:r>
              <w:rPr/>
              <w:t>Exercise of consultant stock-based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1_eus-gaap--StockIssuedDuringPerio"/>
            <w:bookmarkEnd w:id="142"/>
          </w:p>
        </w:tc>
        <w:tc>
          <w:tcPr>
            <w:tcW w:w="1100" w:type="dxa"/>
            <w:tcBorders/>
            <w:shd w:fill="CCEEFF" w:val="clear"/>
            <w:vAlign w:val="center"/>
          </w:tcPr>
          <w:p>
            <w:pPr>
              <w:pStyle w:val="TableContents"/>
              <w:bidi w:val="0"/>
              <w:spacing w:before="0" w:after="283"/>
              <w:jc w:val="right"/>
              <w:rPr/>
            </w:pPr>
            <w:r>
              <w:rPr/>
              <w:t>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85,000</w:t>
            </w:r>
          </w:p>
        </w:tc>
        <w:tc>
          <w:tcPr>
            <w:tcW w:w="110" w:type="dxa"/>
            <w:tcBorders/>
            <w:shd w:fill="CCEEFF" w:val="clear"/>
            <w:vAlign w:val="center"/>
          </w:tcPr>
          <w:p>
            <w:pPr>
              <w:pStyle w:val="TableContents"/>
              <w:bidi w:val="0"/>
              <w:spacing w:before="0" w:after="283"/>
              <w:jc w:val="left"/>
              <w:rPr/>
            </w:pPr>
            <w:r>
              <w:rPr/>
              <w:t> </w:t>
            </w:r>
            <w:bookmarkStart w:id="143" w:name="xdx_40C_eus-gaap--StockIssuedDuringPerio"/>
            <w:bookmarkEnd w:id="143"/>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4" w:name="xdx_98A_eus-gaap--StockIssuedDuringPerio"/>
            <w:bookmarkEnd w:id="144"/>
          </w:p>
        </w:tc>
        <w:tc>
          <w:tcPr>
            <w:tcW w:w="1100" w:type="dxa"/>
            <w:tcBorders/>
            <w:shd w:fill="FFFFFF" w:val="clear"/>
            <w:vAlign w:val="center"/>
          </w:tcPr>
          <w:p>
            <w:pPr>
              <w:pStyle w:val="TableContents"/>
              <w:bidi w:val="0"/>
              <w:spacing w:before="0" w:after="283"/>
              <w:jc w:val="right"/>
              <w:rPr/>
            </w:pPr>
            <w:r>
              <w:rPr/>
              <w:t>219,246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270,000</w:t>
            </w:r>
          </w:p>
        </w:tc>
        <w:tc>
          <w:tcPr>
            <w:tcW w:w="110" w:type="dxa"/>
            <w:tcBorders/>
            <w:shd w:fill="FFFFFF" w:val="clear"/>
            <w:vAlign w:val="center"/>
          </w:tcPr>
          <w:p>
            <w:pPr>
              <w:pStyle w:val="TableContents"/>
              <w:bidi w:val="0"/>
              <w:spacing w:before="0" w:after="283"/>
              <w:jc w:val="left"/>
              <w:rPr/>
            </w:pPr>
            <w:r>
              <w:rPr/>
              <w:t> </w:t>
            </w:r>
            <w:bookmarkStart w:id="145" w:name="xdx_404_ecustom--StockIssuedDuringPeriod"/>
            <w:bookmarkEnd w:id="145"/>
          </w:p>
        </w:tc>
      </w:tr>
      <w:tr>
        <w:trPr/>
        <w:tc>
          <w:tcPr>
            <w:tcW w:w="1340" w:type="dxa"/>
            <w:tcBorders/>
            <w:shd w:fill="CCEEFF" w:val="clear"/>
            <w:vAlign w:val="center"/>
          </w:tcPr>
          <w:p>
            <w:pPr>
              <w:pStyle w:val="TableContents"/>
              <w:bidi w:val="0"/>
              <w:spacing w:before="0" w:after="283"/>
              <w:jc w:val="left"/>
              <w:rPr/>
            </w:pPr>
            <w:r>
              <w:rPr/>
              <w:t>Vesting of RSUs and PSUs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 w:name="xdx_983_ecustom--StockIssuedDuringPeriod"/>
            <w:bookmarkEnd w:id="146"/>
          </w:p>
        </w:tc>
        <w:tc>
          <w:tcPr>
            <w:tcW w:w="1100" w:type="dxa"/>
            <w:tcBorders/>
            <w:shd w:fill="CCEEFF" w:val="clear"/>
            <w:vAlign w:val="center"/>
          </w:tcPr>
          <w:p>
            <w:pPr>
              <w:pStyle w:val="TableContents"/>
              <w:bidi w:val="0"/>
              <w:spacing w:before="0" w:after="283"/>
              <w:jc w:val="right"/>
              <w:rPr/>
            </w:pPr>
            <w:r>
              <w:rPr/>
              <w:t>1,810,673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7" w:name="xdx_401_eus-gaap--StockIssuedDuringPerio"/>
            <w:bookmarkEnd w:id="147"/>
          </w:p>
        </w:tc>
      </w:tr>
      <w:tr>
        <w:trPr/>
        <w:tc>
          <w:tcPr>
            <w:tcW w:w="1340" w:type="dxa"/>
            <w:tcBorders/>
            <w:shd w:fill="FFFFFF" w:val="clear"/>
            <w:vAlign w:val="center"/>
          </w:tcPr>
          <w:p>
            <w:pPr>
              <w:pStyle w:val="TableContents"/>
              <w:bidi w:val="0"/>
              <w:spacing w:before="0" w:after="283"/>
              <w:jc w:val="left"/>
              <w:rPr/>
            </w:pPr>
            <w:r>
              <w:rPr/>
              <w:t>Shares withheld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8" w:name="xdx_983_eus-gaap--StockIssuedDuringPerio"/>
            <w:bookmarkEnd w:id="148"/>
          </w:p>
        </w:tc>
        <w:tc>
          <w:tcPr>
            <w:tcW w:w="1100" w:type="dxa"/>
            <w:tcBorders/>
            <w:shd w:fill="FFFFFF" w:val="clear"/>
            <w:vAlign w:val="center"/>
          </w:tcPr>
          <w:p>
            <w:pPr>
              <w:pStyle w:val="TableContents"/>
              <w:bidi w:val="0"/>
              <w:spacing w:before="0" w:after="283"/>
              <w:jc w:val="right"/>
              <w:rPr/>
            </w:pPr>
            <w:r>
              <w:rPr/>
              <w:t>(711,152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(12,970,000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(12,971,000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(12,971,000</w:t>
            </w:r>
          </w:p>
        </w:tc>
        <w:tc>
          <w:tcPr>
            <w:tcW w:w="110" w:type="dxa"/>
            <w:tcBorders/>
            <w:shd w:fill="FFFFFF" w:val="clear"/>
            <w:vAlign w:val="center"/>
          </w:tcPr>
          <w:p>
            <w:pPr>
              <w:pStyle w:val="TableContents"/>
              <w:bidi w:val="0"/>
              <w:spacing w:before="0" w:after="283"/>
              <w:jc w:val="left"/>
              <w:rPr/>
            </w:pPr>
            <w:r>
              <w:rPr/>
              <w:t>)</w:t>
            </w:r>
            <w:bookmarkStart w:id="149" w:name="xdx_40E_eus-gaap--AdjustmentsToAdditiona"/>
            <w:bookmarkEnd w:id="149"/>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11,521,000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11,521,000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11,521,000</w:t>
            </w:r>
          </w:p>
        </w:tc>
        <w:tc>
          <w:tcPr>
            <w:tcW w:w="110" w:type="dxa"/>
            <w:tcBorders/>
            <w:shd w:fill="CCEEFF" w:val="clear"/>
            <w:vAlign w:val="center"/>
          </w:tcPr>
          <w:p>
            <w:pPr>
              <w:pStyle w:val="TableContents"/>
              <w:bidi w:val="0"/>
              <w:spacing w:before="0" w:after="283"/>
              <w:jc w:val="left"/>
              <w:rPr/>
            </w:pPr>
            <w:r>
              <w:rPr/>
              <w:t> </w:t>
            </w:r>
            <w:bookmarkStart w:id="150" w:name="xdx_40C_eus-gaap--NetIncomeLoss_zJlPaFRQ"/>
            <w:bookmarkEnd w:id="150"/>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(15,263,000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(15,263,000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FFFFFF" w:val="clear"/>
            <w:tcMar>
              <w:bottom w:w="28" w:type="dxa"/>
            </w:tcMar>
            <w:vAlign w:val="center"/>
          </w:tcPr>
          <w:p>
            <w:pPr>
              <w:pStyle w:val="TableContents"/>
              <w:bidi w:val="0"/>
              <w:spacing w:before="0" w:after="283"/>
              <w:jc w:val="right"/>
              <w:rPr/>
            </w:pPr>
            <w:r>
              <w:rPr/>
              <w:t>(15,263,000</w:t>
            </w:r>
          </w:p>
        </w:tc>
        <w:tc>
          <w:tcPr>
            <w:tcW w:w="110" w:type="dxa"/>
            <w:tcBorders/>
            <w:shd w:fill="FFFFFF" w:val="clear"/>
            <w:vAlign w:val="center"/>
          </w:tcPr>
          <w:p>
            <w:pPr>
              <w:pStyle w:val="TableContents"/>
              <w:bidi w:val="0"/>
              <w:spacing w:before="0" w:after="283"/>
              <w:jc w:val="left"/>
              <w:rPr/>
            </w:pPr>
            <w:r>
              <w:rPr/>
              <w:t>)</w:t>
            </w:r>
            <w:bookmarkStart w:id="151" w:name="xdx_436_c20230101__20230930_eus-gaap--St"/>
            <w:bookmarkEnd w:id="151"/>
          </w:p>
        </w:tc>
      </w:tr>
      <w:tr>
        <w:trPr/>
        <w:tc>
          <w:tcPr>
            <w:tcW w:w="1340" w:type="dxa"/>
            <w:tcBorders/>
            <w:shd w:fill="CCEEFF" w:val="clear"/>
            <w:vAlign w:val="center"/>
          </w:tcPr>
          <w:p>
            <w:pPr>
              <w:pStyle w:val="TableContents"/>
              <w:bidi w:val="0"/>
              <w:spacing w:before="0" w:after="283"/>
              <w:jc w:val="left"/>
              <w:rPr/>
            </w:pPr>
            <w:r>
              <w:rPr/>
              <w:t>Balance at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2" w:name="xdx_98E_eus-gaap--SharesOutstanding_iE_c"/>
            <w:bookmarkEnd w:id="15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35,117,621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200,478,000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(124,756,000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75,757,000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jc w:val="right"/>
              <w:rPr/>
            </w:pPr>
            <w:r>
              <w:rPr/>
              <w:t>75,402,000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3" w:name="xdx_434_c20240101__20240930_eus-gaap--St"/>
            <w:bookmarkEnd w:id="153"/>
          </w:p>
        </w:tc>
      </w:tr>
      <w:tr>
        <w:trPr/>
        <w:tc>
          <w:tcPr>
            <w:tcW w:w="1340"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 w:name="xdx_98A_eus-gaap--SharesOutstanding_iS_c"/>
            <w:bookmarkEnd w:id="154"/>
          </w:p>
        </w:tc>
        <w:tc>
          <w:tcPr>
            <w:tcW w:w="1100" w:type="dxa"/>
            <w:tcBorders/>
            <w:shd w:fill="CCEEFF" w:val="clear"/>
            <w:vAlign w:val="center"/>
          </w:tcPr>
          <w:p>
            <w:pPr>
              <w:pStyle w:val="TableContents"/>
              <w:bidi w:val="0"/>
              <w:spacing w:before="0" w:after="283"/>
              <w:jc w:val="right"/>
              <w:rPr/>
            </w:pPr>
            <w:r>
              <w:rPr/>
              <w:t>35,168,260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204,635,000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(133,904,000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70,766,000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337"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70,411,000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Issuance of common stock in connection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5" w:name="xdx_40B_eus-gaap--StockIssuedDuringPerio"/>
            <w:bookmarkEnd w:id="155"/>
          </w:p>
        </w:tc>
      </w:tr>
      <w:tr>
        <w:trPr/>
        <w:tc>
          <w:tcPr>
            <w:tcW w:w="1340" w:type="dxa"/>
            <w:tcBorders/>
            <w:shd w:fill="CCEEFF" w:val="clear"/>
            <w:vAlign w:val="center"/>
          </w:tcPr>
          <w:p>
            <w:pPr>
              <w:pStyle w:val="TableContents"/>
              <w:bidi w:val="0"/>
              <w:spacing w:before="0" w:after="283"/>
              <w:jc w:val="left"/>
              <w:rPr/>
            </w:pPr>
            <w:r>
              <w:rPr/>
              <w:t>Exercise of employee stock-based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6_eus-gaap--StockIssuedDuringPerio"/>
            <w:bookmarkEnd w:id="156"/>
          </w:p>
        </w:tc>
        <w:tc>
          <w:tcPr>
            <w:tcW w:w="1100" w:type="dxa"/>
            <w:tcBorders/>
            <w:shd w:fill="CCEEFF" w:val="clear"/>
            <w:vAlign w:val="center"/>
          </w:tcPr>
          <w:p>
            <w:pPr>
              <w:pStyle w:val="TableContents"/>
              <w:bidi w:val="0"/>
              <w:spacing w:before="0" w:after="283"/>
              <w:jc w:val="right"/>
              <w:rPr/>
            </w:pPr>
            <w:r>
              <w:rPr/>
              <w:t>248,175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1,005,000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1,005,000</w:t>
            </w:r>
          </w:p>
        </w:tc>
        <w:tc>
          <w:tcPr>
            <w:tcW w:w="110" w:type="dxa"/>
            <w:tcBorders/>
            <w:shd w:fill="CCEEFF" w:val="clear"/>
            <w:vAlign w:val="center"/>
          </w:tcPr>
          <w:p>
            <w:pPr>
              <w:pStyle w:val="TableContents"/>
              <w:bidi w:val="0"/>
              <w:spacing w:before="0" w:after="283"/>
              <w:jc w:val="left"/>
              <w:rPr/>
            </w:pPr>
            <w:r>
              <w:rPr/>
              <w:t> </w:t>
            </w:r>
            <w:bookmarkStart w:id="157" w:name="xdx_400_eus-gaap--StockIssuedDuringPerio"/>
            <w:bookmarkEnd w:id="157"/>
          </w:p>
        </w:tc>
      </w:tr>
      <w:tr>
        <w:trPr/>
        <w:tc>
          <w:tcPr>
            <w:tcW w:w="1340" w:type="dxa"/>
            <w:tcBorders/>
            <w:shd w:fill="FFFFFF" w:val="clear"/>
            <w:vAlign w:val="center"/>
          </w:tcPr>
          <w:p>
            <w:pPr>
              <w:pStyle w:val="TableContents"/>
              <w:bidi w:val="0"/>
              <w:spacing w:before="0" w:after="283"/>
              <w:jc w:val="left"/>
              <w:rPr/>
            </w:pPr>
            <w:r>
              <w:rPr/>
              <w:t>Vesting of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8" w:name="xdx_98E_eus-gaap--StockIssuedDuringPerio"/>
            <w:bookmarkEnd w:id="158"/>
          </w:p>
        </w:tc>
        <w:tc>
          <w:tcPr>
            <w:tcW w:w="1100" w:type="dxa"/>
            <w:tcBorders/>
            <w:shd w:fill="FFFFFF" w:val="clear"/>
            <w:vAlign w:val="center"/>
          </w:tcPr>
          <w:p>
            <w:pPr>
              <w:pStyle w:val="TableContents"/>
              <w:bidi w:val="0"/>
              <w:spacing w:before="0" w:after="283"/>
              <w:jc w:val="right"/>
              <w:rPr/>
            </w:pPr>
            <w:r>
              <w:rPr/>
              <w:t>332,517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9" w:name="xdx_40A_eus-gaap--StockIssuedDuringPerio"/>
            <w:bookmarkEnd w:id="159"/>
          </w:p>
        </w:tc>
      </w:tr>
      <w:tr>
        <w:trPr/>
        <w:tc>
          <w:tcPr>
            <w:tcW w:w="1340" w:type="dxa"/>
            <w:tcBorders/>
            <w:shd w:fill="CCEEFF" w:val="clear"/>
            <w:vAlign w:val="center"/>
          </w:tcPr>
          <w:p>
            <w:pPr>
              <w:pStyle w:val="TableContents"/>
              <w:bidi w:val="0"/>
              <w:spacing w:before="0" w:after="283"/>
              <w:jc w:val="left"/>
              <w:rPr/>
            </w:pPr>
            <w:r>
              <w:rPr/>
              <w:t>Shares withheld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0" w:name="xdx_986_eus-gaap--StockIssuedDuringPerio"/>
            <w:bookmarkEnd w:id="160"/>
          </w:p>
        </w:tc>
        <w:tc>
          <w:tcPr>
            <w:tcW w:w="1100" w:type="dxa"/>
            <w:tcBorders/>
            <w:shd w:fill="CCEEFF" w:val="clear"/>
            <w:vAlign w:val="center"/>
          </w:tcPr>
          <w:p>
            <w:pPr>
              <w:pStyle w:val="TableContents"/>
              <w:bidi w:val="0"/>
              <w:spacing w:before="0" w:after="283"/>
              <w:jc w:val="right"/>
              <w:rPr/>
            </w:pPr>
            <w:r>
              <w:rPr/>
              <w:t>(137,587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(2,362,000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(2,362,000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(2,362,000</w:t>
            </w:r>
          </w:p>
        </w:tc>
        <w:tc>
          <w:tcPr>
            <w:tcW w:w="110" w:type="dxa"/>
            <w:tcBorders/>
            <w:shd w:fill="CCEEFF" w:val="clear"/>
            <w:vAlign w:val="center"/>
          </w:tcPr>
          <w:p>
            <w:pPr>
              <w:pStyle w:val="TableContents"/>
              <w:bidi w:val="0"/>
              <w:spacing w:before="0" w:after="283"/>
              <w:jc w:val="left"/>
              <w:rPr/>
            </w:pPr>
            <w:r>
              <w:rPr/>
              <w:t>)</w:t>
            </w:r>
            <w:bookmarkStart w:id="161" w:name="xdx_409_eus-gaap--AdjustmentsToAdditiona"/>
            <w:bookmarkEnd w:id="161"/>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12,825,000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12,825,000</w:t>
            </w:r>
          </w:p>
        </w:tc>
        <w:tc>
          <w:tcPr>
            <w:tcW w:w="110" w:type="dxa"/>
            <w:tcBorders/>
            <w:shd w:fill="FFFFFF" w:val="clear"/>
            <w:vAlign w:val="center"/>
          </w:tcPr>
          <w:p>
            <w:pPr>
              <w:pStyle w:val="TableContents"/>
              <w:bidi w:val="0"/>
              <w:spacing w:before="0" w:after="283"/>
              <w:jc w:val="left"/>
              <w:rPr/>
            </w:pPr>
            <w:r>
              <w:rPr/>
              <w:t> </w:t>
            </w:r>
            <w:bookmarkStart w:id="162" w:name="xdx_401_eus-gaap--NetIncomeLoss_zCHPQt1C"/>
            <w:bookmarkEnd w:id="162"/>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(24,258,000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pPr>
            <w:r>
              <w:rPr/>
              <w:t>(24,258,000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r>
              <w:rPr/>
              <w:t>(24,258,000</w:t>
            </w:r>
          </w:p>
        </w:tc>
        <w:tc>
          <w:tcPr>
            <w:tcW w:w="110" w:type="dxa"/>
            <w:tcBorders/>
            <w:shd w:fill="CCEEFF" w:val="clear"/>
            <w:vAlign w:val="center"/>
          </w:tcPr>
          <w:p>
            <w:pPr>
              <w:pStyle w:val="TableContents"/>
              <w:bidi w:val="0"/>
              <w:spacing w:before="0" w:after="283"/>
              <w:jc w:val="left"/>
              <w:rPr/>
            </w:pPr>
            <w:r>
              <w:rPr/>
              <w:t>)</w:t>
            </w:r>
            <w:bookmarkStart w:id="163" w:name="xdx_437_c20240101__20240930_eus-gaap--St"/>
            <w:bookmarkEnd w:id="163"/>
          </w:p>
        </w:tc>
      </w:tr>
      <w:tr>
        <w:trPr/>
        <w:tc>
          <w:tcPr>
            <w:tcW w:w="1340" w:type="dxa"/>
            <w:tcBorders/>
            <w:shd w:fill="FFFFFF" w:val="clear"/>
            <w:vAlign w:val="center"/>
          </w:tcPr>
          <w:p>
            <w:pPr>
              <w:pStyle w:val="TableContents"/>
              <w:bidi w:val="0"/>
              <w:spacing w:before="0" w:after="283"/>
              <w:jc w:val="left"/>
              <w:rPr/>
            </w:pPr>
            <w:r>
              <w:rPr/>
              <w:t>Balance at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4" w:name="xdx_989_eus-gaap--SharesOutstanding_iE_c"/>
            <w:bookmarkEnd w:id="164"/>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35,611,365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216,103,000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(158,162,000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pPr>
            <w:r>
              <w:rPr/>
              <w:t>57,976,000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r>
              <w:rPr/>
              <w:t>57,621,000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725"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95"/>
        <w:gridCol w:w="60"/>
        <w:gridCol w:w="140"/>
        <w:gridCol w:w="1220"/>
        <w:gridCol w:w="95"/>
        <w:gridCol w:w="60"/>
        <w:gridCol w:w="140"/>
        <w:gridCol w:w="1295"/>
        <w:gridCol w:w="95"/>
        <w:gridCol w:w="60"/>
        <w:gridCol w:w="140"/>
        <w:gridCol w:w="1340"/>
        <w:gridCol w:w="95"/>
        <w:gridCol w:w="60"/>
        <w:gridCol w:w="213"/>
        <w:gridCol w:w="1337"/>
        <w:gridCol w:w="95"/>
        <w:gridCol w:w="60"/>
        <w:gridCol w:w="140"/>
        <w:gridCol w:w="1340"/>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5" w:name="xdx_4B7_us-gaap--StatementEquityComponen"/>
            <w:bookmarkEnd w:id="165"/>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6" w:name="xdx_4B5_us-gaap--StatementEquityComponen"/>
            <w:bookmarkEnd w:id="166"/>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7" w:name="xdx_4BE_us-gaap--StatementEquityComponen"/>
            <w:bookmarkEnd w:id="167"/>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8" w:name="xdx_4BB_us-gaap--StatementEquityComponen"/>
            <w:bookmarkEnd w:id="168"/>
          </w:p>
        </w:tc>
        <w:tc>
          <w:tcPr>
            <w:tcW w:w="1480" w:type="dxa"/>
            <w:gridSpan w:val="2"/>
            <w:tcBorders/>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9" w:name="xdx_4B2_us-gaap--StatementEquityComponen"/>
            <w:bookmarkEnd w:id="169"/>
          </w:p>
        </w:tc>
        <w:tc>
          <w:tcPr>
            <w:tcW w:w="1550" w:type="dxa"/>
            <w:gridSpan w:val="2"/>
            <w:tcBorders/>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0" w:name="xdx_4B9_zBmP6MkUmvHi"/>
            <w:bookmarkEnd w:id="170"/>
          </w:p>
        </w:tc>
        <w:tc>
          <w:tcPr>
            <w:tcW w:w="148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Harrow,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b/>
              </w:rPr>
            </w:pPr>
            <w:r>
              <w:rPr>
                <w:b/>
              </w:rPr>
              <w:t>Par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71" w:name="xdx_434_c20230701__20230930_eus-gaap--St"/>
            <w:bookmarkEnd w:id="171"/>
          </w:p>
        </w:tc>
      </w:tr>
      <w:tr>
        <w:trPr/>
        <w:tc>
          <w:tcPr>
            <w:tcW w:w="1340" w:type="dxa"/>
            <w:tcBorders/>
            <w:shd w:fill="CCEEFF" w:val="clear"/>
            <w:vAlign w:val="center"/>
          </w:tcPr>
          <w:p>
            <w:pPr>
              <w:pStyle w:val="TableContents"/>
              <w:bidi w:val="0"/>
              <w:spacing w:before="0" w:after="283"/>
              <w:jc w:val="left"/>
              <w:rPr/>
            </w:pPr>
            <w:r>
              <w:rPr/>
              <w:t>Balance at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 w:name="xdx_983_eus-gaap--SharesOutstanding_iS_c"/>
            <w:bookmarkEnd w:id="172"/>
          </w:p>
        </w:tc>
        <w:tc>
          <w:tcPr>
            <w:tcW w:w="1100" w:type="dxa"/>
            <w:tcBorders/>
            <w:shd w:fill="CCEEFF" w:val="clear"/>
            <w:vAlign w:val="center"/>
          </w:tcPr>
          <w:p>
            <w:pPr>
              <w:pStyle w:val="TableContents"/>
              <w:bidi w:val="0"/>
              <w:spacing w:before="0" w:after="283"/>
              <w:jc w:val="right"/>
              <w:rPr/>
            </w:pPr>
            <w:r>
              <w:rPr/>
              <w:t>30,276,938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142,742,000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(120,365,000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22,407,000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337"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22,052,000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3" w:name="xdx_405_eus-gaap--StockIssuedDuringPerio"/>
            <w:bookmarkEnd w:id="173"/>
          </w:p>
        </w:tc>
      </w:tr>
      <w:tr>
        <w:trPr/>
        <w:tc>
          <w:tcPr>
            <w:tcW w:w="1340" w:type="dxa"/>
            <w:tcBorders/>
            <w:shd w:fill="FFFFFF" w:val="clear"/>
            <w:vAlign w:val="center"/>
          </w:tcPr>
          <w:p>
            <w:pPr>
              <w:pStyle w:val="TableContents"/>
              <w:bidi w:val="0"/>
              <w:spacing w:before="0" w:after="283"/>
              <w:jc w:val="left"/>
              <w:rPr/>
            </w:pPr>
            <w:r>
              <w:rPr/>
              <w:t>Public offering, net of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4" w:name="xdx_988_eus-gaap--StockIssuedDuringPerio"/>
            <w:bookmarkEnd w:id="174"/>
          </w:p>
        </w:tc>
        <w:tc>
          <w:tcPr>
            <w:tcW w:w="1100" w:type="dxa"/>
            <w:tcBorders/>
            <w:shd w:fill="FFFFFF" w:val="clear"/>
            <w:vAlign w:val="center"/>
          </w:tcPr>
          <w:p>
            <w:pPr>
              <w:pStyle w:val="TableContents"/>
              <w:bidi w:val="0"/>
              <w:spacing w:before="0" w:after="283"/>
              <w:jc w:val="right"/>
              <w:rPr/>
            </w:pPr>
            <w:r>
              <w:rPr/>
              <w:t>3,887,324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64,516,000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64,520,000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64,520,000</w:t>
            </w:r>
          </w:p>
        </w:tc>
        <w:tc>
          <w:tcPr>
            <w:tcW w:w="110" w:type="dxa"/>
            <w:tcBorders/>
            <w:shd w:fill="FFFFFF" w:val="clear"/>
            <w:vAlign w:val="center"/>
          </w:tcPr>
          <w:p>
            <w:pPr>
              <w:pStyle w:val="TableContents"/>
              <w:bidi w:val="0"/>
              <w:spacing w:before="0" w:after="283"/>
              <w:jc w:val="left"/>
              <w:rPr/>
            </w:pPr>
            <w:r>
              <w:rPr/>
              <w:t> </w:t>
            </w:r>
            <w:bookmarkStart w:id="175" w:name="xdx_40C_eus-gaap--StockIssuedDuringPerio"/>
            <w:bookmarkEnd w:id="175"/>
          </w:p>
        </w:tc>
      </w:tr>
      <w:tr>
        <w:trPr/>
        <w:tc>
          <w:tcPr>
            <w:tcW w:w="1340" w:type="dxa"/>
            <w:tcBorders/>
            <w:shd w:fill="CCEEFF" w:val="clear"/>
            <w:vAlign w:val="center"/>
          </w:tcPr>
          <w:p>
            <w:pPr>
              <w:pStyle w:val="TableContents"/>
              <w:bidi w:val="0"/>
              <w:spacing w:before="0" w:after="283"/>
              <w:jc w:val="left"/>
              <w:rPr/>
            </w:pPr>
            <w:r>
              <w:rPr/>
              <w:t>Exercise of employee stock-based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 w:name="xdx_98F_eus-gaap--StockIssuedDuringPerio"/>
            <w:bookmarkEnd w:id="176"/>
          </w:p>
        </w:tc>
        <w:tc>
          <w:tcPr>
            <w:tcW w:w="1100" w:type="dxa"/>
            <w:tcBorders/>
            <w:shd w:fill="CCEEFF" w:val="clear"/>
            <w:vAlign w:val="center"/>
          </w:tcPr>
          <w:p>
            <w:pPr>
              <w:pStyle w:val="TableContents"/>
              <w:bidi w:val="0"/>
              <w:spacing w:before="0" w:after="283"/>
              <w:jc w:val="right"/>
              <w:rPr/>
            </w:pPr>
            <w:r>
              <w:rPr/>
              <w:t>2,430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18,000</w:t>
            </w:r>
          </w:p>
        </w:tc>
        <w:tc>
          <w:tcPr>
            <w:tcW w:w="110" w:type="dxa"/>
            <w:tcBorders/>
            <w:shd w:fill="CCEEFF" w:val="clear"/>
            <w:vAlign w:val="center"/>
          </w:tcPr>
          <w:p>
            <w:pPr>
              <w:pStyle w:val="TableContents"/>
              <w:bidi w:val="0"/>
              <w:spacing w:before="0" w:after="283"/>
              <w:jc w:val="left"/>
              <w:rPr/>
            </w:pPr>
            <w:r>
              <w:rPr/>
              <w:t> </w:t>
            </w:r>
            <w:bookmarkStart w:id="177" w:name="xdx_40F_ecustom--StockIssuedDuringPeriod"/>
            <w:bookmarkEnd w:id="177"/>
          </w:p>
        </w:tc>
      </w:tr>
      <w:tr>
        <w:trPr/>
        <w:tc>
          <w:tcPr>
            <w:tcW w:w="1340" w:type="dxa"/>
            <w:tcBorders/>
            <w:shd w:fill="FFFFFF" w:val="clear"/>
            <w:vAlign w:val="center"/>
          </w:tcPr>
          <w:p>
            <w:pPr>
              <w:pStyle w:val="TableContents"/>
              <w:bidi w:val="0"/>
              <w:spacing w:before="0" w:after="283"/>
              <w:jc w:val="left"/>
              <w:rPr/>
            </w:pPr>
            <w:r>
              <w:rPr/>
              <w:t>Vesting of PSUs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 w:name="xdx_985_ecustom--StockIssuedDuringPeriod"/>
            <w:bookmarkEnd w:id="178"/>
          </w:p>
        </w:tc>
        <w:tc>
          <w:tcPr>
            <w:tcW w:w="1100" w:type="dxa"/>
            <w:tcBorders/>
            <w:shd w:fill="FFFFFF" w:val="clear"/>
            <w:vAlign w:val="center"/>
          </w:tcPr>
          <w:p>
            <w:pPr>
              <w:pStyle w:val="TableContents"/>
              <w:bidi w:val="0"/>
              <w:spacing w:before="0" w:after="283"/>
              <w:jc w:val="right"/>
              <w:rPr/>
            </w:pPr>
            <w:r>
              <w:rPr/>
              <w:t>1,567,913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9" w:name="xdx_401_eus-gaap--StockIssuedDuringPerio"/>
            <w:bookmarkEnd w:id="179"/>
          </w:p>
        </w:tc>
      </w:tr>
      <w:tr>
        <w:trPr/>
        <w:tc>
          <w:tcPr>
            <w:tcW w:w="1340" w:type="dxa"/>
            <w:tcBorders/>
            <w:shd w:fill="CCEEFF" w:val="clear"/>
            <w:vAlign w:val="center"/>
          </w:tcPr>
          <w:p>
            <w:pPr>
              <w:pStyle w:val="TableContents"/>
              <w:bidi w:val="0"/>
              <w:spacing w:before="0" w:after="283"/>
              <w:jc w:val="left"/>
              <w:rPr/>
            </w:pPr>
            <w:r>
              <w:rPr/>
              <w:t>Shares withheld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0" w:name="xdx_984_eus-gaap--StockIssuedDuringPerio"/>
            <w:bookmarkEnd w:id="180"/>
          </w:p>
        </w:tc>
        <w:tc>
          <w:tcPr>
            <w:tcW w:w="1100" w:type="dxa"/>
            <w:tcBorders/>
            <w:shd w:fill="CCEEFF" w:val="clear"/>
            <w:vAlign w:val="center"/>
          </w:tcPr>
          <w:p>
            <w:pPr>
              <w:pStyle w:val="TableContents"/>
              <w:bidi w:val="0"/>
              <w:spacing w:before="0" w:after="283"/>
              <w:jc w:val="right"/>
              <w:rPr/>
            </w:pPr>
            <w:r>
              <w:rPr/>
              <w:t>(616,984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(11,272,000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(11,273,000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(11,273,000</w:t>
            </w:r>
          </w:p>
        </w:tc>
        <w:tc>
          <w:tcPr>
            <w:tcW w:w="110" w:type="dxa"/>
            <w:tcBorders/>
            <w:shd w:fill="CCEEFF" w:val="clear"/>
            <w:vAlign w:val="center"/>
          </w:tcPr>
          <w:p>
            <w:pPr>
              <w:pStyle w:val="TableContents"/>
              <w:bidi w:val="0"/>
              <w:spacing w:before="0" w:after="283"/>
              <w:jc w:val="left"/>
              <w:rPr/>
            </w:pPr>
            <w:r>
              <w:rPr/>
              <w:t>)</w:t>
            </w:r>
            <w:bookmarkStart w:id="181" w:name="xdx_40E_eus-gaap--AdjustmentsToAdditiona"/>
            <w:bookmarkEnd w:id="181"/>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4,476,000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4,476,000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4,476,000</w:t>
            </w:r>
          </w:p>
        </w:tc>
        <w:tc>
          <w:tcPr>
            <w:tcW w:w="110" w:type="dxa"/>
            <w:tcBorders/>
            <w:shd w:fill="FFFFFF" w:val="clear"/>
            <w:vAlign w:val="center"/>
          </w:tcPr>
          <w:p>
            <w:pPr>
              <w:pStyle w:val="TableContents"/>
              <w:bidi w:val="0"/>
              <w:spacing w:before="0" w:after="283"/>
              <w:jc w:val="left"/>
              <w:rPr/>
            </w:pPr>
            <w:r>
              <w:rPr/>
              <w:t> </w:t>
            </w:r>
            <w:bookmarkStart w:id="182" w:name="xdx_40C_eus-gaap--NetIncomeLoss_zRSQxa43"/>
            <w:bookmarkEnd w:id="182"/>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(4,391,000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r>
              <w:rPr/>
              <w:t>(4,391,000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r>
              <w:rPr/>
              <w:t>(4,391,000</w:t>
            </w:r>
          </w:p>
        </w:tc>
        <w:tc>
          <w:tcPr>
            <w:tcW w:w="110" w:type="dxa"/>
            <w:tcBorders/>
            <w:shd w:fill="CCEEFF" w:val="clear"/>
            <w:vAlign w:val="center"/>
          </w:tcPr>
          <w:p>
            <w:pPr>
              <w:pStyle w:val="TableContents"/>
              <w:bidi w:val="0"/>
              <w:spacing w:before="0" w:after="283"/>
              <w:jc w:val="left"/>
              <w:rPr/>
            </w:pPr>
            <w:r>
              <w:rPr/>
              <w:t>)</w:t>
            </w:r>
            <w:bookmarkStart w:id="183" w:name="xdx_43D_c20230701__20230930_eus-gaap--St"/>
            <w:bookmarkEnd w:id="183"/>
          </w:p>
        </w:tc>
      </w:tr>
      <w:tr>
        <w:trPr/>
        <w:tc>
          <w:tcPr>
            <w:tcW w:w="1340" w:type="dxa"/>
            <w:tcBorders/>
            <w:shd w:fill="FFFFFF" w:val="clear"/>
            <w:vAlign w:val="center"/>
          </w:tcPr>
          <w:p>
            <w:pPr>
              <w:pStyle w:val="TableContents"/>
              <w:bidi w:val="0"/>
              <w:spacing w:before="0" w:after="283"/>
              <w:jc w:val="left"/>
              <w:rPr/>
            </w:pPr>
            <w:r>
              <w:rPr/>
              <w:t>Balance at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4" w:name="xdx_988_eus-gaap--SharesOutstanding_iE_c"/>
            <w:bookmarkEnd w:id="184"/>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35,117,621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200,478,000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(124,756,000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r>
              <w:rPr/>
              <w:t>75,757,000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r>
              <w:rPr/>
              <w:t>75,402,000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5" w:name="xdx_436_c20240701__20240930_eus-gaap--St"/>
            <w:bookmarkEnd w:id="185"/>
          </w:p>
        </w:tc>
      </w:tr>
      <w:tr>
        <w:trPr/>
        <w:tc>
          <w:tcPr>
            <w:tcW w:w="1340" w:type="dxa"/>
            <w:tcBorders/>
            <w:shd w:fill="FFFFFF" w:val="clear"/>
            <w:vAlign w:val="center"/>
          </w:tcPr>
          <w:p>
            <w:pPr>
              <w:pStyle w:val="TableContents"/>
              <w:bidi w:val="0"/>
              <w:spacing w:before="0" w:after="283"/>
              <w:jc w:val="left"/>
              <w:rPr/>
            </w:pPr>
            <w:r>
              <w:rPr/>
              <w:t>Balance at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6" w:name="xdx_98F_eus-gaap--SharesOutstanding_iS_c"/>
            <w:bookmarkEnd w:id="186"/>
          </w:p>
        </w:tc>
        <w:tc>
          <w:tcPr>
            <w:tcW w:w="1100" w:type="dxa"/>
            <w:tcBorders/>
            <w:shd w:fill="FFFFFF" w:val="clear"/>
            <w:vAlign w:val="center"/>
          </w:tcPr>
          <w:p>
            <w:pPr>
              <w:pStyle w:val="TableContents"/>
              <w:bidi w:val="0"/>
              <w:spacing w:before="0" w:after="283"/>
              <w:jc w:val="right"/>
              <w:rPr/>
            </w:pPr>
            <w:r>
              <w:rPr/>
              <w:t>35,479,492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212,439,000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(153,942,000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58,532,000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337" w:type="dxa"/>
            <w:tcBorders/>
            <w:shd w:fill="FFFFFF" w:val="cle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58,177,000</w:t>
            </w:r>
          </w:p>
        </w:tc>
        <w:tc>
          <w:tcPr>
            <w:tcW w:w="110" w:type="dxa"/>
            <w:tcBorders/>
            <w:shd w:fill="FFFFFF" w:val="clear"/>
            <w:vAlign w:val="center"/>
          </w:tcPr>
          <w:p>
            <w:pPr>
              <w:pStyle w:val="TableContents"/>
              <w:bidi w:val="0"/>
              <w:spacing w:before="0" w:after="283"/>
              <w:jc w:val="left"/>
              <w:rPr/>
            </w:pPr>
            <w:r>
              <w:rPr/>
              <w:t> </w:t>
            </w:r>
            <w:bookmarkStart w:id="187" w:name="xdx_43E_c20240701__20240930_eus-gaap--St"/>
            <w:bookmarkEnd w:id="187"/>
          </w:p>
        </w:tc>
      </w:tr>
      <w:tr>
        <w:trPr/>
        <w:tc>
          <w:tcPr>
            <w:tcW w:w="1340"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8" w:name="xdx_98C_eus-gaap--SharesOutstanding_iS_c"/>
            <w:bookmarkEnd w:id="188"/>
          </w:p>
        </w:tc>
        <w:tc>
          <w:tcPr>
            <w:tcW w:w="1100" w:type="dxa"/>
            <w:tcBorders/>
            <w:shd w:fill="FFFFFF" w:val="clear"/>
            <w:vAlign w:val="center"/>
          </w:tcPr>
          <w:p>
            <w:pPr>
              <w:pStyle w:val="TableContents"/>
              <w:bidi w:val="0"/>
              <w:spacing w:before="0" w:after="283"/>
              <w:jc w:val="right"/>
              <w:rPr/>
            </w:pPr>
            <w:r>
              <w:rPr/>
              <w:t>35,479,492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212,439,000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(153,942,000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58,532,000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337" w:type="dxa"/>
            <w:tcBorders/>
            <w:shd w:fill="FFFFFF" w:val="cle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58,177,000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9" w:name="xdx_40B_eus-gaap--StockIssuedDuringPerio"/>
            <w:bookmarkEnd w:id="189"/>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0" w:name="xdx_984_eus-gaap--StockIssuedDuringPerio"/>
            <w:bookmarkEnd w:id="190"/>
          </w:p>
        </w:tc>
        <w:tc>
          <w:tcPr>
            <w:tcW w:w="1100" w:type="dxa"/>
            <w:tcBorders/>
            <w:shd w:fill="FFFFFF" w:val="clear"/>
            <w:vAlign w:val="center"/>
          </w:tcPr>
          <w:p>
            <w:pPr>
              <w:pStyle w:val="TableContents"/>
              <w:bidi w:val="0"/>
              <w:spacing w:before="0" w:after="283"/>
              <w:jc w:val="right"/>
              <w:rPr/>
            </w:pPr>
            <w:r>
              <w:rPr/>
              <w:t>160,980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484,000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484,000</w:t>
            </w:r>
          </w:p>
        </w:tc>
        <w:tc>
          <w:tcPr>
            <w:tcW w:w="110" w:type="dxa"/>
            <w:tcBorders/>
            <w:shd w:fill="FFFFFF" w:val="clear"/>
            <w:vAlign w:val="center"/>
          </w:tcPr>
          <w:p>
            <w:pPr>
              <w:pStyle w:val="TableContents"/>
              <w:bidi w:val="0"/>
              <w:spacing w:before="0" w:after="283"/>
              <w:jc w:val="left"/>
              <w:rPr/>
            </w:pPr>
            <w:r>
              <w:rPr/>
              <w:t> </w:t>
            </w:r>
            <w:bookmarkStart w:id="191" w:name="xdx_401_eus-gaap--StockIssuedDuringPerio"/>
            <w:bookmarkEnd w:id="191"/>
          </w:p>
        </w:tc>
      </w:tr>
      <w:tr>
        <w:trPr/>
        <w:tc>
          <w:tcPr>
            <w:tcW w:w="1340" w:type="dxa"/>
            <w:tcBorders/>
            <w:shd w:fill="CCEEFF" w:val="clear"/>
            <w:vAlign w:val="center"/>
          </w:tcPr>
          <w:p>
            <w:pPr>
              <w:pStyle w:val="TableContents"/>
              <w:bidi w:val="0"/>
              <w:spacing w:before="0" w:after="283"/>
              <w:jc w:val="left"/>
              <w:rPr/>
            </w:pPr>
            <w:r>
              <w:rPr/>
              <w:t>Shares withheld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2" w:name="xdx_982_eus-gaap--StockIssuedDuringPerio"/>
            <w:bookmarkEnd w:id="192"/>
          </w:p>
        </w:tc>
        <w:tc>
          <w:tcPr>
            <w:tcW w:w="1100" w:type="dxa"/>
            <w:tcBorders/>
            <w:shd w:fill="CCEEFF" w:val="clear"/>
            <w:vAlign w:val="center"/>
          </w:tcPr>
          <w:p>
            <w:pPr>
              <w:pStyle w:val="TableContents"/>
              <w:bidi w:val="0"/>
              <w:spacing w:before="0" w:after="283"/>
              <w:jc w:val="right"/>
              <w:rPr/>
            </w:pPr>
            <w:r>
              <w:rPr/>
              <w:t>(29,107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(1,205,000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(1,205,000</w:t>
            </w:r>
          </w:p>
        </w:tc>
        <w:tc>
          <w:tcPr>
            <w:tcW w:w="110" w:type="dxa"/>
            <w:tcBorders/>
            <w:shd w:fill="CCEEFF" w:val="clear"/>
            <w:vAlign w:val="center"/>
          </w:tcPr>
          <w:p>
            <w:pPr>
              <w:pStyle w:val="TableContents"/>
              <w:bidi w:val="0"/>
              <w:spacing w:before="0" w:after="283"/>
              <w:jc w:val="left"/>
              <w:rPr/>
            </w:pPr>
            <w:r>
              <w:rPr/>
              <w:t>)</w:t>
            </w:r>
            <w:bookmarkStart w:id="193" w:name="xdx_409_eus-gaap--AdjustmentsToAdditiona"/>
            <w:bookmarkEnd w:id="193"/>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4,385,000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4,385,000</w:t>
            </w:r>
          </w:p>
        </w:tc>
        <w:tc>
          <w:tcPr>
            <w:tcW w:w="110" w:type="dxa"/>
            <w:tcBorders/>
            <w:shd w:fill="FFFFFF" w:val="clear"/>
            <w:vAlign w:val="center"/>
          </w:tcPr>
          <w:p>
            <w:pPr>
              <w:pStyle w:val="TableContents"/>
              <w:bidi w:val="0"/>
              <w:spacing w:before="0" w:after="283"/>
              <w:jc w:val="left"/>
              <w:rPr/>
            </w:pPr>
            <w:r>
              <w:rPr/>
              <w:t> </w:t>
            </w:r>
            <w:bookmarkStart w:id="194" w:name="xdx_401_eus-gaap--NetIncomeLoss_zj82l6Hf"/>
            <w:bookmarkEnd w:id="194"/>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(4,220,000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r>
              <w:rPr/>
              <w:t>(4,220,000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r>
              <w:rPr/>
              <w:t>(4,220,000</w:t>
            </w:r>
          </w:p>
        </w:tc>
        <w:tc>
          <w:tcPr>
            <w:tcW w:w="110" w:type="dxa"/>
            <w:tcBorders/>
            <w:shd w:fill="CCEEFF" w:val="clear"/>
            <w:vAlign w:val="center"/>
          </w:tcPr>
          <w:p>
            <w:pPr>
              <w:pStyle w:val="TableContents"/>
              <w:bidi w:val="0"/>
              <w:spacing w:before="0" w:after="283"/>
              <w:jc w:val="left"/>
              <w:rPr/>
            </w:pPr>
            <w:r>
              <w:rPr/>
              <w:t>)</w:t>
            </w:r>
            <w:bookmarkStart w:id="195" w:name="xdx_433_c20240101__20240930_eus-gaap--St"/>
            <w:bookmarkEnd w:id="195"/>
          </w:p>
        </w:tc>
      </w:tr>
      <w:tr>
        <w:trPr/>
        <w:tc>
          <w:tcPr>
            <w:tcW w:w="1340" w:type="dxa"/>
            <w:tcBorders/>
            <w:shd w:fill="FFFFFF" w:val="clear"/>
            <w:vAlign w:val="center"/>
          </w:tcPr>
          <w:p>
            <w:pPr>
              <w:pStyle w:val="TableContents"/>
              <w:bidi w:val="0"/>
              <w:spacing w:before="0" w:after="283"/>
              <w:jc w:val="left"/>
              <w:rPr/>
            </w:pPr>
            <w:r>
              <w:rPr/>
              <w:t>Balance at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6" w:name="xdx_98C_eus-gaap--SharesOutstanding_iE_c"/>
            <w:bookmarkEnd w:id="196"/>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35,611,365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216,103,000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(158,162,000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r>
              <w:rPr/>
              <w:t>57,976,000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r>
              <w:rPr/>
              <w:t>57,621,000</w:t>
            </w:r>
          </w:p>
        </w:tc>
        <w:tc>
          <w:tcPr>
            <w:tcW w:w="110" w:type="dxa"/>
            <w:tcBorders/>
            <w:shd w:fill="FFFFFF" w:val="clear"/>
            <w:vAlign w:val="center"/>
          </w:tcPr>
          <w:p>
            <w:pPr>
              <w:pStyle w:val="TableContents"/>
              <w:bidi w:val="0"/>
              <w:spacing w:before="0" w:after="283"/>
              <w:jc w:val="left"/>
              <w:rPr/>
            </w:pPr>
            <w:r>
              <w:rPr/>
              <w:t> </w:t>
            </w:r>
            <w:bookmarkStart w:id="197" w:name="xdx_435_c20240101__20240930_eus-gaap--St"/>
            <w:bookmarkEnd w:id="197"/>
          </w:p>
        </w:tc>
      </w:tr>
      <w:tr>
        <w:trPr/>
        <w:tc>
          <w:tcPr>
            <w:tcW w:w="1340"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8" w:name="xdx_98D_eus-gaap--SharesOutstanding_iE_c"/>
            <w:bookmarkEnd w:id="19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35,611,365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216,103,000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(158,162,000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r>
              <w:rPr/>
              <w:t>57,976,000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r>
              <w:rPr/>
              <w:t>57,621,000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CASH FLOWS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9" w:name="xdx_309_112_zS0hQ5pZUH2i"/>
      <w:bookmarkStart w:id="200" w:name="xdx_309_112_zS0hQ5pZUH2i"/>
      <w:bookmarkEnd w:id="200"/>
    </w:p>
    <w:tbl>
      <w:tblPr>
        <w:tblW w:w="10205" w:type="dxa"/>
        <w:jc w:val="left"/>
        <w:tblInd w:w="0" w:type="dxa"/>
        <w:tblLayout w:type="fixed"/>
        <w:tblCellMar>
          <w:top w:w="0" w:type="dxa"/>
          <w:left w:w="0" w:type="dxa"/>
          <w:bottom w:w="0" w:type="dxa"/>
          <w:right w:w="0" w:type="dxa"/>
        </w:tblCellMar>
      </w:tblPr>
      <w:tblGrid>
        <w:gridCol w:w="7130"/>
        <w:gridCol w:w="60"/>
        <w:gridCol w:w="140"/>
        <w:gridCol w:w="1175"/>
        <w:gridCol w:w="95"/>
        <w:gridCol w:w="60"/>
        <w:gridCol w:w="140"/>
        <w:gridCol w:w="1295"/>
        <w:gridCol w:w="110"/>
      </w:tblGrid>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1" w:name="xdx_499_20240101__20240930_zbvFPbtum0h3"/>
            <w:bookmarkEnd w:id="201"/>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2" w:name="xdx_496_20230101__20230930_zV2eQXiaDwaj"/>
            <w:bookmarkEnd w:id="202"/>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vAlign w:val="center"/>
          </w:tcPr>
          <w:p>
            <w:pPr>
              <w:pStyle w:val="TableContents"/>
              <w:bidi w:val="0"/>
              <w:spacing w:before="0" w:after="283"/>
              <w:jc w:val="center"/>
              <w:rPr>
                <w:b/>
              </w:rPr>
            </w:pPr>
            <w:r>
              <w:rPr>
                <w:b/>
              </w:rPr>
              <w:t>For the Nine Months Ended</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03" w:name="xdx_400_eus-gaap--NetCashProvidedByUsedI"/>
            <w:bookmarkEnd w:id="203"/>
          </w:p>
        </w:tc>
      </w:tr>
      <w:tr>
        <w:trPr/>
        <w:tc>
          <w:tcPr>
            <w:tcW w:w="713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4" w:name="xdx_40C_eus-gaap--NetIncomeLoss_i01_pp0p"/>
            <w:bookmarkEnd w:id="204"/>
          </w:p>
        </w:tc>
      </w:tr>
      <w:tr>
        <w:trPr/>
        <w:tc>
          <w:tcPr>
            <w:tcW w:w="71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(24,258,000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(15,263,000</w:t>
            </w:r>
          </w:p>
        </w:tc>
        <w:tc>
          <w:tcPr>
            <w:tcW w:w="110" w:type="dxa"/>
            <w:tcBorders/>
            <w:shd w:fill="FFFFFF" w:val="clear"/>
            <w:vAlign w:val="center"/>
          </w:tcPr>
          <w:p>
            <w:pPr>
              <w:pStyle w:val="TableContents"/>
              <w:bidi w:val="0"/>
              <w:spacing w:before="0" w:after="283"/>
              <w:jc w:val="left"/>
              <w:rPr/>
            </w:pPr>
            <w:r>
              <w:rPr/>
              <w:t>)</w:t>
            </w:r>
            <w:bookmarkStart w:id="205" w:name="xdx_403_eus-gaap--AdjustmentsToReconcile"/>
            <w:bookmarkEnd w:id="205"/>
          </w:p>
        </w:tc>
      </w:tr>
      <w:tr>
        <w:trPr/>
        <w:tc>
          <w:tcPr>
            <w:tcW w:w="713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6" w:name="xdx_404_eus-gaap--DepreciationAndAmortiz"/>
            <w:bookmarkEnd w:id="206"/>
          </w:p>
        </w:tc>
      </w:tr>
      <w:tr>
        <w:trPr/>
        <w:tc>
          <w:tcPr>
            <w:tcW w:w="7130" w:type="dxa"/>
            <w:tcBorders/>
            <w:shd w:fill="FFFFFF" w:val="clear"/>
            <w:vAlign w:val="center"/>
          </w:tcPr>
          <w:p>
            <w:pPr>
              <w:pStyle w:val="TableContents"/>
              <w:bidi w:val="0"/>
              <w:spacing w:before="0" w:after="283"/>
              <w:jc w:val="left"/>
              <w:rPr/>
            </w:pPr>
            <w:r>
              <w:rPr/>
              <w:t>Depreciation and amortization of property, plant and equipment and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1,382,000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1,095,000</w:t>
            </w:r>
          </w:p>
        </w:tc>
        <w:tc>
          <w:tcPr>
            <w:tcW w:w="110" w:type="dxa"/>
            <w:tcBorders/>
            <w:shd w:fill="FFFFFF" w:val="clear"/>
            <w:vAlign w:val="center"/>
          </w:tcPr>
          <w:p>
            <w:pPr>
              <w:pStyle w:val="TableContents"/>
              <w:bidi w:val="0"/>
              <w:spacing w:before="0" w:after="283"/>
              <w:jc w:val="left"/>
              <w:rPr/>
            </w:pPr>
            <w:r>
              <w:rPr/>
              <w:t> </w:t>
            </w:r>
            <w:bookmarkStart w:id="207" w:name="xdx_408_eus-gaap--AmortizationOfIntangib"/>
            <w:bookmarkEnd w:id="207"/>
          </w:p>
        </w:tc>
      </w:tr>
      <w:tr>
        <w:trPr/>
        <w:tc>
          <w:tcPr>
            <w:tcW w:w="713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7,708,000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7,634,000</w:t>
            </w:r>
          </w:p>
        </w:tc>
        <w:tc>
          <w:tcPr>
            <w:tcW w:w="110" w:type="dxa"/>
            <w:tcBorders/>
            <w:shd w:fill="CCEEFF" w:val="clear"/>
            <w:vAlign w:val="center"/>
          </w:tcPr>
          <w:p>
            <w:pPr>
              <w:pStyle w:val="TableContents"/>
              <w:bidi w:val="0"/>
              <w:spacing w:before="0" w:after="283"/>
              <w:jc w:val="left"/>
              <w:rPr/>
            </w:pPr>
            <w:r>
              <w:rPr/>
              <w:t> </w:t>
            </w:r>
            <w:bookmarkStart w:id="208" w:name="xdx_40A_eus-gaap--OperatingLeaseRightOfU"/>
            <w:bookmarkEnd w:id="208"/>
          </w:p>
        </w:tc>
      </w:tr>
      <w:tr>
        <w:trPr/>
        <w:tc>
          <w:tcPr>
            <w:tcW w:w="7130" w:type="dxa"/>
            <w:tcBorders/>
            <w:shd w:fill="FFFFFF" w:val="clear"/>
            <w:vAlign w:val="center"/>
          </w:tcPr>
          <w:p>
            <w:pPr>
              <w:pStyle w:val="TableContents"/>
              <w:bidi w:val="0"/>
              <w:spacing w:before="0" w:after="283"/>
              <w:jc w:val="left"/>
              <w:rPr/>
            </w:pPr>
            <w:r>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541,000</w:t>
            </w:r>
          </w:p>
        </w:tc>
        <w:tc>
          <w:tcPr>
            <w:tcW w:w="110" w:type="dxa"/>
            <w:tcBorders/>
            <w:shd w:fill="FFFFFF" w:val="clear"/>
            <w:vAlign w:val="center"/>
          </w:tcPr>
          <w:p>
            <w:pPr>
              <w:pStyle w:val="TableContents"/>
              <w:bidi w:val="0"/>
              <w:spacing w:before="0" w:after="283"/>
              <w:jc w:val="left"/>
              <w:rPr/>
            </w:pPr>
            <w:r>
              <w:rPr/>
              <w:t> </w:t>
            </w:r>
            <w:bookmarkStart w:id="209" w:name="xdx_405_eus-gaap--ProvisionForDoubtfulAc"/>
            <w:bookmarkEnd w:id="209"/>
          </w:p>
        </w:tc>
      </w:tr>
      <w:tr>
        <w:trPr/>
        <w:tc>
          <w:tcPr>
            <w:tcW w:w="7130" w:type="dxa"/>
            <w:tcBorders/>
            <w:shd w:fill="CCEEFF" w:val="clear"/>
            <w:vAlign w:val="center"/>
          </w:tcPr>
          <w:p>
            <w:pPr>
              <w:pStyle w:val="TableContents"/>
              <w:bidi w:val="0"/>
              <w:spacing w:before="0" w:after="283"/>
              <w:jc w:val="left"/>
              <w:rPr/>
            </w:pPr>
            <w:r>
              <w:rPr/>
              <w:t>(Recovery of) 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68,000</w:t>
            </w:r>
          </w:p>
        </w:tc>
        <w:tc>
          <w:tcPr>
            <w:tcW w:w="110" w:type="dxa"/>
            <w:tcBorders/>
            <w:shd w:fill="CCEEFF" w:val="clear"/>
            <w:vAlign w:val="center"/>
          </w:tcPr>
          <w:p>
            <w:pPr>
              <w:pStyle w:val="TableContents"/>
              <w:bidi w:val="0"/>
              <w:spacing w:before="0" w:after="283"/>
              <w:jc w:val="left"/>
              <w:rPr/>
            </w:pPr>
            <w:r>
              <w:rPr/>
              <w:t> </w:t>
            </w:r>
            <w:bookmarkStart w:id="210" w:name="xdx_40D_eus-gaap--AmortizationOfFinancin"/>
            <w:bookmarkEnd w:id="210"/>
          </w:p>
        </w:tc>
      </w:tr>
      <w:tr>
        <w:trPr/>
        <w:tc>
          <w:tcPr>
            <w:tcW w:w="7130" w:type="dxa"/>
            <w:tcBorders/>
            <w:shd w:fill="FFFFFF" w:val="clear"/>
            <w:vAlign w:val="center"/>
          </w:tcPr>
          <w:p>
            <w:pPr>
              <w:pStyle w:val="TableContents"/>
              <w:bidi w:val="0"/>
              <w:spacing w:before="0" w:after="283"/>
              <w:jc w:val="left"/>
              <w:rPr/>
            </w:pPr>
            <w:r>
              <w:rPr/>
              <w:t>Amortization of debt issuance costs and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2,568,000</w:t>
            </w:r>
          </w:p>
        </w:tc>
        <w:tc>
          <w:tcPr>
            <w:tcW w:w="110" w:type="dxa"/>
            <w:tcBorders/>
            <w:shd w:fill="FFFFFF" w:val="clear"/>
            <w:vAlign w:val="center"/>
          </w:tcPr>
          <w:p>
            <w:pPr>
              <w:pStyle w:val="TableContents"/>
              <w:bidi w:val="0"/>
              <w:spacing w:before="0" w:after="283"/>
              <w:jc w:val="left"/>
              <w:rPr/>
            </w:pPr>
            <w:r>
              <w:rPr/>
              <w:t> </w:t>
            </w:r>
            <w:bookmarkStart w:id="211" w:name="xdx_401_eus-gaap--GainLossOnInvestments_"/>
            <w:bookmarkEnd w:id="211"/>
          </w:p>
        </w:tc>
      </w:tr>
      <w:tr>
        <w:trPr/>
        <w:tc>
          <w:tcPr>
            <w:tcW w:w="7130" w:type="dxa"/>
            <w:tcBorders/>
            <w:shd w:fill="CCEEFF" w:val="clear"/>
            <w:vAlign w:val="center"/>
          </w:tcPr>
          <w:p>
            <w:pPr>
              <w:pStyle w:val="TableContents"/>
              <w:bidi w:val="0"/>
              <w:spacing w:before="0" w:after="283"/>
              <w:jc w:val="left"/>
              <w:rPr/>
            </w:pPr>
            <w:r>
              <w:rPr/>
              <w:t>Investment loss (gain) from investment in Eton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(2,676,000</w:t>
            </w:r>
          </w:p>
        </w:tc>
        <w:tc>
          <w:tcPr>
            <w:tcW w:w="110" w:type="dxa"/>
            <w:tcBorders/>
            <w:shd w:fill="CCEEFF" w:val="clear"/>
            <w:vAlign w:val="center"/>
          </w:tcPr>
          <w:p>
            <w:pPr>
              <w:pStyle w:val="TableContents"/>
              <w:bidi w:val="0"/>
              <w:spacing w:before="0" w:after="283"/>
              <w:jc w:val="left"/>
              <w:rPr/>
            </w:pPr>
            <w:r>
              <w:rPr/>
              <w:t>)</w:t>
            </w:r>
            <w:bookmarkStart w:id="212" w:name="xdx_40D_eus-gaap--GainsLossesOnExtinguis"/>
            <w:bookmarkEnd w:id="212"/>
          </w:p>
        </w:tc>
      </w:tr>
      <w:tr>
        <w:trPr/>
        <w:tc>
          <w:tcPr>
            <w:tcW w:w="7130"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5,465,000</w:t>
            </w:r>
          </w:p>
        </w:tc>
        <w:tc>
          <w:tcPr>
            <w:tcW w:w="110" w:type="dxa"/>
            <w:tcBorders/>
            <w:shd w:fill="FFFFFF" w:val="clear"/>
            <w:vAlign w:val="center"/>
          </w:tcPr>
          <w:p>
            <w:pPr>
              <w:pStyle w:val="TableContents"/>
              <w:bidi w:val="0"/>
              <w:spacing w:before="0" w:after="283"/>
              <w:jc w:val="left"/>
              <w:rPr/>
            </w:pPr>
            <w:r>
              <w:rPr/>
              <w:t> </w:t>
            </w:r>
            <w:bookmarkStart w:id="213" w:name="xdx_40D_eus-gaap--GainLossOnDispositionO"/>
            <w:bookmarkEnd w:id="213"/>
          </w:p>
        </w:tc>
      </w:tr>
      <w:tr>
        <w:trPr/>
        <w:tc>
          <w:tcPr>
            <w:tcW w:w="7130" w:type="dxa"/>
            <w:tcBorders/>
            <w:shd w:fill="CCEEFF" w:val="clear"/>
            <w:vAlign w:val="center"/>
          </w:tcPr>
          <w:p>
            <w:pPr>
              <w:pStyle w:val="TableContents"/>
              <w:bidi w:val="0"/>
              <w:spacing w:before="0" w:after="283"/>
              <w:jc w:val="left"/>
              <w:rPr/>
            </w:pPr>
            <w:r>
              <w:rPr/>
              <w:t>Loss on disposal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22,000</w:t>
            </w:r>
          </w:p>
        </w:tc>
        <w:tc>
          <w:tcPr>
            <w:tcW w:w="110" w:type="dxa"/>
            <w:tcBorders/>
            <w:shd w:fill="CCEEFF" w:val="clear"/>
            <w:vAlign w:val="center"/>
          </w:tcPr>
          <w:p>
            <w:pPr>
              <w:pStyle w:val="TableContents"/>
              <w:bidi w:val="0"/>
              <w:spacing w:before="0" w:after="283"/>
              <w:jc w:val="left"/>
              <w:rPr/>
            </w:pPr>
            <w:r>
              <w:rPr/>
              <w:t> </w:t>
            </w:r>
            <w:bookmarkStart w:id="214" w:name="xdx_404_eus-gaap--ShareBasedCompensation"/>
            <w:bookmarkEnd w:id="214"/>
          </w:p>
        </w:tc>
      </w:tr>
      <w:tr>
        <w:trPr/>
        <w:tc>
          <w:tcPr>
            <w:tcW w:w="713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12,825,000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11,521,000</w:t>
            </w:r>
          </w:p>
        </w:tc>
        <w:tc>
          <w:tcPr>
            <w:tcW w:w="110" w:type="dxa"/>
            <w:tcBorders/>
            <w:shd w:fill="FFFFFF" w:val="clear"/>
            <w:vAlign w:val="center"/>
          </w:tcPr>
          <w:p>
            <w:pPr>
              <w:pStyle w:val="TableContents"/>
              <w:bidi w:val="0"/>
              <w:spacing w:before="0" w:after="283"/>
              <w:jc w:val="left"/>
              <w:rPr/>
            </w:pPr>
            <w:r>
              <w:rPr/>
              <w:t> </w:t>
            </w:r>
            <w:bookmarkStart w:id="215" w:name="xdx_40E_eus-gaap--DeferredIncomeTaxExpen"/>
            <w:bookmarkEnd w:id="215"/>
          </w:p>
        </w:tc>
      </w:tr>
      <w:tr>
        <w:trPr/>
        <w:tc>
          <w:tcPr>
            <w:tcW w:w="7130" w:type="dxa"/>
            <w:tcBorders/>
            <w:shd w:fill="CCEEFF" w:val="clear"/>
            <w:vAlign w:val="center"/>
          </w:tcPr>
          <w:p>
            <w:pPr>
              <w:pStyle w:val="TableContents"/>
              <w:bidi w:val="0"/>
              <w:spacing w:before="0" w:after="283"/>
              <w:jc w:val="left"/>
              <w:rPr/>
            </w:pPr>
            <w:r>
              <w:rPr/>
              <w:t>Deferred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643,000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6" w:name="xdx_404_eus-gaap--IncreaseDecreaseInOper"/>
            <w:bookmarkEnd w:id="216"/>
          </w:p>
        </w:tc>
      </w:tr>
      <w:tr>
        <w:trPr/>
        <w:tc>
          <w:tcPr>
            <w:tcW w:w="7130"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7" w:name="xdx_406_eus-gaap--IncreaseDecreaseInAcco"/>
            <w:bookmarkEnd w:id="217"/>
          </w:p>
        </w:tc>
      </w:tr>
      <w:tr>
        <w:trPr/>
        <w:tc>
          <w:tcPr>
            <w:tcW w:w="713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(17,453,000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(12,287,000</w:t>
            </w:r>
          </w:p>
        </w:tc>
        <w:tc>
          <w:tcPr>
            <w:tcW w:w="110" w:type="dxa"/>
            <w:tcBorders/>
            <w:shd w:fill="CCEEFF" w:val="clear"/>
            <w:vAlign w:val="center"/>
          </w:tcPr>
          <w:p>
            <w:pPr>
              <w:pStyle w:val="TableContents"/>
              <w:bidi w:val="0"/>
              <w:spacing w:before="0" w:after="283"/>
              <w:jc w:val="left"/>
              <w:rPr/>
            </w:pPr>
            <w:r>
              <w:rPr/>
              <w:t>)</w:t>
            </w:r>
            <w:bookmarkStart w:id="218" w:name="xdx_401_eus-gaap--IncreaseDecreaseInInve"/>
            <w:bookmarkEnd w:id="218"/>
          </w:p>
        </w:tc>
      </w:tr>
      <w:tr>
        <w:trPr/>
        <w:tc>
          <w:tcPr>
            <w:tcW w:w="713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(2,383,000</w:t>
            </w:r>
          </w:p>
        </w:tc>
        <w:tc>
          <w:tcPr>
            <w:tcW w:w="110" w:type="dxa"/>
            <w:tcBorders/>
            <w:shd w:fill="FFFFFF" w:val="clear"/>
            <w:vAlign w:val="center"/>
          </w:tcPr>
          <w:p>
            <w:pPr>
              <w:pStyle w:val="TableContents"/>
              <w:bidi w:val="0"/>
              <w:spacing w:before="0" w:after="283"/>
              <w:jc w:val="left"/>
              <w:rPr/>
            </w:pPr>
            <w:r>
              <w:rPr/>
              <w:t>)</w:t>
            </w:r>
            <w:bookmarkStart w:id="219" w:name="xdx_404_eus-gaap--IncreaseDecreaseInPrep"/>
            <w:bookmarkEnd w:id="219"/>
          </w:p>
        </w:tc>
      </w:tr>
      <w:tr>
        <w:trPr/>
        <w:tc>
          <w:tcPr>
            <w:tcW w:w="713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(983,000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(4,079,000</w:t>
            </w:r>
          </w:p>
        </w:tc>
        <w:tc>
          <w:tcPr>
            <w:tcW w:w="110" w:type="dxa"/>
            <w:tcBorders/>
            <w:shd w:fill="CCEEFF" w:val="clear"/>
            <w:vAlign w:val="center"/>
          </w:tcPr>
          <w:p>
            <w:pPr>
              <w:pStyle w:val="TableContents"/>
              <w:bidi w:val="0"/>
              <w:spacing w:before="0" w:after="283"/>
              <w:jc w:val="left"/>
              <w:rPr/>
            </w:pPr>
            <w:r>
              <w:rPr/>
              <w:t>)</w:t>
            </w:r>
            <w:bookmarkStart w:id="220" w:name="xdx_403_eus-gaap--IncreaseDecreaseInAcco"/>
            <w:bookmarkEnd w:id="220"/>
          </w:p>
        </w:tc>
      </w:tr>
      <w:tr>
        <w:trPr/>
        <w:tc>
          <w:tcPr>
            <w:tcW w:w="7130" w:type="dxa"/>
            <w:tcBorders/>
            <w:shd w:fill="FFFFFF" w:val="clear"/>
            <w:vAlign w:val="center"/>
          </w:tcPr>
          <w:p>
            <w:pPr>
              <w:pStyle w:val="TableContents"/>
              <w:bidi w:val="0"/>
              <w:spacing w:before="0" w:after="283"/>
              <w:jc w:val="left"/>
              <w:rPr/>
            </w:pPr>
            <w:r>
              <w:rPr/>
              <w:t>Accounts payable, accrued expenses, accrued rebates and copay assistance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6,433,000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1,584,000</w:t>
            </w:r>
          </w:p>
        </w:tc>
        <w:tc>
          <w:tcPr>
            <w:tcW w:w="110" w:type="dxa"/>
            <w:tcBorders/>
            <w:shd w:fill="FFFFFF" w:val="clear"/>
            <w:vAlign w:val="center"/>
          </w:tcPr>
          <w:p>
            <w:pPr>
              <w:pStyle w:val="TableContents"/>
              <w:bidi w:val="0"/>
              <w:spacing w:before="0" w:after="283"/>
              <w:jc w:val="left"/>
              <w:rPr/>
            </w:pPr>
            <w:r>
              <w:rPr/>
              <w:t> </w:t>
            </w:r>
            <w:bookmarkStart w:id="221" w:name="xdx_40F_eus-gaap--IncreaseDecreaseInEmpl"/>
            <w:bookmarkEnd w:id="221"/>
          </w:p>
        </w:tc>
      </w:tr>
      <w:tr>
        <w:trPr/>
        <w:tc>
          <w:tcPr>
            <w:tcW w:w="7130" w:type="dxa"/>
            <w:tcBorders/>
            <w:shd w:fill="CCEEFF" w:val="clear"/>
            <w:vAlign w:val="center"/>
          </w:tcPr>
          <w:p>
            <w:pPr>
              <w:pStyle w:val="TableContents"/>
              <w:bidi w:val="0"/>
              <w:spacing w:before="0" w:after="283"/>
              <w:jc w:val="left"/>
              <w:rPr/>
            </w:pPr>
            <w:r>
              <w:rPr/>
              <w:t>Accrued payroll and 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1,294,000</w:t>
            </w:r>
          </w:p>
        </w:tc>
        <w:tc>
          <w:tcPr>
            <w:tcW w:w="110" w:type="dxa"/>
            <w:tcBorders/>
            <w:shd w:fill="CCEEFF" w:val="clear"/>
            <w:vAlign w:val="center"/>
          </w:tcPr>
          <w:p>
            <w:pPr>
              <w:pStyle w:val="TableContents"/>
              <w:bidi w:val="0"/>
              <w:spacing w:before="0" w:after="283"/>
              <w:jc w:val="left"/>
              <w:rPr/>
            </w:pPr>
            <w:r>
              <w:rPr/>
              <w:t> </w:t>
            </w:r>
            <w:bookmarkStart w:id="222" w:name="xdx_402_eus-gaap--IncreaseDecreaseInCont"/>
            <w:bookmarkEnd w:id="222"/>
          </w:p>
        </w:tc>
      </w:tr>
      <w:tr>
        <w:trPr/>
        <w:tc>
          <w:tcPr>
            <w:tcW w:w="7130" w:type="dxa"/>
            <w:tcBorders/>
            <w:shd w:fill="FFFFFF" w:val="clear"/>
            <w:vAlign w:val="center"/>
          </w:tcPr>
          <w:p>
            <w:pPr>
              <w:pStyle w:val="TableContents"/>
              <w:bidi w:val="0"/>
              <w:spacing w:before="0" w:after="283"/>
              <w:jc w:val="left"/>
              <w:rPr/>
            </w:pPr>
            <w:r>
              <w:rPr/>
              <w:t>Deferred revenue and 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40,000</w:t>
            </w:r>
          </w:p>
        </w:tc>
        <w:tc>
          <w:tcPr>
            <w:tcW w:w="110" w:type="dxa"/>
            <w:tcBorders/>
            <w:shd w:fill="FFFFFF" w:val="clear"/>
            <w:vAlign w:val="center"/>
          </w:tcPr>
          <w:p>
            <w:pPr>
              <w:pStyle w:val="TableContents"/>
              <w:bidi w:val="0"/>
              <w:spacing w:before="0" w:after="283"/>
              <w:jc w:val="left"/>
              <w:rPr/>
            </w:pPr>
            <w:r>
              <w:rPr/>
              <w:t> </w:t>
            </w:r>
            <w:bookmarkStart w:id="223" w:name="xdx_400_eus-gaap--NetCashProvidedByUsedI"/>
            <w:bookmarkEnd w:id="223"/>
          </w:p>
        </w:tc>
      </w:tr>
      <w:tr>
        <w:trPr/>
        <w:tc>
          <w:tcPr>
            <w:tcW w:w="713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(4,423,000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(4,856,000</w:t>
            </w:r>
          </w:p>
        </w:tc>
        <w:tc>
          <w:tcPr>
            <w:tcW w:w="110" w:type="dxa"/>
            <w:tcBorders/>
            <w:shd w:fill="CCEEFF" w:val="clear"/>
            <w:vAlign w:val="center"/>
          </w:tcPr>
          <w:p>
            <w:pPr>
              <w:pStyle w:val="TableContents"/>
              <w:bidi w:val="0"/>
              <w:spacing w:before="0" w:after="283"/>
              <w:jc w:val="left"/>
              <w:rPr/>
            </w:pPr>
            <w:r>
              <w:rPr/>
              <w:t>)</w:t>
            </w:r>
            <w:bookmarkStart w:id="224" w:name="xdx_406_eus-gaap--NetCashProvidedByUsedI"/>
            <w:bookmarkEnd w:id="224"/>
          </w:p>
        </w:tc>
      </w:tr>
      <w:tr>
        <w:trPr/>
        <w:tc>
          <w:tcPr>
            <w:tcW w:w="7130"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5" w:name="xdx_40C_eus-gaap--ProceedsFromSaleMaturi"/>
            <w:bookmarkEnd w:id="225"/>
          </w:p>
        </w:tc>
      </w:tr>
      <w:tr>
        <w:trPr/>
        <w:tc>
          <w:tcPr>
            <w:tcW w:w="7130" w:type="dxa"/>
            <w:tcBorders/>
            <w:shd w:fill="CCEEFF" w:val="clear"/>
            <w:vAlign w:val="center"/>
          </w:tcPr>
          <w:p>
            <w:pPr>
              <w:pStyle w:val="TableContents"/>
              <w:bidi w:val="0"/>
              <w:spacing w:before="0" w:after="283"/>
              <w:jc w:val="left"/>
              <w:rPr/>
            </w:pPr>
            <w:r>
              <w:rPr/>
              <w:t>Net proceeds from sale of investment in Eton Pharmaceuticals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6" w:name="xdx_404_eus-gaap--PaymentsToAcquireIntan"/>
            <w:bookmarkEnd w:id="226"/>
          </w:p>
        </w:tc>
      </w:tr>
      <w:tr>
        <w:trPr/>
        <w:tc>
          <w:tcPr>
            <w:tcW w:w="7130" w:type="dxa"/>
            <w:tcBorders/>
            <w:shd w:fill="FFFFFF" w:val="clear"/>
            <w:vAlign w:val="center"/>
          </w:tcPr>
          <w:p>
            <w:pPr>
              <w:pStyle w:val="TableContents"/>
              <w:bidi w:val="0"/>
              <w:spacing w:before="0" w:after="283"/>
              <w:jc w:val="left"/>
              <w:rPr/>
            </w:pPr>
            <w:r>
              <w:rPr/>
              <w:t>Investment in patent and trademark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27" w:name="xdx_40D_ecustom--PurchaseOfProductAndRel"/>
            <w:bookmarkEnd w:id="227"/>
          </w:p>
        </w:tc>
      </w:tr>
      <w:tr>
        <w:trPr/>
        <w:tc>
          <w:tcPr>
            <w:tcW w:w="7130" w:type="dxa"/>
            <w:tcBorders/>
            <w:shd w:fill="CCEEFF" w:val="clear"/>
            <w:vAlign w:val="center"/>
          </w:tcPr>
          <w:p>
            <w:pPr>
              <w:pStyle w:val="TableContents"/>
              <w:bidi w:val="0"/>
              <w:spacing w:before="0" w:after="283"/>
              <w:jc w:val="left"/>
              <w:rPr/>
            </w:pPr>
            <w:r>
              <w:rPr/>
              <w:t>Purchase of product NDAs and related 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(151,084,000</w:t>
            </w:r>
          </w:p>
        </w:tc>
        <w:tc>
          <w:tcPr>
            <w:tcW w:w="110" w:type="dxa"/>
            <w:tcBorders/>
            <w:shd w:fill="CCEEFF" w:val="clear"/>
            <w:vAlign w:val="center"/>
          </w:tcPr>
          <w:p>
            <w:pPr>
              <w:pStyle w:val="TableContents"/>
              <w:bidi w:val="0"/>
              <w:spacing w:before="0" w:after="283"/>
              <w:jc w:val="left"/>
              <w:rPr/>
            </w:pPr>
            <w:r>
              <w:rPr/>
              <w:t>)</w:t>
            </w:r>
            <w:bookmarkStart w:id="228" w:name="xdx_40B_eus-gaap--PaymentsToAcquirePrope"/>
            <w:bookmarkEnd w:id="228"/>
          </w:p>
        </w:tc>
      </w:tr>
      <w:tr>
        <w:trPr/>
        <w:tc>
          <w:tcPr>
            <w:tcW w:w="7130" w:type="dxa"/>
            <w:tcBorders/>
            <w:shd w:fill="FFFFFF" w:val="clear"/>
            <w:vAlign w:val="center"/>
          </w:tcPr>
          <w:p>
            <w:pPr>
              <w:pStyle w:val="TableContents"/>
              <w:bidi w:val="0"/>
              <w:spacing w:before="0" w:after="283"/>
              <w:jc w:val="left"/>
              <w:rPr/>
            </w:pPr>
            <w:r>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(1,040,000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(1,266,000</w:t>
            </w:r>
          </w:p>
        </w:tc>
        <w:tc>
          <w:tcPr>
            <w:tcW w:w="110" w:type="dxa"/>
            <w:tcBorders/>
            <w:shd w:fill="FFFFFF" w:val="clear"/>
            <w:vAlign w:val="center"/>
          </w:tcPr>
          <w:p>
            <w:pPr>
              <w:pStyle w:val="TableContents"/>
              <w:bidi w:val="0"/>
              <w:spacing w:before="0" w:after="283"/>
              <w:jc w:val="left"/>
              <w:rPr/>
            </w:pPr>
            <w:r>
              <w:rPr/>
              <w:t>)</w:t>
            </w:r>
            <w:bookmarkStart w:id="229" w:name="xdx_409_eus-gaap--NetCashProvidedByUsedI"/>
            <w:bookmarkEnd w:id="229"/>
          </w:p>
        </w:tc>
      </w:tr>
      <w:tr>
        <w:trPr/>
        <w:tc>
          <w:tcPr>
            <w:tcW w:w="7130"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4,396,000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(152,350,000</w:t>
            </w:r>
          </w:p>
        </w:tc>
        <w:tc>
          <w:tcPr>
            <w:tcW w:w="110" w:type="dxa"/>
            <w:tcBorders/>
            <w:shd w:fill="CCEEFF" w:val="clear"/>
            <w:vAlign w:val="center"/>
          </w:tcPr>
          <w:p>
            <w:pPr>
              <w:pStyle w:val="TableContents"/>
              <w:bidi w:val="0"/>
              <w:spacing w:before="0" w:after="283"/>
              <w:jc w:val="left"/>
              <w:rPr/>
            </w:pPr>
            <w:r>
              <w:rPr/>
              <w:t>)</w:t>
            </w:r>
            <w:bookmarkStart w:id="230" w:name="xdx_403_eus-gaap--NetCashProvidedByUsedI"/>
            <w:bookmarkEnd w:id="230"/>
          </w:p>
        </w:tc>
      </w:tr>
      <w:tr>
        <w:trPr/>
        <w:tc>
          <w:tcPr>
            <w:tcW w:w="7130"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1" w:name="xdx_40D_eus-gaap--ProceedsFromNotesPayab"/>
            <w:bookmarkEnd w:id="231"/>
          </w:p>
        </w:tc>
      </w:tr>
      <w:tr>
        <w:trPr/>
        <w:tc>
          <w:tcPr>
            <w:tcW w:w="7130" w:type="dxa"/>
            <w:tcBorders/>
            <w:shd w:fill="CCEEFF" w:val="clear"/>
            <w:vAlign w:val="center"/>
          </w:tcPr>
          <w:p>
            <w:pPr>
              <w:pStyle w:val="TableContents"/>
              <w:bidi w:val="0"/>
              <w:spacing w:before="0" w:after="283"/>
              <w:jc w:val="left"/>
              <w:rPr/>
            </w:pPr>
            <w:r>
              <w:rPr/>
              <w:t xml:space="preserve">Proceeds from </w:t>
            </w:r>
            <w:bookmarkStart w:id="232" w:name="xdx_900_ecustom--NotesPayablePercent_iI_"/>
            <w:bookmarkEnd w:id="232"/>
            <w:r>
              <w:rPr/>
              <w:t>11.875% notes payable, net of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4,961,000</w:t>
            </w:r>
          </w:p>
        </w:tc>
        <w:tc>
          <w:tcPr>
            <w:tcW w:w="110" w:type="dxa"/>
            <w:tcBorders/>
            <w:shd w:fill="CCEEFF" w:val="clear"/>
            <w:vAlign w:val="center"/>
          </w:tcPr>
          <w:p>
            <w:pPr>
              <w:pStyle w:val="TableContents"/>
              <w:bidi w:val="0"/>
              <w:spacing w:before="0" w:after="283"/>
              <w:jc w:val="left"/>
              <w:rPr/>
            </w:pPr>
            <w:r>
              <w:rPr/>
              <w:t> </w:t>
            </w:r>
            <w:bookmarkStart w:id="233" w:name="xdx_40B_ecustom--ProceedsFromRepaymentsO"/>
            <w:bookmarkEnd w:id="233"/>
          </w:p>
        </w:tc>
      </w:tr>
      <w:tr>
        <w:trPr/>
        <w:tc>
          <w:tcPr>
            <w:tcW w:w="7130" w:type="dxa"/>
            <w:tcBorders/>
            <w:shd w:fill="FFFFFF" w:val="clear"/>
            <w:vAlign w:val="center"/>
          </w:tcPr>
          <w:p>
            <w:pPr>
              <w:pStyle w:val="TableContents"/>
              <w:bidi w:val="0"/>
              <w:spacing w:before="0" w:after="283"/>
              <w:jc w:val="left"/>
              <w:rPr/>
            </w:pPr>
            <w:r>
              <w:rPr/>
              <w:t>Proceeds from Oaktree Loan, net of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73,552,000</w:t>
            </w:r>
          </w:p>
        </w:tc>
        <w:tc>
          <w:tcPr>
            <w:tcW w:w="110" w:type="dxa"/>
            <w:tcBorders/>
            <w:shd w:fill="FFFFFF" w:val="clear"/>
            <w:vAlign w:val="center"/>
          </w:tcPr>
          <w:p>
            <w:pPr>
              <w:pStyle w:val="TableContents"/>
              <w:bidi w:val="0"/>
              <w:spacing w:before="0" w:after="283"/>
              <w:jc w:val="left"/>
              <w:rPr/>
            </w:pPr>
            <w:r>
              <w:rPr/>
              <w:t> </w:t>
            </w:r>
            <w:bookmarkStart w:id="234" w:name="xdx_406_eus-gaap--PaymentsOfDebtIssuance"/>
            <w:bookmarkEnd w:id="234"/>
          </w:p>
        </w:tc>
      </w:tr>
      <w:tr>
        <w:trPr/>
        <w:tc>
          <w:tcPr>
            <w:tcW w:w="7130" w:type="dxa"/>
            <w:tcBorders/>
            <w:shd w:fill="CCEEFF" w:val="clear"/>
            <w:vAlign w:val="center"/>
          </w:tcPr>
          <w:p>
            <w:pPr>
              <w:pStyle w:val="TableContents"/>
              <w:bidi w:val="0"/>
              <w:spacing w:before="0" w:after="283"/>
              <w:jc w:val="left"/>
              <w:rPr/>
            </w:pPr>
            <w:r>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5" w:name="xdx_40E_ecustom--PaymentOfPayrollTaxesUp"/>
            <w:bookmarkEnd w:id="235"/>
          </w:p>
        </w:tc>
      </w:tr>
      <w:tr>
        <w:trPr/>
        <w:tc>
          <w:tcPr>
            <w:tcW w:w="7130" w:type="dxa"/>
            <w:tcBorders/>
            <w:shd w:fill="FFFFFF" w:val="clear"/>
            <w:vAlign w:val="center"/>
          </w:tcPr>
          <w:p>
            <w:pPr>
              <w:pStyle w:val="TableContents"/>
              <w:bidi w:val="0"/>
              <w:spacing w:before="0" w:after="283"/>
              <w:jc w:val="left"/>
              <w:rPr/>
            </w:pPr>
            <w:r>
              <w:rPr/>
              <w:t>Payment of payroll taxes upon vesting of PSUs, RSUs and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(12,971,000</w:t>
            </w:r>
          </w:p>
        </w:tc>
        <w:tc>
          <w:tcPr>
            <w:tcW w:w="110" w:type="dxa"/>
            <w:tcBorders/>
            <w:shd w:fill="FFFFFF" w:val="clear"/>
            <w:vAlign w:val="center"/>
          </w:tcPr>
          <w:p>
            <w:pPr>
              <w:pStyle w:val="TableContents"/>
              <w:bidi w:val="0"/>
              <w:spacing w:before="0" w:after="283"/>
              <w:jc w:val="left"/>
              <w:rPr/>
            </w:pPr>
            <w:r>
              <w:rPr/>
              <w:t>)</w:t>
            </w:r>
            <w:bookmarkStart w:id="236" w:name="xdx_404_eus-gaap--ProceedsFromStockOptio"/>
            <w:bookmarkEnd w:id="236"/>
          </w:p>
        </w:tc>
      </w:tr>
      <w:tr>
        <w:trPr/>
        <w:tc>
          <w:tcPr>
            <w:tcW w:w="7130"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355,000</w:t>
            </w:r>
          </w:p>
        </w:tc>
        <w:tc>
          <w:tcPr>
            <w:tcW w:w="110" w:type="dxa"/>
            <w:tcBorders/>
            <w:shd w:fill="CCEEFF" w:val="clear"/>
            <w:vAlign w:val="center"/>
          </w:tcPr>
          <w:p>
            <w:pPr>
              <w:pStyle w:val="TableContents"/>
              <w:bidi w:val="0"/>
              <w:spacing w:before="0" w:after="283"/>
              <w:jc w:val="left"/>
              <w:rPr/>
            </w:pPr>
            <w:r>
              <w:rPr/>
              <w:t> </w:t>
            </w:r>
            <w:bookmarkStart w:id="237" w:name="xdx_405_eus-gaap--ProceedsFromIssuanceOf"/>
            <w:bookmarkEnd w:id="237"/>
          </w:p>
        </w:tc>
      </w:tr>
      <w:tr>
        <w:trPr/>
        <w:tc>
          <w:tcPr>
            <w:tcW w:w="7130" w:type="dxa"/>
            <w:tcBorders/>
            <w:shd w:fill="FFFFFF" w:val="clear"/>
            <w:vAlign w:val="center"/>
          </w:tcPr>
          <w:p>
            <w:pPr>
              <w:pStyle w:val="TableContents"/>
              <w:bidi w:val="0"/>
              <w:spacing w:before="0" w:after="283"/>
              <w:jc w:val="left"/>
              <w:rPr/>
            </w:pPr>
            <w:r>
              <w:rPr/>
              <w:t>Proceeds from B. Riley senior secured note, net of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55,879,000</w:t>
            </w:r>
          </w:p>
        </w:tc>
        <w:tc>
          <w:tcPr>
            <w:tcW w:w="110" w:type="dxa"/>
            <w:tcBorders/>
            <w:shd w:fill="FFFFFF" w:val="clear"/>
            <w:vAlign w:val="center"/>
          </w:tcPr>
          <w:p>
            <w:pPr>
              <w:pStyle w:val="TableContents"/>
              <w:bidi w:val="0"/>
              <w:spacing w:before="0" w:after="283"/>
              <w:jc w:val="left"/>
              <w:rPr/>
            </w:pPr>
            <w:r>
              <w:rPr/>
              <w:t> </w:t>
            </w:r>
            <w:bookmarkStart w:id="238" w:name="xdx_402_eus-gaap--RepaymentsOfSeniorDebt"/>
            <w:bookmarkEnd w:id="238"/>
          </w:p>
        </w:tc>
      </w:tr>
      <w:tr>
        <w:trPr/>
        <w:tc>
          <w:tcPr>
            <w:tcW w:w="7130" w:type="dxa"/>
            <w:tcBorders/>
            <w:shd w:fill="CCEEFF" w:val="clear"/>
            <w:vAlign w:val="center"/>
          </w:tcPr>
          <w:p>
            <w:pPr>
              <w:pStyle w:val="TableContents"/>
              <w:bidi w:val="0"/>
              <w:spacing w:before="0" w:after="283"/>
              <w:jc w:val="left"/>
              <w:rPr/>
            </w:pPr>
            <w:r>
              <w:rPr/>
              <w:t>Repayment of B. Riley senior secured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(59,750,000</w:t>
            </w:r>
          </w:p>
        </w:tc>
        <w:tc>
          <w:tcPr>
            <w:tcW w:w="110" w:type="dxa"/>
            <w:tcBorders/>
            <w:shd w:fill="CCEEFF" w:val="clear"/>
            <w:vAlign w:val="center"/>
          </w:tcPr>
          <w:p>
            <w:pPr>
              <w:pStyle w:val="TableContents"/>
              <w:bidi w:val="0"/>
              <w:spacing w:before="0" w:after="283"/>
              <w:jc w:val="left"/>
              <w:rPr/>
            </w:pPr>
            <w:r>
              <w:rPr/>
              <w:t>)</w:t>
            </w:r>
            <w:bookmarkStart w:id="239" w:name="xdx_407_eus-gaap--ProceedsFromIssuanceIn"/>
            <w:bookmarkEnd w:id="239"/>
          </w:p>
        </w:tc>
      </w:tr>
      <w:tr>
        <w:trPr/>
        <w:tc>
          <w:tcPr>
            <w:tcW w:w="7130" w:type="dxa"/>
            <w:tcBorders/>
            <w:shd w:fill="FFFFFF" w:val="clear"/>
            <w:vAlign w:val="center"/>
          </w:tcPr>
          <w:p>
            <w:pPr>
              <w:pStyle w:val="TableContents"/>
              <w:bidi w:val="0"/>
              <w:spacing w:before="0" w:after="283"/>
              <w:jc w:val="left"/>
              <w:rPr/>
            </w:pPr>
            <w:r>
              <w:rPr/>
              <w:t>Proceeds from public offering of common stock, net of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64,520,000</w:t>
            </w:r>
          </w:p>
        </w:tc>
        <w:tc>
          <w:tcPr>
            <w:tcW w:w="110" w:type="dxa"/>
            <w:tcBorders/>
            <w:shd w:fill="FFFFFF" w:val="clear"/>
            <w:vAlign w:val="center"/>
          </w:tcPr>
          <w:p>
            <w:pPr>
              <w:pStyle w:val="TableContents"/>
              <w:bidi w:val="0"/>
              <w:spacing w:before="0" w:after="283"/>
              <w:jc w:val="left"/>
              <w:rPr/>
            </w:pPr>
            <w:r>
              <w:rPr/>
              <w:t> </w:t>
            </w:r>
            <w:bookmarkStart w:id="240" w:name="xdx_407_eus-gaap--NetCashProvidedByUsedI"/>
            <w:bookmarkEnd w:id="240"/>
          </w:p>
        </w:tc>
      </w:tr>
      <w:tr>
        <w:trPr/>
        <w:tc>
          <w:tcPr>
            <w:tcW w:w="7130" w:type="dxa"/>
            <w:tcBorders/>
            <w:shd w:fill="CCEEFF" w:val="clear"/>
            <w:vAlign w:val="center"/>
          </w:tcPr>
          <w:p>
            <w:pPr>
              <w:pStyle w:val="TableContents"/>
              <w:bidi w:val="0"/>
              <w:spacing w:before="0" w:after="283"/>
              <w:jc w:val="left"/>
              <w:rPr/>
            </w:pPr>
            <w:r>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(1,457,000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126,546,000</w:t>
            </w:r>
          </w:p>
        </w:tc>
        <w:tc>
          <w:tcPr>
            <w:tcW w:w="110" w:type="dxa"/>
            <w:tcBorders/>
            <w:shd w:fill="CCEEFF" w:val="clear"/>
            <w:vAlign w:val="center"/>
          </w:tcPr>
          <w:p>
            <w:pPr>
              <w:pStyle w:val="TableContents"/>
              <w:bidi w:val="0"/>
              <w:spacing w:before="0" w:after="283"/>
              <w:jc w:val="left"/>
              <w:rPr/>
            </w:pPr>
            <w:r>
              <w:rPr/>
              <w:t> </w:t>
            </w:r>
            <w:bookmarkStart w:id="241" w:name="xdx_40B_eus-gaap--CashCashEquivalentsRes"/>
            <w:bookmarkEnd w:id="241"/>
          </w:p>
        </w:tc>
      </w:tr>
      <w:tr>
        <w:trPr/>
        <w:tc>
          <w:tcPr>
            <w:tcW w:w="7130"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(30,660,000</w:t>
            </w:r>
          </w:p>
        </w:tc>
        <w:tc>
          <w:tcPr>
            <w:tcW w:w="110" w:type="dxa"/>
            <w:tcBorders/>
            <w:shd w:fill="FFFFFF" w:val="clear"/>
            <w:vAlign w:val="center"/>
          </w:tcPr>
          <w:p>
            <w:pPr>
              <w:pStyle w:val="TableContents"/>
              <w:bidi w:val="0"/>
              <w:spacing w:before="0" w:after="283"/>
              <w:jc w:val="left"/>
              <w:rPr/>
            </w:pPr>
            <w:r>
              <w:rPr/>
              <w:t>)</w:t>
            </w:r>
            <w:bookmarkStart w:id="242" w:name="xdx_40F_eus-gaap--CashCashEquivalentsRes"/>
            <w:bookmarkEnd w:id="242"/>
          </w:p>
        </w:tc>
      </w:tr>
      <w:tr>
        <w:trPr/>
        <w:tc>
          <w:tcPr>
            <w:tcW w:w="7130"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74,085,000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96,270,000</w:t>
            </w:r>
          </w:p>
        </w:tc>
        <w:tc>
          <w:tcPr>
            <w:tcW w:w="110" w:type="dxa"/>
            <w:tcBorders/>
            <w:shd w:fill="CCEEFF" w:val="clear"/>
            <w:vAlign w:val="center"/>
          </w:tcPr>
          <w:p>
            <w:pPr>
              <w:pStyle w:val="TableContents"/>
              <w:bidi w:val="0"/>
              <w:spacing w:before="0" w:after="283"/>
              <w:jc w:val="left"/>
              <w:rPr/>
            </w:pPr>
            <w:r>
              <w:rPr/>
              <w:t> </w:t>
            </w:r>
            <w:bookmarkStart w:id="243" w:name="xdx_406_eus-gaap--CashCashEquivalentsRes"/>
            <w:bookmarkEnd w:id="243"/>
          </w:p>
        </w:tc>
      </w:tr>
      <w:tr>
        <w:trPr/>
        <w:tc>
          <w:tcPr>
            <w:tcW w:w="7130" w:type="dxa"/>
            <w:tcBorders/>
            <w:shd w:fill="FFFFFF" w:val="clear"/>
            <w:vAlign w:val="center"/>
          </w:tcPr>
          <w:p>
            <w:pPr>
              <w:pStyle w:val="TableContents"/>
              <w:bidi w:val="0"/>
              <w:spacing w:before="0" w:after="283"/>
              <w:jc w:val="left"/>
              <w:rPr/>
            </w:pPr>
            <w:r>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72,601,000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65,610,000</w:t>
            </w:r>
          </w:p>
        </w:tc>
        <w:tc>
          <w:tcPr>
            <w:tcW w:w="110" w:type="dxa"/>
            <w:tcBorders/>
            <w:shd w:fill="FFFFFF" w:val="clear"/>
            <w:vAlign w:val="center"/>
          </w:tcPr>
          <w:p>
            <w:pPr>
              <w:pStyle w:val="TableContents"/>
              <w:bidi w:val="0"/>
              <w:spacing w:before="0" w:after="283"/>
              <w:jc w:val="left"/>
              <w:rPr/>
            </w:pPr>
            <w:r>
              <w:rPr/>
              <w:t> </w:t>
            </w:r>
            <w:bookmarkStart w:id="244" w:name="xdx_404_eus-gaap--SupplementalCashFlowIn"/>
            <w:bookmarkEnd w:id="244"/>
          </w:p>
        </w:tc>
      </w:tr>
      <w:tr>
        <w:trPr/>
        <w:tc>
          <w:tcPr>
            <w:tcW w:w="7130" w:type="dxa"/>
            <w:tcBorders/>
            <w:shd w:fill="CCEEFF" w:val="clear"/>
            <w:vAlign w:val="center"/>
          </w:tcPr>
          <w:p>
            <w:pPr>
              <w:pStyle w:val="TableContents"/>
              <w:bidi w:val="0"/>
              <w:spacing w:before="0" w:after="283"/>
              <w:jc w:val="left"/>
              <w:rPr/>
            </w:pPr>
            <w:r>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5" w:name="xdx_40A_eus-gaap--IncomeTaxesPaidNet_i01"/>
            <w:bookmarkEnd w:id="245"/>
          </w:p>
        </w:tc>
      </w:tr>
      <w:tr>
        <w:trPr/>
        <w:tc>
          <w:tcPr>
            <w:tcW w:w="713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6" w:name="xdx_408_eus-gaap--InterestPaidNet_i01_zt"/>
            <w:bookmarkEnd w:id="246"/>
          </w:p>
        </w:tc>
      </w:tr>
      <w:tr>
        <w:trPr/>
        <w:tc>
          <w:tcPr>
            <w:tcW w:w="713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15,553,000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12,279,000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7" w:name="xdx_400_eus-gaap--CashFlowNoncashInvesti"/>
            <w:bookmarkEnd w:id="247"/>
          </w:p>
        </w:tc>
      </w:tr>
      <w:tr>
        <w:trPr/>
        <w:tc>
          <w:tcPr>
            <w:tcW w:w="7130" w:type="dxa"/>
            <w:tcBorders/>
            <w:shd w:fill="CCEEFF" w:val="clear"/>
            <w:vAlign w:val="center"/>
          </w:tcPr>
          <w:p>
            <w:pPr>
              <w:pStyle w:val="TableContents"/>
              <w:bidi w:val="0"/>
              <w:spacing w:before="0" w:after="283"/>
              <w:jc w:val="left"/>
              <w:rPr/>
            </w:pPr>
            <w:r>
              <w:rPr/>
              <w:t>SUPPLEMENTAL DISCLOSURES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8" w:name="xdx_400_ecustom--ReclassificationOfDefer"/>
            <w:bookmarkEnd w:id="248"/>
          </w:p>
        </w:tc>
      </w:tr>
      <w:tr>
        <w:trPr/>
        <w:tc>
          <w:tcPr>
            <w:tcW w:w="7130" w:type="dxa"/>
            <w:tcBorders/>
            <w:shd w:fill="FFFFFF" w:val="clear"/>
            <w:vAlign w:val="center"/>
          </w:tcPr>
          <w:p>
            <w:pPr>
              <w:pStyle w:val="TableContents"/>
              <w:bidi w:val="0"/>
              <w:spacing w:before="0" w:after="283"/>
              <w:jc w:val="left"/>
              <w:rPr/>
            </w:pPr>
            <w:r>
              <w:rPr/>
              <w:t>Reclassification of deferred financing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1,950,000</w:t>
            </w:r>
          </w:p>
        </w:tc>
        <w:tc>
          <w:tcPr>
            <w:tcW w:w="110" w:type="dxa"/>
            <w:tcBorders/>
            <w:shd w:fill="FFFFFF" w:val="clear"/>
            <w:vAlign w:val="center"/>
          </w:tcPr>
          <w:p>
            <w:pPr>
              <w:pStyle w:val="TableContents"/>
              <w:bidi w:val="0"/>
              <w:spacing w:before="0" w:after="283"/>
              <w:jc w:val="left"/>
              <w:rPr/>
            </w:pPr>
            <w:r>
              <w:rPr/>
              <w:t> </w:t>
            </w:r>
            <w:bookmarkStart w:id="249" w:name="xdx_408_ecustom--AccrualOfExitFeeRelated"/>
            <w:bookmarkEnd w:id="249"/>
          </w:p>
        </w:tc>
      </w:tr>
      <w:tr>
        <w:trPr/>
        <w:tc>
          <w:tcPr>
            <w:tcW w:w="7130" w:type="dxa"/>
            <w:tcBorders/>
            <w:shd w:fill="CCEEFF" w:val="clear"/>
            <w:vAlign w:val="center"/>
          </w:tcPr>
          <w:p>
            <w:pPr>
              <w:pStyle w:val="TableContents"/>
              <w:bidi w:val="0"/>
              <w:spacing w:before="0" w:after="283"/>
              <w:jc w:val="left"/>
              <w:rPr/>
            </w:pPr>
            <w:r>
              <w:rPr/>
              <w:t>Accrual of exit fee related to Oaktree Loan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2,713,000</w:t>
            </w:r>
          </w:p>
        </w:tc>
        <w:tc>
          <w:tcPr>
            <w:tcW w:w="110" w:type="dxa"/>
            <w:tcBorders/>
            <w:shd w:fill="CCEEFF" w:val="clear"/>
            <w:vAlign w:val="center"/>
          </w:tcPr>
          <w:p>
            <w:pPr>
              <w:pStyle w:val="TableContents"/>
              <w:bidi w:val="0"/>
              <w:spacing w:before="0" w:after="283"/>
              <w:jc w:val="left"/>
              <w:rPr/>
            </w:pPr>
            <w:r>
              <w:rPr/>
              <w:t> </w:t>
            </w:r>
            <w:bookmarkStart w:id="250" w:name="xdx_406_ecustom--InsurancePremiumFinance"/>
            <w:bookmarkEnd w:id="250"/>
          </w:p>
        </w:tc>
      </w:tr>
      <w:tr>
        <w:trPr/>
        <w:tc>
          <w:tcPr>
            <w:tcW w:w="7130" w:type="dxa"/>
            <w:tcBorders/>
            <w:shd w:fill="FFFFFF" w:val="clear"/>
            <w:vAlign w:val="center"/>
          </w:tcPr>
          <w:p>
            <w:pPr>
              <w:pStyle w:val="TableContents"/>
              <w:bidi w:val="0"/>
              <w:spacing w:before="0" w:after="283"/>
              <w:jc w:val="left"/>
              <w:rPr/>
            </w:pPr>
            <w:r>
              <w:rPr/>
              <w:t>Insurance premium financed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1,321,000</w:t>
            </w:r>
          </w:p>
        </w:tc>
        <w:tc>
          <w:tcPr>
            <w:tcW w:w="110" w:type="dxa"/>
            <w:tcBorders/>
            <w:shd w:fill="FFFFFF" w:val="clear"/>
            <w:vAlign w:val="center"/>
          </w:tcPr>
          <w:p>
            <w:pPr>
              <w:pStyle w:val="TableContents"/>
              <w:bidi w:val="0"/>
              <w:spacing w:before="0" w:after="283"/>
              <w:jc w:val="left"/>
              <w:rPr/>
            </w:pPr>
            <w:r>
              <w:rPr/>
              <w:t> </w:t>
            </w:r>
            <w:bookmarkStart w:id="251" w:name="xdx_40C_ecustom--PurchaseOfProductAssoci"/>
            <w:bookmarkEnd w:id="251"/>
          </w:p>
        </w:tc>
      </w:tr>
      <w:tr>
        <w:trPr/>
        <w:tc>
          <w:tcPr>
            <w:tcW w:w="7130" w:type="dxa"/>
            <w:tcBorders/>
            <w:shd w:fill="CCEEFF" w:val="clear"/>
            <w:vAlign w:val="center"/>
          </w:tcPr>
          <w:p>
            <w:pPr>
              <w:pStyle w:val="TableContents"/>
              <w:bidi w:val="0"/>
              <w:spacing w:before="0" w:after="283"/>
              <w:jc w:val="left"/>
              <w:rPr/>
            </w:pPr>
            <w:r>
              <w:rPr/>
              <w:t>Purchase of product NDAs associated with contingent consideration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37,000,000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2" w:name="xdx_40A_eus-gaap--CapitalExpendituresInc"/>
            <w:bookmarkEnd w:id="252"/>
          </w:p>
        </w:tc>
      </w:tr>
      <w:tr>
        <w:trPr/>
        <w:tc>
          <w:tcPr>
            <w:tcW w:w="7130" w:type="dxa"/>
            <w:tcBorders/>
            <w:shd w:fill="FFFFFF" w:val="clear"/>
            <w:vAlign w:val="center"/>
          </w:tcPr>
          <w:p>
            <w:pPr>
              <w:pStyle w:val="TableContents"/>
              <w:bidi w:val="0"/>
              <w:spacing w:before="0" w:after="283"/>
              <w:jc w:val="left"/>
              <w:rPr/>
            </w:pPr>
            <w:r>
              <w:rPr/>
              <w:t>Purchase of property, plant and equipment included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11,000</w:t>
            </w:r>
          </w:p>
        </w:tc>
        <w:tc>
          <w:tcPr>
            <w:tcW w:w="110" w:type="dxa"/>
            <w:tcBorders/>
            <w:shd w:fill="FFFFFF" w:val="clear"/>
            <w:vAlign w:val="center"/>
          </w:tcPr>
          <w:p>
            <w:pPr>
              <w:pStyle w:val="TableContents"/>
              <w:bidi w:val="0"/>
              <w:spacing w:before="0" w:after="283"/>
              <w:jc w:val="left"/>
              <w:rPr/>
            </w:pPr>
            <w:r>
              <w:rPr/>
              <w:t> </w:t>
            </w:r>
            <w:bookmarkStart w:id="253" w:name="xdx_407_eus-gaap--RightOfUseAssetObtaine"/>
            <w:bookmarkEnd w:id="253"/>
          </w:p>
        </w:tc>
      </w:tr>
      <w:tr>
        <w:trPr/>
        <w:tc>
          <w:tcPr>
            <w:tcW w:w="7130" w:type="dxa"/>
            <w:tcBorders/>
            <w:shd w:fill="CCEEFF" w:val="clear"/>
            <w:vAlign w:val="center"/>
          </w:tcPr>
          <w:p>
            <w:pPr>
              <w:pStyle w:val="TableContents"/>
              <w:bidi w:val="0"/>
              <w:spacing w:before="0" w:after="283"/>
              <w:jc w:val="left"/>
              <w:rPr/>
            </w:pPr>
            <w:r>
              <w:rPr/>
              <w:t>Right-of-use assets obtained in exchange for new operating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3,230,000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Nine Months Ended September 30,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4" w:name="xdx_807_eus-gaap--BusinessDescriptionAnd"/>
      <w:bookmarkEnd w:id="254"/>
      <w:r>
        <w:rPr>
          <w:rFonts w:ascii="Times New Roman;Times;Serif" w:hAnsi="Times New Roman;Times;Serif"/>
          <w:b/>
          <w:i w:val="false"/>
          <w:caps w:val="false"/>
          <w:smallCaps w:val="false"/>
          <w:sz w:val="20"/>
        </w:rPr>
        <w:t xml:space="preserve">NOTE 1. </w:t>
      </w:r>
      <w:bookmarkStart w:id="255" w:name="xdx_826_zcOJsZSJioO"/>
      <w:bookmarkEnd w:id="255"/>
      <w:r>
        <w:rPr>
          <w:rFonts w:ascii="Times New Roman;Times;Serif" w:hAnsi="Times New Roman;Times;Serif"/>
          <w:b/>
          <w:i w:val="false"/>
          <w:caps w:val="false"/>
          <w:smallCaps w:val="false"/>
          <w:sz w:val="20"/>
        </w:rPr>
        <w:t>DESCRIPTION OF BUSINESS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and Background</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br/>
        <w:t>Harrow, Inc. (together with its consolidated subsidiaries, unless the context indicates or otherwise requires, the “Company” or “Harrow”)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The Company owns commercial rights to one of the largest portfolios of branded ophthalmic pharmaceutical products in the U.S, all of which are marketed under its Harrow name. The Company also owns and operates ImprimisRx, one of the nation’s leading ophthalmology-focused pharmaceutical-compounding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2024 are not necessarily indicative of the results that may be expected for the year ending December 31, 2024 or for any other period. For further information, refer to the Company’s audited consolidated financial statements and notes thereto included in the Company’s Annual Report on Form 10-K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its wholly-owned and majority 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consolidates entities in which it has a controlling financial interest. The Company assesses control under the variable interest entity (“VIE”) model to determine whether the Company is the primary beneficiary of that entity. The Company consolidates </w:t>
      </w:r>
      <w:bookmarkStart w:id="256" w:name="xdx_908_ecustom--ConsolidationBasisDescr"/>
      <w:bookmarkEnd w:id="256"/>
      <w:r>
        <w:rPr>
          <w:rFonts w:ascii="Times New Roman;Times;Serif" w:hAnsi="Times New Roman;Times;Serif"/>
          <w:b w:val="false"/>
          <w:i w:val="false"/>
          <w:caps w:val="false"/>
          <w:smallCaps w:val="false"/>
          <w:sz w:val="20"/>
        </w:rPr>
        <w:t>(i) entities in which it holds and/or controls, directly or indirectly, more than 50% of the voting rights, and (ii) VIEs for which the Company is deemed to be the primary beneficiary. All intercompany accounts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7" w:name="xdx_805_eus-gaap--SignificantAccountingP"/>
      <w:bookmarkEnd w:id="257"/>
      <w:r>
        <w:rPr>
          <w:rFonts w:ascii="Times New Roman;Times;Serif" w:hAnsi="Times New Roman;Times;Serif"/>
          <w:b/>
          <w:i w:val="false"/>
          <w:caps w:val="false"/>
          <w:smallCaps w:val="false"/>
          <w:sz w:val="20"/>
        </w:rPr>
        <w:t xml:space="preserve">NOTE 2. </w:t>
      </w:r>
      <w:bookmarkStart w:id="258" w:name="xdx_824_zQJqHbZ8Kvwb"/>
      <w:bookmarkEnd w:id="258"/>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an update for the three and nine months ended September 30, 2024 to the significant accounting policies described in the Company’s Annual Report on Form 10-K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9" w:name="xdx_843_eus-gaap--SegmentReportingPolicy"/>
      <w:bookmarkEnd w:id="259"/>
      <w:r>
        <w:rPr>
          <w:rFonts w:ascii="Times New Roman;Times;Serif" w:hAnsi="Times New Roman;Times;Serif"/>
          <w:b/>
          <w:i w:val="false"/>
          <w:caps w:val="false"/>
          <w:smallCaps w:val="false"/>
          <w:sz w:val="20"/>
        </w:rPr>
        <w:t>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decision-maker is its Chief Executive Officer who makes resource allocation decisions and assesses performance based on financial information presented as operating segments. During the period ended September 30, 2024, the Company identified two operating segments as reportable segments. See Note 15 for more information regarding the Company’s 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260" w:name="xdx_847_ecustom--RisksUncertaintiesAndLi"/>
      <w:bookmarkEnd w:id="260"/>
      <w:r>
        <w:rPr>
          <w:rFonts w:ascii="Times New Roman;Times;Serif" w:hAnsi="Times New Roman;Times;Serif"/>
          <w:b/>
          <w:i w:val="false"/>
          <w:caps w:val="false"/>
          <w:smallCaps w:val="false"/>
          <w:sz w:val="20"/>
        </w:rPr>
        <w:t>Risks, Uncertainties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1" w:name="xdx_84B_eus-gaap--CreditLossFinancialIns"/>
      <w:bookmarkEnd w:id="261"/>
      <w:r>
        <w:rPr>
          <w:rFonts w:ascii="Times New Roman;Times;Serif" w:hAnsi="Times New Roman;Times;Serif"/>
          <w:b/>
          <w:i w:val="false"/>
          <w:caps w:val="false"/>
          <w:smallCaps w:val="false"/>
          <w:sz w:val="20"/>
        </w:rPr>
        <w:t>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provision for credit losses for accounts receivable, the Company has disaggregated its accounts receivable by class of customer at the business component level, as management determined that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receivable balance on the Company’s condensed consolidated balance sheet as of September 30, 2024 was $</w:t>
      </w:r>
      <w:bookmarkStart w:id="262" w:name="xdx_90F_eus-gaap--AccountsReceivableNet_"/>
      <w:bookmarkEnd w:id="262"/>
      <w:r>
        <w:rPr>
          <w:rFonts w:ascii="Times New Roman;Times;Serif" w:hAnsi="Times New Roman;Times;Serif"/>
          <w:b w:val="false"/>
          <w:i w:val="false"/>
          <w:caps w:val="false"/>
          <w:smallCaps w:val="false"/>
          <w:sz w:val="20"/>
        </w:rPr>
        <w:t>53,734,000, net of $</w:t>
      </w:r>
      <w:bookmarkStart w:id="263" w:name="xdx_907_eus-gaap--AllowanceForDoubtfulAc"/>
      <w:bookmarkEnd w:id="263"/>
      <w:r>
        <w:rPr>
          <w:rFonts w:ascii="Times New Roman;Times;Serif" w:hAnsi="Times New Roman;Times;Serif"/>
          <w:b w:val="false"/>
          <w:i w:val="false"/>
          <w:caps w:val="false"/>
          <w:smallCaps w:val="false"/>
          <w:sz w:val="20"/>
        </w:rPr>
        <w:t>281,000 of allowances. The following table provides a roll-forward of the allowance for credit losses that is deducted from the amortized cost basis of accounts receivable to present the net amount expected to be collected at September 30, 2024:</w:t>
      </w:r>
    </w:p>
    <w:p>
      <w:pPr>
        <w:pStyle w:val="TextBody"/>
        <w:bidi w:val="0"/>
        <w:spacing w:before="0" w:after="0"/>
        <w:ind w:left="0" w:right="0" w:hanging="0"/>
        <w:jc w:val="both"/>
        <w:rPr>
          <w:caps w:val="false"/>
          <w:smallCaps w:val="false"/>
        </w:rPr>
      </w:pPr>
      <w:bookmarkStart w:id="264" w:name="xdx_892_eus-gaap--AccountsReceivableAllo"/>
      <w:bookmarkEnd w:id="264"/>
      <w:r>
        <w:rPr>
          <w:caps w:val="false"/>
          <w:smallCaps w:val="false"/>
        </w:rPr>
        <w:t> </w:t>
      </w:r>
      <w:bookmarkStart w:id="265" w:name="xdx_8B3_z0yybtj6fyq1"/>
      <w:bookmarkEnd w:id="265"/>
      <w:r>
        <w:rPr>
          <w:rFonts w:ascii="Times New Roman;Times;Serif" w:hAnsi="Times New Roman;Times;Serif"/>
          <w:b w:val="false"/>
          <w:i w:val="false"/>
          <w:caps w:val="false"/>
          <w:smallCaps w:val="false"/>
          <w:sz w:val="20"/>
        </w:rPr>
        <w:t>SCHEDULE OF ACCOUNTS RECEIVABLE ALLOWANCE OF CREDIT LOSS</w:t>
      </w:r>
    </w:p>
    <w:tbl>
      <w:tblPr>
        <w:tblW w:w="4220" w:type="dxa"/>
        <w:jc w:val="left"/>
        <w:tblInd w:w="0" w:type="dxa"/>
        <w:tblLayout w:type="fixed"/>
        <w:tblCellMar>
          <w:top w:w="0" w:type="dxa"/>
          <w:left w:w="0" w:type="dxa"/>
          <w:bottom w:w="0" w:type="dxa"/>
          <w:right w:w="0" w:type="dxa"/>
        </w:tblCellMar>
      </w:tblPr>
      <w:tblGrid>
        <w:gridCol w:w="3110"/>
        <w:gridCol w:w="60"/>
        <w:gridCol w:w="140"/>
        <w:gridCol w:w="800"/>
        <w:gridCol w:w="110"/>
      </w:tblGrid>
      <w:tr>
        <w:trPr/>
        <w:tc>
          <w:tcPr>
            <w:tcW w:w="3110" w:type="dxa"/>
            <w:tcBorders/>
            <w:shd w:fill="CCEEFF" w:val="clear"/>
            <w:vAlign w:val="center"/>
          </w:tcPr>
          <w:p>
            <w:pPr>
              <w:pStyle w:val="TableContents"/>
              <w:bidi w:val="0"/>
              <w:spacing w:before="0" w:after="283"/>
              <w:jc w:val="left"/>
              <w:rPr/>
            </w:pPr>
            <w:r>
              <w:rPr/>
              <w:t>Balance at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66" w:name="xdx_980_eus-gaap--AllowanceForDoubtfulAc"/>
            <w:bookmarkEnd w:id="266"/>
          </w:p>
        </w:tc>
        <w:tc>
          <w:tcPr>
            <w:tcW w:w="800" w:type="dxa"/>
            <w:tcBorders/>
            <w:shd w:fill="CCEEFF" w:val="clear"/>
            <w:vAlign w:val="center"/>
          </w:tcPr>
          <w:p>
            <w:pPr>
              <w:pStyle w:val="TableContents"/>
              <w:bidi w:val="0"/>
              <w:spacing w:before="0" w:after="283"/>
              <w:jc w:val="right"/>
              <w:rPr/>
            </w:pPr>
            <w:r>
              <w:rPr/>
              <w:t>371,000</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Change in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67" w:name="xdx_986_eus-gaap--AllowanceForDoubtfulAc"/>
            <w:bookmarkEnd w:id="267"/>
          </w:p>
        </w:tc>
        <w:tc>
          <w:tcPr>
            <w:tcW w:w="800" w:type="dxa"/>
            <w:tcBorders/>
            <w:shd w:fill="FFFFFF" w:val="clear"/>
            <w:vAlign w:val="center"/>
          </w:tcPr>
          <w:p>
            <w:pPr>
              <w:pStyle w:val="TableContents"/>
              <w:bidi w:val="0"/>
              <w:spacing w:before="0" w:after="283"/>
              <w:jc w:val="right"/>
              <w:rPr/>
            </w:pPr>
            <w:r>
              <w:rPr/>
              <w:t>(20,000</w:t>
            </w:r>
          </w:p>
        </w:tc>
        <w:tc>
          <w:tcPr>
            <w:tcW w:w="11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Write-offs, net of recoveries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68" w:name="xdx_981_eus-gaap--AllowanceForDoubtfulAc"/>
            <w:bookmarkEnd w:id="268"/>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(70,000</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Balance at September 30,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69" w:name="xdx_98F_eus-gaap--AllowanceForDoubtfulAc"/>
            <w:bookmarkEnd w:id="269"/>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281,000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0" w:name="xdx_8A7_zxU9V1jLwna8"/>
      <w:bookmarkEnd w:id="27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1" w:name="xdx_844_eus-gaap--FairValueMeasurementPo"/>
      <w:bookmarkEnd w:id="271"/>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the Company measured its investment in Eton Pharmaceuticals, Inc. (“Eton”) on a recurring basis. The Company’s investment in Eton was classified as a Level 1 as the fair value was determined using quoted market prices in active markets for the same securities. As of December 31, 2023, the fair market value of the Company’s investment in Eton was $</w:t>
      </w:r>
      <w:bookmarkStart w:id="272" w:name="xdx_90C_eus-gaap--InvestmentOwnedAtFairV"/>
      <w:bookmarkEnd w:id="272"/>
      <w:r>
        <w:rPr>
          <w:rFonts w:ascii="Times New Roman;Times;Serif" w:hAnsi="Times New Roman;Times;Serif"/>
          <w:b w:val="false"/>
          <w:i w:val="false"/>
          <w:caps w:val="false"/>
          <w:smallCaps w:val="false"/>
          <w:sz w:val="20"/>
        </w:rPr>
        <w:t>8,681,000. In April 2024, the Company sold all of its shares of common stock it held of Eton in a block trade at a gross price of $</w:t>
      </w:r>
      <w:bookmarkStart w:id="273" w:name="xdx_903_eus-gaap--SaleOfStockPricePerSha"/>
      <w:bookmarkEnd w:id="273"/>
      <w:r>
        <w:rPr>
          <w:rFonts w:ascii="Times New Roman;Times;Serif" w:hAnsi="Times New Roman;Times;Serif"/>
          <w:b w:val="false"/>
          <w:i w:val="false"/>
          <w:caps w:val="false"/>
          <w:smallCaps w:val="false"/>
          <w:sz w:val="20"/>
        </w:rPr>
        <w:t>3.00 per share. After deducting trading expenses and commissions of approximately $</w:t>
      </w:r>
      <w:bookmarkStart w:id="274" w:name="xdx_906_eus-gaap--OtherExpenses_c2024040"/>
      <w:bookmarkEnd w:id="274"/>
      <w:r>
        <w:rPr>
          <w:rFonts w:ascii="Times New Roman;Times;Serif" w:hAnsi="Times New Roman;Times;Serif"/>
          <w:b w:val="false"/>
          <w:i w:val="false"/>
          <w:caps w:val="false"/>
          <w:smallCaps w:val="false"/>
          <w:sz w:val="20"/>
        </w:rPr>
        <w:t>436,000, the Company received net proceeds of $</w:t>
      </w:r>
      <w:bookmarkStart w:id="275" w:name="xdx_90A_eus-gaap--SaleOfStockConsiderati"/>
      <w:bookmarkEnd w:id="275"/>
      <w:r>
        <w:rPr>
          <w:rFonts w:ascii="Times New Roman;Times;Serif" w:hAnsi="Times New Roman;Times;Serif"/>
          <w:b w:val="false"/>
          <w:i w:val="false"/>
          <w:caps w:val="false"/>
          <w:smallCaps w:val="false"/>
          <w:sz w:val="20"/>
        </w:rPr>
        <w:t>5,510,000 and recorded a loss of $</w:t>
      </w:r>
      <w:bookmarkStart w:id="276" w:name="xdx_903_eus-gaap--GainLossOnInvestments_"/>
      <w:bookmarkEnd w:id="276"/>
      <w:r>
        <w:rPr>
          <w:rFonts w:ascii="Times New Roman;Times;Serif" w:hAnsi="Times New Roman;Times;Serif"/>
          <w:b w:val="false"/>
          <w:i w:val="false"/>
          <w:caps w:val="false"/>
          <w:smallCaps w:val="false"/>
          <w:sz w:val="20"/>
        </w:rPr>
        <w:t>3,171,000 related to the sale of its investment in Eton.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2026 Notes (as defined in Note 11) are carried at face value, including the unamortized premium, less unamortized debt issuance costs, the 2027 Notes (as described in Note 11) are carried at face value less unamortized debt issuance costs, and the Oaktree Loan (as defined in Note 11) is carried at face value less the original issue discount and unamortized debt issuance costs on the condensed consolidated balance sheets and the Company presents fair value for disclosure purposes only. The 2026 Notes and 2027 Notes are classified as Level 1 instruments as the fair value is determined using quoted market prices in active markets for the same securities. The Oaktree Loan is classified as a Level 2 instrument and its fair value is determined through an income approach that considers collateral coverage, yield calibration, yield analysis and any adjustments to implied yield associated with the Company’s fundamental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7" w:name="xdx_891_eus-gaap--ScheduleOfCarryingValu"/>
      <w:bookmarkEnd w:id="277"/>
      <w:r>
        <w:rPr>
          <w:rFonts w:ascii="Times New Roman;Times;Serif" w:hAnsi="Times New Roman;Times;Serif"/>
          <w:b w:val="false"/>
          <w:i w:val="false"/>
          <w:caps w:val="false"/>
          <w:smallCaps w:val="false"/>
          <w:sz w:val="20"/>
        </w:rPr>
        <w:t>The following table presents the estimated fair values and the carrying values:</w:t>
      </w:r>
    </w:p>
    <w:p>
      <w:pPr>
        <w:pStyle w:val="TextBody"/>
        <w:bidi w:val="0"/>
        <w:spacing w:before="0" w:after="0"/>
        <w:ind w:left="0" w:right="0" w:hanging="0"/>
        <w:jc w:val="both"/>
        <w:rPr>
          <w:caps w:val="false"/>
          <w:smallCaps w:val="false"/>
        </w:rPr>
      </w:pPr>
      <w:r>
        <w:rPr>
          <w:caps w:val="false"/>
          <w:smallCaps w:val="false"/>
        </w:rPr>
        <w:t> </w:t>
      </w:r>
      <w:bookmarkStart w:id="278" w:name="xdx_8B7_ziQ09qayvDOk"/>
      <w:bookmarkEnd w:id="278"/>
      <w:r>
        <w:rPr>
          <w:rFonts w:ascii="Times New Roman;Times;Serif" w:hAnsi="Times New Roman;Times;Serif"/>
          <w:b w:val="false"/>
          <w:i w:val="false"/>
          <w:caps w:val="false"/>
          <w:smallCaps w:val="false"/>
          <w:sz w:val="20"/>
        </w:rPr>
        <w:t>SCHEDULE OF ESTIMATED FAIR VALUE</w:t>
      </w:r>
    </w:p>
    <w:tbl>
      <w:tblPr>
        <w:tblW w:w="7563" w:type="dxa"/>
        <w:jc w:val="left"/>
        <w:tblInd w:w="0" w:type="dxa"/>
        <w:tblLayout w:type="fixed"/>
        <w:tblCellMar>
          <w:top w:w="0" w:type="dxa"/>
          <w:left w:w="0" w:type="dxa"/>
          <w:bottom w:w="0" w:type="dxa"/>
          <w:right w:w="0" w:type="dxa"/>
        </w:tblCellMar>
      </w:tblPr>
      <w:tblGrid>
        <w:gridCol w:w="1340"/>
        <w:gridCol w:w="60"/>
        <w:gridCol w:w="183"/>
        <w:gridCol w:w="1441"/>
        <w:gridCol w:w="60"/>
        <w:gridCol w:w="60"/>
        <w:gridCol w:w="140"/>
        <w:gridCol w:w="1100"/>
        <w:gridCol w:w="60"/>
        <w:gridCol w:w="60"/>
        <w:gridCol w:w="183"/>
        <w:gridCol w:w="1441"/>
        <w:gridCol w:w="60"/>
        <w:gridCol w:w="60"/>
        <w:gridCol w:w="140"/>
        <w:gridCol w:w="1100"/>
        <w:gridCol w:w="75"/>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2026 Notes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bookmarkStart w:id="279" w:name="xdx_989_eus-gaap--DebtInstrumentCarrying"/>
            <w:bookmarkEnd w:id="279"/>
          </w:p>
        </w:tc>
        <w:tc>
          <w:tcPr>
            <w:tcW w:w="1441" w:type="dxa"/>
            <w:tcBorders/>
            <w:shd w:fill="CCEEFF" w:val="clear"/>
            <w:vAlign w:val="center"/>
          </w:tcPr>
          <w:p>
            <w:pPr>
              <w:pStyle w:val="TableContents"/>
              <w:bidi w:val="0"/>
              <w:spacing w:before="0" w:after="283"/>
              <w:jc w:val="right"/>
              <w:rPr/>
            </w:pPr>
            <w:r>
              <w:rPr/>
              <w:t>73,804,000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80" w:name="xdx_98A_eus-gaap--DebtInstrumentFairValu"/>
            <w:bookmarkEnd w:id="280"/>
          </w:p>
        </w:tc>
        <w:tc>
          <w:tcPr>
            <w:tcW w:w="1100" w:type="dxa"/>
            <w:tcBorders/>
            <w:shd w:fill="CCEEFF" w:val="clear"/>
            <w:vAlign w:val="center"/>
          </w:tcPr>
          <w:p>
            <w:pPr>
              <w:pStyle w:val="TableContents"/>
              <w:bidi w:val="0"/>
              <w:spacing w:before="0" w:after="283"/>
              <w:jc w:val="right"/>
              <w:rPr/>
            </w:pPr>
            <w:r>
              <w:rPr/>
              <w:t>76,830,000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bookmarkStart w:id="281" w:name="xdx_98F_eus-gaap--DebtInstrumentCarrying"/>
            <w:bookmarkEnd w:id="281"/>
          </w:p>
        </w:tc>
        <w:tc>
          <w:tcPr>
            <w:tcW w:w="1441" w:type="dxa"/>
            <w:tcBorders/>
            <w:shd w:fill="CCEEFF" w:val="clear"/>
            <w:vAlign w:val="center"/>
          </w:tcPr>
          <w:p>
            <w:pPr>
              <w:pStyle w:val="TableContents"/>
              <w:bidi w:val="0"/>
              <w:spacing w:before="0" w:after="283"/>
              <w:jc w:val="right"/>
              <w:rPr/>
            </w:pPr>
            <w:r>
              <w:rPr/>
              <w:t>73,218,000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82" w:name="xdx_98E_eus-gaap--DebtInstrumentFairValu"/>
            <w:bookmarkEnd w:id="282"/>
          </w:p>
        </w:tc>
        <w:tc>
          <w:tcPr>
            <w:tcW w:w="1100" w:type="dxa"/>
            <w:tcBorders/>
            <w:shd w:fill="CCEEFF" w:val="clear"/>
            <w:vAlign w:val="center"/>
          </w:tcPr>
          <w:p>
            <w:pPr>
              <w:pStyle w:val="TableContents"/>
              <w:bidi w:val="0"/>
              <w:spacing w:before="0" w:after="283"/>
              <w:jc w:val="right"/>
              <w:rPr/>
            </w:pPr>
            <w:r>
              <w:rPr/>
              <w:t>70,260,000</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2027 Notes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bookmarkStart w:id="283" w:name="xdx_98A_eus-gaap--DebtInstrumentCarrying"/>
            <w:bookmarkEnd w:id="283"/>
          </w:p>
        </w:tc>
        <w:tc>
          <w:tcPr>
            <w:tcW w:w="1441" w:type="dxa"/>
            <w:tcBorders/>
            <w:shd w:fill="FFFFFF" w:val="clear"/>
            <w:vAlign w:val="center"/>
          </w:tcPr>
          <w:p>
            <w:pPr>
              <w:pStyle w:val="TableContents"/>
              <w:bidi w:val="0"/>
              <w:spacing w:before="0" w:after="283"/>
              <w:jc w:val="right"/>
              <w:rPr/>
            </w:pPr>
            <w:r>
              <w:rPr/>
              <w:t>37,950,000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84" w:name="xdx_989_eus-gaap--DebtInstrumentFairValu"/>
            <w:bookmarkEnd w:id="284"/>
          </w:p>
        </w:tc>
        <w:tc>
          <w:tcPr>
            <w:tcW w:w="1100" w:type="dxa"/>
            <w:tcBorders/>
            <w:shd w:fill="FFFFFF" w:val="clear"/>
            <w:vAlign w:val="center"/>
          </w:tcPr>
          <w:p>
            <w:pPr>
              <w:pStyle w:val="TableContents"/>
              <w:bidi w:val="0"/>
              <w:spacing w:before="0" w:after="283"/>
              <w:jc w:val="right"/>
              <w:rPr/>
            </w:pPr>
            <w:r>
              <w:rPr/>
              <w:t>43,084,000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bookmarkStart w:id="285" w:name="xdx_988_eus-gaap--DebtInstrumentCarrying"/>
            <w:bookmarkEnd w:id="285"/>
          </w:p>
        </w:tc>
        <w:tc>
          <w:tcPr>
            <w:tcW w:w="1441" w:type="dxa"/>
            <w:tcBorders/>
            <w:shd w:fill="FFFFFF" w:val="clear"/>
            <w:vAlign w:val="center"/>
          </w:tcPr>
          <w:p>
            <w:pPr>
              <w:pStyle w:val="TableContents"/>
              <w:bidi w:val="0"/>
              <w:spacing w:before="0" w:after="283"/>
              <w:jc w:val="right"/>
              <w:rPr/>
            </w:pPr>
            <w:r>
              <w:rPr/>
              <w:t>37,413,000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86" w:name="xdx_98B_eus-gaap--DebtInstrumentFairValu"/>
            <w:bookmarkEnd w:id="286"/>
          </w:p>
        </w:tc>
        <w:tc>
          <w:tcPr>
            <w:tcW w:w="1100" w:type="dxa"/>
            <w:tcBorders/>
            <w:shd w:fill="FFFFFF" w:val="clear"/>
            <w:vAlign w:val="center"/>
          </w:tcPr>
          <w:p>
            <w:pPr>
              <w:pStyle w:val="TableContents"/>
              <w:bidi w:val="0"/>
              <w:spacing w:before="0" w:after="283"/>
              <w:jc w:val="right"/>
              <w:rPr/>
            </w:pPr>
            <w:r>
              <w:rPr/>
              <w:t>40,363,000</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Oaktree Loan</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bookmarkStart w:id="287" w:name="xdx_986_eus-gaap--DebtInstrumentCarrying"/>
            <w:bookmarkEnd w:id="287"/>
          </w:p>
        </w:tc>
        <w:tc>
          <w:tcPr>
            <w:tcW w:w="1441" w:type="dxa"/>
            <w:tcBorders/>
            <w:shd w:fill="CCEEFF" w:val="clear"/>
            <w:vAlign w:val="center"/>
          </w:tcPr>
          <w:p>
            <w:pPr>
              <w:pStyle w:val="TableContents"/>
              <w:bidi w:val="0"/>
              <w:spacing w:before="0" w:after="283"/>
              <w:jc w:val="right"/>
              <w:rPr/>
            </w:pPr>
            <w:r>
              <w:rPr/>
              <w:t>74,303,000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88" w:name="xdx_98D_eus-gaap--DebtInstrumentFairValu"/>
            <w:bookmarkEnd w:id="288"/>
          </w:p>
        </w:tc>
        <w:tc>
          <w:tcPr>
            <w:tcW w:w="1100" w:type="dxa"/>
            <w:tcBorders/>
            <w:shd w:fill="CCEEFF" w:val="clear"/>
            <w:vAlign w:val="center"/>
          </w:tcPr>
          <w:p>
            <w:pPr>
              <w:pStyle w:val="TableContents"/>
              <w:bidi w:val="0"/>
              <w:spacing w:before="0" w:after="283"/>
              <w:jc w:val="right"/>
              <w:rPr/>
            </w:pPr>
            <w:r>
              <w:rPr/>
              <w:t>78,663,000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bookmarkStart w:id="289" w:name="xdx_985_eus-gaap--DebtInstrumentCarrying"/>
            <w:bookmarkEnd w:id="289"/>
          </w:p>
        </w:tc>
        <w:tc>
          <w:tcPr>
            <w:tcW w:w="1441" w:type="dxa"/>
            <w:tcBorders/>
            <w:shd w:fill="CCEEFF" w:val="clear"/>
            <w:vAlign w:val="center"/>
          </w:tcPr>
          <w:p>
            <w:pPr>
              <w:pStyle w:val="TableContents"/>
              <w:bidi w:val="0"/>
              <w:spacing w:before="0" w:after="283"/>
              <w:jc w:val="right"/>
              <w:rPr/>
            </w:pPr>
            <w:r>
              <w:rPr/>
              <w:t>72,541,000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90" w:name="xdx_981_eus-gaap--DebtInstrumentFairValu"/>
            <w:bookmarkEnd w:id="290"/>
          </w:p>
        </w:tc>
        <w:tc>
          <w:tcPr>
            <w:tcW w:w="1100" w:type="dxa"/>
            <w:tcBorders/>
            <w:shd w:fill="CCEEFF" w:val="clear"/>
            <w:vAlign w:val="center"/>
          </w:tcPr>
          <w:p>
            <w:pPr>
              <w:pStyle w:val="TableContents"/>
              <w:bidi w:val="0"/>
              <w:spacing w:before="0" w:after="283"/>
              <w:jc w:val="right"/>
              <w:rPr/>
            </w:pPr>
            <w:r>
              <w:rPr/>
              <w:t>76,627,000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1" w:name="xdx_8A9_z9FNbNiq64qj"/>
      <w:bookmarkEnd w:id="29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financial instruments include cash and cash equivalents, accounts receivable, accounts payable and accrued expenses, accrued payroll and related liabilities, contingent consideration payable, deferred revenue and customer deposits and operating lease liabilities. The carrying amount of these financial instruments, except for operating lease liabilities, approximates fair value due to the short-term maturities of these instruments. Based on borrowing rates currently available to the Company, the carrying value of the operating lease liabilities approximate their respective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2" w:name="xdx_843_eus-gaap--EarningsPerSharePolicy"/>
      <w:bookmarkEnd w:id="292"/>
      <w:r>
        <w:rPr>
          <w:rFonts w:ascii="Times New Roman;Times;Serif" w:hAnsi="Times New Roman;Times;Serif"/>
          <w:b/>
          <w:i w:val="false"/>
          <w:caps w:val="false"/>
          <w:smallCaps w:val="false"/>
          <w:sz w:val="20"/>
        </w:rPr>
        <w:t>Basic and Diluted Net Loss per Common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restricted stock units (“RSUs”), and market-based vesting performance stock units (“PSUs”), outstanding during the period. Common equivalent shares (using the treasury stock method) from stock options, unvested RSUs, and unvested PSUs were </w:t>
      </w:r>
      <w:bookmarkStart w:id="293" w:name="xdx_901_eus-gaap--AntidilutiveSecurities"/>
      <w:bookmarkEnd w:id="293"/>
      <w:r>
        <w:rPr>
          <w:rFonts w:ascii="Times New Roman;Times;Serif" w:hAnsi="Times New Roman;Times;Serif"/>
          <w:b w:val="false"/>
          <w:i w:val="false"/>
          <w:caps w:val="false"/>
          <w:smallCaps w:val="false"/>
          <w:sz w:val="20"/>
        </w:rPr>
        <w:t xml:space="preserve">4,411,488 and </w:t>
      </w:r>
      <w:bookmarkStart w:id="294" w:name="xdx_90E_eus-gaap--AntidilutiveSecurities"/>
      <w:bookmarkEnd w:id="294"/>
      <w:r>
        <w:rPr>
          <w:rFonts w:ascii="Times New Roman;Times;Serif" w:hAnsi="Times New Roman;Times;Serif"/>
          <w:b w:val="false"/>
          <w:i w:val="false"/>
          <w:caps w:val="false"/>
          <w:smallCaps w:val="false"/>
          <w:sz w:val="20"/>
        </w:rPr>
        <w:t xml:space="preserve">4,588,982 at September 30, 2024 and 2023, respectively, and are excluded in the calculation of diluted net loss per common share for the periods presented because the effect is anti-dilutive. Included in the basic and diluted net loss per share calculation were RSUs awarded to directors that had vested, but the issuance and delivery of the shares are deferred until the director ceases providing services. The number of shares underlying vested RSUs at September 30, 2024 and 2023 was </w:t>
      </w:r>
      <w:bookmarkStart w:id="295" w:name="xdx_908_eus-gaap--StockIssuedDuringPerio"/>
      <w:bookmarkEnd w:id="295"/>
      <w:r>
        <w:rPr>
          <w:rFonts w:ascii="Times New Roman;Times;Serif" w:hAnsi="Times New Roman;Times;Serif"/>
          <w:b w:val="false"/>
          <w:i w:val="false"/>
          <w:caps w:val="false"/>
          <w:smallCaps w:val="false"/>
          <w:sz w:val="20"/>
        </w:rPr>
        <w:t xml:space="preserve">195,696 and </w:t>
      </w:r>
      <w:bookmarkStart w:id="296" w:name="xdx_900_eus-gaap--StockIssuedDuringPerio"/>
      <w:bookmarkEnd w:id="296"/>
      <w:r>
        <w:rPr>
          <w:rFonts w:ascii="Times New Roman;Times;Serif" w:hAnsi="Times New Roman;Times;Serif"/>
          <w:b w:val="false"/>
          <w:i w:val="false"/>
          <w:caps w:val="false"/>
          <w:smallCaps w:val="false"/>
          <w:sz w:val="20"/>
        </w:rPr>
        <w:t>244,352,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7" w:name="xdx_89C_eus-gaap--ScheduleOfEarningsPerS"/>
      <w:bookmarkEnd w:id="297"/>
      <w:r>
        <w:rPr>
          <w:rFonts w:ascii="Times New Roman;Times;Serif" w:hAnsi="Times New Roman;Times;Serif"/>
          <w:b w:val="false"/>
          <w:i w:val="false"/>
          <w:caps w:val="false"/>
          <w:smallCaps w:val="false"/>
          <w:sz w:val="20"/>
        </w:rPr>
        <w:t>The following table shows the computation of basic and diluted net loss per share of common stock:</w:t>
      </w:r>
    </w:p>
    <w:p>
      <w:pPr>
        <w:pStyle w:val="TextBody"/>
        <w:bidi w:val="0"/>
        <w:spacing w:before="0" w:after="0"/>
        <w:ind w:left="0" w:right="0" w:hanging="0"/>
        <w:jc w:val="both"/>
        <w:rPr>
          <w:caps w:val="false"/>
          <w:smallCaps w:val="false"/>
        </w:rPr>
      </w:pPr>
      <w:r>
        <w:rPr>
          <w:caps w:val="false"/>
          <w:smallCaps w:val="false"/>
        </w:rPr>
        <w:t> </w:t>
      </w:r>
      <w:bookmarkStart w:id="298" w:name="xdx_8B0_zMwHslTDZYc5"/>
      <w:bookmarkEnd w:id="298"/>
      <w:r>
        <w:rPr>
          <w:rFonts w:ascii="Times New Roman;Times;Serif" w:hAnsi="Times New Roman;Times;Serif"/>
          <w:b w:val="false"/>
          <w:i w:val="false"/>
          <w:caps w:val="false"/>
          <w:smallCaps w:val="false"/>
          <w:sz w:val="20"/>
        </w:rPr>
        <w:t>SCHEDULE OF BASIC NET LOSS PER SHARE OF COMMON STOCK</w:t>
      </w:r>
    </w:p>
    <w:tbl>
      <w:tblPr>
        <w:tblW w:w="10205" w:type="dxa"/>
        <w:jc w:val="left"/>
        <w:tblInd w:w="0" w:type="dxa"/>
        <w:tblLayout w:type="fixed"/>
        <w:tblCellMar>
          <w:top w:w="0" w:type="dxa"/>
          <w:left w:w="0" w:type="dxa"/>
          <w:bottom w:w="0" w:type="dxa"/>
          <w:right w:w="0" w:type="dxa"/>
        </w:tblCellMar>
      </w:tblPr>
      <w:tblGrid>
        <w:gridCol w:w="3339"/>
        <w:gridCol w:w="60"/>
        <w:gridCol w:w="171"/>
        <w:gridCol w:w="1353"/>
        <w:gridCol w:w="116"/>
        <w:gridCol w:w="73"/>
        <w:gridCol w:w="171"/>
        <w:gridCol w:w="1353"/>
        <w:gridCol w:w="95"/>
        <w:gridCol w:w="60"/>
        <w:gridCol w:w="165"/>
        <w:gridCol w:w="1392"/>
        <w:gridCol w:w="112"/>
        <w:gridCol w:w="70"/>
        <w:gridCol w:w="165"/>
        <w:gridCol w:w="1392"/>
        <w:gridCol w:w="118"/>
      </w:tblGrid>
      <w:tr>
        <w:trPr/>
        <w:tc>
          <w:tcPr>
            <w:tcW w:w="33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99" w:name="xdx_497_20240701__20240930_zKAQBotulb95"/>
            <w:bookmarkEnd w:id="299"/>
          </w:p>
        </w:tc>
        <w:tc>
          <w:tcPr>
            <w:tcW w:w="152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center"/>
              <w:rPr/>
            </w:pPr>
            <w:r>
              <w:rPr/>
              <w:t> </w:t>
            </w:r>
          </w:p>
        </w:tc>
        <w:tc>
          <w:tcPr>
            <w:tcW w:w="73" w:type="dxa"/>
            <w:tcBorders/>
            <w:vAlign w:val="center"/>
          </w:tcPr>
          <w:p>
            <w:pPr>
              <w:pStyle w:val="TableContents"/>
              <w:bidi w:val="0"/>
              <w:spacing w:before="0" w:after="283"/>
              <w:jc w:val="center"/>
              <w:rPr/>
            </w:pPr>
            <w:r>
              <w:rPr/>
              <w:t> </w:t>
            </w:r>
            <w:bookmarkStart w:id="300" w:name="xdx_493_20230701__20230930_zDVnnpejEWRf"/>
            <w:bookmarkEnd w:id="300"/>
          </w:p>
        </w:tc>
        <w:tc>
          <w:tcPr>
            <w:tcW w:w="152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01" w:name="xdx_499_20240101__20240930_zqbtGDeMbTx9"/>
            <w:bookmarkEnd w:id="301"/>
          </w:p>
        </w:tc>
        <w:tc>
          <w:tcPr>
            <w:tcW w:w="1557"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bookmarkStart w:id="302" w:name="xdx_493_20230101__20230930_zCmfTb0p8yS"/>
            <w:bookmarkEnd w:id="302"/>
          </w:p>
        </w:tc>
        <w:tc>
          <w:tcPr>
            <w:tcW w:w="1557"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8" w:type="dxa"/>
            <w:tcBorders/>
            <w:vAlign w:val="center"/>
          </w:tcPr>
          <w:p>
            <w:pPr>
              <w:pStyle w:val="TableContents"/>
              <w:bidi w:val="0"/>
              <w:spacing w:before="0" w:after="283"/>
              <w:jc w:val="center"/>
              <w:rPr/>
            </w:pPr>
            <w:r>
              <w:rPr/>
              <w:t> </w:t>
            </w:r>
          </w:p>
        </w:tc>
      </w:tr>
      <w:tr>
        <w:trPr/>
        <w:tc>
          <w:tcPr>
            <w:tcW w:w="3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Nine Months Ended September 30,</w:t>
            </w:r>
          </w:p>
        </w:tc>
        <w:tc>
          <w:tcPr>
            <w:tcW w:w="118" w:type="dxa"/>
            <w:tcBorders/>
            <w:vAlign w:val="center"/>
          </w:tcPr>
          <w:p>
            <w:pPr>
              <w:pStyle w:val="TableContents"/>
              <w:bidi w:val="0"/>
              <w:spacing w:before="0" w:after="283"/>
              <w:jc w:val="left"/>
              <w:rPr/>
            </w:pPr>
            <w:r>
              <w:rPr/>
              <w:t> </w:t>
            </w:r>
          </w:p>
        </w:tc>
      </w:tr>
      <w:tr>
        <w:trPr/>
        <w:tc>
          <w:tcPr>
            <w:tcW w:w="33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8" w:type="dxa"/>
            <w:tcBorders/>
            <w:vAlign w:val="center"/>
          </w:tcPr>
          <w:p>
            <w:pPr>
              <w:pStyle w:val="TableContents"/>
              <w:bidi w:val="0"/>
              <w:spacing w:before="0" w:after="283"/>
              <w:jc w:val="left"/>
              <w:rPr/>
            </w:pPr>
            <w:r>
              <w:rPr/>
              <w:t> </w:t>
            </w:r>
            <w:bookmarkStart w:id="303" w:name="xdx_404_eus-gaap--NetIncomeLossAvailable"/>
            <w:bookmarkEnd w:id="303"/>
          </w:p>
        </w:tc>
      </w:tr>
      <w:tr>
        <w:trPr/>
        <w:tc>
          <w:tcPr>
            <w:tcW w:w="3339" w:type="dxa"/>
            <w:tcBorders/>
            <w:shd w:fill="CCEEFF" w:val="clear"/>
            <w:vAlign w:val="center"/>
          </w:tcPr>
          <w:p>
            <w:pPr>
              <w:pStyle w:val="TableContents"/>
              <w:bidi w:val="0"/>
              <w:spacing w:before="0" w:after="283"/>
              <w:jc w:val="both"/>
              <w:rPr/>
            </w:pPr>
            <w:r>
              <w:rPr/>
              <w:t>Numerator – net loss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r>
              <w:rPr/>
              <w:t>(4,220,000</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r>
              <w:rPr/>
              <w:t>(4,391,000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2" w:type="dxa"/>
            <w:tcBorders>
              <w:bottom w:val="double" w:sz="6" w:space="0" w:color="000000"/>
            </w:tcBorders>
            <w:shd w:fill="CCEEFF" w:val="clear"/>
            <w:tcMar>
              <w:bottom w:w="28" w:type="dxa"/>
            </w:tcMar>
            <w:vAlign w:val="center"/>
          </w:tcPr>
          <w:p>
            <w:pPr>
              <w:pStyle w:val="TableContents"/>
              <w:bidi w:val="0"/>
              <w:spacing w:before="0" w:after="283"/>
              <w:jc w:val="right"/>
              <w:rPr/>
            </w:pPr>
            <w:r>
              <w:rPr/>
              <w:t>(24,258,000</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2" w:type="dxa"/>
            <w:tcBorders>
              <w:bottom w:val="double" w:sz="6" w:space="0" w:color="000000"/>
            </w:tcBorders>
            <w:shd w:fill="CCEEFF" w:val="clear"/>
            <w:tcMar>
              <w:bottom w:w="28" w:type="dxa"/>
            </w:tcMar>
            <w:vAlign w:val="center"/>
          </w:tcPr>
          <w:p>
            <w:pPr>
              <w:pStyle w:val="TableContents"/>
              <w:bidi w:val="0"/>
              <w:spacing w:before="0" w:after="283"/>
              <w:jc w:val="right"/>
              <w:rPr/>
            </w:pPr>
            <w:r>
              <w:rPr/>
              <w:t>(15,263,000</w:t>
            </w:r>
          </w:p>
        </w:tc>
        <w:tc>
          <w:tcPr>
            <w:tcW w:w="118" w:type="dxa"/>
            <w:tcBorders/>
            <w:shd w:fill="CCEEFF" w:val="clear"/>
            <w:vAlign w:val="center"/>
          </w:tcPr>
          <w:p>
            <w:pPr>
              <w:pStyle w:val="TableContents"/>
              <w:bidi w:val="0"/>
              <w:spacing w:before="0" w:after="283"/>
              <w:jc w:val="left"/>
              <w:rPr/>
            </w:pPr>
            <w:r>
              <w:rPr/>
              <w:t>)</w:t>
            </w:r>
          </w:p>
        </w:tc>
      </w:tr>
      <w:tr>
        <w:trPr/>
        <w:tc>
          <w:tcPr>
            <w:tcW w:w="3339" w:type="dxa"/>
            <w:tcBorders/>
            <w:shd w:fill="FFFFFF" w:val="clear"/>
            <w:vAlign w:val="center"/>
          </w:tcPr>
          <w:p>
            <w:pPr>
              <w:pStyle w:val="TableContents"/>
              <w:bidi w:val="0"/>
              <w:spacing w:before="0" w:after="283"/>
              <w:jc w:val="left"/>
              <w:rPr/>
            </w:pPr>
            <w:r>
              <w:rPr/>
              <w:t>Denominator – weighted average number of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04" w:name="xdx_907_eus-gaap--WeightedAverageNumberO"/>
            <w:bookmarkStart w:id="305" w:name="xdx_904_eus-gaap--WeightedAverageNumberO"/>
            <w:bookmarkEnd w:id="304"/>
            <w:bookmarkEnd w:id="305"/>
            <w:r>
              <w:rPr/>
              <w:t>35,702,200</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06" w:name="xdx_90A_eus-gaap--WeightedAverageNumberO"/>
            <w:bookmarkStart w:id="307" w:name="xdx_903_eus-gaap--WeightedAverageNumberO"/>
            <w:bookmarkEnd w:id="306"/>
            <w:bookmarkEnd w:id="307"/>
            <w:r>
              <w:rPr/>
              <w:t>34,255,197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9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08" w:name="xdx_902_eus-gaap--WeightedAverageNumberO"/>
            <w:bookmarkStart w:id="309" w:name="xdx_900_eus-gaap--WeightedAverageNumberO"/>
            <w:bookmarkEnd w:id="308"/>
            <w:bookmarkEnd w:id="309"/>
            <w:r>
              <w:rPr/>
              <w:t>35,597,409</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9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10" w:name="xdx_909_eus-gaap--WeightedAverageNumberO"/>
            <w:bookmarkStart w:id="311" w:name="xdx_90D_eus-gaap--WeightedAverageNumberO"/>
            <w:bookmarkEnd w:id="310"/>
            <w:bookmarkEnd w:id="311"/>
            <w:r>
              <w:rPr/>
              <w:t>31,689,947</w:t>
            </w:r>
          </w:p>
        </w:tc>
        <w:tc>
          <w:tcPr>
            <w:tcW w:w="118" w:type="dxa"/>
            <w:tcBorders/>
            <w:shd w:fill="FFFFFF" w:val="clear"/>
            <w:vAlign w:val="center"/>
          </w:tcPr>
          <w:p>
            <w:pPr>
              <w:pStyle w:val="TableContents"/>
              <w:bidi w:val="0"/>
              <w:spacing w:before="0" w:after="283"/>
              <w:jc w:val="left"/>
              <w:rPr/>
            </w:pPr>
            <w:r>
              <w:rPr/>
              <w:t> </w:t>
            </w:r>
          </w:p>
        </w:tc>
      </w:tr>
      <w:tr>
        <w:trPr/>
        <w:tc>
          <w:tcPr>
            <w:tcW w:w="3339" w:type="dxa"/>
            <w:tcBorders/>
            <w:shd w:fill="CCEEFF" w:val="clear"/>
            <w:vAlign w:val="center"/>
          </w:tcPr>
          <w:p>
            <w:pPr>
              <w:pStyle w:val="TableContents"/>
              <w:bidi w:val="0"/>
              <w:spacing w:before="0" w:after="283"/>
              <w:jc w:val="left"/>
              <w:rPr>
                <w:b/>
              </w:rPr>
            </w:pPr>
            <w:r>
              <w:rPr>
                <w:b/>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12" w:name="xdx_909_eus-gaap--EarningsPerShareDilute"/>
            <w:bookmarkStart w:id="313" w:name="xdx_903_eus-gaap--EarningsPerShareBasic_"/>
            <w:bookmarkEnd w:id="312"/>
            <w:bookmarkEnd w:id="313"/>
            <w:r>
              <w:rPr/>
              <w:t>(0.12</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14" w:name="xdx_908_eus-gaap--EarningsPerShareDilute"/>
            <w:bookmarkStart w:id="315" w:name="xdx_906_eus-gaap--EarningsPerShareBasic_"/>
            <w:bookmarkEnd w:id="314"/>
            <w:bookmarkEnd w:id="315"/>
            <w:r>
              <w:rPr/>
              <w:t>(0.13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16" w:name="xdx_905_eus-gaap--EarningsPerShareDilute"/>
            <w:bookmarkStart w:id="317" w:name="xdx_900_eus-gaap--EarningsPerShareBasic_"/>
            <w:bookmarkEnd w:id="316"/>
            <w:bookmarkEnd w:id="317"/>
            <w:r>
              <w:rPr/>
              <w:t>(0.68</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18" w:name="xdx_903_eus-gaap--EarningsPerShareDilute"/>
            <w:bookmarkStart w:id="319" w:name="xdx_900_eus-gaap--EarningsPerShareBasic_"/>
            <w:bookmarkEnd w:id="318"/>
            <w:bookmarkEnd w:id="319"/>
            <w:r>
              <w:rPr/>
              <w:t>(0.48</w:t>
            </w:r>
          </w:p>
        </w:tc>
        <w:tc>
          <w:tcPr>
            <w:tcW w:w="118"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20" w:name="xdx_8AC_z8t9gGJcY1y"/>
      <w:bookmarkEnd w:id="32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1" w:name="xdx_842_eus-gaap--IncomeTaxPolicyTextBlo"/>
      <w:bookmarkEnd w:id="321"/>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tax rate was </w:t>
      </w:r>
      <w:bookmarkStart w:id="322" w:name="xdx_907_eus-gaap--EffectiveIncomeTaxRate"/>
      <w:bookmarkEnd w:id="322"/>
      <w:r>
        <w:rPr>
          <w:rFonts w:ascii="Times New Roman;Times;Serif" w:hAnsi="Times New Roman;Times;Serif"/>
          <w:b w:val="false"/>
          <w:i w:val="false"/>
          <w:caps w:val="false"/>
          <w:smallCaps w:val="false"/>
          <w:sz w:val="20"/>
        </w:rPr>
        <w:t xml:space="preserve">(2.95)% and </w:t>
      </w:r>
      <w:bookmarkStart w:id="323" w:name="xdx_904_eus-gaap--EffectiveIncomeTaxRate"/>
      <w:bookmarkEnd w:id="323"/>
      <w:r>
        <w:rPr>
          <w:rFonts w:ascii="Times New Roman;Times;Serif" w:hAnsi="Times New Roman;Times;Serif"/>
          <w:b w:val="false"/>
          <w:i w:val="false"/>
          <w:caps w:val="false"/>
          <w:smallCaps w:val="false"/>
          <w:sz w:val="20"/>
        </w:rPr>
        <w:t xml:space="preserve">(8.81)% for the nine months ended September 30, 2024 and 2023, respectively. The Company’s effective tax rate for the nine months ended September 30, 2024 and 2023 differs from the U.S. federal statutory tax rate of </w:t>
      </w:r>
      <w:bookmarkStart w:id="324" w:name="xdx_907_eus-gaap--EffectiveIncomeTaxRate"/>
      <w:bookmarkStart w:id="325" w:name="xdx_908_eus-gaap--EffectiveIncomeTaxRate"/>
      <w:bookmarkEnd w:id="324"/>
      <w:bookmarkEnd w:id="325"/>
      <w:r>
        <w:rPr>
          <w:rFonts w:ascii="Times New Roman;Times;Serif" w:hAnsi="Times New Roman;Times;Serif"/>
          <w:b w:val="false"/>
          <w:i w:val="false"/>
          <w:caps w:val="false"/>
          <w:smallCaps w:val="false"/>
          <w:sz w:val="20"/>
        </w:rPr>
        <w:t>21% due to state taxes, permanent book-tax differences related to Internal Revenue Code of 1986, as amended, Section 162(m) excess officer compensation limitation, share-based compensation and the change in valuation allowance. In the current period ended September 30, 2024, the Company met the exception to using the estimated annual effective tax rate. The current period income tax expense reflects year-to-date income tax expense. The prior year third quarter income tax expense was recorded using the estimated annual effective tax rate.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2024 and December 31, 2023, there were </w:t>
      </w:r>
      <w:bookmarkStart w:id="326" w:name="xdx_90E_eus-gaap--UnrecognizedTaxBenefit"/>
      <w:bookmarkStart w:id="327" w:name="xdx_90D_eus-gaap--UnrecognizedTaxBenefit"/>
      <w:bookmarkEnd w:id="326"/>
      <w:bookmarkEnd w:id="327"/>
      <w:r>
        <w:rPr>
          <w:rFonts w:ascii="Times New Roman;Times;Serif" w:hAnsi="Times New Roman;Times;Serif"/>
          <w:b w:val="false"/>
          <w:i w:val="false"/>
          <w:caps w:val="false"/>
          <w:smallCaps w:val="false"/>
          <w:sz w:val="20"/>
        </w:rPr>
        <w:t>no unrecognized tax benefits included in the condensed consolidated balance sheets that would, if recognized, affect the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8" w:name="xdx_845_eus-gaap--InvestmentPolicyTextBl"/>
      <w:bookmarkEnd w:id="328"/>
      <w:r>
        <w:rPr>
          <w:rFonts w:ascii="Times New Roman;Times;Serif" w:hAnsi="Times New Roman;Times;Serif"/>
          <w:b/>
          <w:i w:val="false"/>
          <w:caps w:val="false"/>
          <w:smallCaps w:val="false"/>
          <w:sz w:val="20"/>
        </w:rPr>
        <w:t>Investment in Melt Pharmaceuticals, Inc.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owns </w:t>
      </w:r>
      <w:bookmarkStart w:id="329" w:name="xdx_90A_eus-gaap--InvestmentOwnedBalance"/>
      <w:bookmarkEnd w:id="329"/>
      <w:r>
        <w:rPr>
          <w:rFonts w:ascii="Times New Roman;Times;Serif" w:hAnsi="Times New Roman;Times;Serif"/>
          <w:b w:val="false"/>
          <w:i w:val="false"/>
          <w:caps w:val="false"/>
          <w:smallCaps w:val="false"/>
          <w:sz w:val="20"/>
        </w:rPr>
        <w:t xml:space="preserve">3,500,000 shares of common stock and </w:t>
      </w:r>
      <w:bookmarkStart w:id="330" w:name="xdx_909_eus-gaap--InvestmentOwnedBalance"/>
      <w:bookmarkEnd w:id="330"/>
      <w:r>
        <w:rPr>
          <w:rFonts w:ascii="Times New Roman;Times;Serif" w:hAnsi="Times New Roman;Times;Serif"/>
          <w:b w:val="false"/>
          <w:i w:val="false"/>
          <w:caps w:val="false"/>
          <w:smallCaps w:val="false"/>
          <w:sz w:val="20"/>
        </w:rPr>
        <w:t xml:space="preserve">2,334,256 shares of preferred stock of Melt (representing in aggregate approximately </w:t>
      </w:r>
      <w:bookmarkStart w:id="331" w:name="xdx_906_eus-gaap--EquityMethodInvestment"/>
      <w:bookmarkEnd w:id="331"/>
      <w:r>
        <w:rPr>
          <w:rFonts w:ascii="Times New Roman;Times;Serif" w:hAnsi="Times New Roman;Times;Serif"/>
          <w:b w:val="false"/>
          <w:i w:val="false"/>
          <w:caps w:val="false"/>
          <w:smallCaps w:val="false"/>
          <w:sz w:val="20"/>
        </w:rPr>
        <w:t>46% of Melt’s equity interests as of September 30, 2024).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Therefore, the Company uses the equity method of accounting for the Melt investment. Under this method, the Company recognizes earnings and losses in Melt in its consolidated financial statements and adjusts the carrying amount of its investment in Melt accordingly. Any intra-entity profits and losses are eliminated.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quarterly basis, management assesses whether there are any indicators that the carrying value of the Company’s equity method investments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The Company has no investments other than its common stock and preferred stock positions in Melt and no other requirements to advance funds to Melt.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2" w:name="xdx_897_eus-gaap--InvestmentTableTextBlo"/>
      <w:bookmarkEnd w:id="332"/>
      <w:r>
        <w:rPr>
          <w:rFonts w:ascii="Times New Roman;Times;Serif" w:hAnsi="Times New Roman;Times;Serif"/>
          <w:b w:val="false"/>
          <w:i w:val="false"/>
          <w:caps w:val="false"/>
          <w:smallCaps w:val="false"/>
          <w:sz w:val="20"/>
        </w:rPr>
        <w:t>The following table summarizes the Company’s investments in Melt as of September 30,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33" w:name="xdx_8BB_z0VDvGN8VQt7"/>
      <w:bookmarkEnd w:id="333"/>
      <w:r>
        <w:rPr>
          <w:rFonts w:ascii="Times New Roman;Times;Serif" w:hAnsi="Times New Roman;Times;Serif"/>
          <w:b w:val="false"/>
          <w:i w:val="false"/>
          <w:caps w:val="false"/>
          <w:smallCaps w:val="false"/>
          <w:sz w:val="20"/>
        </w:rPr>
        <w:t>SCHEDULE OF INVESTMENT  </w:t>
      </w:r>
    </w:p>
    <w:tbl>
      <w:tblPr>
        <w:tblW w:w="6569" w:type="dxa"/>
        <w:jc w:val="left"/>
        <w:tblInd w:w="0" w:type="dxa"/>
        <w:tblLayout w:type="fixed"/>
        <w:tblCellMar>
          <w:top w:w="0" w:type="dxa"/>
          <w:left w:w="0" w:type="dxa"/>
          <w:bottom w:w="0" w:type="dxa"/>
          <w:right w:w="0" w:type="dxa"/>
        </w:tblCellMar>
      </w:tblPr>
      <w:tblGrid>
        <w:gridCol w:w="1475"/>
        <w:gridCol w:w="60"/>
        <w:gridCol w:w="140"/>
        <w:gridCol w:w="1100"/>
        <w:gridCol w:w="60"/>
        <w:gridCol w:w="60"/>
        <w:gridCol w:w="264"/>
        <w:gridCol w:w="2215"/>
        <w:gridCol w:w="95"/>
        <w:gridCol w:w="60"/>
        <w:gridCol w:w="574"/>
        <w:gridCol w:w="391"/>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2"/>
            <w:tcBorders/>
            <w:vAlign w:val="center"/>
          </w:tcPr>
          <w:p>
            <w:pPr>
              <w:pStyle w:val="TableContents"/>
              <w:bidi w:val="0"/>
              <w:spacing w:before="0" w:after="283"/>
              <w:jc w:val="center"/>
              <w:rPr>
                <w:b/>
              </w:rPr>
            </w:pPr>
            <w:r>
              <w:rPr>
                <w:b/>
              </w:rPr>
              <w:t>Share of Equity Method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jc w:val="center"/>
              <w:rPr>
                <w:b/>
              </w:rPr>
            </w:pPr>
            <w:r>
              <w:rPr>
                <w:b/>
              </w:rPr>
              <w:t>Net</w:t>
            </w:r>
          </w:p>
          <w:p>
            <w:pPr>
              <w:pStyle w:val="TableContents"/>
              <w:bidi w:val="0"/>
              <w:spacing w:before="0" w:after="283"/>
              <w:jc w:val="center"/>
              <w:rPr>
                <w:b/>
              </w:rPr>
            </w:pPr>
            <w:r>
              <w:rPr>
                <w:b/>
              </w:rPr>
              <w:t>Carrying</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both"/>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34" w:name="xdx_98C_eus-gaap--EquitySecuritiesFvNiCo"/>
            <w:bookmarkEnd w:id="334"/>
          </w:p>
        </w:tc>
        <w:tc>
          <w:tcPr>
            <w:tcW w:w="1100" w:type="dxa"/>
            <w:tcBorders/>
            <w:shd w:fill="CCEEFF" w:val="clear"/>
            <w:vAlign w:val="center"/>
          </w:tcPr>
          <w:p>
            <w:pPr>
              <w:pStyle w:val="TableContents"/>
              <w:bidi w:val="0"/>
              <w:spacing w:before="0" w:after="283"/>
              <w:jc w:val="right"/>
              <w:rPr/>
            </w:pPr>
            <w:r>
              <w:rPr/>
              <w:t>5,810,000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bookmarkStart w:id="335" w:name="xdx_98A_eus-gaap--EquitySecuritiesFvNiGa"/>
            <w:bookmarkEnd w:id="335"/>
          </w:p>
        </w:tc>
        <w:tc>
          <w:tcPr>
            <w:tcW w:w="2215" w:type="dxa"/>
            <w:tcBorders/>
            <w:shd w:fill="CCEEFF" w:val="clear"/>
            <w:vAlign w:val="center"/>
          </w:tcPr>
          <w:p>
            <w:pPr>
              <w:pStyle w:val="TableContents"/>
              <w:bidi w:val="0"/>
              <w:spacing w:before="0" w:after="283"/>
              <w:jc w:val="right"/>
              <w:rPr/>
            </w:pPr>
            <w:r>
              <w:rPr/>
              <w:t>(5,810,000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w:t>
            </w:r>
            <w:bookmarkStart w:id="336" w:name="xdx_98C_eus-gaap--EquitySecuritiesFvNi_i"/>
            <w:bookmarkEnd w:id="336"/>
          </w:p>
        </w:tc>
        <w:tc>
          <w:tcPr>
            <w:tcW w:w="3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both"/>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37" w:name="xdx_98C_eus-gaap--EquitySecuritiesFvNiCo"/>
            <w:bookmarkEnd w:id="33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18,397,000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38" w:name="xdx_98E_eus-gaap--EquitySecuritiesFvNiGa"/>
            <w:bookmarkEnd w:id="338"/>
          </w:p>
        </w:tc>
        <w:tc>
          <w:tcPr>
            <w:tcW w:w="2215" w:type="dxa"/>
            <w:tcBorders>
              <w:bottom w:val="single" w:sz="8" w:space="0" w:color="000000"/>
            </w:tcBorders>
            <w:shd w:fill="FFFFFF" w:val="clear"/>
            <w:tcMar>
              <w:bottom w:w="28" w:type="dxa"/>
            </w:tcMar>
            <w:vAlign w:val="center"/>
          </w:tcPr>
          <w:p>
            <w:pPr>
              <w:pStyle w:val="TableContents"/>
              <w:bidi w:val="0"/>
              <w:spacing w:before="0" w:after="283"/>
              <w:jc w:val="right"/>
              <w:rPr/>
            </w:pPr>
            <w:r>
              <w:rPr/>
              <w:t>(18,397,000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39" w:name="xdx_988_eus-gaap--EquitySecuritiesFvNi_i"/>
            <w:bookmarkEnd w:id="339"/>
          </w:p>
        </w:tc>
        <w:tc>
          <w:tcPr>
            <w:tcW w:w="3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0" w:name="xdx_98F_eus-gaap--EquitySecuritiesFvNiCo"/>
            <w:bookmarkEnd w:id="34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24,207,000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1" w:name="xdx_989_eus-gaap--EquitySecuritiesFvNiGa"/>
            <w:bookmarkEnd w:id="341"/>
          </w:p>
        </w:tc>
        <w:tc>
          <w:tcPr>
            <w:tcW w:w="2215" w:type="dxa"/>
            <w:tcBorders>
              <w:bottom w:val="double" w:sz="6" w:space="0" w:color="000000"/>
            </w:tcBorders>
            <w:shd w:fill="CCEEFF" w:val="clear"/>
            <w:tcMar>
              <w:bottom w:w="28" w:type="dxa"/>
            </w:tcMar>
            <w:vAlign w:val="center"/>
          </w:tcPr>
          <w:p>
            <w:pPr>
              <w:pStyle w:val="TableContents"/>
              <w:bidi w:val="0"/>
              <w:spacing w:before="0" w:after="283"/>
              <w:jc w:val="right"/>
              <w:rPr/>
            </w:pPr>
            <w:r>
              <w:rPr/>
              <w:t>(24,207,000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2" w:name="xdx_98A_eus-gaap--EquitySecuritiesFvNi_i"/>
            <w:bookmarkEnd w:id="342"/>
          </w:p>
        </w:tc>
        <w:tc>
          <w:tcPr>
            <w:tcW w:w="3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343" w:name="xdx_8A4_zGdA2OvDXfxg"/>
      <w:bookmarkEnd w:id="343"/>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4 for more information and related party disclosure regarding Melt.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4" w:name="xdx_84A_eus-gaap--NewAccountingPronounce"/>
      <w:bookmarkEnd w:id="344"/>
      <w:r>
        <w:rPr>
          <w:rFonts w:ascii="Times New Roman;Times;Serif" w:hAnsi="Times New Roman;Times;Serif"/>
          <w:b/>
          <w:i w:val="false"/>
          <w:caps w:val="false"/>
          <w:smallCaps w:val="false"/>
          <w:sz w:val="20"/>
        </w:rPr>
        <w:t>Accounting Guidance Issued but Not Adopted at September 30,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the Financial Accounting Standards Board (“FASB”) issued Accounting Standards Update (“ASU”) 2023-06, </w:t>
      </w:r>
      <w:r>
        <w:rPr>
          <w:rFonts w:ascii="Times New Roman;Times;Serif" w:hAnsi="Times New Roman;Times;Serif"/>
          <w:b w:val="false"/>
          <w:i/>
          <w:caps w:val="false"/>
          <w:smallCaps w:val="false"/>
          <w:sz w:val="20"/>
        </w:rPr>
        <w:t>Disclosure Improvements—Codification Amendments in Response to the SEC’s Disclosure Update and Simplification Initiative</w:t>
      </w:r>
      <w:r>
        <w:rPr>
          <w:rFonts w:ascii="Times New Roman;Times;Serif" w:hAnsi="Times New Roman;Times;Serif"/>
          <w:b w:val="false"/>
          <w:i w:val="false"/>
          <w:caps w:val="false"/>
          <w:smallCaps w:val="false"/>
          <w:sz w:val="20"/>
        </w:rPr>
        <w:t>. This ASU modifies the disclosure or presentation requirements of a variety of topics in the codification by aligning them with the SEC’s regulations. The amendments to the various topics should be applied prospectively, and the effective date for the Company for each amendment will be determined based on the effective date of the SEC’s removal of the related disclosure from Regulation S-X or Regulation S-K. If the SEC has not removed the applicable requirement by June 30, 2027, then the related amendment in ASU 2023-06 will be removed from the codification and will not become effective. Early adoption of this ASU is prohibited. The Company does not expect the amendments in this ASU to have a material impact on the disclosures or presentation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FASB issued ASU 2023-07, </w:t>
      </w:r>
      <w:r>
        <w:rPr>
          <w:rFonts w:ascii="Times New Roman;Times;Serif" w:hAnsi="Times New Roman;Times;Serif"/>
          <w:b w:val="false"/>
          <w:i/>
          <w:caps w:val="false"/>
          <w:smallCaps w:val="false"/>
          <w:sz w:val="20"/>
        </w:rPr>
        <w:t>Segment Reporting (Topic 280) - Improvements to Reportable Segment Disclosures</w:t>
      </w:r>
      <w:r>
        <w:rPr>
          <w:rFonts w:ascii="Times New Roman;Times;Serif" w:hAnsi="Times New Roman;Times;Serif"/>
          <w:b w:val="false"/>
          <w:i w:val="false"/>
          <w:caps w:val="false"/>
          <w:smallCaps w:val="false"/>
          <w:sz w:val="20"/>
        </w:rPr>
        <w:t>, which enhances the disclosures required for operating segments in the Company’s annual and interim consolidated financial statements. ASU 2023-07 is effective for the Company in our annual reporting for fiscal 2024 and for interim period reporting beginning in fiscal 2025 on a retrospective basis, with all required disclosures to be made for all prior periods presented in the consolidated financial statements. Early adoption is permitted. The Company is currently evaluating the impact of ASU 2023-07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FASB issued ASU 2023-09, </w:t>
      </w:r>
      <w:r>
        <w:rPr>
          <w:rFonts w:ascii="Times New Roman;Times;Serif" w:hAnsi="Times New Roman;Times;Serif"/>
          <w:b w:val="false"/>
          <w:i/>
          <w:caps w:val="false"/>
          <w:smallCaps w:val="false"/>
          <w:sz w:val="20"/>
        </w:rPr>
        <w:t>Income Taxes (Topic 740) - Improvements to Income Tax Disclosures</w:t>
      </w:r>
      <w:r>
        <w:rPr>
          <w:rFonts w:ascii="Times New Roman;Times;Serif" w:hAnsi="Times New Roman;Times;Serif"/>
          <w:b w:val="false"/>
          <w:i w:val="false"/>
          <w:caps w:val="false"/>
          <w:smallCaps w:val="false"/>
          <w:sz w:val="20"/>
        </w:rPr>
        <w:t>, which enhances the disclosures required for income taxes in the Company’s annual consolidated financial statements. Notably, this ASU requires entities to disclose specific categories in the effective tax rate reconciliation and provide additional information for reconciling items that meet a quantitative threshold. ASU 2023-09 is effective for the Company in its annual reporting for fiscal year 2025 on a prospective basis. Early adoption and retrospective reporting are permitted. The Company is currently evaluating the impact of ASU 2023-09 on its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 – Reporting Comprehensive Income – Expense Disaggregation Disclosures,</w:t>
      </w:r>
      <w:r>
        <w:rPr>
          <w:rFonts w:ascii="Times New Roman;Times;Serif" w:hAnsi="Times New Roman;Times;Serif"/>
          <w:b w:val="false"/>
          <w:i w:val="false"/>
          <w:caps w:val="false"/>
          <w:smallCaps w:val="false"/>
          <w:sz w:val="20"/>
        </w:rPr>
        <w:t xml:space="preserve"> to improve the disclosures by a public business entity about the types of expenses in commonly presented expense captions. This ASU is effective for annual reporting periods beginning after December 15, 2026, and interim reporting periods beginning after December 15, 2027, with early adoption permitted. The Company is currently evaluating the impact of ASU 2024-03 on its consolidated financial statements.</w:t>
      </w:r>
    </w:p>
    <w:p>
      <w:pPr>
        <w:pStyle w:val="TextBody"/>
        <w:shd w:fill="FFFFFF" w:val="clear"/>
        <w:bidi w:val="0"/>
        <w:spacing w:before="0" w:after="0"/>
        <w:ind w:left="0" w:right="0" w:hanging="0"/>
        <w:jc w:val="both"/>
        <w:rPr>
          <w:caps w:val="false"/>
          <w:smallCaps w:val="false"/>
        </w:rPr>
      </w:pPr>
      <w:bookmarkStart w:id="345" w:name="xdx_855_z9TPbIaVyky3"/>
      <w:bookmarkEnd w:id="34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6" w:name="xdx_806_eus-gaap--RevenueFromContractWit"/>
      <w:bookmarkEnd w:id="346"/>
      <w:r>
        <w:rPr>
          <w:rFonts w:ascii="Times New Roman;Times;Serif" w:hAnsi="Times New Roman;Times;Serif"/>
          <w:b/>
          <w:i w:val="false"/>
          <w:caps w:val="false"/>
          <w:smallCaps w:val="false"/>
          <w:sz w:val="20"/>
        </w:rPr>
        <w:t xml:space="preserve">NOTE 3. </w:t>
      </w:r>
      <w:bookmarkStart w:id="347" w:name="xdx_82B_zXds5cMMGl73"/>
      <w:bookmarkEnd w:id="347"/>
      <w:r>
        <w:rPr>
          <w:rFonts w:ascii="Times New Roman;Times;Serif" w:hAnsi="Times New Roman;Times;Serif"/>
          <w:b/>
          <w:i w:val="false"/>
          <w:caps w:val="false"/>
          <w:smallCaps w:val="false"/>
          <w:sz w:val="20"/>
        </w:rPr>
        <w:t xml:space="preserve">REVENUES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contracts with customers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has three primary streams of revenue: (1) product revenues, including revenue recognized from sales of products through its pharmacy and outsourcing facility and sales of branded products to wholesalers through a third-party logistics (“3PL”) partner, (2) revenue recognized from transfer of acquired product sales and profits, and (3) revenue recognized from intellectual property licenses and related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prescription medications directly through its pharmacy, outsourcing facility and 3PL partner. Revenue from the Company’s pharmacy services include: (i) the portion of the price the client pays directly to the Company, net of any volume-related or other discounts paid back to the client, (ii) the price paid to the Company by individuals, and (iii) customer copayments made directly to the pharmacy network. Sales taxes are not included in revenue. Following the core principles of ASC 606, the Company has identified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contract(s) with a customer:</w:t>
            </w:r>
            <w:r>
              <w:rPr>
                <w:rFonts w:ascii="Times New Roman;Times;Serif" w:hAnsi="Times New Roman;Times;Serif"/>
                <w:b w:val="false"/>
                <w:i w:val="false"/>
                <w:caps w:val="false"/>
                <w:smallCaps w:val="false"/>
                <w:sz w:val="20"/>
              </w:rPr>
              <w:t xml:space="preserve"> A contract is deemed to exist when the customer places an order through receipt of a prescription, via an online order or via receipt of a purchase order from a customer. For branded products, orders are received through the Company’s 3PL partner, and the customer takes title of the products via formal purchase orders placed and fulfilled.</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performance obligations in the contract:</w:t>
            </w:r>
            <w:r>
              <w:rPr>
                <w:rFonts w:ascii="Times New Roman;Times;Serif" w:hAnsi="Times New Roman;Times;Serif"/>
                <w:b w:val="false"/>
                <w:i w:val="false"/>
                <w:caps w:val="false"/>
                <w:smallCaps w:val="false"/>
                <w:sz w:val="20"/>
              </w:rPr>
              <w:t xml:space="preserve"> Obligations for fulfillment of the Company’s contracts consist of delivering the product to 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Determine the transaction price:</w:t>
            </w:r>
            <w:r>
              <w:rPr>
                <w:rFonts w:ascii="Times New Roman;Times;Serif" w:hAnsi="Times New Roman;Times;Serif"/>
                <w:b w:val="false"/>
                <w:i w:val="false"/>
                <w:caps w:val="false"/>
                <w:smallCaps w:val="false"/>
                <w:sz w:val="20"/>
              </w:rPr>
              <w:t xml:space="preserve"> The transaction price is based on an amount that reflects the consideration to which the Company expects to be entitled, net of accruals for estimated rebates, wholesaler chargebacks, discounts, copay assistance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Allocate the transaction price to the performance obligations in the contract:</w:t>
            </w:r>
            <w:r>
              <w:rPr>
                <w:rFonts w:ascii="Times New Roman;Times;Serif" w:hAnsi="Times New Roman;Times;Serif"/>
                <w:b w:val="false"/>
                <w:i w:val="false"/>
                <w:caps w:val="false"/>
                <w:smallCaps w:val="false"/>
                <w:sz w:val="20"/>
              </w:rPr>
              <w:t xml:space="preserve"> Because there is only one performance obligation for product sales, no allocation is necessary.</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Recognize revenue when (or as) the entity satisfies a performance obligation:</w:t>
            </w:r>
            <w:r>
              <w:rPr>
                <w:rFonts w:ascii="Times New Roman;Times;Serif" w:hAnsi="Times New Roman;Times;Serif"/>
                <w:b w:val="false"/>
                <w:i w:val="false"/>
                <w:caps w:val="false"/>
                <w:smallCaps w:val="false"/>
                <w:sz w:val="20"/>
              </w:rPr>
              <w:t xml:space="preserve"> Revenue from products is recognized upon transfer of control of a product to a customer. This generally occurs upon shipment unless contractual terms with a customer state that transfer of control occurs at delivery.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From Transfer of Acquired Product Sales and Profits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entered into agreements whereby it purchased the exclusive commercial rights to assets associated with certain ophthalmic products from other pharmaceutical companies (the “Sellers”). During a temporary, transition period, the Sellers continue to manufacture and market these products and transfer the net profit from the sale of the products to the Company. The revenue recognized by the Company from the transfer of net profit was recognized at the time profit from the product sales were calculated by the Sellers and confirmed by the Company, typically on a monthly basis, at which point there is no future performance obligation required by the Company and no consequential continuing involvement on the Company’s part to recognize the associated revenue. On a quarterly basis, the Sellers invoice the Company for all credits and reimbursements (“Chargebacks”) made to customers related to the products. The Company uses historical actual experience to estimate Chargebacks associated with the net sales and profit transferred. The estimated Chargebacks are recorded as a reduction in revenues from transfer of acquired product sales and profits in the Company’s consolidated statements of operations, and recorded as a reduction to accounts receivable in the consolidated balance sheets, at the time the revenue is recognized.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 License and Related Arrangements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the Company held five intellectual property licenses and related arrangements pursuant to which the Company has agreed to license or sell to a customer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8" w:name="xdx_89A_eus-gaap--DisaggregationOfRevenu"/>
      <w:bookmarkEnd w:id="348"/>
      <w:r>
        <w:rPr>
          <w:rFonts w:ascii="Times New Roman;Times;Serif" w:hAnsi="Times New Roman;Times;Serif"/>
          <w:b w:val="false"/>
          <w:i w:val="false"/>
          <w:caps w:val="false"/>
          <w:smallCaps w:val="false"/>
          <w:sz w:val="20"/>
        </w:rPr>
        <w:t>Revenue disaggregated by revenue source consisted of the following:</w:t>
      </w:r>
    </w:p>
    <w:p>
      <w:pPr>
        <w:pStyle w:val="TextBody"/>
        <w:bidi w:val="0"/>
        <w:spacing w:before="0" w:after="0"/>
        <w:ind w:left="0" w:right="0" w:hanging="0"/>
        <w:jc w:val="center"/>
        <w:rPr>
          <w:caps w:val="false"/>
          <w:smallCaps w:val="false"/>
        </w:rPr>
      </w:pPr>
      <w:r>
        <w:rPr>
          <w:caps w:val="false"/>
          <w:smallCaps w:val="false"/>
        </w:rPr>
        <w:t> </w:t>
      </w:r>
      <w:bookmarkStart w:id="349" w:name="xdx_8BF_zV7e64bAHAo7"/>
      <w:bookmarkEnd w:id="349"/>
      <w:r>
        <w:rPr>
          <w:rFonts w:ascii="Times New Roman;Times;Serif" w:hAnsi="Times New Roman;Times;Serif"/>
          <w:b w:val="false"/>
          <w:i w:val="false"/>
          <w:caps w:val="false"/>
          <w:smallCaps w:val="false"/>
          <w:sz w:val="20"/>
        </w:rPr>
        <w:t>SCHEDULE OF DISAGGREGATED REVENUE  </w:t>
      </w:r>
    </w:p>
    <w:tbl>
      <w:tblPr>
        <w:tblW w:w="7973" w:type="dxa"/>
        <w:jc w:val="left"/>
        <w:tblInd w:w="0" w:type="dxa"/>
        <w:tblLayout w:type="fixed"/>
        <w:tblCellMar>
          <w:top w:w="0" w:type="dxa"/>
          <w:left w:w="0" w:type="dxa"/>
          <w:bottom w:w="0" w:type="dxa"/>
          <w:right w:w="0" w:type="dxa"/>
        </w:tblCellMar>
      </w:tblPr>
      <w:tblGrid>
        <w:gridCol w:w="1820"/>
        <w:gridCol w:w="60"/>
        <w:gridCol w:w="162"/>
        <w:gridCol w:w="1277"/>
        <w:gridCol w:w="69"/>
        <w:gridCol w:w="69"/>
        <w:gridCol w:w="162"/>
        <w:gridCol w:w="1277"/>
        <w:gridCol w:w="60"/>
        <w:gridCol w:w="60"/>
        <w:gridCol w:w="148"/>
        <w:gridCol w:w="1294"/>
        <w:gridCol w:w="63"/>
        <w:gridCol w:w="63"/>
        <w:gridCol w:w="148"/>
        <w:gridCol w:w="1166"/>
        <w:gridCol w:w="75"/>
      </w:tblGrid>
      <w:tr>
        <w:trPr/>
        <w:tc>
          <w:tcPr>
            <w:tcW w:w="1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50" w:name="xdx_49C_20240701__20240930_zQN0Zz9G1mKk"/>
            <w:bookmarkEnd w:id="350"/>
          </w:p>
        </w:tc>
        <w:tc>
          <w:tcPr>
            <w:tcW w:w="143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bookmarkStart w:id="351" w:name="xdx_499_20230701__20230930_zlp8dSyzRfF"/>
            <w:bookmarkEnd w:id="351"/>
          </w:p>
        </w:tc>
        <w:tc>
          <w:tcPr>
            <w:tcW w:w="143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52" w:name="xdx_49F_20240101__20240930_z7ueu8eKXE9f"/>
            <w:bookmarkEnd w:id="352"/>
          </w:p>
        </w:tc>
        <w:tc>
          <w:tcPr>
            <w:tcW w:w="1442"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bookmarkStart w:id="353" w:name="xdx_491_20230101__20230930_zihBi5Yssr9"/>
            <w:bookmarkEnd w:id="353"/>
          </w:p>
        </w:tc>
        <w:tc>
          <w:tcPr>
            <w:tcW w:w="131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vAlign w:val="center"/>
          </w:tcPr>
          <w:p>
            <w:pPr>
              <w:pStyle w:val="TableContents"/>
              <w:bidi w:val="0"/>
              <w:spacing w:before="0" w:after="283"/>
              <w:jc w:val="center"/>
              <w:rPr>
                <w:b/>
              </w:rPr>
            </w:pPr>
            <w:r>
              <w:rPr>
                <w:b/>
              </w:rPr>
              <w:t>For the Nine Months Ended</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354" w:name="xdx_408_eus-gaap--RevenueFromContractWit"/>
            <w:bookmarkEnd w:id="354"/>
          </w:p>
        </w:tc>
      </w:tr>
      <w:tr>
        <w:trPr/>
        <w:tc>
          <w:tcPr>
            <w:tcW w:w="1820" w:type="dxa"/>
            <w:tcBorders/>
            <w:shd w:fill="CCEEFF" w:val="clear"/>
            <w:vAlign w:val="center"/>
          </w:tcPr>
          <w:p>
            <w:pPr>
              <w:pStyle w:val="TableContents"/>
              <w:bidi w:val="0"/>
              <w:spacing w:before="0" w:after="283"/>
              <w:jc w:val="left"/>
              <w:rPr>
                <w:b/>
              </w:rPr>
            </w:pPr>
            <w:r>
              <w:rPr>
                <w:b/>
              </w:rPr>
              <w:t>Product sales,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49,019,000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31,809,000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4" w:type="dxa"/>
            <w:tcBorders/>
            <w:shd w:fill="CCEEFF" w:val="clear"/>
            <w:vAlign w:val="center"/>
          </w:tcPr>
          <w:p>
            <w:pPr>
              <w:pStyle w:val="TableContents"/>
              <w:bidi w:val="0"/>
              <w:spacing w:before="0" w:after="283"/>
              <w:jc w:val="right"/>
              <w:rPr/>
            </w:pPr>
            <w:r>
              <w:rPr/>
              <w:t>132,398,000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81,804,000</w:t>
            </w:r>
          </w:p>
        </w:tc>
        <w:tc>
          <w:tcPr>
            <w:tcW w:w="75" w:type="dxa"/>
            <w:tcBorders/>
            <w:shd w:fill="CCEEFF" w:val="clear"/>
            <w:vAlign w:val="center"/>
          </w:tcPr>
          <w:p>
            <w:pPr>
              <w:pStyle w:val="TableContents"/>
              <w:bidi w:val="0"/>
              <w:spacing w:before="0" w:after="283"/>
              <w:jc w:val="left"/>
              <w:rPr/>
            </w:pPr>
            <w:r>
              <w:rPr/>
              <w:t> </w:t>
            </w:r>
            <w:bookmarkStart w:id="355" w:name="xdx_406_eus-gaap--RevenueFromContractWit"/>
            <w:bookmarkEnd w:id="355"/>
          </w:p>
        </w:tc>
      </w:tr>
      <w:tr>
        <w:trPr/>
        <w:tc>
          <w:tcPr>
            <w:tcW w:w="1820" w:type="dxa"/>
            <w:tcBorders/>
            <w:shd w:fill="FFFFFF" w:val="clear"/>
            <w:vAlign w:val="center"/>
          </w:tcPr>
          <w:p>
            <w:pPr>
              <w:pStyle w:val="TableContents"/>
              <w:bidi w:val="0"/>
              <w:spacing w:before="0" w:after="283"/>
              <w:jc w:val="left"/>
              <w:rPr>
                <w:b/>
              </w:rPr>
            </w:pPr>
            <w:r>
              <w:rPr>
                <w:b/>
              </w:rPr>
              <w:t>Other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238,000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2,456,000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385,000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12,034,000</w:t>
            </w:r>
          </w:p>
        </w:tc>
        <w:tc>
          <w:tcPr>
            <w:tcW w:w="75" w:type="dxa"/>
            <w:tcBorders/>
            <w:shd w:fill="FFFFFF" w:val="clear"/>
            <w:vAlign w:val="center"/>
          </w:tcPr>
          <w:p>
            <w:pPr>
              <w:pStyle w:val="TableContents"/>
              <w:bidi w:val="0"/>
              <w:spacing w:before="0" w:after="283"/>
              <w:jc w:val="left"/>
              <w:rPr/>
            </w:pPr>
            <w:r>
              <w:rPr/>
              <w:t> </w:t>
            </w:r>
            <w:bookmarkStart w:id="356" w:name="xdx_405_eus-gaap--RevenueFromContractWit"/>
            <w:bookmarkEnd w:id="356"/>
          </w:p>
        </w:tc>
      </w:tr>
      <w:tr>
        <w:trPr/>
        <w:tc>
          <w:tcPr>
            <w:tcW w:w="182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49,257,000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34,265,000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132,783,000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93,838,000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7" w:name="xdx_8A1_z5APK94Kzw3"/>
      <w:bookmarkEnd w:id="35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and customer deposits at September 30, 2024 and December 31, 2023 were $</w:t>
      </w:r>
      <w:bookmarkStart w:id="358" w:name="xdx_90C_eus-gaap--ContractWithCustomerLi"/>
      <w:bookmarkEnd w:id="358"/>
      <w:r>
        <w:rPr>
          <w:rFonts w:ascii="Times New Roman;Times;Serif" w:hAnsi="Times New Roman;Times;Serif"/>
          <w:b w:val="false"/>
          <w:i w:val="false"/>
          <w:caps w:val="false"/>
          <w:smallCaps w:val="false"/>
          <w:sz w:val="20"/>
        </w:rPr>
        <w:t>137,000 and $</w:t>
      </w:r>
      <w:bookmarkStart w:id="359" w:name="xdx_90A_eus-gaap--ContractWithCustomerLi"/>
      <w:bookmarkEnd w:id="359"/>
      <w:r>
        <w:rPr>
          <w:rFonts w:ascii="Times New Roman;Times;Serif" w:hAnsi="Times New Roman;Times;Serif"/>
          <w:b w:val="false"/>
          <w:i w:val="false"/>
          <w:caps w:val="false"/>
          <w:smallCaps w:val="false"/>
          <w:sz w:val="20"/>
        </w:rPr>
        <w:t>75,000, respectively. All deferred revenue and customer deposit amounts at December 31, 2023 were recognized as revenue during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0" w:name="xdx_803_eus-gaap--InvestmentsInDebtAndMa"/>
      <w:bookmarkEnd w:id="360"/>
      <w:r>
        <w:rPr>
          <w:rFonts w:ascii="Times New Roman;Times;Serif" w:hAnsi="Times New Roman;Times;Serif"/>
          <w:b/>
          <w:i w:val="false"/>
          <w:caps w:val="false"/>
          <w:smallCaps w:val="false"/>
          <w:sz w:val="20"/>
        </w:rPr>
        <w:t xml:space="preserve">NOTE 4. </w:t>
      </w:r>
      <w:bookmarkStart w:id="361" w:name="xdx_820_zBs9uRRFUYB7"/>
      <w:bookmarkEnd w:id="361"/>
      <w:r>
        <w:rPr>
          <w:rFonts w:ascii="Times New Roman;Times;Serif" w:hAnsi="Times New Roman;Times;Serif"/>
          <w:b/>
          <w:i w:val="false"/>
          <w:caps w:val="false"/>
          <w:smallCaps w:val="false"/>
          <w:sz w:val="20"/>
        </w:rPr>
        <w:t>INVESTMENT IN, AND NOTE RECEIVABLE FROM MELT PHARMACEUTICALS, INC.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the Company entered into an Asset Purchase Agreement with Melt (the “Melt APA”). Pursuant to the terms of the Melt APA, Melt was assigned certain intellectual property and related rights from the Company to develop, formulate, make, sell, and sub-license certain Company conscious sedation and analgesia related formulations (collectively, the “Melt Products”). Under the terms of the Melt APA, Melt is required to make mid-single digit royalty payments to the Company on net sales of the Melt Products while any patent rights remain outstanding, as well as other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2019, the Company entered into a Management Services Agreement (the “Melt MSA”), whereby the Company provided to Melt certain administrative services and support, including bookkeeping, web services and human resources related activities, and Melt was required to pay the Company a monthly amount of $</w:t>
      </w:r>
      <w:bookmarkStart w:id="362" w:name="xdx_90C_eus-gaap--AdministrativeFeesExpe"/>
      <w:bookmarkEnd w:id="362"/>
      <w:r>
        <w:rPr>
          <w:rFonts w:ascii="Times New Roman;Times;Serif" w:hAnsi="Times New Roman;Times;Serif"/>
          <w:b w:val="false"/>
          <w:i w:val="false"/>
          <w:caps w:val="false"/>
          <w:smallCaps w:val="false"/>
          <w:sz w:val="20"/>
        </w:rPr>
        <w:t>10,000. The Melt MSA was terminated effective July 1, 2023. During the three and nine months ended September 30, 2024, the Company did not record any reimbursable expenses and amounts payable by Melt pursuant to the Melt MSA. During the three and nine months ended September 30, 2023, the Company recorded $</w:t>
      </w:r>
      <w:bookmarkStart w:id="363" w:name="xdx_90B_eus-gaap--OtherExpenses_c2023070"/>
      <w:bookmarkEnd w:id="363"/>
      <w:r>
        <w:rPr>
          <w:rFonts w:ascii="Times New Roman;Times;Serif" w:hAnsi="Times New Roman;Times;Serif"/>
          <w:b w:val="false"/>
          <w:i w:val="false"/>
          <w:caps w:val="false"/>
          <w:smallCaps w:val="false"/>
          <w:sz w:val="20"/>
        </w:rPr>
        <w:t>0 and $</w:t>
      </w:r>
      <w:bookmarkStart w:id="364" w:name="xdx_907_eus-gaap--OtherExpenses_c2023010"/>
      <w:bookmarkEnd w:id="364"/>
      <w:r>
        <w:rPr>
          <w:rFonts w:ascii="Times New Roman;Times;Serif" w:hAnsi="Times New Roman;Times;Serif"/>
          <w:b w:val="false"/>
          <w:i w:val="false"/>
          <w:caps w:val="false"/>
          <w:smallCaps w:val="false"/>
          <w:sz w:val="20"/>
        </w:rPr>
        <w:t xml:space="preserve">89,000 due from Melt for reimbursable expenses and amounts payable by Melt pursuant to the Melt MSA, which amounts are included in prepaid expenses and other current assets in the accompanying condensed consolidated balance sheets. </w:t>
      </w:r>
      <w:r>
        <w:rPr>
          <w:rFonts w:ascii="Times New Roman;Times;Serif" w:hAnsi="Times New Roman;Times;Serif"/>
          <w:b w:val="false"/>
          <w:i w:val="false"/>
          <w:caps w:val="false"/>
          <w:smallCaps w:val="false"/>
          <w:sz w:val="20"/>
          <w:shd w:fill="FFFFFF" w:val="clear"/>
        </w:rPr>
        <w:t>As of both September 30, 2024 and December 31, 2023, the Company was due $</w:t>
      </w:r>
      <w:bookmarkStart w:id="365" w:name="xdx_900_eus-gaap--OtherLiabilities_iI_c2"/>
      <w:bookmarkStart w:id="366" w:name="xdx_90E_eus-gaap--OtherLiabilities_iI_c2"/>
      <w:bookmarkEnd w:id="365"/>
      <w:bookmarkEnd w:id="366"/>
      <w:r>
        <w:rPr>
          <w:rFonts w:ascii="Times New Roman;Times;Serif" w:hAnsi="Times New Roman;Times;Serif"/>
          <w:b w:val="false"/>
          <w:i w:val="false"/>
          <w:caps w:val="false"/>
          <w:smallCaps w:val="false"/>
          <w:sz w:val="20"/>
          <w:shd w:fill="FFFFFF" w:val="clear"/>
        </w:rPr>
        <w:t>228,000 from Melt for reimbursable expenses and amounts payable under the Melt MSA.</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Melt completed its Series B Preferred Stock financing which raised gross proceeds of approximately $</w:t>
      </w:r>
      <w:bookmarkStart w:id="367" w:name="xdx_905_eus-gaap--ProceedsFromRelatedPar"/>
      <w:bookmarkEnd w:id="367"/>
      <w:r>
        <w:rPr>
          <w:rFonts w:ascii="Times New Roman;Times;Serif" w:hAnsi="Times New Roman;Times;Serif"/>
          <w:b w:val="false"/>
          <w:i w:val="false"/>
          <w:caps w:val="false"/>
          <w:smallCaps w:val="false"/>
          <w:sz w:val="20"/>
        </w:rPr>
        <w:t>23,900,000.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Mark L. Baum, is a member of the Melt board of directors. The Melt board of directors consists of five members, including Mr. Baum. Mr. Baum is the only representative of the Company on Melt’s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8" w:name="xdx_898_esrt--ScheduleOfCondensedIncomeS"/>
      <w:bookmarkEnd w:id="368"/>
      <w:r>
        <w:rPr>
          <w:rFonts w:ascii="Times New Roman;Times;Serif" w:hAnsi="Times New Roman;Times;Serif"/>
          <w:b w:val="false"/>
          <w:i w:val="false"/>
          <w:caps w:val="false"/>
          <w:smallCaps w:val="false"/>
          <w:sz w:val="20"/>
        </w:rPr>
        <w:t>The unaudited condensed results of operations information of Melt is summarized below:</w:t>
      </w:r>
    </w:p>
    <w:p>
      <w:pPr>
        <w:pStyle w:val="TextBody"/>
        <w:bidi w:val="0"/>
        <w:spacing w:before="0" w:after="0"/>
        <w:ind w:left="0" w:right="0" w:hanging="0"/>
        <w:jc w:val="both"/>
        <w:rPr>
          <w:caps w:val="false"/>
          <w:smallCaps w:val="false"/>
        </w:rPr>
      </w:pPr>
      <w:r>
        <w:rPr>
          <w:caps w:val="false"/>
          <w:smallCaps w:val="false"/>
        </w:rPr>
        <w:t> </w:t>
      </w:r>
      <w:bookmarkStart w:id="369" w:name="xdx_8B4_zEyMtstKdWec"/>
      <w:bookmarkEnd w:id="369"/>
      <w:r>
        <w:rPr>
          <w:rFonts w:ascii="Times New Roman;Times;Serif" w:hAnsi="Times New Roman;Times;Serif"/>
          <w:b w:val="false"/>
          <w:i w:val="false"/>
          <w:caps w:val="false"/>
          <w:smallCaps w:val="false"/>
          <w:sz w:val="20"/>
        </w:rPr>
        <w:t>SCHEDULE OF CONDENSED INCOME STATEMENT</w:t>
      </w:r>
    </w:p>
    <w:tbl>
      <w:tblPr>
        <w:tblW w:w="4865" w:type="dxa"/>
        <w:jc w:val="left"/>
        <w:tblInd w:w="0" w:type="dxa"/>
        <w:tblLayout w:type="fixed"/>
        <w:tblCellMar>
          <w:top w:w="0" w:type="dxa"/>
          <w:left w:w="0" w:type="dxa"/>
          <w:bottom w:w="0" w:type="dxa"/>
          <w:right w:w="0" w:type="dxa"/>
        </w:tblCellMar>
      </w:tblPr>
      <w:tblGrid>
        <w:gridCol w:w="2030"/>
        <w:gridCol w:w="60"/>
        <w:gridCol w:w="140"/>
        <w:gridCol w:w="1175"/>
        <w:gridCol w:w="95"/>
        <w:gridCol w:w="60"/>
        <w:gridCol w:w="140"/>
        <w:gridCol w:w="1055"/>
        <w:gridCol w:w="110"/>
      </w:tblGrid>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0" w:name="xdx_496_20240101__20240930__dei--LegalEn"/>
            <w:bookmarkEnd w:id="370"/>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1" w:name="xdx_49F_20230101__20230930__dei--LegalEn"/>
            <w:bookmarkEnd w:id="371"/>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372" w:name="xdx_406_eus-gaap--RevenueFromContractWit"/>
            <w:bookmarkEnd w:id="372"/>
          </w:p>
        </w:tc>
      </w:tr>
      <w:tr>
        <w:trPr/>
        <w:tc>
          <w:tcPr>
            <w:tcW w:w="2030" w:type="dxa"/>
            <w:tcBorders/>
            <w:shd w:fill="CCEEFF" w:val="clear"/>
            <w:vAlign w:val="center"/>
          </w:tcPr>
          <w:p>
            <w:pPr>
              <w:pStyle w:val="TableContents"/>
              <w:bidi w:val="0"/>
              <w:spacing w:before="0" w:after="283"/>
              <w:jc w:val="both"/>
              <w:rPr/>
            </w:pPr>
            <w:r>
              <w:rPr/>
              <w:t>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73" w:name="xdx_403_eus-gaap--OperatingIncomeLoss_z6"/>
            <w:bookmarkEnd w:id="373"/>
          </w:p>
        </w:tc>
      </w:tr>
      <w:tr>
        <w:trPr/>
        <w:tc>
          <w:tcPr>
            <w:tcW w:w="2030" w:type="dxa"/>
            <w:tcBorders/>
            <w:shd w:fill="FFFFFF" w:val="clear"/>
            <w:vAlign w:val="center"/>
          </w:tcPr>
          <w:p>
            <w:pPr>
              <w:pStyle w:val="TableContents"/>
              <w:bidi w:val="0"/>
              <w:spacing w:before="0" w:after="283"/>
              <w:jc w:val="both"/>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(11,334,000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(3,663,000</w:t>
            </w:r>
          </w:p>
        </w:tc>
        <w:tc>
          <w:tcPr>
            <w:tcW w:w="110" w:type="dxa"/>
            <w:tcBorders/>
            <w:shd w:fill="FFFFFF" w:val="clear"/>
            <w:vAlign w:val="center"/>
          </w:tcPr>
          <w:p>
            <w:pPr>
              <w:pStyle w:val="TableContents"/>
              <w:bidi w:val="0"/>
              <w:spacing w:before="0" w:after="283"/>
              <w:jc w:val="left"/>
              <w:rPr/>
            </w:pPr>
            <w:r>
              <w:rPr/>
              <w:t>)</w:t>
            </w:r>
            <w:bookmarkStart w:id="374" w:name="xdx_40D_eus-gaap--NetIncomeLoss_zHswJtbW"/>
            <w:bookmarkEnd w:id="374"/>
          </w:p>
        </w:tc>
      </w:tr>
      <w:tr>
        <w:trPr/>
        <w:tc>
          <w:tcPr>
            <w:tcW w:w="203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(10,942,000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(5,407,000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75" w:name="xdx_8A6_zccHwZtOKxK4"/>
      <w:bookmarkEnd w:id="37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6" w:name="xdx_899_esrt--ScheduleOfCondensedBalance"/>
      <w:bookmarkEnd w:id="376"/>
      <w:r>
        <w:rPr>
          <w:rFonts w:ascii="Times New Roman;Times;Serif" w:hAnsi="Times New Roman;Times;Serif"/>
          <w:b w:val="false"/>
          <w:i w:val="false"/>
          <w:caps w:val="false"/>
          <w:smallCaps w:val="false"/>
          <w:sz w:val="20"/>
        </w:rPr>
        <w:t>The unaudited condensed balance sheet information of Melt is summarized below:</w:t>
      </w:r>
    </w:p>
    <w:p>
      <w:pPr>
        <w:pStyle w:val="TextBody"/>
        <w:bidi w:val="0"/>
        <w:spacing w:before="0" w:after="0"/>
        <w:ind w:left="0" w:right="0" w:hanging="0"/>
        <w:jc w:val="both"/>
        <w:rPr>
          <w:caps w:val="false"/>
          <w:smallCaps w:val="false"/>
        </w:rPr>
      </w:pPr>
      <w:r>
        <w:rPr>
          <w:caps w:val="false"/>
          <w:smallCaps w:val="false"/>
        </w:rPr>
        <w:t> </w:t>
      </w:r>
      <w:bookmarkStart w:id="377" w:name="xdx_8BD_zFl0TMh7E2qf"/>
      <w:bookmarkEnd w:id="377"/>
      <w:r>
        <w:rPr>
          <w:rFonts w:ascii="Times New Roman;Times;Serif" w:hAnsi="Times New Roman;Times;Serif"/>
          <w:b w:val="false"/>
          <w:i w:val="false"/>
          <w:caps w:val="false"/>
          <w:smallCaps w:val="false"/>
          <w:sz w:val="20"/>
        </w:rPr>
        <w:t>SCHEDULE OF CONDENSED BALANCE SHEET</w:t>
      </w:r>
    </w:p>
    <w:tbl>
      <w:tblPr>
        <w:tblW w:w="7573" w:type="dxa"/>
        <w:jc w:val="left"/>
        <w:tblInd w:w="0" w:type="dxa"/>
        <w:tblLayout w:type="fixed"/>
        <w:tblCellMar>
          <w:top w:w="0" w:type="dxa"/>
          <w:left w:w="0" w:type="dxa"/>
          <w:bottom w:w="0" w:type="dxa"/>
          <w:right w:w="0" w:type="dxa"/>
        </w:tblCellMar>
      </w:tblPr>
      <w:tblGrid>
        <w:gridCol w:w="3800"/>
        <w:gridCol w:w="60"/>
        <w:gridCol w:w="223"/>
        <w:gridCol w:w="1566"/>
        <w:gridCol w:w="60"/>
        <w:gridCol w:w="60"/>
        <w:gridCol w:w="195"/>
        <w:gridCol w:w="1534"/>
        <w:gridCol w:w="75"/>
      </w:tblGrid>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8" w:name="xdx_49A_20240930__dei--LegalEntityAxis__"/>
            <w:bookmarkEnd w:id="378"/>
          </w:p>
        </w:tc>
        <w:tc>
          <w:tcPr>
            <w:tcW w:w="178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9" w:name="xdx_49B_20231231__dei--LegalEntityAxis__"/>
            <w:bookmarkEnd w:id="379"/>
          </w:p>
        </w:tc>
        <w:tc>
          <w:tcPr>
            <w:tcW w:w="172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center"/>
              <w:rPr>
                <w:b/>
              </w:rPr>
            </w:pPr>
            <w:r>
              <w:rPr>
                <w:b/>
              </w:rPr>
              <w:t>At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vAlign w:val="center"/>
          </w:tcPr>
          <w:p>
            <w:pPr>
              <w:pStyle w:val="TableContents"/>
              <w:bidi w:val="0"/>
              <w:spacing w:before="0" w:after="283"/>
              <w:jc w:val="center"/>
              <w:rPr>
                <w:b/>
              </w:rPr>
            </w:pPr>
            <w:r>
              <w:rPr>
                <w:b/>
              </w:rPr>
              <w:t>At December 31,</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380" w:name="xdx_404_eus-gaap--AssetsCurrent_iI_zhZUM"/>
            <w:bookmarkEnd w:id="380"/>
          </w:p>
        </w:tc>
      </w:tr>
      <w:tr>
        <w:trPr/>
        <w:tc>
          <w:tcPr>
            <w:tcW w:w="3800"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566" w:type="dxa"/>
            <w:tcBorders/>
            <w:shd w:fill="CCEEFF" w:val="clear"/>
            <w:vAlign w:val="center"/>
          </w:tcPr>
          <w:p>
            <w:pPr>
              <w:pStyle w:val="TableContents"/>
              <w:bidi w:val="0"/>
              <w:spacing w:before="0" w:after="283"/>
              <w:jc w:val="right"/>
              <w:rPr/>
            </w:pPr>
            <w:r>
              <w:rPr/>
              <w:t>7,366,000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534" w:type="dxa"/>
            <w:tcBorders/>
            <w:shd w:fill="CCEEFF" w:val="clear"/>
            <w:vAlign w:val="center"/>
          </w:tcPr>
          <w:p>
            <w:pPr>
              <w:pStyle w:val="TableContents"/>
              <w:bidi w:val="0"/>
              <w:spacing w:before="0" w:after="283"/>
              <w:jc w:val="right"/>
              <w:rPr/>
            </w:pPr>
            <w:r>
              <w:rPr/>
              <w:t>13,404,000</w:t>
            </w:r>
          </w:p>
        </w:tc>
        <w:tc>
          <w:tcPr>
            <w:tcW w:w="75" w:type="dxa"/>
            <w:tcBorders/>
            <w:shd w:fill="CCEEFF" w:val="clear"/>
            <w:vAlign w:val="center"/>
          </w:tcPr>
          <w:p>
            <w:pPr>
              <w:pStyle w:val="TableContents"/>
              <w:bidi w:val="0"/>
              <w:spacing w:before="0" w:after="283"/>
              <w:jc w:val="left"/>
              <w:rPr/>
            </w:pPr>
            <w:r>
              <w:rPr/>
              <w:t> </w:t>
            </w:r>
            <w:bookmarkStart w:id="381" w:name="xdx_406_eus-gaap--Assets_iI_zGcSYHo2FSs7"/>
            <w:bookmarkEnd w:id="381"/>
          </w:p>
        </w:tc>
      </w:tr>
      <w:tr>
        <w:trPr/>
        <w:tc>
          <w:tcPr>
            <w:tcW w:w="3800"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6" w:type="dxa"/>
            <w:tcBorders>
              <w:bottom w:val="double" w:sz="6" w:space="0" w:color="000000"/>
            </w:tcBorders>
            <w:shd w:fill="FFFFFF" w:val="clear"/>
            <w:tcMar>
              <w:bottom w:w="28" w:type="dxa"/>
            </w:tcMar>
            <w:vAlign w:val="center"/>
          </w:tcPr>
          <w:p>
            <w:pPr>
              <w:pStyle w:val="TableContents"/>
              <w:bidi w:val="0"/>
              <w:spacing w:before="0" w:after="283"/>
              <w:jc w:val="right"/>
              <w:rPr/>
            </w:pPr>
            <w:r>
              <w:rPr/>
              <w:t>7,366,000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34" w:type="dxa"/>
            <w:tcBorders>
              <w:bottom w:val="double" w:sz="6" w:space="0" w:color="000000"/>
            </w:tcBorders>
            <w:shd w:fill="FFFFFF" w:val="clear"/>
            <w:tcMar>
              <w:bottom w:w="28" w:type="dxa"/>
            </w:tcMar>
            <w:vAlign w:val="center"/>
          </w:tcPr>
          <w:p>
            <w:pPr>
              <w:pStyle w:val="TableContents"/>
              <w:bidi w:val="0"/>
              <w:spacing w:before="0" w:after="283"/>
              <w:jc w:val="right"/>
              <w:rPr/>
            </w:pPr>
            <w:r>
              <w:rPr/>
              <w:t>13,404,000</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82" w:name="xdx_409_eus-gaap--Liabilities_iI_zdZzrvV"/>
            <w:bookmarkEnd w:id="382"/>
          </w:p>
        </w:tc>
      </w:tr>
      <w:tr>
        <w:trPr/>
        <w:tc>
          <w:tcPr>
            <w:tcW w:w="3800" w:type="dxa"/>
            <w:tcBorders/>
            <w:shd w:fill="FFFFFF" w:val="clear"/>
            <w:vAlign w:val="center"/>
          </w:tcPr>
          <w:p>
            <w:pPr>
              <w:pStyle w:val="TableContents"/>
              <w:bidi w:val="0"/>
              <w:spacing w:before="0" w:after="283"/>
              <w:jc w:val="both"/>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w:t>
            </w:r>
          </w:p>
        </w:tc>
        <w:tc>
          <w:tcPr>
            <w:tcW w:w="1566" w:type="dxa"/>
            <w:tcBorders/>
            <w:shd w:fill="FFFFFF" w:val="clear"/>
            <w:vAlign w:val="center"/>
          </w:tcPr>
          <w:p>
            <w:pPr>
              <w:pStyle w:val="TableContents"/>
              <w:bidi w:val="0"/>
              <w:spacing w:before="0" w:after="283"/>
              <w:jc w:val="right"/>
              <w:rPr/>
            </w:pPr>
            <w:r>
              <w:rPr/>
              <w:t>5,242,000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534" w:type="dxa"/>
            <w:tcBorders/>
            <w:shd w:fill="FFFFFF" w:val="clear"/>
            <w:vAlign w:val="center"/>
          </w:tcPr>
          <w:p>
            <w:pPr>
              <w:pStyle w:val="TableContents"/>
              <w:bidi w:val="0"/>
              <w:spacing w:before="0" w:after="283"/>
              <w:jc w:val="right"/>
              <w:rPr/>
            </w:pPr>
            <w:r>
              <w:rPr/>
              <w:t>3,922,000</w:t>
            </w:r>
          </w:p>
        </w:tc>
        <w:tc>
          <w:tcPr>
            <w:tcW w:w="75" w:type="dxa"/>
            <w:tcBorders/>
            <w:shd w:fill="FFFFFF" w:val="clear"/>
            <w:vAlign w:val="center"/>
          </w:tcPr>
          <w:p>
            <w:pPr>
              <w:pStyle w:val="TableContents"/>
              <w:bidi w:val="0"/>
              <w:spacing w:before="0" w:after="283"/>
              <w:jc w:val="left"/>
              <w:rPr/>
            </w:pPr>
            <w:r>
              <w:rPr/>
              <w:t> </w:t>
            </w:r>
            <w:bookmarkStart w:id="383" w:name="xdx_404_eus-gaap--StockholdersEquity_iI_"/>
            <w:bookmarkEnd w:id="383"/>
          </w:p>
        </w:tc>
      </w:tr>
      <w:tr>
        <w:trPr/>
        <w:tc>
          <w:tcPr>
            <w:tcW w:w="3800" w:type="dxa"/>
            <w:tcBorders/>
            <w:shd w:fill="CCEEFF" w:val="clear"/>
            <w:vAlign w:val="center"/>
          </w:tcPr>
          <w:p>
            <w:pPr>
              <w:pStyle w:val="TableContents"/>
              <w:bidi w:val="0"/>
              <w:spacing w:before="0" w:after="283"/>
              <w:jc w:val="both"/>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6" w:type="dxa"/>
            <w:tcBorders>
              <w:bottom w:val="single" w:sz="8" w:space="0" w:color="000000"/>
            </w:tcBorders>
            <w:shd w:fill="CCEEFF" w:val="clear"/>
            <w:tcMar>
              <w:bottom w:w="28" w:type="dxa"/>
            </w:tcMar>
            <w:vAlign w:val="center"/>
          </w:tcPr>
          <w:p>
            <w:pPr>
              <w:pStyle w:val="TableContents"/>
              <w:bidi w:val="0"/>
              <w:spacing w:before="0" w:after="283"/>
              <w:jc w:val="right"/>
              <w:rPr/>
            </w:pPr>
            <w:r>
              <w:rPr/>
              <w:t>2,124,000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4" w:type="dxa"/>
            <w:tcBorders>
              <w:bottom w:val="single" w:sz="8" w:space="0" w:color="000000"/>
            </w:tcBorders>
            <w:shd w:fill="CCEEFF" w:val="clear"/>
            <w:tcMar>
              <w:bottom w:w="28" w:type="dxa"/>
            </w:tcMar>
            <w:vAlign w:val="center"/>
          </w:tcPr>
          <w:p>
            <w:pPr>
              <w:pStyle w:val="TableContents"/>
              <w:bidi w:val="0"/>
              <w:spacing w:before="0" w:after="283"/>
              <w:jc w:val="right"/>
              <w:rPr/>
            </w:pPr>
            <w:r>
              <w:rPr/>
              <w:t>9,482,000</w:t>
            </w:r>
          </w:p>
        </w:tc>
        <w:tc>
          <w:tcPr>
            <w:tcW w:w="75" w:type="dxa"/>
            <w:tcBorders/>
            <w:shd w:fill="CCEEFF" w:val="clear"/>
            <w:vAlign w:val="center"/>
          </w:tcPr>
          <w:p>
            <w:pPr>
              <w:pStyle w:val="TableContents"/>
              <w:bidi w:val="0"/>
              <w:spacing w:before="0" w:after="283"/>
              <w:jc w:val="left"/>
              <w:rPr/>
            </w:pPr>
            <w:r>
              <w:rPr/>
              <w:t> </w:t>
            </w:r>
            <w:bookmarkStart w:id="384" w:name="xdx_40A_eus-gaap--LiabilitiesAndStockhol"/>
            <w:bookmarkEnd w:id="384"/>
          </w:p>
        </w:tc>
      </w:tr>
      <w:tr>
        <w:trPr/>
        <w:tc>
          <w:tcPr>
            <w:tcW w:w="3800" w:type="dxa"/>
            <w:tcBorders/>
            <w:shd w:fill="FFFFFF" w:val="clear"/>
            <w:vAlign w:val="center"/>
          </w:tcPr>
          <w:p>
            <w:pPr>
              <w:pStyle w:val="TableContents"/>
              <w:bidi w:val="0"/>
              <w:spacing w:before="0" w:after="283"/>
              <w:jc w:val="both"/>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6" w:type="dxa"/>
            <w:tcBorders>
              <w:bottom w:val="double" w:sz="6" w:space="0" w:color="000000"/>
            </w:tcBorders>
            <w:shd w:fill="FFFFFF" w:val="clear"/>
            <w:tcMar>
              <w:bottom w:w="28" w:type="dxa"/>
            </w:tcMar>
            <w:vAlign w:val="center"/>
          </w:tcPr>
          <w:p>
            <w:pPr>
              <w:pStyle w:val="TableContents"/>
              <w:bidi w:val="0"/>
              <w:spacing w:before="0" w:after="283"/>
              <w:jc w:val="right"/>
              <w:rPr/>
            </w:pPr>
            <w:r>
              <w:rPr/>
              <w:t>7,366,000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34" w:type="dxa"/>
            <w:tcBorders>
              <w:bottom w:val="double" w:sz="6" w:space="0" w:color="000000"/>
            </w:tcBorders>
            <w:shd w:fill="FFFFFF" w:val="clear"/>
            <w:tcMar>
              <w:bottom w:w="28" w:type="dxa"/>
            </w:tcMar>
            <w:vAlign w:val="center"/>
          </w:tcPr>
          <w:p>
            <w:pPr>
              <w:pStyle w:val="TableContents"/>
              <w:bidi w:val="0"/>
              <w:spacing w:before="0" w:after="283"/>
              <w:jc w:val="right"/>
              <w:rPr/>
            </w:pPr>
            <w:r>
              <w:rPr/>
              <w:t>13,404,000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5" w:name="xdx_8A5_zcjTBrzsqlP6"/>
      <w:bookmarkEnd w:id="38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6" w:name="xdx_809_eus-gaap--InventoryDisclosureTex"/>
      <w:bookmarkEnd w:id="386"/>
      <w:r>
        <w:rPr>
          <w:rFonts w:ascii="Times New Roman;Times;Serif" w:hAnsi="Times New Roman;Times;Serif"/>
          <w:b/>
          <w:i w:val="false"/>
          <w:caps w:val="false"/>
          <w:smallCaps w:val="false"/>
          <w:sz w:val="20"/>
        </w:rPr>
        <w:t xml:space="preserve">NOTE 5. </w:t>
      </w:r>
      <w:bookmarkStart w:id="387" w:name="xdx_826_zQsXQRj5l0Zj"/>
      <w:bookmarkEnd w:id="387"/>
      <w:r>
        <w:rPr>
          <w:rFonts w:ascii="Times New Roman;Times;Serif" w:hAnsi="Times New Roman;Times;Serif"/>
          <w:b/>
          <w:i w:val="false"/>
          <w:caps w:val="false"/>
          <w:smallCaps w:val="false"/>
          <w:sz w:val="20"/>
        </w:rPr>
        <w:t xml:space="preserve">INVENTORIES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8" w:name="xdx_890_eus-gaap--ScheduleOfInventoryCur"/>
      <w:bookmarkEnd w:id="388"/>
      <w:r>
        <w:rPr>
          <w:rFonts w:ascii="Times New Roman;Times;Serif" w:hAnsi="Times New Roman;Times;Serif"/>
          <w:b w:val="false"/>
          <w:i w:val="false"/>
          <w:caps w:val="false"/>
          <w:smallCaps w:val="false"/>
          <w:sz w:val="20"/>
          <w:shd w:fill="FFFFFF" w:val="clear"/>
        </w:rPr>
        <w:t xml:space="preserve">Inventories are comprised of finished compounded formulations, over-the-counter and prescription retail pharmacy products, branded pharmaceutical products, including those held at the Company’s 3PL partner, related laboratory supplies and active pharmaceutical ingredients. </w:t>
      </w:r>
      <w:r>
        <w:rPr>
          <w:rFonts w:ascii="Times New Roman;Times;Serif" w:hAnsi="Times New Roman;Times;Serif"/>
          <w:b w:val="false"/>
          <w:i w:val="false"/>
          <w:caps w:val="false"/>
          <w:smallCaps w:val="false"/>
          <w:sz w:val="20"/>
        </w:rPr>
        <w:t>The composition of inventories was as follows:</w:t>
      </w:r>
    </w:p>
    <w:p>
      <w:pPr>
        <w:pStyle w:val="TextBody"/>
        <w:bidi w:val="0"/>
        <w:spacing w:before="0" w:after="0"/>
        <w:ind w:left="0" w:right="0" w:hanging="0"/>
        <w:jc w:val="both"/>
        <w:rPr>
          <w:caps w:val="false"/>
          <w:smallCaps w:val="false"/>
        </w:rPr>
      </w:pPr>
      <w:r>
        <w:rPr>
          <w:caps w:val="false"/>
          <w:smallCaps w:val="false"/>
        </w:rPr>
        <w:t> </w:t>
      </w:r>
      <w:bookmarkStart w:id="389" w:name="xdx_8BB_zYw4AmiGOvxa"/>
      <w:bookmarkEnd w:id="389"/>
      <w:r>
        <w:rPr>
          <w:rFonts w:ascii="Times New Roman;Times;Serif" w:hAnsi="Times New Roman;Times;Serif"/>
          <w:b w:val="false"/>
          <w:i w:val="false"/>
          <w:caps w:val="false"/>
          <w:smallCaps w:val="false"/>
          <w:sz w:val="20"/>
        </w:rPr>
        <w:t>SCHEDULE OF INVENTORIES</w:t>
      </w:r>
    </w:p>
    <w:tbl>
      <w:tblPr>
        <w:tblW w:w="5083" w:type="dxa"/>
        <w:jc w:val="left"/>
        <w:tblInd w:w="0" w:type="dxa"/>
        <w:tblLayout w:type="fixed"/>
        <w:tblCellMar>
          <w:top w:w="0" w:type="dxa"/>
          <w:left w:w="0" w:type="dxa"/>
          <w:bottom w:w="0" w:type="dxa"/>
          <w:right w:w="0" w:type="dxa"/>
        </w:tblCellMar>
      </w:tblPr>
      <w:tblGrid>
        <w:gridCol w:w="1670"/>
        <w:gridCol w:w="60"/>
        <w:gridCol w:w="161"/>
        <w:gridCol w:w="1268"/>
        <w:gridCol w:w="60"/>
        <w:gridCol w:w="60"/>
        <w:gridCol w:w="195"/>
        <w:gridCol w:w="1534"/>
        <w:gridCol w:w="75"/>
      </w:tblGrid>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90" w:name="xdx_499_20240930_zCAwDF1I2vI3"/>
            <w:bookmarkEnd w:id="390"/>
          </w:p>
        </w:tc>
        <w:tc>
          <w:tcPr>
            <w:tcW w:w="1429" w:type="dxa"/>
            <w:gridSpan w:val="2"/>
            <w:tcBorders>
              <w:bottom w:val="single" w:sz="8" w:space="0" w:color="000000"/>
            </w:tcBorders>
            <w:tcMar>
              <w:bottom w:w="28" w:type="dxa"/>
            </w:tcMar>
            <w:vAlign w:val="center"/>
          </w:tcPr>
          <w:p>
            <w:pPr>
              <w:pStyle w:val="TableContents"/>
              <w:bidi w:val="0"/>
              <w:jc w:val="center"/>
              <w:rPr>
                <w:b/>
              </w:rPr>
            </w:pPr>
            <w:r>
              <w:rPr>
                <w:b/>
              </w:rPr>
              <w:t>At September</w:t>
            </w:r>
          </w:p>
          <w:p>
            <w:pPr>
              <w:pStyle w:val="TableContents"/>
              <w:bidi w:val="0"/>
              <w:spacing w:before="0" w:after="283"/>
              <w:jc w:val="center"/>
              <w:rPr>
                <w:b/>
              </w:rPr>
            </w:pPr>
            <w:r>
              <w:rPr>
                <w:b/>
              </w:rPr>
              <w:t>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1" w:name="xdx_494_20231231_zKfsoz9Suwc7"/>
            <w:bookmarkEnd w:id="391"/>
          </w:p>
        </w:tc>
        <w:tc>
          <w:tcPr>
            <w:tcW w:w="1729" w:type="dxa"/>
            <w:gridSpan w:val="2"/>
            <w:tcBorders>
              <w:bottom w:val="single" w:sz="8" w:space="0" w:color="000000"/>
            </w:tcBorders>
            <w:tcMar>
              <w:bottom w:w="28" w:type="dxa"/>
            </w:tcMar>
            <w:vAlign w:val="center"/>
          </w:tcPr>
          <w:p>
            <w:pPr>
              <w:pStyle w:val="TableContents"/>
              <w:bidi w:val="0"/>
              <w:jc w:val="center"/>
              <w:rPr>
                <w:b/>
              </w:rPr>
            </w:pPr>
            <w:r>
              <w:rPr>
                <w:b/>
              </w:rPr>
              <w:t>At December 31,</w:t>
            </w:r>
          </w:p>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392" w:name="xdx_40F_eus-gaap--InventoryRawMaterials_"/>
            <w:bookmarkEnd w:id="392"/>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268" w:type="dxa"/>
            <w:tcBorders/>
            <w:shd w:fill="CCEEFF" w:val="clear"/>
            <w:vAlign w:val="center"/>
          </w:tcPr>
          <w:p>
            <w:pPr>
              <w:pStyle w:val="TableContents"/>
              <w:bidi w:val="0"/>
              <w:spacing w:before="0" w:after="283"/>
              <w:jc w:val="right"/>
              <w:rPr/>
            </w:pPr>
            <w:r>
              <w:rPr/>
              <w:t>5,306,000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534" w:type="dxa"/>
            <w:tcBorders/>
            <w:shd w:fill="CCEEFF" w:val="clear"/>
            <w:vAlign w:val="center"/>
          </w:tcPr>
          <w:p>
            <w:pPr>
              <w:pStyle w:val="TableContents"/>
              <w:bidi w:val="0"/>
              <w:spacing w:before="0" w:after="283"/>
              <w:jc w:val="right"/>
              <w:rPr/>
            </w:pPr>
            <w:r>
              <w:rPr/>
              <w:t>5,477,000</w:t>
            </w:r>
          </w:p>
        </w:tc>
        <w:tc>
          <w:tcPr>
            <w:tcW w:w="75" w:type="dxa"/>
            <w:tcBorders/>
            <w:shd w:fill="CCEEFF" w:val="clear"/>
            <w:vAlign w:val="center"/>
          </w:tcPr>
          <w:p>
            <w:pPr>
              <w:pStyle w:val="TableContents"/>
              <w:bidi w:val="0"/>
              <w:spacing w:before="0" w:after="283"/>
              <w:jc w:val="left"/>
              <w:rPr/>
            </w:pPr>
            <w:r>
              <w:rPr/>
              <w:t> </w:t>
            </w:r>
            <w:bookmarkStart w:id="393" w:name="xdx_402_eus-gaap--InventoryWorkInProcess"/>
            <w:bookmarkEnd w:id="393"/>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176,000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right"/>
              <w:rPr/>
            </w:pPr>
            <w:r>
              <w:rPr/>
              <w:t>54,000</w:t>
            </w:r>
          </w:p>
        </w:tc>
        <w:tc>
          <w:tcPr>
            <w:tcW w:w="75" w:type="dxa"/>
            <w:tcBorders/>
            <w:shd w:fill="FFFFFF" w:val="clear"/>
            <w:vAlign w:val="center"/>
          </w:tcPr>
          <w:p>
            <w:pPr>
              <w:pStyle w:val="TableContents"/>
              <w:bidi w:val="0"/>
              <w:spacing w:before="0" w:after="283"/>
              <w:jc w:val="left"/>
              <w:rPr/>
            </w:pPr>
            <w:r>
              <w:rPr/>
              <w:t> </w:t>
            </w:r>
            <w:bookmarkStart w:id="394" w:name="xdx_409_eus-gaap--InventoryFinishedGoods"/>
            <w:bookmarkEnd w:id="394"/>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pPr>
            <w:r>
              <w:rPr/>
              <w:t>4,674,000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4" w:type="dxa"/>
            <w:tcBorders>
              <w:bottom w:val="single" w:sz="8" w:space="0" w:color="000000"/>
            </w:tcBorders>
            <w:shd w:fill="CCEEFF" w:val="clear"/>
            <w:tcMar>
              <w:bottom w:w="28" w:type="dxa"/>
            </w:tcMar>
            <w:vAlign w:val="center"/>
          </w:tcPr>
          <w:p>
            <w:pPr>
              <w:pStyle w:val="TableContents"/>
              <w:bidi w:val="0"/>
              <w:spacing w:before="0" w:after="283"/>
              <w:jc w:val="right"/>
              <w:rPr/>
            </w:pPr>
            <w:r>
              <w:rPr/>
              <w:t>5,336,000</w:t>
            </w:r>
          </w:p>
        </w:tc>
        <w:tc>
          <w:tcPr>
            <w:tcW w:w="75" w:type="dxa"/>
            <w:tcBorders/>
            <w:shd w:fill="CCEEFF" w:val="clear"/>
            <w:vAlign w:val="center"/>
          </w:tcPr>
          <w:p>
            <w:pPr>
              <w:pStyle w:val="TableContents"/>
              <w:bidi w:val="0"/>
              <w:spacing w:before="0" w:after="283"/>
              <w:jc w:val="left"/>
              <w:rPr/>
            </w:pPr>
            <w:r>
              <w:rPr/>
              <w:t> </w:t>
            </w:r>
            <w:bookmarkStart w:id="395" w:name="xdx_402_eus-gaap--InventoryNet_iTI_mtCzf"/>
            <w:bookmarkEnd w:id="395"/>
          </w:p>
        </w:tc>
      </w:tr>
      <w:tr>
        <w:trPr/>
        <w:tc>
          <w:tcPr>
            <w:tcW w:w="1670" w:type="dxa"/>
            <w:tcBorders/>
            <w:shd w:fill="FFFFFF" w:val="clear"/>
            <w:vAlign w:val="center"/>
          </w:tcPr>
          <w:p>
            <w:pPr>
              <w:pStyle w:val="TableContents"/>
              <w:bidi w:val="0"/>
              <w:spacing w:before="0" w:after="283"/>
              <w:jc w:val="left"/>
              <w:rPr/>
            </w:pPr>
            <w:r>
              <w:rPr/>
              <w:t>Total inventories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8" w:type="dxa"/>
            <w:tcBorders>
              <w:bottom w:val="double" w:sz="6" w:space="0" w:color="000000"/>
            </w:tcBorders>
            <w:shd w:fill="FFFFFF" w:val="clear"/>
            <w:tcMar>
              <w:bottom w:w="28" w:type="dxa"/>
            </w:tcMar>
            <w:vAlign w:val="center"/>
          </w:tcPr>
          <w:p>
            <w:pPr>
              <w:pStyle w:val="TableContents"/>
              <w:bidi w:val="0"/>
              <w:spacing w:before="0" w:after="283"/>
              <w:jc w:val="right"/>
              <w:rPr/>
            </w:pPr>
            <w:r>
              <w:rPr/>
              <w:t>10,156,000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34" w:type="dxa"/>
            <w:tcBorders>
              <w:bottom w:val="double" w:sz="6" w:space="0" w:color="000000"/>
            </w:tcBorders>
            <w:shd w:fill="FFFFFF" w:val="clear"/>
            <w:tcMar>
              <w:bottom w:w="28" w:type="dxa"/>
            </w:tcMar>
            <w:vAlign w:val="center"/>
          </w:tcPr>
          <w:p>
            <w:pPr>
              <w:pStyle w:val="TableContents"/>
              <w:bidi w:val="0"/>
              <w:spacing w:before="0" w:after="283"/>
              <w:jc w:val="right"/>
              <w:rPr/>
            </w:pPr>
            <w:r>
              <w:rPr/>
              <w:t>10,867,000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96" w:name="xdx_8AD_zqO7XWYPquKi"/>
      <w:bookmarkEnd w:id="396"/>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7" w:name="xdx_803_eus-gaap--OtherAssetsDisclosureT"/>
      <w:bookmarkEnd w:id="397"/>
      <w:r>
        <w:rPr>
          <w:rFonts w:ascii="Times New Roman;Times;Serif" w:hAnsi="Times New Roman;Times;Serif"/>
          <w:b/>
          <w:i w:val="false"/>
          <w:caps w:val="false"/>
          <w:smallCaps w:val="false"/>
          <w:sz w:val="20"/>
        </w:rPr>
        <w:t xml:space="preserve">NOTE 6. </w:t>
      </w:r>
      <w:bookmarkStart w:id="398" w:name="xdx_82F_zuZCmzgeLg89"/>
      <w:bookmarkEnd w:id="398"/>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9" w:name="xdx_892_eus-gaap--DeferredCostsCapitaliz"/>
      <w:bookmarkEnd w:id="399"/>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0" w:right="0" w:hanging="0"/>
        <w:jc w:val="both"/>
        <w:rPr>
          <w:caps w:val="false"/>
          <w:smallCaps w:val="false"/>
        </w:rPr>
      </w:pPr>
      <w:r>
        <w:rPr>
          <w:caps w:val="false"/>
          <w:smallCaps w:val="false"/>
        </w:rPr>
        <w:t> </w:t>
      </w:r>
      <w:bookmarkStart w:id="400" w:name="xdx_8BE_zDzNKr6Kv7C9"/>
      <w:bookmarkEnd w:id="400"/>
      <w:r>
        <w:rPr>
          <w:rFonts w:ascii="Times New Roman;Times;Serif" w:hAnsi="Times New Roman;Times;Serif"/>
          <w:b w:val="false"/>
          <w:i w:val="false"/>
          <w:caps w:val="false"/>
          <w:smallCaps w:val="false"/>
          <w:sz w:val="20"/>
        </w:rPr>
        <w:t>SCHEDULE OF PREPAID EXPENSES AND OTHER CURRENT ASSETS</w:t>
      </w:r>
    </w:p>
    <w:tbl>
      <w:tblPr>
        <w:tblW w:w="10205" w:type="dxa"/>
        <w:jc w:val="left"/>
        <w:tblInd w:w="0" w:type="dxa"/>
        <w:tblLayout w:type="fixed"/>
        <w:tblCellMar>
          <w:top w:w="0" w:type="dxa"/>
          <w:left w:w="0" w:type="dxa"/>
          <w:bottom w:w="0" w:type="dxa"/>
          <w:right w:w="0" w:type="dxa"/>
        </w:tblCellMar>
      </w:tblPr>
      <w:tblGrid>
        <w:gridCol w:w="5430"/>
        <w:gridCol w:w="60"/>
        <w:gridCol w:w="258"/>
        <w:gridCol w:w="2031"/>
        <w:gridCol w:w="60"/>
        <w:gridCol w:w="60"/>
        <w:gridCol w:w="277"/>
        <w:gridCol w:w="1950"/>
        <w:gridCol w:w="79"/>
      </w:tblGrid>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1" w:name="xdx_49F_20240930_z5PdhIypcHZh"/>
            <w:bookmarkEnd w:id="401"/>
          </w:p>
        </w:tc>
        <w:tc>
          <w:tcPr>
            <w:tcW w:w="22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 September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2" w:name="xdx_49E_20231231_zIH7IQKkVr06"/>
            <w:bookmarkEnd w:id="402"/>
          </w:p>
        </w:tc>
        <w:tc>
          <w:tcPr>
            <w:tcW w:w="22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 December 31, 2023</w:t>
            </w:r>
          </w:p>
        </w:tc>
        <w:tc>
          <w:tcPr>
            <w:tcW w:w="79" w:type="dxa"/>
            <w:tcBorders/>
            <w:vAlign w:val="center"/>
          </w:tcPr>
          <w:p>
            <w:pPr>
              <w:pStyle w:val="TableContents"/>
              <w:bidi w:val="0"/>
              <w:spacing w:before="0" w:after="283"/>
              <w:jc w:val="left"/>
              <w:rPr/>
            </w:pPr>
            <w:r>
              <w:rPr/>
              <w:t> </w:t>
            </w:r>
            <w:bookmarkStart w:id="403" w:name="xdx_40A_eus-gaap--PrepaidInsurance_iI_ma"/>
            <w:bookmarkEnd w:id="403"/>
          </w:p>
        </w:tc>
      </w:tr>
      <w:tr>
        <w:trPr/>
        <w:tc>
          <w:tcPr>
            <w:tcW w:w="5430"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2031" w:type="dxa"/>
            <w:tcBorders/>
            <w:shd w:fill="CCEEFF" w:val="clear"/>
            <w:vAlign w:val="center"/>
          </w:tcPr>
          <w:p>
            <w:pPr>
              <w:pStyle w:val="TableContents"/>
              <w:bidi w:val="0"/>
              <w:spacing w:before="0" w:after="283"/>
              <w:jc w:val="right"/>
              <w:rPr/>
            </w:pPr>
            <w:r>
              <w:rPr/>
              <w:t>1,639,000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950" w:type="dxa"/>
            <w:tcBorders/>
            <w:shd w:fill="CCEEFF" w:val="clear"/>
            <w:vAlign w:val="center"/>
          </w:tcPr>
          <w:p>
            <w:pPr>
              <w:pStyle w:val="TableContents"/>
              <w:bidi w:val="0"/>
              <w:spacing w:before="0" w:after="283"/>
              <w:jc w:val="right"/>
              <w:rPr/>
            </w:pPr>
            <w:r>
              <w:rPr/>
              <w:t>1,241,000</w:t>
            </w:r>
          </w:p>
        </w:tc>
        <w:tc>
          <w:tcPr>
            <w:tcW w:w="79" w:type="dxa"/>
            <w:tcBorders/>
            <w:shd w:fill="CCEEFF" w:val="clear"/>
            <w:vAlign w:val="center"/>
          </w:tcPr>
          <w:p>
            <w:pPr>
              <w:pStyle w:val="TableContents"/>
              <w:bidi w:val="0"/>
              <w:spacing w:before="0" w:after="283"/>
              <w:jc w:val="left"/>
              <w:rPr/>
            </w:pPr>
            <w:r>
              <w:rPr/>
              <w:t> </w:t>
            </w:r>
            <w:bookmarkStart w:id="404" w:name="xdx_408_ecustom--PrepaidComputerSoftware"/>
            <w:bookmarkEnd w:id="404"/>
          </w:p>
        </w:tc>
      </w:tr>
      <w:tr>
        <w:trPr/>
        <w:tc>
          <w:tcPr>
            <w:tcW w:w="5430" w:type="dxa"/>
            <w:tcBorders/>
            <w:shd w:fill="FFFFFF" w:val="clear"/>
            <w:vAlign w:val="center"/>
          </w:tcPr>
          <w:p>
            <w:pPr>
              <w:pStyle w:val="TableContents"/>
              <w:bidi w:val="0"/>
              <w:spacing w:before="0" w:after="283"/>
              <w:jc w:val="left"/>
              <w:rPr/>
            </w:pPr>
            <w:r>
              <w:rPr/>
              <w:t>Prepaid computer software licenses and related expenses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2031" w:type="dxa"/>
            <w:tcBorders/>
            <w:shd w:fill="FFFFFF" w:val="clear"/>
            <w:vAlign w:val="center"/>
          </w:tcPr>
          <w:p>
            <w:pPr>
              <w:pStyle w:val="TableContents"/>
              <w:bidi w:val="0"/>
              <w:spacing w:before="0" w:after="283"/>
              <w:jc w:val="right"/>
              <w:rPr/>
            </w:pPr>
            <w:r>
              <w:rPr/>
              <w:t>619,000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1,613,000</w:t>
            </w:r>
          </w:p>
        </w:tc>
        <w:tc>
          <w:tcPr>
            <w:tcW w:w="79" w:type="dxa"/>
            <w:tcBorders/>
            <w:shd w:fill="FFFFFF" w:val="clear"/>
            <w:vAlign w:val="center"/>
          </w:tcPr>
          <w:p>
            <w:pPr>
              <w:pStyle w:val="TableContents"/>
              <w:bidi w:val="0"/>
              <w:spacing w:before="0" w:after="283"/>
              <w:jc w:val="left"/>
              <w:rPr/>
            </w:pPr>
            <w:r>
              <w:rPr/>
              <w:t> </w:t>
            </w:r>
            <w:bookmarkStart w:id="405" w:name="xdx_409_ecustom--PrefundedAssistance_iI_"/>
            <w:bookmarkEnd w:id="405"/>
          </w:p>
        </w:tc>
      </w:tr>
      <w:tr>
        <w:trPr/>
        <w:tc>
          <w:tcPr>
            <w:tcW w:w="5430" w:type="dxa"/>
            <w:tcBorders/>
            <w:shd w:fill="CCEEFF" w:val="clear"/>
            <w:vAlign w:val="center"/>
          </w:tcPr>
          <w:p>
            <w:pPr>
              <w:pStyle w:val="TableContents"/>
              <w:bidi w:val="0"/>
              <w:spacing w:before="0" w:after="283"/>
              <w:jc w:val="left"/>
              <w:rPr/>
            </w:pPr>
            <w:r>
              <w:rPr/>
              <w:t>Prefunded co-pay assistance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2031" w:type="dxa"/>
            <w:tcBorders/>
            <w:shd w:fill="CCEEFF" w:val="clear"/>
            <w:vAlign w:val="center"/>
          </w:tcPr>
          <w:p>
            <w:pPr>
              <w:pStyle w:val="TableContents"/>
              <w:bidi w:val="0"/>
              <w:spacing w:before="0" w:after="283"/>
              <w:jc w:val="right"/>
              <w:rPr/>
            </w:pPr>
            <w:r>
              <w:rPr/>
              <w:t>4,514,000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bookmarkStart w:id="406" w:name="xdx_402_eus-gaap--OtherPrepaidExpenseCur"/>
            <w:bookmarkEnd w:id="406"/>
          </w:p>
        </w:tc>
      </w:tr>
      <w:tr>
        <w:trPr/>
        <w:tc>
          <w:tcPr>
            <w:tcW w:w="5430" w:type="dxa"/>
            <w:tcBorders/>
            <w:shd w:fill="FFFFFF" w:val="clear"/>
            <w:vAlign w:val="center"/>
          </w:tcPr>
          <w:p>
            <w:pPr>
              <w:pStyle w:val="TableContents"/>
              <w:bidi w:val="0"/>
              <w:spacing w:before="0" w:after="283"/>
              <w:jc w:val="left"/>
              <w:rPr/>
            </w:pPr>
            <w:r>
              <w:rPr/>
              <w:t>Other prepaid expenses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2031" w:type="dxa"/>
            <w:tcBorders/>
            <w:shd w:fill="FFFFFF" w:val="clear"/>
            <w:vAlign w:val="center"/>
          </w:tcPr>
          <w:p>
            <w:pPr>
              <w:pStyle w:val="TableContents"/>
              <w:bidi w:val="0"/>
              <w:spacing w:before="0" w:after="283"/>
              <w:jc w:val="right"/>
              <w:rPr/>
            </w:pPr>
            <w:r>
              <w:rPr/>
              <w:t>1,749,000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906,000</w:t>
            </w:r>
          </w:p>
        </w:tc>
        <w:tc>
          <w:tcPr>
            <w:tcW w:w="79" w:type="dxa"/>
            <w:tcBorders/>
            <w:shd w:fill="FFFFFF" w:val="clear"/>
            <w:vAlign w:val="center"/>
          </w:tcPr>
          <w:p>
            <w:pPr>
              <w:pStyle w:val="TableContents"/>
              <w:bidi w:val="0"/>
              <w:spacing w:before="0" w:after="283"/>
              <w:jc w:val="left"/>
              <w:rPr/>
            </w:pPr>
            <w:r>
              <w:rPr/>
              <w:t> </w:t>
            </w:r>
            <w:bookmarkStart w:id="407" w:name="xdx_406_ecustom--ReceivableDueFromRelate"/>
            <w:bookmarkEnd w:id="407"/>
          </w:p>
        </w:tc>
      </w:tr>
      <w:tr>
        <w:trPr/>
        <w:tc>
          <w:tcPr>
            <w:tcW w:w="5430" w:type="dxa"/>
            <w:tcBorders/>
            <w:shd w:fill="CCEEFF" w:val="clear"/>
            <w:vAlign w:val="center"/>
          </w:tcPr>
          <w:p>
            <w:pPr>
              <w:pStyle w:val="TableContents"/>
              <w:bidi w:val="0"/>
              <w:spacing w:before="0" w:after="283"/>
              <w:jc w:val="left"/>
              <w:rPr/>
            </w:pPr>
            <w:r>
              <w:rPr/>
              <w:t>Receivable due from Melt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2031" w:type="dxa"/>
            <w:tcBorders/>
            <w:shd w:fill="CCEEFF" w:val="clear"/>
            <w:vAlign w:val="center"/>
          </w:tcPr>
          <w:p>
            <w:pPr>
              <w:pStyle w:val="TableContents"/>
              <w:bidi w:val="0"/>
              <w:spacing w:before="0" w:after="283"/>
              <w:jc w:val="right"/>
              <w:rPr/>
            </w:pPr>
            <w:r>
              <w:rPr/>
              <w:t>228,000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228,000</w:t>
            </w:r>
          </w:p>
        </w:tc>
        <w:tc>
          <w:tcPr>
            <w:tcW w:w="79" w:type="dxa"/>
            <w:tcBorders/>
            <w:shd w:fill="CCEEFF" w:val="clear"/>
            <w:vAlign w:val="center"/>
          </w:tcPr>
          <w:p>
            <w:pPr>
              <w:pStyle w:val="TableContents"/>
              <w:bidi w:val="0"/>
              <w:spacing w:before="0" w:after="283"/>
              <w:jc w:val="left"/>
              <w:rPr/>
            </w:pPr>
            <w:r>
              <w:rPr/>
              <w:t> </w:t>
            </w:r>
            <w:bookmarkStart w:id="408" w:name="xdx_405_ecustom--PrepaidPrescriptionDrug"/>
            <w:bookmarkEnd w:id="408"/>
          </w:p>
        </w:tc>
      </w:tr>
      <w:tr>
        <w:trPr/>
        <w:tc>
          <w:tcPr>
            <w:tcW w:w="5430" w:type="dxa"/>
            <w:tcBorders/>
            <w:shd w:fill="FFFFFF" w:val="clear"/>
            <w:vAlign w:val="center"/>
          </w:tcPr>
          <w:p>
            <w:pPr>
              <w:pStyle w:val="TableContents"/>
              <w:bidi w:val="0"/>
              <w:spacing w:before="0" w:after="283"/>
              <w:jc w:val="left"/>
              <w:rPr/>
            </w:pPr>
            <w:r>
              <w:rPr/>
              <w:t>Prepaid FY 2024 Prescription Drug User (“PDUFA”) fees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203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950" w:type="dxa"/>
            <w:tcBorders/>
            <w:shd w:fill="FFFFFF" w:val="clear"/>
            <w:vAlign w:val="center"/>
          </w:tcPr>
          <w:p>
            <w:pPr>
              <w:pStyle w:val="TableContents"/>
              <w:bidi w:val="0"/>
              <w:spacing w:before="0" w:after="283"/>
              <w:jc w:val="right"/>
              <w:rPr/>
            </w:pPr>
            <w:r>
              <w:rPr/>
              <w:t>3,438,000</w:t>
            </w:r>
          </w:p>
        </w:tc>
        <w:tc>
          <w:tcPr>
            <w:tcW w:w="79" w:type="dxa"/>
            <w:tcBorders/>
            <w:shd w:fill="FFFFFF" w:val="clear"/>
            <w:vAlign w:val="center"/>
          </w:tcPr>
          <w:p>
            <w:pPr>
              <w:pStyle w:val="TableContents"/>
              <w:bidi w:val="0"/>
              <w:spacing w:before="0" w:after="283"/>
              <w:jc w:val="left"/>
              <w:rPr/>
            </w:pPr>
            <w:r>
              <w:rPr/>
              <w:t> </w:t>
            </w:r>
            <w:bookmarkStart w:id="409" w:name="xdx_40D_ecustom--DeferredCommitmentFee_i"/>
            <w:bookmarkEnd w:id="409"/>
          </w:p>
        </w:tc>
      </w:tr>
      <w:tr>
        <w:trPr/>
        <w:tc>
          <w:tcPr>
            <w:tcW w:w="5430" w:type="dxa"/>
            <w:tcBorders/>
            <w:shd w:fill="CCEEFF" w:val="clear"/>
            <w:vAlign w:val="center"/>
          </w:tcPr>
          <w:p>
            <w:pPr>
              <w:pStyle w:val="TableContents"/>
              <w:bidi w:val="0"/>
              <w:spacing w:before="0" w:after="283"/>
              <w:jc w:val="left"/>
              <w:rPr/>
            </w:pPr>
            <w:r>
              <w:rPr/>
              <w:t>Deferred Oaktree Loan commitment fee</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2031" w:type="dxa"/>
            <w:tcBorders/>
            <w:shd w:fill="CCEEFF" w:val="clear"/>
            <w:vAlign w:val="center"/>
          </w:tcPr>
          <w:p>
            <w:pPr>
              <w:pStyle w:val="TableContents"/>
              <w:bidi w:val="0"/>
              <w:spacing w:before="0" w:after="283"/>
              <w:jc w:val="right"/>
              <w:rPr/>
            </w:pPr>
            <w:r>
              <w:rPr/>
              <w:t>372,000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bidi w:val="0"/>
              <w:spacing w:before="0" w:after="283"/>
              <w:jc w:val="right"/>
              <w:rPr/>
            </w:pPr>
            <w:r>
              <w:rPr/>
              <w:t>409,000</w:t>
            </w:r>
          </w:p>
        </w:tc>
        <w:tc>
          <w:tcPr>
            <w:tcW w:w="79" w:type="dxa"/>
            <w:tcBorders/>
            <w:shd w:fill="CCEEFF" w:val="clear"/>
            <w:vAlign w:val="center"/>
          </w:tcPr>
          <w:p>
            <w:pPr>
              <w:pStyle w:val="TableContents"/>
              <w:bidi w:val="0"/>
              <w:spacing w:before="0" w:after="283"/>
              <w:jc w:val="left"/>
              <w:rPr/>
            </w:pPr>
            <w:r>
              <w:rPr/>
              <w:t> </w:t>
            </w:r>
            <w:bookmarkStart w:id="410" w:name="xdx_409_eus-gaap--OtherAssetsCurrent_iI_"/>
            <w:bookmarkEnd w:id="410"/>
          </w:p>
        </w:tc>
      </w:tr>
      <w:tr>
        <w:trPr/>
        <w:tc>
          <w:tcPr>
            <w:tcW w:w="5430" w:type="dxa"/>
            <w:tcBorders/>
            <w:shd w:fill="FFFFFF" w:val="clear"/>
            <w:vAlign w:val="center"/>
          </w:tcPr>
          <w:p>
            <w:pPr>
              <w:pStyle w:val="TableContents"/>
              <w:bidi w:val="0"/>
              <w:spacing w:before="0" w:after="283"/>
              <w:jc w:val="left"/>
              <w:rPr/>
            </w:pPr>
            <w:r>
              <w:rPr/>
              <w:t>Deposits and other current assets</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1" w:type="dxa"/>
            <w:tcBorders>
              <w:bottom w:val="single" w:sz="8" w:space="0" w:color="000000"/>
            </w:tcBorders>
            <w:shd w:fill="FFFFFF" w:val="clear"/>
            <w:tcMar>
              <w:bottom w:w="28" w:type="dxa"/>
            </w:tcMar>
            <w:vAlign w:val="center"/>
          </w:tcPr>
          <w:p>
            <w:pPr>
              <w:pStyle w:val="TableContents"/>
              <w:bidi w:val="0"/>
              <w:spacing w:before="0" w:after="283"/>
              <w:jc w:val="right"/>
              <w:rPr/>
            </w:pPr>
            <w:r>
              <w:rPr/>
              <w:t>1,450,000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50" w:type="dxa"/>
            <w:tcBorders>
              <w:bottom w:val="single" w:sz="8" w:space="0" w:color="000000"/>
            </w:tcBorders>
            <w:shd w:fill="FFFFFF" w:val="clear"/>
            <w:tcMar>
              <w:bottom w:w="28" w:type="dxa"/>
            </w:tcMar>
            <w:vAlign w:val="center"/>
          </w:tcPr>
          <w:p>
            <w:pPr>
              <w:pStyle w:val="TableContents"/>
              <w:bidi w:val="0"/>
              <w:spacing w:before="0" w:after="283"/>
              <w:jc w:val="right"/>
              <w:rPr/>
            </w:pPr>
            <w:r>
              <w:rPr/>
              <w:t>1,753,000</w:t>
            </w:r>
          </w:p>
        </w:tc>
        <w:tc>
          <w:tcPr>
            <w:tcW w:w="79" w:type="dxa"/>
            <w:tcBorders/>
            <w:shd w:fill="FFFFFF" w:val="clear"/>
            <w:vAlign w:val="center"/>
          </w:tcPr>
          <w:p>
            <w:pPr>
              <w:pStyle w:val="TableContents"/>
              <w:bidi w:val="0"/>
              <w:spacing w:before="0" w:after="283"/>
              <w:jc w:val="left"/>
              <w:rPr/>
            </w:pPr>
            <w:r>
              <w:rPr/>
              <w:t> </w:t>
            </w:r>
            <w:bookmarkStart w:id="411" w:name="xdx_40C_eus-gaap--PrepaidExpenseAndOther"/>
            <w:bookmarkEnd w:id="411"/>
          </w:p>
        </w:tc>
      </w:tr>
      <w:tr>
        <w:trPr/>
        <w:tc>
          <w:tcPr>
            <w:tcW w:w="5430"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31" w:type="dxa"/>
            <w:tcBorders>
              <w:bottom w:val="double" w:sz="6" w:space="0" w:color="000000"/>
            </w:tcBorders>
            <w:shd w:fill="CCEEFF" w:val="clear"/>
            <w:tcMar>
              <w:bottom w:w="28" w:type="dxa"/>
            </w:tcMar>
            <w:vAlign w:val="center"/>
          </w:tcPr>
          <w:p>
            <w:pPr>
              <w:pStyle w:val="TableContents"/>
              <w:bidi w:val="0"/>
              <w:spacing w:before="0" w:after="283"/>
              <w:jc w:val="right"/>
              <w:rPr/>
            </w:pPr>
            <w:r>
              <w:rPr/>
              <w:t>10,571,000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50" w:type="dxa"/>
            <w:tcBorders>
              <w:bottom w:val="double" w:sz="6" w:space="0" w:color="000000"/>
            </w:tcBorders>
            <w:shd w:fill="CCEEFF" w:val="clear"/>
            <w:tcMar>
              <w:bottom w:w="28" w:type="dxa"/>
            </w:tcMar>
            <w:vAlign w:val="center"/>
          </w:tcPr>
          <w:p>
            <w:pPr>
              <w:pStyle w:val="TableContents"/>
              <w:bidi w:val="0"/>
              <w:spacing w:before="0" w:after="283"/>
              <w:jc w:val="right"/>
              <w:rPr/>
            </w:pPr>
            <w:r>
              <w:rPr/>
              <w:t>9,588,000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2" w:name="xdx_8AB_zRBbFfATswLi"/>
      <w:bookmarkEnd w:id="41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413" w:name="xdx_802_eus-gaap--PropertyPlantAndEquipm"/>
      <w:bookmarkEnd w:id="413"/>
      <w:r>
        <w:rPr>
          <w:rFonts w:ascii="Times New Roman;Times;Serif" w:hAnsi="Times New Roman;Times;Serif"/>
          <w:b/>
          <w:i w:val="false"/>
          <w:caps w:val="false"/>
          <w:smallCaps w:val="false"/>
          <w:sz w:val="20"/>
        </w:rPr>
        <w:t xml:space="preserve">NOTE 7. </w:t>
      </w:r>
      <w:bookmarkStart w:id="414" w:name="xdx_823_zBy1hoJaBgy"/>
      <w:bookmarkEnd w:id="414"/>
      <w:r>
        <w:rPr>
          <w:rFonts w:ascii="Times New Roman;Times;Serif" w:hAnsi="Times New Roman;Times;Serif"/>
          <w:b/>
          <w:i w:val="false"/>
          <w:caps w:val="false"/>
          <w:smallCaps w:val="false"/>
          <w:sz w:val="20"/>
        </w:rPr>
        <w:t xml:space="preserve">PROPERTY, PLANT AND EQUIPMENT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5" w:name="xdx_89A_eus-gaap--PropertyPlantAndEquipm"/>
      <w:bookmarkEnd w:id="415"/>
      <w:r>
        <w:rPr>
          <w:rFonts w:ascii="Times New Roman;Times;Serif" w:hAnsi="Times New Roman;Times;Serif"/>
          <w:b w:val="false"/>
          <w:i w:val="false"/>
          <w:caps w:val="false"/>
          <w:smallCaps w:val="false"/>
          <w:sz w:val="20"/>
        </w:rPr>
        <w:t>Property, plant and equipment consisted of the following:</w:t>
      </w:r>
    </w:p>
    <w:p>
      <w:pPr>
        <w:pStyle w:val="TextBody"/>
        <w:bidi w:val="0"/>
        <w:spacing w:before="0" w:after="0"/>
        <w:ind w:left="0" w:right="0" w:hanging="0"/>
        <w:jc w:val="both"/>
        <w:rPr>
          <w:caps w:val="false"/>
          <w:smallCaps w:val="false"/>
        </w:rPr>
      </w:pPr>
      <w:r>
        <w:rPr>
          <w:caps w:val="false"/>
          <w:smallCaps w:val="false"/>
        </w:rPr>
        <w:t> </w:t>
      </w:r>
      <w:bookmarkStart w:id="416" w:name="xdx_8B0_zWYvMxfbl3f4"/>
      <w:bookmarkEnd w:id="416"/>
      <w:r>
        <w:rPr>
          <w:rFonts w:ascii="Times New Roman;Times;Serif" w:hAnsi="Times New Roman;Times;Serif"/>
          <w:b w:val="false"/>
          <w:i w:val="false"/>
          <w:caps w:val="false"/>
          <w:smallCaps w:val="false"/>
          <w:sz w:val="20"/>
        </w:rPr>
        <w:t>SCHEDULE OF PROPERTY, PLANT AND EQUIPMENT</w:t>
      </w:r>
    </w:p>
    <w:tbl>
      <w:tblPr>
        <w:tblW w:w="7928" w:type="dxa"/>
        <w:jc w:val="left"/>
        <w:tblInd w:w="0" w:type="dxa"/>
        <w:tblLayout w:type="fixed"/>
        <w:tblCellMar>
          <w:top w:w="0" w:type="dxa"/>
          <w:left w:w="0" w:type="dxa"/>
          <w:bottom w:w="0" w:type="dxa"/>
          <w:right w:w="0" w:type="dxa"/>
        </w:tblCellMar>
      </w:tblPr>
      <w:tblGrid>
        <w:gridCol w:w="3005"/>
        <w:gridCol w:w="60"/>
        <w:gridCol w:w="248"/>
        <w:gridCol w:w="2081"/>
        <w:gridCol w:w="95"/>
        <w:gridCol w:w="60"/>
        <w:gridCol w:w="241"/>
        <w:gridCol w:w="2028"/>
        <w:gridCol w:w="11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7" w:name="xdx_490_20240930_z2A2LkAkCTOa"/>
            <w:bookmarkEnd w:id="417"/>
          </w:p>
        </w:tc>
        <w:tc>
          <w:tcPr>
            <w:tcW w:w="2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 September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8" w:name="xdx_49C_20231231_zS2qsdgqyPOa"/>
            <w:bookmarkEnd w:id="418"/>
          </w:p>
        </w:tc>
        <w:tc>
          <w:tcPr>
            <w:tcW w:w="22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 December 31, 2023</w:t>
            </w:r>
          </w:p>
        </w:tc>
        <w:tc>
          <w:tcPr>
            <w:tcW w:w="11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20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202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9" w:name="xdx_400_ecustom--ComputerHardwareGross_i"/>
            <w:bookmarkEnd w:id="419"/>
          </w:p>
        </w:tc>
      </w:tr>
      <w:tr>
        <w:trPr/>
        <w:tc>
          <w:tcPr>
            <w:tcW w:w="3005" w:type="dxa"/>
            <w:tcBorders/>
            <w:shd w:fill="FFFFFF" w:val="clear"/>
            <w:vAlign w:val="center"/>
          </w:tcPr>
          <w:p>
            <w:pPr>
              <w:pStyle w:val="TableContents"/>
              <w:bidi w:val="0"/>
              <w:spacing w:before="0" w:after="283"/>
              <w:jc w:val="left"/>
              <w:rPr/>
            </w:pPr>
            <w:r>
              <w:rPr/>
              <w:t>Computer hardware</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w:t>
            </w:r>
          </w:p>
        </w:tc>
        <w:tc>
          <w:tcPr>
            <w:tcW w:w="2081" w:type="dxa"/>
            <w:tcBorders/>
            <w:shd w:fill="FFFFFF" w:val="clear"/>
            <w:vAlign w:val="center"/>
          </w:tcPr>
          <w:p>
            <w:pPr>
              <w:pStyle w:val="TableContents"/>
              <w:bidi w:val="0"/>
              <w:spacing w:before="0" w:after="283"/>
              <w:jc w:val="right"/>
              <w:rPr/>
            </w:pPr>
            <w:r>
              <w:rPr/>
              <w:t>1,477,000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2028" w:type="dxa"/>
            <w:tcBorders/>
            <w:shd w:fill="FFFFFF" w:val="clear"/>
            <w:vAlign w:val="center"/>
          </w:tcPr>
          <w:p>
            <w:pPr>
              <w:pStyle w:val="TableContents"/>
              <w:bidi w:val="0"/>
              <w:spacing w:before="0" w:after="283"/>
              <w:jc w:val="right"/>
              <w:rPr/>
            </w:pPr>
            <w:r>
              <w:rPr/>
              <w:t>1,322,000</w:t>
            </w:r>
          </w:p>
        </w:tc>
        <w:tc>
          <w:tcPr>
            <w:tcW w:w="110" w:type="dxa"/>
            <w:tcBorders/>
            <w:shd w:fill="FFFFFF" w:val="clear"/>
            <w:vAlign w:val="center"/>
          </w:tcPr>
          <w:p>
            <w:pPr>
              <w:pStyle w:val="TableContents"/>
              <w:bidi w:val="0"/>
              <w:spacing w:before="0" w:after="283"/>
              <w:jc w:val="left"/>
              <w:rPr/>
            </w:pPr>
            <w:r>
              <w:rPr/>
              <w:t> </w:t>
            </w:r>
            <w:bookmarkStart w:id="420" w:name="xdx_40A_eus-gaap--FurnitureAndFixturesGr"/>
            <w:bookmarkEnd w:id="420"/>
          </w:p>
        </w:tc>
      </w:tr>
      <w:tr>
        <w:trPr/>
        <w:tc>
          <w:tcPr>
            <w:tcW w:w="3005" w:type="dxa"/>
            <w:tcBorders/>
            <w:shd w:fill="CCEEFF" w:val="clear"/>
            <w:vAlign w:val="center"/>
          </w:tcPr>
          <w:p>
            <w:pPr>
              <w:pStyle w:val="TableContents"/>
              <w:bidi w:val="0"/>
              <w:spacing w:before="0" w:after="283"/>
              <w:jc w:val="left"/>
              <w:rPr/>
            </w:pPr>
            <w:r>
              <w:rPr/>
              <w:t>Furniture and equipment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2081" w:type="dxa"/>
            <w:tcBorders/>
            <w:shd w:fill="CCEEFF" w:val="clear"/>
            <w:vAlign w:val="center"/>
          </w:tcPr>
          <w:p>
            <w:pPr>
              <w:pStyle w:val="TableContents"/>
              <w:bidi w:val="0"/>
              <w:spacing w:before="0" w:after="283"/>
              <w:jc w:val="right"/>
              <w:rPr/>
            </w:pPr>
            <w:r>
              <w:rPr/>
              <w:t>965,000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2028" w:type="dxa"/>
            <w:tcBorders/>
            <w:shd w:fill="CCEEFF" w:val="clear"/>
            <w:vAlign w:val="center"/>
          </w:tcPr>
          <w:p>
            <w:pPr>
              <w:pStyle w:val="TableContents"/>
              <w:bidi w:val="0"/>
              <w:spacing w:before="0" w:after="283"/>
              <w:jc w:val="right"/>
              <w:rPr/>
            </w:pPr>
            <w:r>
              <w:rPr/>
              <w:t>936,000</w:t>
            </w:r>
          </w:p>
        </w:tc>
        <w:tc>
          <w:tcPr>
            <w:tcW w:w="110" w:type="dxa"/>
            <w:tcBorders/>
            <w:shd w:fill="CCEEFF" w:val="clear"/>
            <w:vAlign w:val="center"/>
          </w:tcPr>
          <w:p>
            <w:pPr>
              <w:pStyle w:val="TableContents"/>
              <w:bidi w:val="0"/>
              <w:spacing w:before="0" w:after="283"/>
              <w:jc w:val="left"/>
              <w:rPr/>
            </w:pPr>
            <w:r>
              <w:rPr/>
              <w:t> </w:t>
            </w:r>
            <w:bookmarkStart w:id="421" w:name="xdx_40C_eus-gaap--MachineryAndEquipmentG"/>
            <w:bookmarkEnd w:id="421"/>
          </w:p>
        </w:tc>
      </w:tr>
      <w:tr>
        <w:trPr/>
        <w:tc>
          <w:tcPr>
            <w:tcW w:w="3005" w:type="dxa"/>
            <w:tcBorders/>
            <w:shd w:fill="FFFFFF" w:val="clear"/>
            <w:vAlign w:val="center"/>
          </w:tcPr>
          <w:p>
            <w:pPr>
              <w:pStyle w:val="TableContents"/>
              <w:bidi w:val="0"/>
              <w:spacing w:before="0" w:after="283"/>
              <w:jc w:val="left"/>
              <w:rPr/>
            </w:pPr>
            <w:r>
              <w:rPr/>
              <w:t>Lab and pharmacy equipment</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2081" w:type="dxa"/>
            <w:tcBorders/>
            <w:shd w:fill="FFFFFF" w:val="clear"/>
            <w:vAlign w:val="center"/>
          </w:tcPr>
          <w:p>
            <w:pPr>
              <w:pStyle w:val="TableContents"/>
              <w:bidi w:val="0"/>
              <w:spacing w:before="0" w:after="283"/>
              <w:jc w:val="right"/>
              <w:rPr/>
            </w:pPr>
            <w:r>
              <w:rPr/>
              <w:t>5,304,000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2028" w:type="dxa"/>
            <w:tcBorders/>
            <w:shd w:fill="FFFFFF" w:val="clear"/>
            <w:vAlign w:val="center"/>
          </w:tcPr>
          <w:p>
            <w:pPr>
              <w:pStyle w:val="TableContents"/>
              <w:bidi w:val="0"/>
              <w:spacing w:before="0" w:after="283"/>
              <w:jc w:val="right"/>
              <w:rPr/>
            </w:pPr>
            <w:r>
              <w:rPr/>
              <w:t>4,564,000</w:t>
            </w:r>
          </w:p>
        </w:tc>
        <w:tc>
          <w:tcPr>
            <w:tcW w:w="110" w:type="dxa"/>
            <w:tcBorders/>
            <w:shd w:fill="FFFFFF" w:val="clear"/>
            <w:vAlign w:val="center"/>
          </w:tcPr>
          <w:p>
            <w:pPr>
              <w:pStyle w:val="TableContents"/>
              <w:bidi w:val="0"/>
              <w:spacing w:before="0" w:after="283"/>
              <w:jc w:val="left"/>
              <w:rPr/>
            </w:pPr>
            <w:r>
              <w:rPr/>
              <w:t> </w:t>
            </w:r>
            <w:bookmarkStart w:id="422" w:name="xdx_40A_eus-gaap--LeaseholdImprovementsG"/>
            <w:bookmarkEnd w:id="422"/>
          </w:p>
        </w:tc>
      </w:tr>
      <w:tr>
        <w:trPr/>
        <w:tc>
          <w:tcPr>
            <w:tcW w:w="300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81" w:type="dxa"/>
            <w:tcBorders>
              <w:bottom w:val="single" w:sz="8" w:space="0" w:color="000000"/>
            </w:tcBorders>
            <w:shd w:fill="CCEEFF" w:val="clear"/>
            <w:tcMar>
              <w:bottom w:w="28" w:type="dxa"/>
            </w:tcMar>
            <w:vAlign w:val="center"/>
          </w:tcPr>
          <w:p>
            <w:pPr>
              <w:pStyle w:val="TableContents"/>
              <w:bidi w:val="0"/>
              <w:spacing w:before="0" w:after="283"/>
              <w:jc w:val="right"/>
              <w:rPr/>
            </w:pPr>
            <w:r>
              <w:rPr/>
              <w:t>6,899,000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8" w:type="dxa"/>
            <w:tcBorders>
              <w:bottom w:val="single" w:sz="8" w:space="0" w:color="000000"/>
            </w:tcBorders>
            <w:shd w:fill="CCEEFF" w:val="clear"/>
            <w:tcMar>
              <w:bottom w:w="28" w:type="dxa"/>
            </w:tcMar>
            <w:vAlign w:val="center"/>
          </w:tcPr>
          <w:p>
            <w:pPr>
              <w:pStyle w:val="TableContents"/>
              <w:bidi w:val="0"/>
              <w:spacing w:before="0" w:after="283"/>
              <w:jc w:val="right"/>
              <w:rPr/>
            </w:pPr>
            <w:r>
              <w:rPr/>
              <w:t>6,771,000</w:t>
            </w:r>
          </w:p>
        </w:tc>
        <w:tc>
          <w:tcPr>
            <w:tcW w:w="110" w:type="dxa"/>
            <w:tcBorders/>
            <w:shd w:fill="CCEEFF" w:val="clear"/>
            <w:vAlign w:val="center"/>
          </w:tcPr>
          <w:p>
            <w:pPr>
              <w:pStyle w:val="TableContents"/>
              <w:bidi w:val="0"/>
              <w:spacing w:before="0" w:after="283"/>
              <w:jc w:val="left"/>
              <w:rPr/>
            </w:pPr>
            <w:r>
              <w:rPr/>
              <w:t> </w:t>
            </w:r>
            <w:bookmarkStart w:id="423" w:name="xdx_40D_eus-gaap--PropertyPlantAndEquipm"/>
            <w:bookmarkEnd w:id="423"/>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2081" w:type="dxa"/>
            <w:tcBorders/>
            <w:shd w:fill="FFFFFF" w:val="clear"/>
            <w:vAlign w:val="center"/>
          </w:tcPr>
          <w:p>
            <w:pPr>
              <w:pStyle w:val="TableContents"/>
              <w:bidi w:val="0"/>
              <w:spacing w:before="0" w:after="283"/>
              <w:jc w:val="right"/>
              <w:rPr/>
            </w:pPr>
            <w:r>
              <w:rPr/>
              <w:t>14,645,000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2028" w:type="dxa"/>
            <w:tcBorders/>
            <w:shd w:fill="FFFFFF" w:val="clear"/>
            <w:vAlign w:val="center"/>
          </w:tcPr>
          <w:p>
            <w:pPr>
              <w:pStyle w:val="TableContents"/>
              <w:bidi w:val="0"/>
              <w:spacing w:before="0" w:after="283"/>
              <w:jc w:val="right"/>
              <w:rPr/>
            </w:pPr>
            <w:r>
              <w:rPr/>
              <w:t>13,593,000</w:t>
            </w:r>
          </w:p>
        </w:tc>
        <w:tc>
          <w:tcPr>
            <w:tcW w:w="110" w:type="dxa"/>
            <w:tcBorders/>
            <w:shd w:fill="FFFFFF" w:val="clear"/>
            <w:vAlign w:val="center"/>
          </w:tcPr>
          <w:p>
            <w:pPr>
              <w:pStyle w:val="TableContents"/>
              <w:bidi w:val="0"/>
              <w:spacing w:before="0" w:after="283"/>
              <w:jc w:val="left"/>
              <w:rPr/>
            </w:pPr>
            <w:r>
              <w:rPr/>
              <w:t> </w:t>
            </w:r>
            <w:bookmarkStart w:id="424" w:name="xdx_406_eus-gaap--AccumulatedDepreciatio"/>
            <w:bookmarkEnd w:id="424"/>
          </w:p>
        </w:tc>
      </w:tr>
      <w:tr>
        <w:trPr/>
        <w:tc>
          <w:tcPr>
            <w:tcW w:w="3005"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81" w:type="dxa"/>
            <w:tcBorders>
              <w:bottom w:val="single" w:sz="8" w:space="0" w:color="000000"/>
            </w:tcBorders>
            <w:shd w:fill="CCEEFF" w:val="clear"/>
            <w:tcMar>
              <w:bottom w:w="28" w:type="dxa"/>
            </w:tcMar>
            <w:vAlign w:val="center"/>
          </w:tcPr>
          <w:p>
            <w:pPr>
              <w:pStyle w:val="TableContents"/>
              <w:bidi w:val="0"/>
              <w:spacing w:before="0" w:after="283"/>
              <w:jc w:val="right"/>
              <w:rPr/>
            </w:pPr>
            <w:r>
              <w:rPr/>
              <w:t>(11,020,000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28" w:type="dxa"/>
            <w:tcBorders>
              <w:bottom w:val="single" w:sz="8" w:space="0" w:color="000000"/>
            </w:tcBorders>
            <w:shd w:fill="CCEEFF" w:val="clear"/>
            <w:tcMar>
              <w:bottom w:w="28" w:type="dxa"/>
            </w:tcMar>
            <w:vAlign w:val="center"/>
          </w:tcPr>
          <w:p>
            <w:pPr>
              <w:pStyle w:val="TableContents"/>
              <w:bidi w:val="0"/>
              <w:spacing w:before="0" w:after="283"/>
              <w:jc w:val="right"/>
              <w:rPr/>
            </w:pPr>
            <w:r>
              <w:rPr/>
              <w:t>(10,072,000</w:t>
            </w:r>
          </w:p>
        </w:tc>
        <w:tc>
          <w:tcPr>
            <w:tcW w:w="110" w:type="dxa"/>
            <w:tcBorders/>
            <w:shd w:fill="CCEEFF" w:val="clear"/>
            <w:vAlign w:val="center"/>
          </w:tcPr>
          <w:p>
            <w:pPr>
              <w:pStyle w:val="TableContents"/>
              <w:bidi w:val="0"/>
              <w:spacing w:before="0" w:after="283"/>
              <w:jc w:val="left"/>
              <w:rPr/>
            </w:pPr>
            <w:r>
              <w:rPr/>
              <w:t>)</w:t>
            </w:r>
            <w:bookmarkStart w:id="425" w:name="xdx_40B_eus-gaap--PropertyPlantAndEquipm"/>
            <w:bookmarkEnd w:id="425"/>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81" w:type="dxa"/>
            <w:tcBorders>
              <w:bottom w:val="double" w:sz="6" w:space="0" w:color="000000"/>
            </w:tcBorders>
            <w:shd w:fill="FFFFFF" w:val="clear"/>
            <w:tcMar>
              <w:bottom w:w="28" w:type="dxa"/>
            </w:tcMar>
            <w:vAlign w:val="center"/>
          </w:tcPr>
          <w:p>
            <w:pPr>
              <w:pStyle w:val="TableContents"/>
              <w:bidi w:val="0"/>
              <w:spacing w:before="0" w:after="283"/>
              <w:jc w:val="right"/>
              <w:rPr/>
            </w:pPr>
            <w:r>
              <w:rPr/>
              <w:t>3,625,000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28" w:type="dxa"/>
            <w:tcBorders>
              <w:bottom w:val="double" w:sz="6" w:space="0" w:color="000000"/>
            </w:tcBorders>
            <w:shd w:fill="FFFFFF" w:val="clear"/>
            <w:tcMar>
              <w:bottom w:w="28" w:type="dxa"/>
            </w:tcMar>
            <w:vAlign w:val="center"/>
          </w:tcPr>
          <w:p>
            <w:pPr>
              <w:pStyle w:val="TableContents"/>
              <w:bidi w:val="0"/>
              <w:spacing w:before="0" w:after="283"/>
              <w:jc w:val="right"/>
              <w:rPr/>
            </w:pPr>
            <w:r>
              <w:rPr/>
              <w:t>3,521,000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6" w:name="xdx_8AD_z4Fz3sj275X3"/>
      <w:bookmarkEnd w:id="4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2024, depreciation related to property, plant and equipment was $</w:t>
      </w:r>
      <w:bookmarkStart w:id="427" w:name="xdx_907_eus-gaap--Depreciation_c20240701"/>
      <w:bookmarkEnd w:id="427"/>
      <w:r>
        <w:rPr>
          <w:rFonts w:ascii="Times New Roman;Times;Serif" w:hAnsi="Times New Roman;Times;Serif"/>
          <w:b w:val="false"/>
          <w:i w:val="false"/>
          <w:caps w:val="false"/>
          <w:smallCaps w:val="false"/>
          <w:sz w:val="20"/>
        </w:rPr>
        <w:t>351,000 and $</w:t>
      </w:r>
      <w:bookmarkStart w:id="428" w:name="xdx_909_eus-gaap--Depreciation_c20240101"/>
      <w:bookmarkEnd w:id="428"/>
      <w:r>
        <w:rPr>
          <w:rFonts w:ascii="Times New Roman;Times;Serif" w:hAnsi="Times New Roman;Times;Serif"/>
          <w:b w:val="false"/>
          <w:i w:val="false"/>
          <w:caps w:val="false"/>
          <w:smallCaps w:val="false"/>
          <w:sz w:val="20"/>
        </w:rPr>
        <w:t>948,000, respectively, compared to $</w:t>
      </w:r>
      <w:bookmarkStart w:id="429" w:name="xdx_904_eus-gaap--Depreciation_c20230701"/>
      <w:bookmarkEnd w:id="429"/>
      <w:r>
        <w:rPr>
          <w:rFonts w:ascii="Times New Roman;Times;Serif" w:hAnsi="Times New Roman;Times;Serif"/>
          <w:b w:val="false"/>
          <w:i w:val="false"/>
          <w:caps w:val="false"/>
          <w:smallCaps w:val="false"/>
          <w:sz w:val="20"/>
        </w:rPr>
        <w:t>290,000 and $</w:t>
      </w:r>
      <w:bookmarkStart w:id="430" w:name="xdx_90D_eus-gaap--Depreciation_c20230101"/>
      <w:bookmarkEnd w:id="430"/>
      <w:r>
        <w:rPr>
          <w:rFonts w:ascii="Times New Roman;Times;Serif" w:hAnsi="Times New Roman;Times;Serif"/>
          <w:b w:val="false"/>
          <w:i w:val="false"/>
          <w:caps w:val="false"/>
          <w:smallCaps w:val="false"/>
          <w:sz w:val="20"/>
        </w:rPr>
        <w:t>743,000 during the same periods in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431" w:name="xdx_80F_ecustom--CapitalizedSoftwareCost"/>
      <w:bookmarkEnd w:id="431"/>
      <w:r>
        <w:rPr>
          <w:rFonts w:ascii="Times New Roman;Times;Serif" w:hAnsi="Times New Roman;Times;Serif"/>
          <w:b/>
          <w:i w:val="false"/>
          <w:caps w:val="false"/>
          <w:smallCaps w:val="false"/>
          <w:sz w:val="20"/>
        </w:rPr>
        <w:t xml:space="preserve">NOTE 8. </w:t>
      </w:r>
      <w:bookmarkStart w:id="432" w:name="xdx_823_zBd2cy1QXH23"/>
      <w:bookmarkEnd w:id="432"/>
      <w:r>
        <w:rPr>
          <w:rFonts w:ascii="Times New Roman;Times;Serif" w:hAnsi="Times New Roman;Times;Serif"/>
          <w:b/>
          <w:i w:val="false"/>
          <w:caps w:val="false"/>
          <w:smallCaps w:val="false"/>
          <w:sz w:val="20"/>
        </w:rPr>
        <w:t xml:space="preserve">CAPITALIZED SOFTWARE COSTS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3" w:name="xdx_89B_ecustom--CapitalizedSoftwareDeve"/>
      <w:bookmarkEnd w:id="433"/>
      <w:r>
        <w:rPr>
          <w:rFonts w:ascii="Times New Roman;Times;Serif" w:hAnsi="Times New Roman;Times;Serif"/>
          <w:b w:val="false"/>
          <w:i w:val="false"/>
          <w:caps w:val="false"/>
          <w:smallCaps w:val="false"/>
          <w:sz w:val="20"/>
        </w:rPr>
        <w:t>Capitalized software costs consisted of the following:</w:t>
      </w:r>
    </w:p>
    <w:p>
      <w:pPr>
        <w:pStyle w:val="TextBody"/>
        <w:bidi w:val="0"/>
        <w:spacing w:before="0" w:after="0"/>
        <w:ind w:left="0" w:right="0" w:hanging="0"/>
        <w:jc w:val="both"/>
        <w:rPr>
          <w:caps w:val="false"/>
          <w:smallCaps w:val="false"/>
        </w:rPr>
      </w:pPr>
      <w:r>
        <w:rPr>
          <w:caps w:val="false"/>
          <w:smallCaps w:val="false"/>
        </w:rPr>
        <w:t> </w:t>
      </w:r>
      <w:bookmarkStart w:id="434" w:name="xdx_8BF_z728mjmivVWh"/>
      <w:bookmarkEnd w:id="434"/>
      <w:r>
        <w:rPr>
          <w:rFonts w:ascii="Times New Roman;Times;Serif" w:hAnsi="Times New Roman;Times;Serif"/>
          <w:b w:val="false"/>
          <w:i w:val="false"/>
          <w:caps w:val="false"/>
          <w:smallCaps w:val="false"/>
          <w:sz w:val="20"/>
        </w:rPr>
        <w:t>SCHEDULE OF CAPITALIZED SOFTWARE COSTS</w:t>
      </w:r>
    </w:p>
    <w:tbl>
      <w:tblPr>
        <w:tblW w:w="9953" w:type="dxa"/>
        <w:jc w:val="left"/>
        <w:tblInd w:w="0" w:type="dxa"/>
        <w:tblLayout w:type="fixed"/>
        <w:tblCellMar>
          <w:top w:w="0" w:type="dxa"/>
          <w:left w:w="0" w:type="dxa"/>
          <w:bottom w:w="0" w:type="dxa"/>
          <w:right w:w="0" w:type="dxa"/>
        </w:tblCellMar>
      </w:tblPr>
      <w:tblGrid>
        <w:gridCol w:w="5030"/>
        <w:gridCol w:w="60"/>
        <w:gridCol w:w="272"/>
        <w:gridCol w:w="2057"/>
        <w:gridCol w:w="95"/>
        <w:gridCol w:w="60"/>
        <w:gridCol w:w="265"/>
        <w:gridCol w:w="2004"/>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5" w:name="xdx_494_20240930_zhjGfA8wzkBc"/>
            <w:bookmarkEnd w:id="435"/>
          </w:p>
        </w:tc>
        <w:tc>
          <w:tcPr>
            <w:tcW w:w="2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 September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6" w:name="xdx_49D_20231231_zotdn2wJTVta"/>
            <w:bookmarkEnd w:id="436"/>
          </w:p>
        </w:tc>
        <w:tc>
          <w:tcPr>
            <w:tcW w:w="22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 December 31, 2023</w:t>
            </w:r>
          </w:p>
        </w:tc>
        <w:tc>
          <w:tcPr>
            <w:tcW w:w="11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Capitalized software costs: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20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200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37" w:name="xdx_402_eus-gaap--CapitalizedComputerSof"/>
            <w:bookmarkEnd w:id="437"/>
          </w:p>
        </w:tc>
      </w:tr>
      <w:tr>
        <w:trPr/>
        <w:tc>
          <w:tcPr>
            <w:tcW w:w="5030" w:type="dxa"/>
            <w:tcBorders/>
            <w:shd w:fill="FFFFFF" w:val="clear"/>
            <w:vAlign w:val="center"/>
          </w:tcPr>
          <w:p>
            <w:pPr>
              <w:pStyle w:val="TableContents"/>
              <w:bidi w:val="0"/>
              <w:spacing w:before="0" w:after="283"/>
              <w:jc w:val="left"/>
              <w:rPr/>
            </w:pPr>
            <w:r>
              <w:rPr/>
              <w:t>Capitalized internal-use software development costs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w:t>
            </w:r>
          </w:p>
        </w:tc>
        <w:tc>
          <w:tcPr>
            <w:tcW w:w="2057" w:type="dxa"/>
            <w:tcBorders/>
            <w:shd w:fill="FFFFFF" w:val="clear"/>
            <w:vAlign w:val="center"/>
          </w:tcPr>
          <w:p>
            <w:pPr>
              <w:pStyle w:val="TableContents"/>
              <w:bidi w:val="0"/>
              <w:spacing w:before="0" w:after="283"/>
              <w:jc w:val="right"/>
              <w:rPr/>
            </w:pPr>
            <w:r>
              <w:rPr/>
              <w:t>3,366,000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w:t>
            </w:r>
          </w:p>
        </w:tc>
        <w:tc>
          <w:tcPr>
            <w:tcW w:w="2004" w:type="dxa"/>
            <w:tcBorders/>
            <w:shd w:fill="FFFFFF" w:val="clear"/>
            <w:vAlign w:val="center"/>
          </w:tcPr>
          <w:p>
            <w:pPr>
              <w:pStyle w:val="TableContents"/>
              <w:bidi w:val="0"/>
              <w:spacing w:before="0" w:after="283"/>
              <w:jc w:val="right"/>
              <w:rPr/>
            </w:pPr>
            <w:r>
              <w:rPr/>
              <w:t>2,780,000</w:t>
            </w:r>
          </w:p>
        </w:tc>
        <w:tc>
          <w:tcPr>
            <w:tcW w:w="110" w:type="dxa"/>
            <w:tcBorders/>
            <w:shd w:fill="FFFFFF" w:val="clear"/>
            <w:vAlign w:val="center"/>
          </w:tcPr>
          <w:p>
            <w:pPr>
              <w:pStyle w:val="TableContents"/>
              <w:bidi w:val="0"/>
              <w:spacing w:before="0" w:after="283"/>
              <w:jc w:val="left"/>
              <w:rPr/>
            </w:pPr>
            <w:r>
              <w:rPr/>
              <w:t> </w:t>
            </w:r>
            <w:bookmarkStart w:id="438" w:name="xdx_40A_eus-gaap--CapitalizedComputerSof"/>
            <w:bookmarkEnd w:id="438"/>
          </w:p>
        </w:tc>
      </w:tr>
      <w:tr>
        <w:trPr/>
        <w:tc>
          <w:tcPr>
            <w:tcW w:w="5030" w:type="dxa"/>
            <w:tcBorders/>
            <w:shd w:fill="CCEEFF" w:val="clear"/>
            <w:vAlign w:val="center"/>
          </w:tcPr>
          <w:p>
            <w:pPr>
              <w:pStyle w:val="TableContents"/>
              <w:bidi w:val="0"/>
              <w:spacing w:before="0" w:after="283"/>
              <w:jc w:val="left"/>
              <w:rPr/>
            </w:pPr>
            <w:r>
              <w:rPr/>
              <w:t>Acquired third-party software license for internal-use</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57" w:type="dxa"/>
            <w:tcBorders>
              <w:bottom w:val="single" w:sz="8" w:space="0" w:color="000000"/>
            </w:tcBorders>
            <w:shd w:fill="CCEEFF" w:val="clear"/>
            <w:tcMar>
              <w:bottom w:w="28" w:type="dxa"/>
            </w:tcMar>
            <w:vAlign w:val="center"/>
          </w:tcPr>
          <w:p>
            <w:pPr>
              <w:pStyle w:val="TableContents"/>
              <w:bidi w:val="0"/>
              <w:spacing w:before="0" w:after="283"/>
              <w:jc w:val="right"/>
              <w:rPr/>
            </w:pPr>
            <w:r>
              <w:rPr/>
              <w:t>205,000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04" w:type="dxa"/>
            <w:tcBorders>
              <w:bottom w:val="single" w:sz="8" w:space="0" w:color="000000"/>
            </w:tcBorders>
            <w:shd w:fill="CCEEFF" w:val="clear"/>
            <w:tcMar>
              <w:bottom w:w="28" w:type="dxa"/>
            </w:tcMar>
            <w:vAlign w:val="center"/>
          </w:tcPr>
          <w:p>
            <w:pPr>
              <w:pStyle w:val="TableContents"/>
              <w:bidi w:val="0"/>
              <w:spacing w:before="0" w:after="283"/>
              <w:jc w:val="right"/>
              <w:rPr/>
            </w:pPr>
            <w:r>
              <w:rPr/>
              <w:t>159,000</w:t>
            </w:r>
          </w:p>
        </w:tc>
        <w:tc>
          <w:tcPr>
            <w:tcW w:w="110" w:type="dxa"/>
            <w:tcBorders/>
            <w:shd w:fill="CCEEFF" w:val="clear"/>
            <w:vAlign w:val="center"/>
          </w:tcPr>
          <w:p>
            <w:pPr>
              <w:pStyle w:val="TableContents"/>
              <w:bidi w:val="0"/>
              <w:spacing w:before="0" w:after="283"/>
              <w:jc w:val="left"/>
              <w:rPr/>
            </w:pPr>
            <w:r>
              <w:rPr/>
              <w:t> </w:t>
            </w:r>
            <w:bookmarkStart w:id="439" w:name="xdx_402_eus-gaap--CapitalizedComputerSof"/>
            <w:bookmarkEnd w:id="439"/>
          </w:p>
        </w:tc>
      </w:tr>
      <w:tr>
        <w:trPr/>
        <w:tc>
          <w:tcPr>
            <w:tcW w:w="5030" w:type="dxa"/>
            <w:tcBorders/>
            <w:shd w:fill="FFFFFF" w:val="clear"/>
            <w:vAlign w:val="center"/>
          </w:tcPr>
          <w:p>
            <w:pPr>
              <w:pStyle w:val="TableContents"/>
              <w:bidi w:val="0"/>
              <w:spacing w:before="0" w:after="283"/>
              <w:jc w:val="left"/>
              <w:rPr/>
            </w:pPr>
            <w:r>
              <w:rPr/>
              <w:t>Total gross capitalized software for internal-use</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57" w:type="dxa"/>
            <w:tcBorders>
              <w:bottom w:val="single" w:sz="8" w:space="0" w:color="000000"/>
            </w:tcBorders>
            <w:shd w:fill="FFFFFF" w:val="clear"/>
            <w:tcMar>
              <w:bottom w:w="28" w:type="dxa"/>
            </w:tcMar>
            <w:vAlign w:val="center"/>
          </w:tcPr>
          <w:p>
            <w:pPr>
              <w:pStyle w:val="TableContents"/>
              <w:bidi w:val="0"/>
              <w:spacing w:before="0" w:after="283"/>
              <w:jc w:val="right"/>
              <w:rPr/>
            </w:pPr>
            <w:r>
              <w:rPr/>
              <w:t>3,571,000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04" w:type="dxa"/>
            <w:tcBorders>
              <w:bottom w:val="single" w:sz="8" w:space="0" w:color="000000"/>
            </w:tcBorders>
            <w:shd w:fill="FFFFFF" w:val="clear"/>
            <w:tcMar>
              <w:bottom w:w="28" w:type="dxa"/>
            </w:tcMar>
            <w:vAlign w:val="center"/>
          </w:tcPr>
          <w:p>
            <w:pPr>
              <w:pStyle w:val="TableContents"/>
              <w:bidi w:val="0"/>
              <w:spacing w:before="0" w:after="283"/>
              <w:jc w:val="right"/>
              <w:rPr/>
            </w:pPr>
            <w:r>
              <w:rPr/>
              <w:t>2,939,000</w:t>
            </w:r>
          </w:p>
        </w:tc>
        <w:tc>
          <w:tcPr>
            <w:tcW w:w="110" w:type="dxa"/>
            <w:tcBorders/>
            <w:shd w:fill="FFFFFF" w:val="clear"/>
            <w:vAlign w:val="center"/>
          </w:tcPr>
          <w:p>
            <w:pPr>
              <w:pStyle w:val="TableContents"/>
              <w:bidi w:val="0"/>
              <w:spacing w:before="0" w:after="283"/>
              <w:jc w:val="left"/>
              <w:rPr/>
            </w:pPr>
            <w:r>
              <w:rPr/>
              <w:t> </w:t>
            </w:r>
            <w:bookmarkStart w:id="440" w:name="xdx_401_eus-gaap--CapitalizedComputerSof"/>
            <w:bookmarkEnd w:id="440"/>
          </w:p>
        </w:tc>
      </w:tr>
      <w:tr>
        <w:trPr/>
        <w:tc>
          <w:tcPr>
            <w:tcW w:w="5030" w:type="dxa"/>
            <w:tcBorders/>
            <w:shd w:fill="CCEEFF" w:val="clear"/>
            <w:vAlign w:val="center"/>
          </w:tcPr>
          <w:p>
            <w:pPr>
              <w:pStyle w:val="TableContents"/>
              <w:bidi w:val="0"/>
              <w:spacing w:before="0" w:after="283"/>
              <w:jc w:val="left"/>
              <w:rPr/>
            </w:pPr>
            <w:r>
              <w:rPr/>
              <w:t>Accumulated amortization</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2057" w:type="dxa"/>
            <w:tcBorders/>
            <w:shd w:fill="CCEEFF" w:val="clear"/>
            <w:vAlign w:val="center"/>
          </w:tcPr>
          <w:p>
            <w:pPr>
              <w:pStyle w:val="TableContents"/>
              <w:bidi w:val="0"/>
              <w:spacing w:before="0" w:after="283"/>
              <w:jc w:val="right"/>
              <w:rPr/>
            </w:pPr>
            <w:r>
              <w:rPr/>
              <w:t>(1,702,000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2004" w:type="dxa"/>
            <w:tcBorders/>
            <w:shd w:fill="CCEEFF" w:val="clear"/>
            <w:vAlign w:val="center"/>
          </w:tcPr>
          <w:p>
            <w:pPr>
              <w:pStyle w:val="TableContents"/>
              <w:bidi w:val="0"/>
              <w:spacing w:before="0" w:after="283"/>
              <w:jc w:val="right"/>
              <w:rPr/>
            </w:pPr>
            <w:r>
              <w:rPr/>
              <w:t>(1,268,000</w:t>
            </w:r>
          </w:p>
        </w:tc>
        <w:tc>
          <w:tcPr>
            <w:tcW w:w="110" w:type="dxa"/>
            <w:tcBorders/>
            <w:shd w:fill="CCEEFF" w:val="clear"/>
            <w:vAlign w:val="center"/>
          </w:tcPr>
          <w:p>
            <w:pPr>
              <w:pStyle w:val="TableContents"/>
              <w:bidi w:val="0"/>
              <w:spacing w:before="0" w:after="283"/>
              <w:jc w:val="left"/>
              <w:rPr/>
            </w:pPr>
            <w:r>
              <w:rPr/>
              <w:t>)</w:t>
            </w:r>
            <w:bookmarkStart w:id="441" w:name="xdx_40D_ecustom--CapitalizedComputerSoft"/>
            <w:bookmarkEnd w:id="441"/>
          </w:p>
        </w:tc>
      </w:tr>
      <w:tr>
        <w:trPr/>
        <w:tc>
          <w:tcPr>
            <w:tcW w:w="5030" w:type="dxa"/>
            <w:tcBorders/>
            <w:shd w:fill="FFFFFF" w:val="clear"/>
            <w:vAlign w:val="center"/>
          </w:tcPr>
          <w:p>
            <w:pPr>
              <w:pStyle w:val="TableContents"/>
              <w:bidi w:val="0"/>
              <w:spacing w:before="0" w:after="283"/>
              <w:jc w:val="left"/>
              <w:rPr/>
            </w:pPr>
            <w:r>
              <w:rPr/>
              <w:t>Capitalized internal-use software in process</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04" w:type="dxa"/>
            <w:tcBorders>
              <w:bottom w:val="single" w:sz="8" w:space="0" w:color="000000"/>
            </w:tcBorders>
            <w:shd w:fill="FFFFFF" w:val="clear"/>
            <w:tcMar>
              <w:bottom w:w="28" w:type="dxa"/>
            </w:tcMar>
            <w:vAlign w:val="center"/>
          </w:tcPr>
          <w:p>
            <w:pPr>
              <w:pStyle w:val="TableContents"/>
              <w:bidi w:val="0"/>
              <w:spacing w:before="0" w:after="283"/>
              <w:jc w:val="right"/>
              <w:rPr/>
            </w:pPr>
            <w:r>
              <w:rPr/>
              <w:t>467,000</w:t>
            </w:r>
          </w:p>
        </w:tc>
        <w:tc>
          <w:tcPr>
            <w:tcW w:w="110" w:type="dxa"/>
            <w:tcBorders/>
            <w:shd w:fill="FFFFFF" w:val="clear"/>
            <w:vAlign w:val="center"/>
          </w:tcPr>
          <w:p>
            <w:pPr>
              <w:pStyle w:val="TableContents"/>
              <w:bidi w:val="0"/>
              <w:spacing w:before="0" w:after="283"/>
              <w:jc w:val="left"/>
              <w:rPr/>
            </w:pPr>
            <w:r>
              <w:rPr/>
              <w:t> </w:t>
            </w:r>
            <w:bookmarkStart w:id="442" w:name="xdx_405_eus-gaap--CapitalizedComputerSof"/>
            <w:bookmarkEnd w:id="442"/>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capitalized software costs net</w:t>
            </w:r>
          </w:p>
        </w:tc>
        <w:tc>
          <w:tcPr>
            <w:tcW w:w="60"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57" w:type="dxa"/>
            <w:tcBorders>
              <w:bottom w:val="double" w:sz="6" w:space="0" w:color="000000"/>
            </w:tcBorders>
            <w:shd w:fill="CCEEFF" w:val="clear"/>
            <w:tcMar>
              <w:bottom w:w="28" w:type="dxa"/>
            </w:tcMar>
            <w:vAlign w:val="center"/>
          </w:tcPr>
          <w:p>
            <w:pPr>
              <w:pStyle w:val="TableContents"/>
              <w:bidi w:val="0"/>
              <w:spacing w:before="0" w:after="283"/>
              <w:jc w:val="right"/>
              <w:rPr/>
            </w:pPr>
            <w:r>
              <w:rPr/>
              <w:t>1,869,000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04" w:type="dxa"/>
            <w:tcBorders>
              <w:bottom w:val="double" w:sz="6" w:space="0" w:color="000000"/>
            </w:tcBorders>
            <w:shd w:fill="CCEEFF" w:val="clear"/>
            <w:tcMar>
              <w:bottom w:w="28" w:type="dxa"/>
            </w:tcMar>
            <w:vAlign w:val="center"/>
          </w:tcPr>
          <w:p>
            <w:pPr>
              <w:pStyle w:val="TableContents"/>
              <w:bidi w:val="0"/>
              <w:spacing w:before="0" w:after="283"/>
              <w:jc w:val="right"/>
              <w:rPr/>
            </w:pPr>
            <w:r>
              <w:rPr/>
              <w:t>2,138,000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3" w:name="xdx_8A5_z0D7pJH6JBdb"/>
      <w:bookmarkEnd w:id="4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amortization expense of $</w:t>
      </w:r>
      <w:bookmarkStart w:id="444" w:name="xdx_908_eus-gaap--AdjustmentForAmortizat"/>
      <w:bookmarkEnd w:id="444"/>
      <w:r>
        <w:rPr>
          <w:rFonts w:ascii="Times New Roman;Times;Serif" w:hAnsi="Times New Roman;Times;Serif"/>
          <w:b w:val="false"/>
          <w:i w:val="false"/>
          <w:caps w:val="false"/>
          <w:smallCaps w:val="false"/>
          <w:sz w:val="20"/>
        </w:rPr>
        <w:t>146,000 and $</w:t>
      </w:r>
      <w:bookmarkStart w:id="445" w:name="xdx_90A_eus-gaap--AdjustmentForAmortizat"/>
      <w:bookmarkEnd w:id="445"/>
      <w:r>
        <w:rPr>
          <w:rFonts w:ascii="Times New Roman;Times;Serif" w:hAnsi="Times New Roman;Times;Serif"/>
          <w:b w:val="false"/>
          <w:i w:val="false"/>
          <w:caps w:val="false"/>
          <w:smallCaps w:val="false"/>
          <w:sz w:val="20"/>
        </w:rPr>
        <w:t>434,000 related to capitalized software costs during the three and nine months ended September 30, 2024, respectively, and $</w:t>
      </w:r>
      <w:bookmarkStart w:id="446" w:name="xdx_901_eus-gaap--AdjustmentForAmortizat"/>
      <w:bookmarkEnd w:id="446"/>
      <w:r>
        <w:rPr>
          <w:rFonts w:ascii="Times New Roman;Times;Serif" w:hAnsi="Times New Roman;Times;Serif"/>
          <w:b w:val="false"/>
          <w:i w:val="false"/>
          <w:caps w:val="false"/>
          <w:smallCaps w:val="false"/>
          <w:sz w:val="20"/>
        </w:rPr>
        <w:t>115,000 and $</w:t>
      </w:r>
      <w:bookmarkStart w:id="447" w:name="xdx_907_eus-gaap--AdjustmentForAmortizat"/>
      <w:bookmarkEnd w:id="447"/>
      <w:r>
        <w:rPr>
          <w:rFonts w:ascii="Times New Roman;Times;Serif" w:hAnsi="Times New Roman;Times;Serif"/>
          <w:b w:val="false"/>
          <w:i w:val="false"/>
          <w:caps w:val="false"/>
          <w:smallCaps w:val="false"/>
          <w:sz w:val="20"/>
        </w:rPr>
        <w:t>352,000 during the same periods in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48" w:name="xdx_808_eus-gaap--GoodwillAndIntangibleA"/>
      <w:bookmarkEnd w:id="448"/>
      <w:r>
        <w:rPr>
          <w:rFonts w:ascii="Times New Roman;Times;Serif" w:hAnsi="Times New Roman;Times;Serif"/>
          <w:b/>
          <w:i w:val="false"/>
          <w:caps w:val="false"/>
          <w:smallCaps w:val="false"/>
          <w:sz w:val="20"/>
        </w:rPr>
        <w:t xml:space="preserve">NOTE 9. </w:t>
      </w:r>
      <w:bookmarkStart w:id="449" w:name="xdx_824_zs95cooPEoU2"/>
      <w:bookmarkEnd w:id="449"/>
      <w:r>
        <w:rPr>
          <w:rFonts w:ascii="Times New Roman;Times;Serif" w:hAnsi="Times New Roman;Times;Serif"/>
          <w:b/>
          <w:i w:val="false"/>
          <w:caps w:val="false"/>
          <w:smallCaps w:val="false"/>
          <w:sz w:val="20"/>
        </w:rPr>
        <w:t>INTANGIBLE ASSETS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50" w:name="xdx_894_eus-gaap--ScheduleOfIntangibleAs"/>
      <w:bookmarkEnd w:id="450"/>
      <w:r>
        <w:rPr>
          <w:rFonts w:ascii="Times New Roman;Times;Serif" w:hAnsi="Times New Roman;Times;Serif"/>
          <w:b w:val="false"/>
          <w:i w:val="false"/>
          <w:caps w:val="false"/>
          <w:smallCaps w:val="false"/>
          <w:sz w:val="20"/>
        </w:rPr>
        <w:t>The Company’s intangible assets at September 30, 2024 consisted of the following:</w:t>
      </w:r>
    </w:p>
    <w:p>
      <w:pPr>
        <w:pStyle w:val="TextBody"/>
        <w:bidi w:val="0"/>
        <w:spacing w:before="0" w:after="0"/>
        <w:ind w:left="0" w:right="0" w:hanging="0"/>
        <w:jc w:val="left"/>
        <w:rPr>
          <w:caps w:val="false"/>
          <w:smallCaps w:val="false"/>
        </w:rPr>
      </w:pPr>
      <w:r>
        <w:rPr>
          <w:caps w:val="false"/>
          <w:smallCaps w:val="false"/>
        </w:rPr>
        <w:t> </w:t>
      </w:r>
      <w:bookmarkStart w:id="451" w:name="xdx_8B9_zqeQmPjAB3Q5"/>
      <w:bookmarkEnd w:id="451"/>
      <w:r>
        <w:rPr>
          <w:rFonts w:ascii="Times New Roman;Times;Serif" w:hAnsi="Times New Roman;Times;Serif"/>
          <w:b w:val="false"/>
          <w:i w:val="false"/>
          <w:caps w:val="false"/>
          <w:smallCaps w:val="false"/>
          <w:sz w:val="20"/>
        </w:rPr>
        <w:t>SCHEDULE OF INTANGIBLE ASSETS</w:t>
      </w:r>
    </w:p>
    <w:tbl>
      <w:tblPr>
        <w:tblW w:w="8054" w:type="dxa"/>
        <w:jc w:val="left"/>
        <w:tblInd w:w="0" w:type="dxa"/>
        <w:tblLayout w:type="fixed"/>
        <w:tblCellMar>
          <w:top w:w="0" w:type="dxa"/>
          <w:left w:w="0" w:type="dxa"/>
          <w:bottom w:w="0" w:type="dxa"/>
          <w:right w:w="0" w:type="dxa"/>
        </w:tblCellMar>
      </w:tblPr>
      <w:tblGrid>
        <w:gridCol w:w="2285"/>
        <w:gridCol w:w="60"/>
        <w:gridCol w:w="82"/>
        <w:gridCol w:w="1122"/>
        <w:gridCol w:w="60"/>
        <w:gridCol w:w="60"/>
        <w:gridCol w:w="140"/>
        <w:gridCol w:w="1220"/>
        <w:gridCol w:w="60"/>
        <w:gridCol w:w="60"/>
        <w:gridCol w:w="140"/>
        <w:gridCol w:w="1175"/>
        <w:gridCol w:w="95"/>
        <w:gridCol w:w="60"/>
        <w:gridCol w:w="140"/>
        <w:gridCol w:w="1220"/>
        <w:gridCol w:w="75"/>
      </w:tblGrid>
      <w:tr>
        <w:trPr/>
        <w:tc>
          <w:tcPr>
            <w:tcW w:w="2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Amortization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bookmarkStart w:id="452" w:name="xdx_900_eus-gaap--FiniteLivedIntangibleA"/>
            <w:bookmarkEnd w:id="452"/>
            <w:r>
              <w:rPr>
                <w:rFonts w:ascii="Times New Roman;Times;Serif" w:hAnsi="Times New Roman;Times;Serif"/>
                <w:sz w:val="20"/>
              </w:rPr>
              <w:t>7-</w:t>
            </w:r>
            <w:bookmarkStart w:id="453" w:name="xdx_90A_eus-gaap--FiniteLivedIntangibleA"/>
            <w:bookmarkEnd w:id="453"/>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54" w:name="xdx_987_eus-gaap--FiniteLivedIntangibleA"/>
            <w:bookmarkEnd w:id="454"/>
          </w:p>
        </w:tc>
        <w:tc>
          <w:tcPr>
            <w:tcW w:w="1220" w:type="dxa"/>
            <w:tcBorders/>
            <w:shd w:fill="CCEEFF" w:val="clear"/>
            <w:vAlign w:val="center"/>
          </w:tcPr>
          <w:p>
            <w:pPr>
              <w:pStyle w:val="TableContents"/>
              <w:bidi w:val="0"/>
              <w:spacing w:before="0" w:after="283"/>
              <w:jc w:val="right"/>
              <w:rPr/>
            </w:pPr>
            <w:r>
              <w:rPr/>
              <w:t>610,000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55" w:name="xdx_98A_eus-gaap--FiniteLivedIntangibleA"/>
            <w:bookmarkEnd w:id="455"/>
          </w:p>
        </w:tc>
        <w:tc>
          <w:tcPr>
            <w:tcW w:w="1175" w:type="dxa"/>
            <w:tcBorders/>
            <w:shd w:fill="CCEEFF" w:val="clear"/>
            <w:vAlign w:val="center"/>
          </w:tcPr>
          <w:p>
            <w:pPr>
              <w:pStyle w:val="TableContents"/>
              <w:bidi w:val="0"/>
              <w:spacing w:before="0" w:after="283"/>
              <w:jc w:val="right"/>
              <w:rPr/>
            </w:pPr>
            <w:r>
              <w:rPr/>
              <w:t>(207,000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56" w:name="xdx_98B_eus-gaap--IntangibleAssetsNetExc"/>
            <w:bookmarkEnd w:id="456"/>
          </w:p>
        </w:tc>
        <w:tc>
          <w:tcPr>
            <w:tcW w:w="1220" w:type="dxa"/>
            <w:tcBorders/>
            <w:shd w:fill="CCEEFF" w:val="clear"/>
            <w:vAlign w:val="center"/>
          </w:tcPr>
          <w:p>
            <w:pPr>
              <w:pStyle w:val="TableContents"/>
              <w:bidi w:val="0"/>
              <w:spacing w:before="0" w:after="283"/>
              <w:jc w:val="right"/>
              <w:rPr/>
            </w:pPr>
            <w:r>
              <w:rPr/>
              <w:t>403,000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Licenses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bookmarkStart w:id="457" w:name="xdx_901_eus-gaap--FiniteLivedIntangibleA"/>
            <w:bookmarkEnd w:id="457"/>
            <w:r>
              <w:rPr>
                <w:rFonts w:ascii="Times New Roman;Times;Serif" w:hAnsi="Times New Roman;Times;Serif"/>
                <w:sz w:val="20"/>
              </w:rPr>
              <w:t>7-</w:t>
            </w:r>
            <w:bookmarkStart w:id="458" w:name="xdx_90D_eus-gaap--FiniteLivedIntangibleA"/>
            <w:bookmarkEnd w:id="458"/>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9" w:name="xdx_987_eus-gaap--FiniteLivedIntangibleA"/>
            <w:bookmarkEnd w:id="459"/>
          </w:p>
        </w:tc>
        <w:tc>
          <w:tcPr>
            <w:tcW w:w="1220"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0" w:name="xdx_986_eus-gaap--FiniteLivedIntangibleA"/>
            <w:bookmarkEnd w:id="460"/>
          </w:p>
        </w:tc>
        <w:tc>
          <w:tcPr>
            <w:tcW w:w="1175" w:type="dxa"/>
            <w:tcBorders/>
            <w:shd w:fill="FFFFFF" w:val="clear"/>
            <w:vAlign w:val="center"/>
          </w:tcPr>
          <w:p>
            <w:pPr>
              <w:pStyle w:val="TableContents"/>
              <w:bidi w:val="0"/>
              <w:spacing w:before="0" w:after="283"/>
              <w:jc w:val="right"/>
              <w:rPr/>
            </w:pPr>
            <w:r>
              <w:rPr/>
              <w:t>(36,000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1" w:name="xdx_98E_eus-gaap--IntangibleAssetsNetExc"/>
            <w:bookmarkEnd w:id="461"/>
          </w:p>
        </w:tc>
        <w:tc>
          <w:tcPr>
            <w:tcW w:w="1220" w:type="dxa"/>
            <w:tcBorders/>
            <w:shd w:fill="FFFFFF" w:val="clear"/>
            <w:vAlign w:val="center"/>
          </w:tcPr>
          <w:p>
            <w:pPr>
              <w:pStyle w:val="TableContents"/>
              <w:bidi w:val="0"/>
              <w:spacing w:before="0" w:after="283"/>
              <w:jc w:val="right"/>
              <w:rPr/>
            </w:pPr>
            <w:r>
              <w:rPr/>
              <w:t>14,000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Trademarks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bookmarkStart w:id="462" w:name="xdx_900_eus-gaap--FiniteLivedIntangibleA"/>
            <w:bookmarkEnd w:id="462"/>
            <w:r>
              <w:rPr>
                <w:rFonts w:ascii="Times New Roman;Times;Serif" w:hAnsi="Times New Roman;Times;Serif"/>
                <w:sz w:val="20"/>
              </w:rPr>
              <w:t>Indefinite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63" w:name="xdx_98E_eus-gaap--FiniteLivedIntangibleA"/>
            <w:bookmarkEnd w:id="463"/>
          </w:p>
        </w:tc>
        <w:tc>
          <w:tcPr>
            <w:tcW w:w="1220" w:type="dxa"/>
            <w:tcBorders/>
            <w:shd w:fill="CCEEFF" w:val="clear"/>
            <w:vAlign w:val="center"/>
          </w:tcPr>
          <w:p>
            <w:pPr>
              <w:pStyle w:val="TableContents"/>
              <w:bidi w:val="0"/>
              <w:spacing w:before="0" w:after="283"/>
              <w:jc w:val="right"/>
              <w:rPr/>
            </w:pPr>
            <w:r>
              <w:rPr/>
              <w:t>226,000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64" w:name="xdx_98D_eus-gaap--FiniteLivedIntangibleA"/>
            <w:bookmarkEnd w:id="464"/>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65" w:name="xdx_988_eus-gaap--IntangibleAssetsNetExc"/>
            <w:bookmarkEnd w:id="465"/>
          </w:p>
        </w:tc>
        <w:tc>
          <w:tcPr>
            <w:tcW w:w="1220" w:type="dxa"/>
            <w:tcBorders/>
            <w:shd w:fill="CCEEFF" w:val="clear"/>
            <w:vAlign w:val="center"/>
          </w:tcPr>
          <w:p>
            <w:pPr>
              <w:pStyle w:val="TableContents"/>
              <w:bidi w:val="0"/>
              <w:spacing w:before="0" w:after="283"/>
              <w:jc w:val="right"/>
              <w:rPr/>
            </w:pPr>
            <w:r>
              <w:rPr/>
              <w:t>226,000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Acquired NDAs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bookmarkStart w:id="466" w:name="xdx_90F_eus-gaap--FiniteLivedIntangibleA"/>
            <w:bookmarkEnd w:id="466"/>
            <w:r>
              <w:rPr>
                <w:rFonts w:ascii="Times New Roman;Times;Serif" w:hAnsi="Times New Roman;Times;Serif"/>
                <w:sz w:val="20"/>
              </w:rPr>
              <w:t>4-</w:t>
            </w:r>
            <w:bookmarkStart w:id="467" w:name="xdx_900_eus-gaap--FiniteLivedIntangibleA"/>
            <w:bookmarkEnd w:id="467"/>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8" w:name="xdx_980_eus-gaap--FiniteLivedIntangibleA"/>
            <w:bookmarkEnd w:id="468"/>
          </w:p>
        </w:tc>
        <w:tc>
          <w:tcPr>
            <w:tcW w:w="1220" w:type="dxa"/>
            <w:tcBorders/>
            <w:shd w:fill="FFFFFF" w:val="clear"/>
            <w:vAlign w:val="center"/>
          </w:tcPr>
          <w:p>
            <w:pPr>
              <w:pStyle w:val="TableContents"/>
              <w:bidi w:val="0"/>
              <w:spacing w:before="0" w:after="283"/>
              <w:jc w:val="right"/>
              <w:rPr/>
            </w:pPr>
            <w:r>
              <w:rPr/>
              <w:t>207,398,000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9" w:name="xdx_986_eus-gaap--FiniteLivedIntangibleA"/>
            <w:bookmarkEnd w:id="469"/>
          </w:p>
        </w:tc>
        <w:tc>
          <w:tcPr>
            <w:tcW w:w="1175" w:type="dxa"/>
            <w:tcBorders/>
            <w:shd w:fill="FFFFFF" w:val="clear"/>
            <w:vAlign w:val="center"/>
          </w:tcPr>
          <w:p>
            <w:pPr>
              <w:pStyle w:val="TableContents"/>
              <w:bidi w:val="0"/>
              <w:spacing w:before="0" w:after="283"/>
              <w:jc w:val="right"/>
              <w:rPr/>
            </w:pPr>
            <w:r>
              <w:rPr/>
              <w:t>(18,899,000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0" w:name="xdx_98C_eus-gaap--IntangibleAssetsNetExc"/>
            <w:bookmarkEnd w:id="470"/>
          </w:p>
        </w:tc>
        <w:tc>
          <w:tcPr>
            <w:tcW w:w="1220" w:type="dxa"/>
            <w:tcBorders/>
            <w:shd w:fill="FFFFFF" w:val="clear"/>
            <w:vAlign w:val="center"/>
          </w:tcPr>
          <w:p>
            <w:pPr>
              <w:pStyle w:val="TableContents"/>
              <w:bidi w:val="0"/>
              <w:spacing w:before="0" w:after="283"/>
              <w:jc w:val="right"/>
              <w:rPr/>
            </w:pPr>
            <w:r>
              <w:rPr/>
              <w:t>188,499,000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bookmarkStart w:id="471" w:name="xdx_904_eus-gaap--FiniteLivedIntangibleA"/>
            <w:bookmarkEnd w:id="471"/>
            <w:r>
              <w:rPr>
                <w:rFonts w:ascii="Times New Roman;Times;Serif" w:hAnsi="Times New Roman;Times;Serif"/>
                <w:sz w:val="20"/>
              </w:rPr>
              <w:t>3-</w:t>
            </w:r>
            <w:bookmarkStart w:id="472" w:name="xdx_90E_eus-gaap--FiniteLivedIntangibleA"/>
            <w:bookmarkEnd w:id="472"/>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73" w:name="xdx_98E_eus-gaap--FiniteLivedIntangibleA"/>
            <w:bookmarkEnd w:id="473"/>
          </w:p>
        </w:tc>
        <w:tc>
          <w:tcPr>
            <w:tcW w:w="1220" w:type="dxa"/>
            <w:tcBorders/>
            <w:shd w:fill="CCEEFF" w:val="clear"/>
            <w:vAlign w:val="center"/>
          </w:tcPr>
          <w:p>
            <w:pPr>
              <w:pStyle w:val="TableContents"/>
              <w:bidi w:val="0"/>
              <w:spacing w:before="0" w:after="283"/>
              <w:jc w:val="right"/>
              <w:rPr/>
            </w:pPr>
            <w:r>
              <w:rPr/>
              <w:t>596,000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74" w:name="xdx_988_eus-gaap--FiniteLivedIntangibleA"/>
            <w:bookmarkEnd w:id="474"/>
          </w:p>
        </w:tc>
        <w:tc>
          <w:tcPr>
            <w:tcW w:w="1175" w:type="dxa"/>
            <w:tcBorders/>
            <w:shd w:fill="CCEEFF" w:val="clear"/>
            <w:vAlign w:val="center"/>
          </w:tcPr>
          <w:p>
            <w:pPr>
              <w:pStyle w:val="TableContents"/>
              <w:bidi w:val="0"/>
              <w:spacing w:before="0" w:after="283"/>
              <w:jc w:val="right"/>
              <w:rPr/>
            </w:pPr>
            <w:r>
              <w:rPr/>
              <w:t>(539,000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75" w:name="xdx_985_eus-gaap--IntangibleAssetsNetExc"/>
            <w:bookmarkEnd w:id="475"/>
          </w:p>
        </w:tc>
        <w:tc>
          <w:tcPr>
            <w:tcW w:w="1220" w:type="dxa"/>
            <w:tcBorders/>
            <w:shd w:fill="CCEEFF" w:val="clear"/>
            <w:vAlign w:val="center"/>
          </w:tcPr>
          <w:p>
            <w:pPr>
              <w:pStyle w:val="TableContents"/>
              <w:bidi w:val="0"/>
              <w:spacing w:before="0" w:after="283"/>
              <w:jc w:val="right"/>
              <w:rPr/>
            </w:pPr>
            <w:r>
              <w:rPr/>
              <w:t>57,000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bookmarkStart w:id="476" w:name="xdx_908_eus-gaap--FiniteLivedIntangibleA"/>
            <w:bookmarkEnd w:id="476"/>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7" w:name="xdx_98D_eus-gaap--FiniteLivedIntangibleA"/>
            <w:bookmarkEnd w:id="477"/>
          </w:p>
        </w:tc>
        <w:tc>
          <w:tcPr>
            <w:tcW w:w="1220" w:type="dxa"/>
            <w:tcBorders/>
            <w:shd w:fill="FFFFFF" w:val="clear"/>
            <w:vAlign w:val="center"/>
          </w:tcPr>
          <w:p>
            <w:pPr>
              <w:pStyle w:val="TableContents"/>
              <w:bidi w:val="0"/>
              <w:spacing w:before="0" w:after="283"/>
              <w:jc w:val="right"/>
              <w:rPr/>
            </w:pPr>
            <w:r>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8" w:name="xdx_98F_eus-gaap--FiniteLivedIntangibleA"/>
            <w:bookmarkEnd w:id="478"/>
          </w:p>
        </w:tc>
        <w:tc>
          <w:tcPr>
            <w:tcW w:w="1175" w:type="dxa"/>
            <w:tcBorders/>
            <w:shd w:fill="FFFFFF" w:val="clear"/>
            <w:vAlign w:val="center"/>
          </w:tcPr>
          <w:p>
            <w:pPr>
              <w:pStyle w:val="TableContents"/>
              <w:bidi w:val="0"/>
              <w:spacing w:before="0" w:after="283"/>
              <w:jc w:val="right"/>
              <w:rPr/>
            </w:pPr>
            <w:r>
              <w:rPr/>
              <w:t>(7,000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9" w:name="xdx_981_eus-gaap--IntangibleAssetsNetExc"/>
            <w:bookmarkEnd w:id="479"/>
          </w:p>
        </w:tc>
        <w:tc>
          <w:tcPr>
            <w:tcW w:w="1220" w:type="dxa"/>
            <w:tcBorders/>
            <w:shd w:fill="FFFFFF" w:val="clear"/>
            <w:vAlign w:val="center"/>
          </w:tcPr>
          <w:p>
            <w:pPr>
              <w:pStyle w:val="TableContents"/>
              <w:bidi w:val="0"/>
              <w:spacing w:before="0" w:after="283"/>
              <w:jc w:val="right"/>
              <w:rPr/>
            </w:pPr>
            <w:r>
              <w:rPr/>
              <w:t>68,000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Non-competition clause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bookmarkStart w:id="480" w:name="xdx_904_eus-gaap--FiniteLivedIntangibleA"/>
            <w:bookmarkEnd w:id="480"/>
            <w:r>
              <w:rPr>
                <w:rFonts w:ascii="Times New Roman;Times;Serif" w:hAnsi="Times New Roman;Times;Serif"/>
                <w:sz w:val="20"/>
              </w:rPr>
              <w:t>3-</w:t>
            </w:r>
            <w:bookmarkStart w:id="481" w:name="xdx_905_eus-gaap--FiniteLivedIntangibleA"/>
            <w:bookmarkEnd w:id="481"/>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82" w:name="xdx_989_eus-gaap--FiniteLivedIntangibleA"/>
            <w:bookmarkEnd w:id="482"/>
          </w:p>
        </w:tc>
        <w:tc>
          <w:tcPr>
            <w:tcW w:w="122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83" w:name="xdx_987_eus-gaap--FiniteLivedIntangibleA"/>
            <w:bookmarkEnd w:id="483"/>
          </w:p>
        </w:tc>
        <w:tc>
          <w:tcPr>
            <w:tcW w:w="1175" w:type="dxa"/>
            <w:tcBorders/>
            <w:shd w:fill="CCEEFF" w:val="clear"/>
            <w:vAlign w:val="center"/>
          </w:tcPr>
          <w:p>
            <w:pPr>
              <w:pStyle w:val="TableContents"/>
              <w:bidi w:val="0"/>
              <w:spacing w:before="0" w:after="283"/>
              <w:jc w:val="right"/>
              <w:rPr/>
            </w:pPr>
            <w:r>
              <w:rPr/>
              <w:t>(50,000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84" w:name="xdx_987_eus-gaap--IntangibleAssetsNetExc"/>
            <w:bookmarkEnd w:id="484"/>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State pharmacy licenses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bookmarkStart w:id="485" w:name="xdx_902_eus-gaap--FiniteLivedIntangibleA"/>
            <w:bookmarkEnd w:id="485"/>
            <w:r>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6" w:name="xdx_984_eus-gaap--FiniteLivedIntangibleA"/>
            <w:bookmarkEnd w:id="48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7" w:name="xdx_982_eus-gaap--FiniteLivedIntangibleA"/>
            <w:bookmarkEnd w:id="487"/>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8" w:name="xdx_98C_eus-gaap--IntangibleAssetsNetExc"/>
            <w:bookmarkEnd w:id="488"/>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9" w:name="xdx_983_eus-gaap--FiniteLivedIntangibleA"/>
            <w:bookmarkEnd w:id="489"/>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209,013,000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0" w:name="xdx_98A_eus-gaap--FiniteLivedIntangibleA"/>
            <w:bookmarkEnd w:id="490"/>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(19,741,000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1" w:name="xdx_98C_eus-gaap--IntangibleAssetsNetExc"/>
            <w:bookmarkEnd w:id="491"/>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189,272,000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2" w:name="xdx_8A8_zXOcamVPlwke"/>
      <w:bookmarkEnd w:id="49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3" w:name="xdx_89D_eus-gaap--FiniteLivedIntangibleA"/>
      <w:bookmarkEnd w:id="493"/>
      <w:r>
        <w:rPr>
          <w:rFonts w:ascii="Times New Roman;Times;Serif" w:hAnsi="Times New Roman;Times;Serif"/>
          <w:b w:val="false"/>
          <w:i w:val="false"/>
          <w:caps w:val="false"/>
          <w:smallCaps w:val="false"/>
          <w:sz w:val="20"/>
        </w:rPr>
        <w:t>Amortization expense for intangible assets was as follows:</w:t>
      </w:r>
    </w:p>
    <w:p>
      <w:pPr>
        <w:pStyle w:val="TextBody"/>
        <w:bidi w:val="0"/>
        <w:spacing w:before="0" w:after="0"/>
        <w:ind w:left="0" w:right="0" w:hanging="0"/>
        <w:jc w:val="both"/>
        <w:rPr>
          <w:caps w:val="false"/>
          <w:smallCaps w:val="false"/>
        </w:rPr>
      </w:pPr>
      <w:r>
        <w:rPr>
          <w:caps w:val="false"/>
          <w:smallCaps w:val="false"/>
        </w:rPr>
        <w:t> </w:t>
      </w:r>
      <w:bookmarkStart w:id="494" w:name="xdx_8B4_ziNCz7rG15wk"/>
      <w:bookmarkEnd w:id="494"/>
      <w:r>
        <w:rPr>
          <w:rFonts w:ascii="Times New Roman;Times;Serif" w:hAnsi="Times New Roman;Times;Serif"/>
          <w:b w:val="false"/>
          <w:i w:val="false"/>
          <w:caps w:val="false"/>
          <w:smallCaps w:val="false"/>
          <w:sz w:val="20"/>
        </w:rPr>
        <w:t>SCHEDULE OF AMORTIZATION EXPENSES FOR INTANGIBLE ASSETS</w:t>
      </w:r>
    </w:p>
    <w:tbl>
      <w:tblPr>
        <w:tblW w:w="9582" w:type="dxa"/>
        <w:jc w:val="left"/>
        <w:tblInd w:w="0" w:type="dxa"/>
        <w:tblLayout w:type="fixed"/>
        <w:tblCellMar>
          <w:top w:w="0" w:type="dxa"/>
          <w:left w:w="0" w:type="dxa"/>
          <w:bottom w:w="0" w:type="dxa"/>
          <w:right w:w="0" w:type="dxa"/>
        </w:tblCellMar>
      </w:tblPr>
      <w:tblGrid>
        <w:gridCol w:w="3425"/>
        <w:gridCol w:w="60"/>
        <w:gridCol w:w="179"/>
        <w:gridCol w:w="1254"/>
        <w:gridCol w:w="76"/>
        <w:gridCol w:w="76"/>
        <w:gridCol w:w="179"/>
        <w:gridCol w:w="1254"/>
        <w:gridCol w:w="60"/>
        <w:gridCol w:w="60"/>
        <w:gridCol w:w="171"/>
        <w:gridCol w:w="1198"/>
        <w:gridCol w:w="73"/>
        <w:gridCol w:w="73"/>
        <w:gridCol w:w="171"/>
        <w:gridCol w:w="1198"/>
        <w:gridCol w:w="75"/>
      </w:tblGrid>
      <w:tr>
        <w:trPr/>
        <w:tc>
          <w:tcPr>
            <w:tcW w:w="3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95" w:name="xdx_496_20240701__20240930_zZgf7e41oC5g"/>
            <w:bookmarkEnd w:id="495"/>
          </w:p>
        </w:tc>
        <w:tc>
          <w:tcPr>
            <w:tcW w:w="1433"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center"/>
              <w:rPr/>
            </w:pPr>
            <w:r>
              <w:rPr/>
              <w:t> </w:t>
            </w:r>
            <w:bookmarkStart w:id="496" w:name="xdx_49C_20230701__20230930_z1hOm3B2sLW8"/>
            <w:bookmarkEnd w:id="496"/>
          </w:p>
        </w:tc>
        <w:tc>
          <w:tcPr>
            <w:tcW w:w="1433"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97" w:name="xdx_492_20240101__20240930_zIJMBqqMM1aa"/>
            <w:bookmarkEnd w:id="497"/>
          </w:p>
        </w:tc>
        <w:tc>
          <w:tcPr>
            <w:tcW w:w="136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3" w:type="dxa"/>
            <w:tcBorders/>
            <w:vAlign w:val="center"/>
          </w:tcPr>
          <w:p>
            <w:pPr>
              <w:pStyle w:val="TableContents"/>
              <w:bidi w:val="0"/>
              <w:spacing w:before="0" w:after="283"/>
              <w:jc w:val="center"/>
              <w:rPr/>
            </w:pPr>
            <w:r>
              <w:rPr/>
              <w:t> </w:t>
            </w:r>
          </w:p>
        </w:tc>
        <w:tc>
          <w:tcPr>
            <w:tcW w:w="73" w:type="dxa"/>
            <w:tcBorders/>
            <w:vAlign w:val="center"/>
          </w:tcPr>
          <w:p>
            <w:pPr>
              <w:pStyle w:val="TableContents"/>
              <w:bidi w:val="0"/>
              <w:spacing w:before="0" w:after="283"/>
              <w:jc w:val="center"/>
              <w:rPr/>
            </w:pPr>
            <w:r>
              <w:rPr/>
              <w:t> </w:t>
            </w:r>
            <w:bookmarkStart w:id="498" w:name="xdx_49E_20230101__20230930_zfb7rcoHY4C1"/>
            <w:bookmarkEnd w:id="498"/>
          </w:p>
        </w:tc>
        <w:tc>
          <w:tcPr>
            <w:tcW w:w="136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4" w:type="dxa"/>
            <w:gridSpan w:val="6"/>
            <w:tcBorders/>
            <w:vAlign w:val="center"/>
          </w:tcPr>
          <w:p>
            <w:pPr>
              <w:pStyle w:val="TableContents"/>
              <w:bidi w:val="0"/>
              <w:spacing w:before="0" w:after="283"/>
              <w:jc w:val="center"/>
              <w:rPr>
                <w:b/>
              </w:rPr>
            </w:pPr>
            <w:r>
              <w:rPr>
                <w:b/>
              </w:rPr>
              <w:t>For the Nine Months Ended</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499" w:name="xdx_401_eus-gaap--AmortizationOfIntangib"/>
            <w:bookmarkEnd w:id="499"/>
          </w:p>
        </w:tc>
      </w:tr>
      <w:tr>
        <w:trPr/>
        <w:tc>
          <w:tcPr>
            <w:tcW w:w="342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19,000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47,000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65,000</w:t>
            </w:r>
          </w:p>
        </w:tc>
        <w:tc>
          <w:tcPr>
            <w:tcW w:w="75" w:type="dxa"/>
            <w:tcBorders/>
            <w:shd w:fill="CCEEFF" w:val="clear"/>
            <w:vAlign w:val="center"/>
          </w:tcPr>
          <w:p>
            <w:pPr>
              <w:pStyle w:val="TableContents"/>
              <w:bidi w:val="0"/>
              <w:spacing w:before="0" w:after="283"/>
              <w:jc w:val="left"/>
              <w:rPr/>
            </w:pPr>
            <w:r>
              <w:rPr/>
              <w:t> </w:t>
            </w:r>
            <w:bookmarkStart w:id="500" w:name="xdx_40D_eus-gaap--AmortizationOfIntangib"/>
            <w:bookmarkEnd w:id="500"/>
          </w:p>
        </w:tc>
      </w:tr>
      <w:tr>
        <w:trPr/>
        <w:tc>
          <w:tcPr>
            <w:tcW w:w="3425" w:type="dxa"/>
            <w:tcBorders/>
            <w:shd w:fill="FFFFFF" w:val="clear"/>
            <w:vAlign w:val="center"/>
          </w:tcPr>
          <w:p>
            <w:pPr>
              <w:pStyle w:val="TableContents"/>
              <w:bidi w:val="0"/>
              <w:spacing w:before="0" w:after="283"/>
              <w:jc w:val="left"/>
              <w:rPr/>
            </w:pPr>
            <w:r>
              <w:rPr/>
              <w:t>Licenses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34,000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34,000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7,000</w:t>
            </w:r>
          </w:p>
        </w:tc>
        <w:tc>
          <w:tcPr>
            <w:tcW w:w="75" w:type="dxa"/>
            <w:tcBorders/>
            <w:shd w:fill="FFFFFF" w:val="clear"/>
            <w:vAlign w:val="center"/>
          </w:tcPr>
          <w:p>
            <w:pPr>
              <w:pStyle w:val="TableContents"/>
              <w:bidi w:val="0"/>
              <w:spacing w:before="0" w:after="283"/>
              <w:jc w:val="left"/>
              <w:rPr/>
            </w:pPr>
            <w:r>
              <w:rPr/>
              <w:t> </w:t>
            </w:r>
            <w:bookmarkStart w:id="501" w:name="xdx_407_eus-gaap--AmortizationOfIntangib"/>
            <w:bookmarkEnd w:id="501"/>
          </w:p>
        </w:tc>
      </w:tr>
      <w:tr>
        <w:trPr/>
        <w:tc>
          <w:tcPr>
            <w:tcW w:w="3425" w:type="dxa"/>
            <w:tcBorders/>
            <w:shd w:fill="CCEEFF" w:val="clear"/>
            <w:vAlign w:val="center"/>
          </w:tcPr>
          <w:p>
            <w:pPr>
              <w:pStyle w:val="TableContents"/>
              <w:bidi w:val="0"/>
              <w:spacing w:before="0" w:after="283"/>
              <w:jc w:val="left"/>
              <w:rPr/>
            </w:pPr>
            <w:r>
              <w:rPr/>
              <w:t>Acquired NDAs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2,547,000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2,551,000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7,606,000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7,526,000</w:t>
            </w:r>
          </w:p>
        </w:tc>
        <w:tc>
          <w:tcPr>
            <w:tcW w:w="75" w:type="dxa"/>
            <w:tcBorders/>
            <w:shd w:fill="CCEEFF" w:val="clear"/>
            <w:vAlign w:val="center"/>
          </w:tcPr>
          <w:p>
            <w:pPr>
              <w:pStyle w:val="TableContents"/>
              <w:bidi w:val="0"/>
              <w:spacing w:before="0" w:after="283"/>
              <w:jc w:val="left"/>
              <w:rPr/>
            </w:pPr>
            <w:r>
              <w:rPr/>
              <w:t> </w:t>
            </w:r>
            <w:bookmarkStart w:id="502" w:name="xdx_40B_eus-gaap--AmortizationOfIntangib"/>
            <w:bookmarkEnd w:id="502"/>
          </w:p>
        </w:tc>
      </w:tr>
      <w:tr>
        <w:trPr/>
        <w:tc>
          <w:tcPr>
            <w:tcW w:w="342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3,000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19,000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36,000</w:t>
            </w:r>
          </w:p>
        </w:tc>
        <w:tc>
          <w:tcPr>
            <w:tcW w:w="75" w:type="dxa"/>
            <w:tcBorders/>
            <w:shd w:fill="FFFFFF" w:val="clear"/>
            <w:vAlign w:val="center"/>
          </w:tcPr>
          <w:p>
            <w:pPr>
              <w:pStyle w:val="TableContents"/>
              <w:bidi w:val="0"/>
              <w:spacing w:before="0" w:after="283"/>
              <w:jc w:val="left"/>
              <w:rPr/>
            </w:pPr>
            <w:r>
              <w:rPr/>
              <w:t> </w:t>
            </w:r>
            <w:bookmarkStart w:id="503" w:name="xdx_40E_eus-gaap--AmortizationOfIntangib"/>
            <w:bookmarkEnd w:id="503"/>
          </w:p>
        </w:tc>
      </w:tr>
      <w:tr>
        <w:trPr/>
        <w:tc>
          <w:tcPr>
            <w:tcW w:w="3425" w:type="dxa"/>
            <w:tcBorders/>
            <w:shd w:fill="CCEEFF" w:val="clear"/>
            <w:vAlign w:val="center"/>
          </w:tcPr>
          <w:p>
            <w:pPr>
              <w:pStyle w:val="TableContents"/>
              <w:bidi w:val="0"/>
              <w:spacing w:before="0" w:after="283"/>
              <w:jc w:val="left"/>
              <w:rPr/>
            </w:pPr>
            <w:r>
              <w:rPr/>
              <w:t>Trade name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1,000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1,000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04" w:name="xdx_400_eus-gaap--AmortizationOfIntangib"/>
            <w:bookmarkEnd w:id="504"/>
          </w:p>
        </w:tc>
      </w:tr>
      <w:tr>
        <w:trPr/>
        <w:tc>
          <w:tcPr>
            <w:tcW w:w="3425" w:type="dxa"/>
            <w:tcBorders/>
            <w:shd w:fill="FFFFFF" w:val="clear"/>
            <w:vAlign w:val="center"/>
          </w:tcPr>
          <w:p>
            <w:pPr>
              <w:pStyle w:val="TableContents"/>
              <w:bidi w:val="0"/>
              <w:spacing w:before="0" w:after="283"/>
              <w:jc w:val="left"/>
              <w:rPr/>
            </w:pPr>
            <w:r>
              <w:rPr/>
              <w:t>State pharmacy licenses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05" w:name="xdx_40C_eus-gaap--AmortizationOfIntangib"/>
            <w:bookmarkEnd w:id="505"/>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expense of intangible assets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2,605,000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2,584,000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pPr>
            <w:r>
              <w:rPr/>
              <w:t>7,708,000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pPr>
            <w:r>
              <w:rPr/>
              <w:t>7,634,000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6" w:name="xdx_8A0_zEHzhWWns4nl"/>
      <w:bookmarkEnd w:id="506"/>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07" w:name="xdx_892_eus-gaap--ScheduleofFiniteLivedI"/>
      <w:bookmarkEnd w:id="507"/>
      <w:r>
        <w:rPr>
          <w:rFonts w:ascii="Times New Roman;Times;Serif" w:hAnsi="Times New Roman;Times;Serif"/>
          <w:b w:val="false"/>
          <w:i w:val="false"/>
          <w:caps w:val="false"/>
          <w:smallCaps w:val="false"/>
          <w:sz w:val="20"/>
        </w:rPr>
        <w:t>Estimated future amortization expenses for the Company’s intangible assets at September 30, 2024 was as follows:</w:t>
      </w:r>
    </w:p>
    <w:p>
      <w:pPr>
        <w:pStyle w:val="TextBody"/>
        <w:bidi w:val="0"/>
        <w:spacing w:before="0" w:after="0"/>
        <w:ind w:left="0" w:right="0" w:hanging="0"/>
        <w:jc w:val="left"/>
        <w:rPr>
          <w:caps w:val="false"/>
          <w:smallCaps w:val="false"/>
        </w:rPr>
      </w:pPr>
      <w:r>
        <w:rPr>
          <w:caps w:val="false"/>
          <w:smallCaps w:val="false"/>
        </w:rPr>
        <w:t> </w:t>
      </w:r>
      <w:bookmarkStart w:id="508" w:name="xdx_8B8_zV2vHL5lCNnh"/>
      <w:bookmarkEnd w:id="508"/>
      <w:r>
        <w:rPr>
          <w:rFonts w:ascii="Times New Roman;Times;Serif" w:hAnsi="Times New Roman;Times;Serif"/>
          <w:b w:val="false"/>
          <w:i w:val="false"/>
          <w:caps w:val="false"/>
          <w:smallCaps w:val="false"/>
          <w:sz w:val="20"/>
        </w:rPr>
        <w:t>SCHEDULE OF ESTIMATED FUTURE AMORTIZATION EXPENSE</w:t>
      </w:r>
    </w:p>
    <w:tbl>
      <w:tblPr>
        <w:tblW w:w="3360" w:type="dxa"/>
        <w:jc w:val="left"/>
        <w:tblInd w:w="0" w:type="dxa"/>
        <w:tblLayout w:type="fixed"/>
        <w:tblCellMar>
          <w:top w:w="0" w:type="dxa"/>
          <w:left w:w="0" w:type="dxa"/>
          <w:bottom w:w="0" w:type="dxa"/>
          <w:right w:w="0" w:type="dxa"/>
        </w:tblCellMar>
      </w:tblPr>
      <w:tblGrid>
        <w:gridCol w:w="1865"/>
        <w:gridCol w:w="60"/>
        <w:gridCol w:w="140"/>
        <w:gridCol w:w="1220"/>
        <w:gridCol w:w="75"/>
      </w:tblGrid>
      <w:tr>
        <w:trPr/>
        <w:tc>
          <w:tcPr>
            <w:tcW w:w="18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40" w:type="dxa"/>
            <w:tcBorders/>
            <w:shd w:fill="CCEEFF" w:val="clear"/>
            <w:vAlign w:val="center"/>
          </w:tcPr>
          <w:p>
            <w:pPr>
              <w:pStyle w:val="TableContents"/>
              <w:bidi w:val="0"/>
              <w:spacing w:before="0" w:after="283"/>
              <w:jc w:val="center"/>
              <w:rPr/>
            </w:pPr>
            <w:r>
              <w:rPr/>
              <w:t> </w:t>
            </w:r>
            <w:bookmarkStart w:id="509" w:name="xdx_498_20240930_zb52N8ckViTh"/>
            <w:bookmarkEnd w:id="509"/>
          </w:p>
        </w:tc>
        <w:tc>
          <w:tcPr>
            <w:tcW w:w="122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bookmarkStart w:id="510" w:name="xdx_404_eus-gaap--FiniteLivedIntangibleA"/>
            <w:bookmarkEnd w:id="510"/>
          </w:p>
        </w:tc>
      </w:tr>
      <w:tr>
        <w:trPr/>
        <w:tc>
          <w:tcPr>
            <w:tcW w:w="1865" w:type="dxa"/>
            <w:tcBorders/>
            <w:shd w:fill="CCEEFF" w:val="clear"/>
            <w:vAlign w:val="center"/>
          </w:tcPr>
          <w:p>
            <w:pPr>
              <w:pStyle w:val="TableContents"/>
              <w:bidi w:val="0"/>
              <w:spacing w:before="0" w:after="283"/>
              <w:jc w:val="left"/>
              <w:rPr/>
            </w:pPr>
            <w:r>
              <w:rPr/>
              <w:t>Remainder of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4,025,000</w:t>
            </w:r>
          </w:p>
        </w:tc>
        <w:tc>
          <w:tcPr>
            <w:tcW w:w="75" w:type="dxa"/>
            <w:tcBorders/>
            <w:shd w:fill="CCEEFF" w:val="clear"/>
            <w:vAlign w:val="center"/>
          </w:tcPr>
          <w:p>
            <w:pPr>
              <w:pStyle w:val="TableContents"/>
              <w:bidi w:val="0"/>
              <w:spacing w:before="0" w:after="283"/>
              <w:jc w:val="left"/>
              <w:rPr/>
            </w:pPr>
            <w:r>
              <w:rPr/>
              <w:t> </w:t>
            </w:r>
            <w:bookmarkStart w:id="511" w:name="xdx_408_eus-gaap--FiniteLivedIntangibleA"/>
            <w:bookmarkEnd w:id="511"/>
          </w:p>
        </w:tc>
      </w:tr>
      <w:tr>
        <w:trPr/>
        <w:tc>
          <w:tcPr>
            <w:tcW w:w="186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16,630,000</w:t>
            </w:r>
          </w:p>
        </w:tc>
        <w:tc>
          <w:tcPr>
            <w:tcW w:w="75" w:type="dxa"/>
            <w:tcBorders/>
            <w:shd w:fill="FFFFFF" w:val="clear"/>
            <w:vAlign w:val="center"/>
          </w:tcPr>
          <w:p>
            <w:pPr>
              <w:pStyle w:val="TableContents"/>
              <w:bidi w:val="0"/>
              <w:spacing w:before="0" w:after="283"/>
              <w:jc w:val="left"/>
              <w:rPr/>
            </w:pPr>
            <w:r>
              <w:rPr/>
              <w:t> </w:t>
            </w:r>
            <w:bookmarkStart w:id="512" w:name="xdx_40B_eus-gaap--FiniteLivedIntangibleA"/>
            <w:bookmarkEnd w:id="512"/>
          </w:p>
        </w:tc>
      </w:tr>
      <w:tr>
        <w:trPr/>
        <w:tc>
          <w:tcPr>
            <w:tcW w:w="186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16,630,000</w:t>
            </w:r>
          </w:p>
        </w:tc>
        <w:tc>
          <w:tcPr>
            <w:tcW w:w="75" w:type="dxa"/>
            <w:tcBorders/>
            <w:shd w:fill="CCEEFF" w:val="clear"/>
            <w:vAlign w:val="center"/>
          </w:tcPr>
          <w:p>
            <w:pPr>
              <w:pStyle w:val="TableContents"/>
              <w:bidi w:val="0"/>
              <w:spacing w:before="0" w:after="283"/>
              <w:jc w:val="left"/>
              <w:rPr/>
            </w:pPr>
            <w:r>
              <w:rPr/>
              <w:t> </w:t>
            </w:r>
            <w:bookmarkStart w:id="513" w:name="xdx_40C_eus-gaap--FiniteLivedIntangibleA"/>
            <w:bookmarkEnd w:id="513"/>
          </w:p>
        </w:tc>
      </w:tr>
      <w:tr>
        <w:trPr/>
        <w:tc>
          <w:tcPr>
            <w:tcW w:w="18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16,281,000</w:t>
            </w:r>
          </w:p>
        </w:tc>
        <w:tc>
          <w:tcPr>
            <w:tcW w:w="75" w:type="dxa"/>
            <w:tcBorders/>
            <w:shd w:fill="FFFFFF" w:val="clear"/>
            <w:vAlign w:val="center"/>
          </w:tcPr>
          <w:p>
            <w:pPr>
              <w:pStyle w:val="TableContents"/>
              <w:bidi w:val="0"/>
              <w:spacing w:before="0" w:after="283"/>
              <w:jc w:val="left"/>
              <w:rPr/>
            </w:pPr>
            <w:r>
              <w:rPr/>
              <w:t> </w:t>
            </w:r>
            <w:bookmarkStart w:id="514" w:name="xdx_400_eus-gaap--FiniteLivedIntangibleA"/>
            <w:bookmarkEnd w:id="514"/>
          </w:p>
        </w:tc>
      </w:tr>
      <w:tr>
        <w:trPr/>
        <w:tc>
          <w:tcPr>
            <w:tcW w:w="186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15,933,000</w:t>
            </w:r>
          </w:p>
        </w:tc>
        <w:tc>
          <w:tcPr>
            <w:tcW w:w="75" w:type="dxa"/>
            <w:tcBorders/>
            <w:shd w:fill="CCEEFF" w:val="clear"/>
            <w:vAlign w:val="center"/>
          </w:tcPr>
          <w:p>
            <w:pPr>
              <w:pStyle w:val="TableContents"/>
              <w:bidi w:val="0"/>
              <w:spacing w:before="0" w:after="283"/>
              <w:jc w:val="left"/>
              <w:rPr/>
            </w:pPr>
            <w:r>
              <w:rPr/>
              <w:t> </w:t>
            </w:r>
            <w:bookmarkStart w:id="515" w:name="xdx_401_ecustom--FiniteLivedIntangibleAs"/>
            <w:bookmarkEnd w:id="515"/>
          </w:p>
        </w:tc>
      </w:tr>
      <w:tr>
        <w:trPr/>
        <w:tc>
          <w:tcPr>
            <w:tcW w:w="186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119,547,000</w:t>
            </w:r>
          </w:p>
        </w:tc>
        <w:tc>
          <w:tcPr>
            <w:tcW w:w="75" w:type="dxa"/>
            <w:tcBorders/>
            <w:shd w:fill="FFFFFF" w:val="clear"/>
            <w:vAlign w:val="center"/>
          </w:tcPr>
          <w:p>
            <w:pPr>
              <w:pStyle w:val="TableContents"/>
              <w:bidi w:val="0"/>
              <w:spacing w:before="0" w:after="283"/>
              <w:jc w:val="left"/>
              <w:rPr/>
            </w:pPr>
            <w:r>
              <w:rPr/>
              <w:t> </w:t>
            </w:r>
            <w:bookmarkStart w:id="516" w:name="xdx_408_eus-gaap--FiniteLivedIntangibleA"/>
            <w:bookmarkEnd w:id="516"/>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189,046,000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7" w:name="xdx_8A0_zu0jpY9uNpoh"/>
      <w:bookmarkEnd w:id="5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 asset purchase agreement between Novartis and the Company, the Company is required to make a milestone payment following the release of the first commercially available batch of TRIESENCE . During the three months ended September 30, 2024, the Company determined that it was probable the first commercial batch would be released and, as such, recognized the $</w:t>
      </w:r>
      <w:bookmarkStart w:id="518" w:name="xdx_905_eus-gaap--PaymentsToAcquireIntan"/>
      <w:bookmarkEnd w:id="518"/>
      <w:r>
        <w:rPr>
          <w:rFonts w:ascii="Times New Roman;Times;Serif" w:hAnsi="Times New Roman;Times;Serif"/>
          <w:b w:val="false"/>
          <w:i w:val="false"/>
          <w:caps w:val="false"/>
          <w:smallCaps w:val="false"/>
          <w:sz w:val="20"/>
        </w:rPr>
        <w:t>37,000,000 milestone payment as an increase in the amount of intangible assets for Acquired NDAs.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519" w:name="xdx_906_eus-gaap--GoodwillPeriodIncrease"/>
      <w:bookmarkStart w:id="520" w:name="xdx_90B_eus-gaap--GoodwillPeriodIncrease"/>
      <w:bookmarkStart w:id="521" w:name="xdx_909_eus-gaap--GoodwillPeriodIncrease"/>
      <w:bookmarkStart w:id="522" w:name="xdx_90D_eus-gaap--GoodwillPeriodIncrease"/>
      <w:bookmarkEnd w:id="519"/>
      <w:bookmarkEnd w:id="520"/>
      <w:bookmarkEnd w:id="521"/>
      <w:bookmarkEnd w:id="522"/>
      <w:r>
        <w:rPr>
          <w:rFonts w:ascii="Times New Roman;Times;Serif" w:hAnsi="Times New Roman;Times;Serif"/>
          <w:b w:val="false"/>
          <w:i w:val="false"/>
          <w:caps w:val="false"/>
          <w:smallCaps w:val="false"/>
          <w:sz w:val="20"/>
        </w:rPr>
        <w:t>no changes to the carrying value of the Company’s goodwill during the three and nine months ended September 30,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3" w:name="xdx_805_eus-gaap--AccountsPayableAndAccr"/>
      <w:bookmarkEnd w:id="523"/>
      <w:r>
        <w:rPr>
          <w:rFonts w:ascii="Times New Roman;Times;Serif" w:hAnsi="Times New Roman;Times;Serif"/>
          <w:b/>
          <w:i w:val="false"/>
          <w:caps w:val="false"/>
          <w:smallCaps w:val="false"/>
          <w:sz w:val="20"/>
        </w:rPr>
        <w:t xml:space="preserve">NOTE 10. </w:t>
      </w:r>
      <w:bookmarkStart w:id="524" w:name="xdx_82C_zhNy8tHOQyV2"/>
      <w:bookmarkEnd w:id="524"/>
      <w:r>
        <w:rPr>
          <w:rFonts w:ascii="Times New Roman;Times;Serif" w:hAnsi="Times New Roman;Times;Serif"/>
          <w:b/>
          <w:i w:val="false"/>
          <w:caps w:val="false"/>
          <w:smallCaps w:val="false"/>
          <w:sz w:val="20"/>
        </w:rPr>
        <w:t>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5" w:name="xdx_898_eus-gaap--ScheduleOfAccountsPaya"/>
      <w:bookmarkEnd w:id="525"/>
      <w:r>
        <w:rPr>
          <w:rFonts w:ascii="Times New Roman;Times;Serif" w:hAnsi="Times New Roman;Times;Serif"/>
          <w:b w:val="false"/>
          <w:i w:val="false"/>
          <w:caps w:val="false"/>
          <w:smallCaps w:val="false"/>
          <w:sz w:val="20"/>
        </w:rPr>
        <w:t>Accounts payable and accrued expenses consisted of the following:</w:t>
      </w:r>
    </w:p>
    <w:p>
      <w:pPr>
        <w:pStyle w:val="TextBody"/>
        <w:bidi w:val="0"/>
        <w:spacing w:before="0" w:after="0"/>
        <w:ind w:left="0" w:right="0" w:hanging="0"/>
        <w:jc w:val="both"/>
        <w:rPr>
          <w:caps w:val="false"/>
          <w:smallCaps w:val="false"/>
        </w:rPr>
      </w:pPr>
      <w:r>
        <w:rPr>
          <w:caps w:val="false"/>
          <w:smallCaps w:val="false"/>
        </w:rPr>
        <w:t> </w:t>
      </w:r>
      <w:bookmarkStart w:id="526" w:name="xdx_8BD_z1VfLhq6jadd"/>
      <w:bookmarkEnd w:id="526"/>
      <w:r>
        <w:rPr>
          <w:rFonts w:ascii="Times New Roman;Times;Serif" w:hAnsi="Times New Roman;Times;Serif"/>
          <w:b w:val="false"/>
          <w:i w:val="false"/>
          <w:caps w:val="false"/>
          <w:smallCaps w:val="false"/>
          <w:sz w:val="20"/>
        </w:rPr>
        <w:t>SCHEDULE OF ACCOUNTS PAYABLE AND ACCRUED EXPENSES</w:t>
      </w:r>
    </w:p>
    <w:tbl>
      <w:tblPr>
        <w:tblW w:w="7580" w:type="dxa"/>
        <w:jc w:val="left"/>
        <w:tblInd w:w="0" w:type="dxa"/>
        <w:tblLayout w:type="fixed"/>
        <w:tblCellMar>
          <w:top w:w="0" w:type="dxa"/>
          <w:left w:w="0" w:type="dxa"/>
          <w:bottom w:w="0" w:type="dxa"/>
          <w:right w:w="0" w:type="dxa"/>
        </w:tblCellMar>
      </w:tblPr>
      <w:tblGrid>
        <w:gridCol w:w="4625"/>
        <w:gridCol w:w="60"/>
        <w:gridCol w:w="140"/>
        <w:gridCol w:w="1175"/>
        <w:gridCol w:w="95"/>
        <w:gridCol w:w="60"/>
        <w:gridCol w:w="140"/>
        <w:gridCol w:w="1175"/>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7" w:name="xdx_49A_20240930_zcOsWBsTbiwc"/>
            <w:bookmarkEnd w:id="527"/>
          </w:p>
        </w:tc>
        <w:tc>
          <w:tcPr>
            <w:tcW w:w="131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8" w:name="xdx_49A_20231231_zxRa3euElsf3"/>
            <w:bookmarkEnd w:id="528"/>
          </w:p>
        </w:tc>
        <w:tc>
          <w:tcPr>
            <w:tcW w:w="131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29" w:name="xdx_401_eus-gaap--AccountsPayableCurrent"/>
            <w:bookmarkEnd w:id="529"/>
          </w:p>
        </w:tc>
      </w:tr>
      <w:tr>
        <w:trPr/>
        <w:tc>
          <w:tcPr>
            <w:tcW w:w="46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23,202,000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21,424,000</w:t>
            </w:r>
          </w:p>
        </w:tc>
        <w:tc>
          <w:tcPr>
            <w:tcW w:w="110" w:type="dxa"/>
            <w:tcBorders/>
            <w:shd w:fill="CCEEFF" w:val="clear"/>
            <w:vAlign w:val="center"/>
          </w:tcPr>
          <w:p>
            <w:pPr>
              <w:pStyle w:val="TableContents"/>
              <w:bidi w:val="0"/>
              <w:spacing w:before="0" w:after="283"/>
              <w:jc w:val="left"/>
              <w:rPr/>
            </w:pPr>
            <w:r>
              <w:rPr/>
              <w:t> </w:t>
            </w:r>
            <w:bookmarkStart w:id="530" w:name="xdx_403_eus-gaap--AccruedInsuranceCurren"/>
            <w:bookmarkEnd w:id="530"/>
          </w:p>
        </w:tc>
      </w:tr>
      <w:tr>
        <w:trPr/>
        <w:tc>
          <w:tcPr>
            <w:tcW w:w="4625" w:type="dxa"/>
            <w:tcBorders/>
            <w:shd w:fill="FFFFFF" w:val="clear"/>
            <w:vAlign w:val="center"/>
          </w:tcPr>
          <w:p>
            <w:pPr>
              <w:pStyle w:val="TableContents"/>
              <w:bidi w:val="0"/>
              <w:spacing w:before="0" w:after="283"/>
              <w:jc w:val="left"/>
              <w:rPr/>
            </w:pPr>
            <w:r>
              <w:rPr/>
              <w:t>Accrued insurance premium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873,000</w:t>
            </w:r>
          </w:p>
        </w:tc>
        <w:tc>
          <w:tcPr>
            <w:tcW w:w="110" w:type="dxa"/>
            <w:tcBorders/>
            <w:shd w:fill="FFFFFF" w:val="clear"/>
            <w:vAlign w:val="center"/>
          </w:tcPr>
          <w:p>
            <w:pPr>
              <w:pStyle w:val="TableContents"/>
              <w:bidi w:val="0"/>
              <w:spacing w:before="0" w:after="283"/>
              <w:jc w:val="left"/>
              <w:rPr/>
            </w:pPr>
            <w:r>
              <w:rPr/>
              <w:t> </w:t>
            </w:r>
            <w:bookmarkStart w:id="531" w:name="xdx_400_eus-gaap--OtherAccruedLiabilitie"/>
            <w:bookmarkEnd w:id="531"/>
          </w:p>
        </w:tc>
      </w:tr>
      <w:tr>
        <w:trPr/>
        <w:tc>
          <w:tcPr>
            <w:tcW w:w="4625" w:type="dxa"/>
            <w:tcBorders/>
            <w:shd w:fill="CCEEFF" w:val="clear"/>
            <w:vAlign w:val="center"/>
          </w:tcPr>
          <w:p>
            <w:pPr>
              <w:pStyle w:val="TableContents"/>
              <w:bidi w:val="0"/>
              <w:spacing w:before="0" w:after="283"/>
              <w:jc w:val="left"/>
              <w:rPr/>
            </w:pPr>
            <w:r>
              <w:rPr/>
              <w:t>Other accrued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306,000</w:t>
            </w:r>
          </w:p>
        </w:tc>
        <w:tc>
          <w:tcPr>
            <w:tcW w:w="110" w:type="dxa"/>
            <w:tcBorders/>
            <w:shd w:fill="CCEEFF" w:val="clear"/>
            <w:vAlign w:val="center"/>
          </w:tcPr>
          <w:p>
            <w:pPr>
              <w:pStyle w:val="TableContents"/>
              <w:bidi w:val="0"/>
              <w:spacing w:before="0" w:after="283"/>
              <w:jc w:val="left"/>
              <w:rPr/>
            </w:pPr>
            <w:r>
              <w:rPr/>
              <w:t> </w:t>
            </w:r>
            <w:bookmarkStart w:id="532" w:name="xdx_402_eus-gaap--InterestPayableCurrent"/>
            <w:bookmarkEnd w:id="532"/>
          </w:p>
        </w:tc>
      </w:tr>
      <w:tr>
        <w:trPr/>
        <w:tc>
          <w:tcPr>
            <w:tcW w:w="4625" w:type="dxa"/>
            <w:tcBorders/>
            <w:shd w:fill="FFFFFF" w:val="clear"/>
            <w:vAlign w:val="center"/>
          </w:tcPr>
          <w:p>
            <w:pPr>
              <w:pStyle w:val="TableContents"/>
              <w:bidi w:val="0"/>
              <w:spacing w:before="0" w:after="283"/>
              <w:jc w:val="left"/>
              <w:rPr/>
            </w:pPr>
            <w:r>
              <w:rPr/>
              <w:t>Accrued interest (see Note 11)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1,978,000</w:t>
            </w:r>
          </w:p>
        </w:tc>
        <w:tc>
          <w:tcPr>
            <w:tcW w:w="110" w:type="dxa"/>
            <w:tcBorders/>
            <w:shd w:fill="FFFFFF" w:val="clear"/>
            <w:vAlign w:val="center"/>
          </w:tcPr>
          <w:p>
            <w:pPr>
              <w:pStyle w:val="TableContents"/>
              <w:bidi w:val="0"/>
              <w:spacing w:before="0" w:after="283"/>
              <w:jc w:val="left"/>
              <w:rPr/>
            </w:pPr>
            <w:r>
              <w:rPr/>
              <w:t> </w:t>
            </w:r>
            <w:bookmarkStart w:id="533" w:name="xdx_40F_ecustom--AccruedExitFeeForLoanCu"/>
            <w:bookmarkEnd w:id="533"/>
          </w:p>
        </w:tc>
      </w:tr>
      <w:tr>
        <w:trPr/>
        <w:tc>
          <w:tcPr>
            <w:tcW w:w="4625" w:type="dxa"/>
            <w:tcBorders/>
            <w:shd w:fill="CCEEFF" w:val="clear"/>
            <w:vAlign w:val="center"/>
          </w:tcPr>
          <w:p>
            <w:pPr>
              <w:pStyle w:val="TableContents"/>
              <w:bidi w:val="0"/>
              <w:spacing w:before="0" w:after="283"/>
              <w:jc w:val="left"/>
              <w:rPr/>
            </w:pPr>
            <w:r>
              <w:rPr/>
              <w:t>Accrued exit fee for Oaktree Loan (see Note 11)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2,713,000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2,713,000</w:t>
            </w:r>
          </w:p>
        </w:tc>
        <w:tc>
          <w:tcPr>
            <w:tcW w:w="110" w:type="dxa"/>
            <w:tcBorders/>
            <w:shd w:fill="CCEEFF" w:val="clear"/>
            <w:vAlign w:val="center"/>
          </w:tcPr>
          <w:p>
            <w:pPr>
              <w:pStyle w:val="TableContents"/>
              <w:bidi w:val="0"/>
              <w:spacing w:before="0" w:after="283"/>
              <w:jc w:val="left"/>
              <w:rPr/>
            </w:pPr>
            <w:r>
              <w:rPr/>
              <w:t> </w:t>
            </w:r>
            <w:bookmarkStart w:id="534" w:name="xdx_40A_eus-gaap--AccountsPayableAndAccr"/>
            <w:bookmarkEnd w:id="534"/>
          </w:p>
        </w:tc>
      </w:tr>
      <w:tr>
        <w:trPr/>
        <w:tc>
          <w:tcPr>
            <w:tcW w:w="4625" w:type="dxa"/>
            <w:tcBorders/>
            <w:shd w:fill="FFFFFF" w:val="clear"/>
            <w:vAlign w:val="center"/>
          </w:tcPr>
          <w:p>
            <w:pPr>
              <w:pStyle w:val="TableContents"/>
              <w:bidi w:val="0"/>
              <w:spacing w:before="0" w:after="283"/>
              <w:jc w:val="left"/>
              <w:rPr/>
            </w:pPr>
            <w:r>
              <w:rPr/>
              <w:t>Total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27,990,000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27,294,000</w:t>
            </w:r>
          </w:p>
        </w:tc>
        <w:tc>
          <w:tcPr>
            <w:tcW w:w="110" w:type="dxa"/>
            <w:tcBorders/>
            <w:shd w:fill="FFFFFF" w:val="clear"/>
            <w:vAlign w:val="center"/>
          </w:tcPr>
          <w:p>
            <w:pPr>
              <w:pStyle w:val="TableContents"/>
              <w:bidi w:val="0"/>
              <w:spacing w:before="0" w:after="283"/>
              <w:jc w:val="left"/>
              <w:rPr/>
            </w:pPr>
            <w:r>
              <w:rPr/>
              <w:t> </w:t>
            </w:r>
            <w:bookmarkStart w:id="535" w:name="xdx_405_eus-gaap--AccountsPayableAndAccr"/>
            <w:bookmarkEnd w:id="535"/>
          </w:p>
        </w:tc>
      </w:tr>
      <w:tr>
        <w:trPr/>
        <w:tc>
          <w:tcPr>
            <w:tcW w:w="4625"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(25,277,000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(24,581,000</w:t>
            </w:r>
          </w:p>
        </w:tc>
        <w:tc>
          <w:tcPr>
            <w:tcW w:w="110" w:type="dxa"/>
            <w:tcBorders/>
            <w:shd w:fill="CCEEFF" w:val="clear"/>
            <w:vAlign w:val="center"/>
          </w:tcPr>
          <w:p>
            <w:pPr>
              <w:pStyle w:val="TableContents"/>
              <w:bidi w:val="0"/>
              <w:spacing w:before="0" w:after="283"/>
              <w:jc w:val="left"/>
              <w:rPr/>
            </w:pPr>
            <w:r>
              <w:rPr/>
              <w:t>)</w:t>
            </w:r>
            <w:bookmarkStart w:id="536" w:name="xdx_405_eus-gaap--AccountsPayableAndAccr"/>
            <w:bookmarkEnd w:id="536"/>
          </w:p>
        </w:tc>
      </w:tr>
      <w:tr>
        <w:trPr/>
        <w:tc>
          <w:tcPr>
            <w:tcW w:w="4625" w:type="dxa"/>
            <w:tcBorders/>
            <w:shd w:fill="FFFFFF" w:val="clear"/>
            <w:vAlign w:val="center"/>
          </w:tcPr>
          <w:p>
            <w:pPr>
              <w:pStyle w:val="TableContents"/>
              <w:bidi w:val="0"/>
              <w:spacing w:before="0" w:after="283"/>
              <w:jc w:val="left"/>
              <w:rPr/>
            </w:pPr>
            <w:r>
              <w:rPr/>
              <w:t>Non-current total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2,713,000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2,713,000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7" w:name="xdx_8A0_zuo5vDavntch"/>
      <w:bookmarkEnd w:id="53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8" w:name="xdx_80E_eus-gaap--DebtDisclosureTextBloc"/>
      <w:bookmarkEnd w:id="538"/>
      <w:r>
        <w:rPr>
          <w:rFonts w:ascii="Times New Roman;Times;Serif" w:hAnsi="Times New Roman;Times;Serif"/>
          <w:b/>
          <w:i w:val="false"/>
          <w:caps w:val="false"/>
          <w:smallCaps w:val="false"/>
          <w:sz w:val="20"/>
        </w:rPr>
        <w:t xml:space="preserve">NOTE 11. </w:t>
      </w:r>
      <w:bookmarkStart w:id="539" w:name="xdx_822_zLU62GqllnL4"/>
      <w:bookmarkEnd w:id="539"/>
      <w:r>
        <w:rPr>
          <w:rFonts w:ascii="Times New Roman;Times;Serif" w:hAnsi="Times New Roman;Times;Serif"/>
          <w:b/>
          <w:i w:val="false"/>
          <w:caps w:val="false"/>
          <w:smallCaps w:val="false"/>
          <w:sz w:val="20"/>
        </w:rPr>
        <w:t xml:space="preserve">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Oaktree Loan Due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entered into a Credit Agreement and Guaranty, (the “Oaktree Loan”) with Oaktree Fund Administration, LLC, as administrative agent for the lenders (“Oaktree”), providing for a senior secured term loan facility to the Company with a principal amount of up to $</w:t>
      </w:r>
      <w:bookmarkStart w:id="540" w:name="xdx_90E_eus-gaap--LineOfCreditFacilityMa"/>
      <w:bookmarkEnd w:id="540"/>
      <w:r>
        <w:rPr>
          <w:rFonts w:ascii="Times New Roman;Times;Serif" w:hAnsi="Times New Roman;Times;Serif"/>
          <w:b w:val="false"/>
          <w:i w:val="false"/>
          <w:caps w:val="false"/>
          <w:smallCaps w:val="false"/>
          <w:sz w:val="20"/>
        </w:rPr>
        <w:t>100,000,000. Upon entering into the Oaktree Loan, the Company drew a principal amount of $</w:t>
      </w:r>
      <w:bookmarkStart w:id="541" w:name="xdx_908_eus-gaap--ProceedsFromLinesOfCre"/>
      <w:bookmarkEnd w:id="541"/>
      <w:r>
        <w:rPr>
          <w:rFonts w:ascii="Times New Roman;Times;Serif" w:hAnsi="Times New Roman;Times;Serif"/>
          <w:b w:val="false"/>
          <w:i w:val="false"/>
          <w:caps w:val="false"/>
          <w:smallCaps w:val="false"/>
          <w:sz w:val="20"/>
        </w:rPr>
        <w:t>65,000,000. In July 2023, the Company drew an additional principal amount of $</w:t>
      </w:r>
      <w:bookmarkStart w:id="542" w:name="xdx_90E_eus-gaap--ProceedsFromLinesOfCre"/>
      <w:bookmarkEnd w:id="542"/>
      <w:r>
        <w:rPr>
          <w:rFonts w:ascii="Times New Roman;Times;Serif" w:hAnsi="Times New Roman;Times;Serif"/>
          <w:b w:val="false"/>
          <w:i w:val="false"/>
          <w:caps w:val="false"/>
          <w:smallCaps w:val="false"/>
          <w:sz w:val="20"/>
        </w:rPr>
        <w:t>12,500,000 and entered into the First Amendment to the Oaktree Loan (the “First Amendment”). Under the First Amendment, the overall credit facility size was increased from $</w:t>
      </w:r>
      <w:bookmarkStart w:id="543" w:name="xdx_906_eus-gaap--LineOfCreditFacilityMa"/>
      <w:bookmarkEnd w:id="543"/>
      <w:r>
        <w:rPr>
          <w:rFonts w:ascii="Times New Roman;Times;Serif" w:hAnsi="Times New Roman;Times;Serif"/>
          <w:b w:val="false"/>
          <w:i w:val="false"/>
          <w:caps w:val="false"/>
          <w:smallCaps w:val="false"/>
          <w:sz w:val="20"/>
        </w:rPr>
        <w:t>100,000,000 to $</w:t>
      </w:r>
      <w:bookmarkStart w:id="544" w:name="xdx_90F_eus-gaap--LineOfCreditFacilityMa"/>
      <w:bookmarkEnd w:id="544"/>
      <w:r>
        <w:rPr>
          <w:rFonts w:ascii="Times New Roman;Times;Serif" w:hAnsi="Times New Roman;Times;Serif"/>
          <w:b w:val="false"/>
          <w:i w:val="false"/>
          <w:caps w:val="false"/>
          <w:smallCaps w:val="false"/>
          <w:sz w:val="20"/>
        </w:rPr>
        <w:t>112,500,000. The additional principal loan amount of up to $</w:t>
      </w:r>
      <w:bookmarkStart w:id="545" w:name="xdx_900_eus-gaap--LineOfCreditFacilityMa"/>
      <w:bookmarkEnd w:id="545"/>
      <w:r>
        <w:rPr>
          <w:rFonts w:ascii="Times New Roman;Times;Serif" w:hAnsi="Times New Roman;Times;Serif"/>
          <w:b w:val="false"/>
          <w:i w:val="false"/>
          <w:caps w:val="false"/>
          <w:smallCaps w:val="false"/>
          <w:sz w:val="20"/>
        </w:rPr>
        <w:t>35,000,000 available under the Oaktree Loan (“Tranche B”) was to be made available to the Company upon the commercialization of TRIESENCE. Since Tranche B was not drawn by the Company on or before March 27, 2024, the amount available under Tranche B decreased to $</w:t>
      </w:r>
      <w:bookmarkStart w:id="546" w:name="xdx_90F_eus-gaap--LineOfCreditFacilityMa"/>
      <w:bookmarkEnd w:id="546"/>
      <w:r>
        <w:rPr>
          <w:rFonts w:ascii="Times New Roman;Times;Serif" w:hAnsi="Times New Roman;Times;Serif"/>
          <w:b w:val="false"/>
          <w:i w:val="false"/>
          <w:caps w:val="false"/>
          <w:smallCaps w:val="false"/>
          <w:sz w:val="20"/>
        </w:rPr>
        <w:t xml:space="preserve">30,000,000. While undrawn, the Company is required to pay a commitment fee related to the Tranche B amount equal to </w:t>
      </w:r>
      <w:bookmarkStart w:id="547" w:name="xdx_90E_eus-gaap--LineOfCreditFacilityUn"/>
      <w:bookmarkEnd w:id="547"/>
      <w:r>
        <w:rPr>
          <w:rFonts w:ascii="Times New Roman;Times;Serif" w:hAnsi="Times New Roman;Times;Serif"/>
          <w:b w:val="false"/>
          <w:i w:val="false"/>
          <w:caps w:val="false"/>
          <w:smallCaps w:val="false"/>
          <w:sz w:val="20"/>
        </w:rPr>
        <w:t>2% per annum, payable quarterly. This fee is recorded within prepaid expenses and other current assets and is being amortized on a straight-line basis over the access period.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Oaktree Loan totaled $</w:t>
      </w:r>
      <w:bookmarkStart w:id="548" w:name="xdx_901_eus-gaap--InterestExpenseOtherLo"/>
      <w:bookmarkEnd w:id="548"/>
      <w:r>
        <w:rPr>
          <w:rFonts w:ascii="Times New Roman;Times;Serif" w:hAnsi="Times New Roman;Times;Serif"/>
          <w:b w:val="false"/>
          <w:i w:val="false"/>
          <w:caps w:val="false"/>
          <w:smallCaps w:val="false"/>
          <w:sz w:val="20"/>
        </w:rPr>
        <w:t>3,026,000 and $</w:t>
      </w:r>
      <w:bookmarkStart w:id="549" w:name="xdx_90F_eus-gaap--InterestExpenseOtherLo"/>
      <w:bookmarkEnd w:id="549"/>
      <w:r>
        <w:rPr>
          <w:rFonts w:ascii="Times New Roman;Times;Serif" w:hAnsi="Times New Roman;Times;Serif"/>
          <w:b w:val="false"/>
          <w:i w:val="false"/>
          <w:caps w:val="false"/>
          <w:smallCaps w:val="false"/>
          <w:sz w:val="20"/>
        </w:rPr>
        <w:t>8,923,000 for the three and nine months ended September 30, 2024, respectively, and included the amortization of debt issuance costs and discount of $</w:t>
      </w:r>
      <w:bookmarkStart w:id="550" w:name="xdx_901_eus-gaap--AmortizationOfFinancin"/>
      <w:bookmarkEnd w:id="550"/>
      <w:r>
        <w:rPr>
          <w:rFonts w:ascii="Times New Roman;Times;Serif" w:hAnsi="Times New Roman;Times;Serif"/>
          <w:b w:val="false"/>
          <w:i w:val="false"/>
          <w:caps w:val="false"/>
          <w:smallCaps w:val="false"/>
          <w:sz w:val="20"/>
        </w:rPr>
        <w:t>656,000 and $</w:t>
      </w:r>
      <w:bookmarkStart w:id="551" w:name="xdx_90C_eus-gaap--AmortizationOfFinancin"/>
      <w:bookmarkEnd w:id="551"/>
      <w:r>
        <w:rPr>
          <w:rFonts w:ascii="Times New Roman;Times;Serif" w:hAnsi="Times New Roman;Times;Serif"/>
          <w:b w:val="false"/>
          <w:i w:val="false"/>
          <w:caps w:val="false"/>
          <w:smallCaps w:val="false"/>
          <w:sz w:val="20"/>
        </w:rPr>
        <w:t xml:space="preserve">1,861,000, respectively. Interest expense related to the Oaktree Loan totaled </w:t>
      </w:r>
      <w:r>
        <w:rPr>
          <w:rFonts w:ascii="Times New Roman;Times;Serif" w:hAnsi="Times New Roman;Times;Serif"/>
          <w:b w:val="false"/>
          <w:i w:val="false"/>
          <w:caps w:val="false"/>
          <w:smallCaps w:val="false"/>
          <w:sz w:val="20"/>
          <w:shd w:fill="FFFFFF" w:val="clear"/>
        </w:rPr>
        <w:t>$</w:t>
      </w:r>
      <w:bookmarkStart w:id="552" w:name="xdx_902_eus-gaap--InterestExpenseOtherLo"/>
      <w:bookmarkEnd w:id="552"/>
      <w:r>
        <w:rPr>
          <w:rFonts w:ascii="Times New Roman;Times;Serif" w:hAnsi="Times New Roman;Times;Serif"/>
          <w:b w:val="false"/>
          <w:i w:val="false"/>
          <w:caps w:val="false"/>
          <w:smallCaps w:val="false"/>
          <w:sz w:val="20"/>
          <w:shd w:fill="FFFFFF" w:val="clear"/>
        </w:rPr>
        <w:t>2,995,000 and $</w:t>
      </w:r>
      <w:bookmarkStart w:id="553" w:name="xdx_904_eus-gaap--InterestExpenseOtherLo"/>
      <w:bookmarkEnd w:id="553"/>
      <w:r>
        <w:rPr>
          <w:rFonts w:ascii="Times New Roman;Times;Serif" w:hAnsi="Times New Roman;Times;Serif"/>
          <w:b w:val="false"/>
          <w:i w:val="false"/>
          <w:caps w:val="false"/>
          <w:smallCaps w:val="false"/>
          <w:sz w:val="20"/>
          <w:shd w:fill="FFFFFF" w:val="clear"/>
        </w:rPr>
        <w:t xml:space="preserve">5,660,000 </w:t>
      </w:r>
      <w:r>
        <w:rPr>
          <w:rFonts w:ascii="Times New Roman;Times;Serif" w:hAnsi="Times New Roman;Times;Serif"/>
          <w:b w:val="false"/>
          <w:i w:val="false"/>
          <w:caps w:val="false"/>
          <w:smallCaps w:val="false"/>
          <w:sz w:val="20"/>
        </w:rPr>
        <w:t xml:space="preserve">for the three and nine months ended September 30, 2023, respectively, and included the amortization of debt issuance costs and discount of </w:t>
      </w:r>
      <w:r>
        <w:rPr>
          <w:rFonts w:ascii="Times New Roman;Times;Serif" w:hAnsi="Times New Roman;Times;Serif"/>
          <w:b w:val="false"/>
          <w:i w:val="false"/>
          <w:caps w:val="false"/>
          <w:smallCaps w:val="false"/>
          <w:sz w:val="20"/>
          <w:shd w:fill="FFFFFF" w:val="clear"/>
        </w:rPr>
        <w:t>$</w:t>
      </w:r>
      <w:bookmarkStart w:id="554" w:name="xdx_905_eus-gaap--AmortizationOfFinancin"/>
      <w:bookmarkEnd w:id="554"/>
      <w:r>
        <w:rPr>
          <w:rFonts w:ascii="Times New Roman;Times;Serif" w:hAnsi="Times New Roman;Times;Serif"/>
          <w:b w:val="false"/>
          <w:i w:val="false"/>
          <w:caps w:val="false"/>
          <w:smallCaps w:val="false"/>
          <w:sz w:val="20"/>
          <w:shd w:fill="FFFFFF" w:val="clear"/>
        </w:rPr>
        <w:t>567,000 and $</w:t>
      </w:r>
      <w:bookmarkStart w:id="555" w:name="xdx_908_eus-gaap--AmortizationOfFinancin"/>
      <w:bookmarkEnd w:id="555"/>
      <w:r>
        <w:rPr>
          <w:rFonts w:ascii="Times New Roman;Times;Serif" w:hAnsi="Times New Roman;Times;Serif"/>
          <w:b w:val="false"/>
          <w:i w:val="false"/>
          <w:caps w:val="false"/>
          <w:smallCaps w:val="false"/>
          <w:sz w:val="20"/>
          <w:shd w:fill="FFFFFF" w:val="clear"/>
        </w:rPr>
        <w:t>1,093,000,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Oaktree Loan carries an exit fee equal to </w:t>
      </w:r>
      <w:bookmarkStart w:id="556" w:name="xdx_907_ecustom--ExitFeePercentage_iI_dp"/>
      <w:bookmarkEnd w:id="556"/>
      <w:r>
        <w:rPr>
          <w:rFonts w:ascii="Times New Roman;Times;Serif" w:hAnsi="Times New Roman;Times;Serif"/>
          <w:b w:val="false"/>
          <w:i w:val="false"/>
          <w:caps w:val="false"/>
          <w:smallCaps w:val="false"/>
          <w:sz w:val="20"/>
        </w:rPr>
        <w:t>3.5% of the aggregate principal amount owed, payable at maturity. As of September 30, 2024 and December 31, 2023, the Company had recorded in accrued expenses the total exit fee liability of $</w:t>
      </w:r>
      <w:bookmarkStart w:id="557" w:name="xdx_905_ecustom--AccruedExitFeeForNotePa"/>
      <w:bookmarkEnd w:id="557"/>
      <w:r>
        <w:rPr>
          <w:rFonts w:ascii="Times New Roman;Times;Serif" w:hAnsi="Times New Roman;Times;Serif"/>
          <w:b w:val="false"/>
          <w:i w:val="false"/>
          <w:caps w:val="false"/>
          <w:smallCaps w:val="false"/>
          <w:sz w:val="20"/>
        </w:rPr>
        <w:t>2,713,000 and $</w:t>
      </w:r>
      <w:bookmarkStart w:id="558" w:name="xdx_90A_ecustom--AccruedExitFeeForNotePa"/>
      <w:bookmarkEnd w:id="558"/>
      <w:r>
        <w:rPr>
          <w:rFonts w:ascii="Times New Roman;Times;Serif" w:hAnsi="Times New Roman;Times;Serif"/>
          <w:b w:val="false"/>
          <w:i w:val="false"/>
          <w:caps w:val="false"/>
          <w:smallCaps w:val="false"/>
          <w:sz w:val="20"/>
        </w:rPr>
        <w:t>2,713,000, respectively.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HROWM – 11.875% Senior Notes Due 2027</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and January 2023, the Company closed offerings of $</w:t>
      </w:r>
      <w:bookmarkStart w:id="559" w:name="xdx_906_eus-gaap--DebtInstrumentFaceAmou"/>
      <w:bookmarkEnd w:id="559"/>
      <w:r>
        <w:rPr>
          <w:rFonts w:ascii="Times New Roman;Times;Serif" w:hAnsi="Times New Roman;Times;Serif"/>
          <w:b w:val="false"/>
          <w:i w:val="false"/>
          <w:caps w:val="false"/>
          <w:smallCaps w:val="false"/>
          <w:sz w:val="20"/>
        </w:rPr>
        <w:t xml:space="preserve">40,250,000 aggregate principal amount of </w:t>
      </w:r>
      <w:bookmarkStart w:id="560" w:name="xdx_906_eus-gaap--DebtInstrumentInterest"/>
      <w:bookmarkEnd w:id="560"/>
      <w:r>
        <w:rPr>
          <w:rFonts w:ascii="Times New Roman;Times;Serif" w:hAnsi="Times New Roman;Times;Serif"/>
          <w:b w:val="false"/>
          <w:i w:val="false"/>
          <w:caps w:val="false"/>
          <w:smallCaps w:val="false"/>
          <w:sz w:val="20"/>
        </w:rPr>
        <w:t xml:space="preserve">11.875% senior notes due </w:t>
      </w:r>
      <w:bookmarkStart w:id="561" w:name="xdx_904_eus-gaap--DebtInstrumentMaturity"/>
      <w:bookmarkEnd w:id="561"/>
      <w:r>
        <w:rPr>
          <w:rFonts w:ascii="Times New Roman;Times;Serif" w:hAnsi="Times New Roman;Times;Serif"/>
          <w:b w:val="false"/>
          <w:i w:val="false"/>
          <w:caps w:val="false"/>
          <w:smallCaps w:val="false"/>
          <w:sz w:val="20"/>
        </w:rPr>
        <w:t xml:space="preserve">December 2027 (the “2027 Notes”). </w:t>
      </w:r>
      <w:r>
        <w:rPr>
          <w:rFonts w:ascii="Times New Roman;Times;Serif" w:hAnsi="Times New Roman;Times;Serif"/>
          <w:b w:val="false"/>
          <w:i w:val="false"/>
          <w:caps w:val="false"/>
          <w:smallCaps w:val="false"/>
          <w:sz w:val="20"/>
          <w:shd w:fill="FFFFFF" w:val="clear"/>
        </w:rPr>
        <w:t>Interest expense related to the 2027 Notes totaled $</w:t>
      </w:r>
      <w:bookmarkStart w:id="562" w:name="xdx_90B_eus-gaap--InterestExpenseOtherLo"/>
      <w:bookmarkEnd w:id="562"/>
      <w:r>
        <w:rPr>
          <w:rFonts w:ascii="Times New Roman;Times;Serif" w:hAnsi="Times New Roman;Times;Serif"/>
          <w:b w:val="false"/>
          <w:i w:val="false"/>
          <w:caps w:val="false"/>
          <w:smallCaps w:val="false"/>
          <w:sz w:val="20"/>
          <w:shd w:fill="FFFFFF" w:val="clear"/>
        </w:rPr>
        <w:t>1,376,000 and $</w:t>
      </w:r>
      <w:bookmarkStart w:id="563" w:name="xdx_902_eus-gaap--InterestExpenseOtherLo"/>
      <w:bookmarkEnd w:id="563"/>
      <w:r>
        <w:rPr>
          <w:rFonts w:ascii="Times New Roman;Times;Serif" w:hAnsi="Times New Roman;Times;Serif"/>
          <w:b w:val="false"/>
          <w:i w:val="false"/>
          <w:caps w:val="false"/>
          <w:smallCaps w:val="false"/>
          <w:sz w:val="20"/>
          <w:shd w:fill="FFFFFF" w:val="clear"/>
        </w:rPr>
        <w:t>4,121,000 for the three and nine months ended September 30, 2024, respectively, and included amortization of debt issuance costs and debt discount of $</w:t>
      </w:r>
      <w:bookmarkStart w:id="564" w:name="xdx_903_eus-gaap--AmortizationOfFinancin"/>
      <w:bookmarkEnd w:id="564"/>
      <w:r>
        <w:rPr>
          <w:rFonts w:ascii="Times New Roman;Times;Serif" w:hAnsi="Times New Roman;Times;Serif"/>
          <w:b w:val="false"/>
          <w:i w:val="false"/>
          <w:caps w:val="false"/>
          <w:smallCaps w:val="false"/>
          <w:sz w:val="20"/>
          <w:shd w:fill="FFFFFF" w:val="clear"/>
        </w:rPr>
        <w:t>181,000 and $</w:t>
      </w:r>
      <w:bookmarkStart w:id="565" w:name="xdx_908_eus-gaap--AmortizationOfFinancin"/>
      <w:bookmarkEnd w:id="565"/>
      <w:r>
        <w:rPr>
          <w:rFonts w:ascii="Times New Roman;Times;Serif" w:hAnsi="Times New Roman;Times;Serif"/>
          <w:b w:val="false"/>
          <w:i w:val="false"/>
          <w:caps w:val="false"/>
          <w:smallCaps w:val="false"/>
          <w:sz w:val="20"/>
          <w:shd w:fill="FFFFFF" w:val="clear"/>
        </w:rPr>
        <w:t>537,000, respectively. Interest expense related to the 2027 Notes totaled $</w:t>
      </w:r>
      <w:bookmarkStart w:id="566" w:name="xdx_90B_eus-gaap--InterestExpenseOtherLo"/>
      <w:bookmarkEnd w:id="566"/>
      <w:r>
        <w:rPr>
          <w:rFonts w:ascii="Times New Roman;Times;Serif" w:hAnsi="Times New Roman;Times;Serif"/>
          <w:b w:val="false"/>
          <w:i w:val="false"/>
          <w:caps w:val="false"/>
          <w:smallCaps w:val="false"/>
          <w:sz w:val="20"/>
          <w:shd w:fill="FFFFFF" w:val="clear"/>
        </w:rPr>
        <w:t>1,375,000 and $</w:t>
      </w:r>
      <w:bookmarkStart w:id="567" w:name="xdx_907_eus-gaap--InterestExpenseOtherLo"/>
      <w:bookmarkEnd w:id="567"/>
      <w:r>
        <w:rPr>
          <w:rFonts w:ascii="Times New Roman;Times;Serif" w:hAnsi="Times New Roman;Times;Serif"/>
          <w:b w:val="false"/>
          <w:i w:val="false"/>
          <w:caps w:val="false"/>
          <w:smallCaps w:val="false"/>
          <w:sz w:val="20"/>
          <w:shd w:fill="FFFFFF" w:val="clear"/>
        </w:rPr>
        <w:t>4,141,000 for the three and nine months ended September 30, 2023, respectively, and included amortization of debt issuance costs and debt discount of $</w:t>
      </w:r>
      <w:bookmarkStart w:id="568" w:name="xdx_901_eus-gaap--AmortizationOfFinancin"/>
      <w:bookmarkEnd w:id="568"/>
      <w:r>
        <w:rPr>
          <w:rFonts w:ascii="Times New Roman;Times;Serif" w:hAnsi="Times New Roman;Times;Serif"/>
          <w:b w:val="false"/>
          <w:i w:val="false"/>
          <w:caps w:val="false"/>
          <w:smallCaps w:val="false"/>
          <w:sz w:val="20"/>
          <w:shd w:fill="FFFFFF" w:val="clear"/>
        </w:rPr>
        <w:t>180,000 and $</w:t>
      </w:r>
      <w:bookmarkStart w:id="569" w:name="xdx_903_eus-gaap--AmortizationOfFinancin"/>
      <w:bookmarkEnd w:id="569"/>
      <w:r>
        <w:rPr>
          <w:rFonts w:ascii="Times New Roman;Times;Serif" w:hAnsi="Times New Roman;Times;Serif"/>
          <w:b w:val="false"/>
          <w:i w:val="false"/>
          <w:caps w:val="false"/>
          <w:smallCaps w:val="false"/>
          <w:sz w:val="20"/>
          <w:shd w:fill="FFFFFF" w:val="clear"/>
        </w:rPr>
        <w:t>556,000,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HROWL – 8.625% Senior Notes Due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and September 2021, the Company closed offerings (including an over-allotment exercise in May 2021) of $</w:t>
      </w:r>
      <w:bookmarkStart w:id="570" w:name="xdx_902_eus-gaap--DebtInstrumentFaceAmou"/>
      <w:bookmarkEnd w:id="570"/>
      <w:r>
        <w:rPr>
          <w:rFonts w:ascii="Times New Roman;Times;Serif" w:hAnsi="Times New Roman;Times;Serif"/>
          <w:b w:val="false"/>
          <w:i w:val="false"/>
          <w:caps w:val="false"/>
          <w:smallCaps w:val="false"/>
          <w:sz w:val="20"/>
        </w:rPr>
        <w:t xml:space="preserve">75,000,000 aggregate principal amount of </w:t>
      </w:r>
      <w:bookmarkStart w:id="571" w:name="xdx_902_eus-gaap--DebtInstrumentInterest"/>
      <w:bookmarkEnd w:id="571"/>
      <w:r>
        <w:rPr>
          <w:rFonts w:ascii="Times New Roman;Times;Serif" w:hAnsi="Times New Roman;Times;Serif"/>
          <w:b w:val="false"/>
          <w:i w:val="false"/>
          <w:caps w:val="false"/>
          <w:smallCaps w:val="false"/>
          <w:sz w:val="20"/>
        </w:rPr>
        <w:t xml:space="preserve">8.625% senior notes due </w:t>
      </w:r>
      <w:bookmarkStart w:id="572" w:name="xdx_90F_eus-gaap--DebtInstrumentMaturity"/>
      <w:bookmarkEnd w:id="572"/>
      <w:r>
        <w:rPr>
          <w:rFonts w:ascii="Times New Roman;Times;Serif" w:hAnsi="Times New Roman;Times;Serif"/>
          <w:b w:val="false"/>
          <w:i w:val="false"/>
          <w:caps w:val="false"/>
          <w:smallCaps w:val="false"/>
          <w:sz w:val="20"/>
        </w:rPr>
        <w:t>April 2026 (the “2026 Notes”). In</w:t>
      </w:r>
      <w:r>
        <w:rPr>
          <w:rFonts w:ascii="Times New Roman;Times;Serif" w:hAnsi="Times New Roman;Times;Serif"/>
          <w:b w:val="false"/>
          <w:i w:val="false"/>
          <w:caps w:val="false"/>
          <w:smallCaps w:val="false"/>
          <w:sz w:val="20"/>
          <w:shd w:fill="FFFFFF" w:val="clear"/>
        </w:rPr>
        <w:t>terest expense related to the 2026 Notes totaled $</w:t>
      </w:r>
      <w:bookmarkStart w:id="573" w:name="xdx_902_eus-gaap--InterestExpenseOtherLo"/>
      <w:bookmarkEnd w:id="573"/>
      <w:r>
        <w:rPr>
          <w:rFonts w:ascii="Times New Roman;Times;Serif" w:hAnsi="Times New Roman;Times;Serif"/>
          <w:b w:val="false"/>
          <w:i w:val="false"/>
          <w:caps w:val="false"/>
          <w:smallCaps w:val="false"/>
          <w:sz w:val="20"/>
          <w:shd w:fill="FFFFFF" w:val="clear"/>
        </w:rPr>
        <w:t>1,814,000 and $</w:t>
      </w:r>
      <w:bookmarkStart w:id="574" w:name="xdx_90B_eus-gaap--InterestExpenseOtherLo"/>
      <w:bookmarkEnd w:id="574"/>
      <w:r>
        <w:rPr>
          <w:rFonts w:ascii="Times New Roman;Times;Serif" w:hAnsi="Times New Roman;Times;Serif"/>
          <w:b w:val="false"/>
          <w:i w:val="false"/>
          <w:caps w:val="false"/>
          <w:smallCaps w:val="false"/>
          <w:sz w:val="20"/>
          <w:shd w:fill="FFFFFF" w:val="clear"/>
        </w:rPr>
        <w:t>5,438,000 for the three and nine months ended September 30, 2024, respectively, and included amortization of debt issuance costs and debt discount of $</w:t>
      </w:r>
      <w:bookmarkStart w:id="575" w:name="xdx_907_eus-gaap--AmortizationOfFinancin"/>
      <w:bookmarkEnd w:id="575"/>
      <w:r>
        <w:rPr>
          <w:rFonts w:ascii="Times New Roman;Times;Serif" w:hAnsi="Times New Roman;Times;Serif"/>
          <w:b w:val="false"/>
          <w:i w:val="false"/>
          <w:caps w:val="false"/>
          <w:smallCaps w:val="false"/>
          <w:sz w:val="20"/>
          <w:shd w:fill="FFFFFF" w:val="clear"/>
        </w:rPr>
        <w:t>197,000 and $</w:t>
      </w:r>
      <w:bookmarkStart w:id="576" w:name="xdx_901_eus-gaap--AmortizationOfFinancin"/>
      <w:bookmarkEnd w:id="576"/>
      <w:r>
        <w:rPr>
          <w:rFonts w:ascii="Times New Roman;Times;Serif" w:hAnsi="Times New Roman;Times;Serif"/>
          <w:b w:val="false"/>
          <w:i w:val="false"/>
          <w:caps w:val="false"/>
          <w:smallCaps w:val="false"/>
          <w:sz w:val="20"/>
          <w:shd w:fill="FFFFFF" w:val="clear"/>
        </w:rPr>
        <w:t>587,000, respectively. Interest expense related to the 2026 Notes totaled $</w:t>
      </w:r>
      <w:bookmarkStart w:id="577" w:name="xdx_903_eus-gaap--InterestExpenseOtherLo"/>
      <w:bookmarkEnd w:id="577"/>
      <w:r>
        <w:rPr>
          <w:rFonts w:ascii="Times New Roman;Times;Serif" w:hAnsi="Times New Roman;Times;Serif"/>
          <w:b w:val="false"/>
          <w:i w:val="false"/>
          <w:caps w:val="false"/>
          <w:smallCaps w:val="false"/>
          <w:sz w:val="20"/>
          <w:shd w:fill="FFFFFF" w:val="clear"/>
        </w:rPr>
        <w:t>1,814,000 and $</w:t>
      </w:r>
      <w:bookmarkStart w:id="578" w:name="xdx_900_eus-gaap--InterestExpenseOtherLo"/>
      <w:bookmarkEnd w:id="578"/>
      <w:r>
        <w:rPr>
          <w:rFonts w:ascii="Times New Roman;Times;Serif" w:hAnsi="Times New Roman;Times;Serif"/>
          <w:b w:val="false"/>
          <w:i w:val="false"/>
          <w:caps w:val="false"/>
          <w:smallCaps w:val="false"/>
          <w:sz w:val="20"/>
          <w:shd w:fill="FFFFFF" w:val="clear"/>
        </w:rPr>
        <w:t>5,436,000 for the three and nine months ended September 30, 2023, respectively, and included amortization of debt issuance costs and debt discount of $</w:t>
      </w:r>
      <w:bookmarkStart w:id="579" w:name="xdx_90C_eus-gaap--AmortizationOfFinancin"/>
      <w:bookmarkEnd w:id="579"/>
      <w:r>
        <w:rPr>
          <w:rFonts w:ascii="Times New Roman;Times;Serif" w:hAnsi="Times New Roman;Times;Serif"/>
          <w:b w:val="false"/>
          <w:i w:val="false"/>
          <w:caps w:val="false"/>
          <w:smallCaps w:val="false"/>
          <w:sz w:val="20"/>
          <w:shd w:fill="FFFFFF" w:val="clear"/>
        </w:rPr>
        <w:t>197,000 and $</w:t>
      </w:r>
      <w:bookmarkStart w:id="580" w:name="xdx_903_eus-gaap--AmortizationOfFinancin"/>
      <w:bookmarkEnd w:id="580"/>
      <w:r>
        <w:rPr>
          <w:rFonts w:ascii="Times New Roman;Times;Serif" w:hAnsi="Times New Roman;Times;Serif"/>
          <w:b w:val="false"/>
          <w:i w:val="false"/>
          <w:caps w:val="false"/>
          <w:smallCaps w:val="false"/>
          <w:sz w:val="20"/>
          <w:shd w:fill="FFFFFF" w:val="clear"/>
        </w:rPr>
        <w:t>585,000, respectively.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81" w:name="xdx_894_eus-gaap--ScheduleOfDebtInstrume"/>
      <w:bookmarkEnd w:id="581"/>
      <w:r>
        <w:rPr>
          <w:rFonts w:ascii="Times New Roman;Times;Serif" w:hAnsi="Times New Roman;Times;Serif"/>
          <w:b w:val="false"/>
          <w:i w:val="false"/>
          <w:caps w:val="false"/>
          <w:smallCaps w:val="false"/>
          <w:sz w:val="20"/>
        </w:rPr>
        <w:t>A summary of the Company’s debt is described as follows:</w:t>
      </w:r>
    </w:p>
    <w:p>
      <w:pPr>
        <w:pStyle w:val="TextBody"/>
        <w:shd w:fill="FFFFFF" w:val="clear"/>
        <w:bidi w:val="0"/>
        <w:spacing w:before="0" w:after="0"/>
        <w:ind w:left="0" w:right="0" w:hanging="0"/>
        <w:jc w:val="both"/>
        <w:rPr>
          <w:caps w:val="false"/>
          <w:smallCaps w:val="false"/>
        </w:rPr>
      </w:pPr>
      <w:r>
        <w:rPr>
          <w:caps w:val="false"/>
          <w:smallCaps w:val="false"/>
        </w:rPr>
        <w:t> </w:t>
      </w:r>
      <w:bookmarkStart w:id="582" w:name="xdx_8B6_zx3S8zD7S79k"/>
      <w:bookmarkEnd w:id="582"/>
      <w:r>
        <w:rPr>
          <w:rFonts w:ascii="Times New Roman;Times;Serif" w:hAnsi="Times New Roman;Times;Serif"/>
          <w:b w:val="false"/>
          <w:i w:val="false"/>
          <w:caps w:val="false"/>
          <w:smallCaps w:val="false"/>
          <w:sz w:val="20"/>
        </w:rPr>
        <w:t>SCHEDULE OF LONG TERM DEBT</w:t>
      </w:r>
    </w:p>
    <w:tbl>
      <w:tblPr>
        <w:tblW w:w="8270" w:type="dxa"/>
        <w:jc w:val="left"/>
        <w:tblInd w:w="0" w:type="dxa"/>
        <w:tblLayout w:type="fixed"/>
        <w:tblCellMar>
          <w:top w:w="0" w:type="dxa"/>
          <w:left w:w="0" w:type="dxa"/>
          <w:bottom w:w="0" w:type="dxa"/>
          <w:right w:w="0" w:type="dxa"/>
        </w:tblCellMar>
      </w:tblPr>
      <w:tblGrid>
        <w:gridCol w:w="5225"/>
        <w:gridCol w:w="60"/>
        <w:gridCol w:w="140"/>
        <w:gridCol w:w="1220"/>
        <w:gridCol w:w="95"/>
        <w:gridCol w:w="60"/>
        <w:gridCol w:w="140"/>
        <w:gridCol w:w="1220"/>
        <w:gridCol w:w="110"/>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3" w:name="xdx_493_20240930_zXSxDjJC7Ckf"/>
            <w:bookmarkEnd w:id="583"/>
          </w:p>
        </w:tc>
        <w:tc>
          <w:tcPr>
            <w:tcW w:w="13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4" w:name="xdx_49C_20231231_zVVU5t2kh0Y2"/>
            <w:bookmarkEnd w:id="584"/>
          </w:p>
        </w:tc>
        <w:tc>
          <w:tcPr>
            <w:tcW w:w="136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1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85" w:name="xdx_40B_eus-gaap--DebtInstrumentCarrying"/>
            <w:bookmarkEnd w:id="585"/>
          </w:p>
        </w:tc>
      </w:tr>
      <w:tr>
        <w:trPr/>
        <w:tc>
          <w:tcPr>
            <w:tcW w:w="5225" w:type="dxa"/>
            <w:tcBorders/>
            <w:shd w:fill="CCEEFF" w:val="clear"/>
            <w:vAlign w:val="center"/>
          </w:tcPr>
          <w:p>
            <w:pPr>
              <w:pStyle w:val="TableContents"/>
              <w:bidi w:val="0"/>
              <w:spacing w:before="0" w:after="283"/>
              <w:jc w:val="left"/>
              <w:rPr/>
            </w:pPr>
            <w:bookmarkStart w:id="586" w:name="xdx_909_eus-gaap--DebtInstrumentInterest"/>
            <w:bookmarkEnd w:id="586"/>
            <w:r>
              <w:rPr/>
              <w:t xml:space="preserve">8.625% Senior Notes due </w:t>
            </w:r>
            <w:bookmarkStart w:id="587" w:name="xdx_908_eus-gaap--DebtInstrumentMaturity"/>
            <w:bookmarkEnd w:id="587"/>
            <w:r>
              <w:rPr/>
              <w:t>April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75,000,000</w:t>
            </w:r>
          </w:p>
        </w:tc>
        <w:tc>
          <w:tcPr>
            <w:tcW w:w="110" w:type="dxa"/>
            <w:tcBorders/>
            <w:shd w:fill="CCEEFF" w:val="clear"/>
            <w:vAlign w:val="center"/>
          </w:tcPr>
          <w:p>
            <w:pPr>
              <w:pStyle w:val="TableContents"/>
              <w:bidi w:val="0"/>
              <w:spacing w:before="0" w:after="283"/>
              <w:jc w:val="left"/>
              <w:rPr/>
            </w:pPr>
            <w:r>
              <w:rPr/>
              <w:t> </w:t>
            </w:r>
            <w:bookmarkStart w:id="588" w:name="xdx_40E_eus-gaap--DebtInstrumentCarrying"/>
            <w:bookmarkEnd w:id="588"/>
          </w:p>
        </w:tc>
      </w:tr>
      <w:tr>
        <w:trPr/>
        <w:tc>
          <w:tcPr>
            <w:tcW w:w="5225" w:type="dxa"/>
            <w:tcBorders/>
            <w:shd w:fill="FFFFFF" w:val="clear"/>
            <w:vAlign w:val="center"/>
          </w:tcPr>
          <w:p>
            <w:pPr>
              <w:pStyle w:val="TableContents"/>
              <w:bidi w:val="0"/>
              <w:spacing w:before="0" w:after="283"/>
              <w:jc w:val="left"/>
              <w:rPr/>
            </w:pPr>
            <w:bookmarkStart w:id="589" w:name="xdx_90E_eus-gaap--DebtInstrumentInterest"/>
            <w:bookmarkEnd w:id="589"/>
            <w:r>
              <w:rPr/>
              <w:t xml:space="preserve">11.875% Senior Notes due </w:t>
            </w:r>
            <w:bookmarkStart w:id="590" w:name="xdx_90A_eus-gaap--DebtInstrumentMaturity"/>
            <w:bookmarkEnd w:id="590"/>
            <w:r>
              <w:rPr/>
              <w:t>December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40,250,000</w:t>
            </w:r>
          </w:p>
        </w:tc>
        <w:tc>
          <w:tcPr>
            <w:tcW w:w="110" w:type="dxa"/>
            <w:tcBorders/>
            <w:shd w:fill="FFFFFF" w:val="clear"/>
            <w:vAlign w:val="center"/>
          </w:tcPr>
          <w:p>
            <w:pPr>
              <w:pStyle w:val="TableContents"/>
              <w:bidi w:val="0"/>
              <w:spacing w:before="0" w:after="283"/>
              <w:jc w:val="left"/>
              <w:rPr/>
            </w:pPr>
            <w:r>
              <w:rPr/>
              <w:t> </w:t>
            </w:r>
            <w:bookmarkStart w:id="591" w:name="xdx_405_eus-gaap--DebtInstrumentCarrying"/>
            <w:bookmarkEnd w:id="591"/>
          </w:p>
        </w:tc>
      </w:tr>
      <w:tr>
        <w:trPr/>
        <w:tc>
          <w:tcPr>
            <w:tcW w:w="5225" w:type="dxa"/>
            <w:tcBorders/>
            <w:shd w:fill="CCEEFF" w:val="clear"/>
            <w:vAlign w:val="center"/>
          </w:tcPr>
          <w:p>
            <w:pPr>
              <w:pStyle w:val="TableContents"/>
              <w:bidi w:val="0"/>
              <w:spacing w:before="0" w:after="283"/>
              <w:jc w:val="left"/>
              <w:rPr/>
            </w:pPr>
            <w:r>
              <w:rPr/>
              <w:t xml:space="preserve">Oaktree Loan due </w:t>
            </w:r>
            <w:bookmarkStart w:id="592" w:name="xdx_904_eus-gaap--DebtInstrumentMaturity"/>
            <w:bookmarkEnd w:id="592"/>
            <w:r>
              <w:rPr/>
              <w:t>January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77,500,000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77,500,000</w:t>
            </w:r>
          </w:p>
        </w:tc>
        <w:tc>
          <w:tcPr>
            <w:tcW w:w="110" w:type="dxa"/>
            <w:tcBorders/>
            <w:shd w:fill="CCEEFF" w:val="clear"/>
            <w:vAlign w:val="center"/>
          </w:tcPr>
          <w:p>
            <w:pPr>
              <w:pStyle w:val="TableContents"/>
              <w:bidi w:val="0"/>
              <w:spacing w:before="0" w:after="283"/>
              <w:jc w:val="left"/>
              <w:rPr/>
            </w:pPr>
            <w:r>
              <w:rPr/>
              <w:t> </w:t>
            </w:r>
            <w:bookmarkStart w:id="593" w:name="xdx_400_eus-gaap--DebtInstrumentCarrying"/>
            <w:bookmarkEnd w:id="593"/>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gross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192,750,000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192,750,000</w:t>
            </w:r>
          </w:p>
        </w:tc>
        <w:tc>
          <w:tcPr>
            <w:tcW w:w="110" w:type="dxa"/>
            <w:tcBorders/>
            <w:shd w:fill="FFFFFF" w:val="clear"/>
            <w:vAlign w:val="center"/>
          </w:tcPr>
          <w:p>
            <w:pPr>
              <w:pStyle w:val="TableContents"/>
              <w:bidi w:val="0"/>
              <w:spacing w:before="0" w:after="283"/>
              <w:jc w:val="left"/>
              <w:rPr/>
            </w:pPr>
            <w:r>
              <w:rPr/>
              <w:t> </w:t>
            </w:r>
            <w:bookmarkStart w:id="594" w:name="xdx_404_eus-gaap--DebtInstrumentUnamorti"/>
            <w:bookmarkEnd w:id="594"/>
          </w:p>
        </w:tc>
      </w:tr>
      <w:tr>
        <w:trPr/>
        <w:tc>
          <w:tcPr>
            <w:tcW w:w="5225" w:type="dxa"/>
            <w:tcBorders/>
            <w:shd w:fill="CCEEFF" w:val="clear"/>
            <w:vAlign w:val="center"/>
          </w:tcPr>
          <w:p>
            <w:pPr>
              <w:pStyle w:val="TableContents"/>
              <w:bidi w:val="0"/>
              <w:spacing w:before="0" w:after="283"/>
              <w:jc w:val="left"/>
              <w:rPr/>
            </w:pPr>
            <w:r>
              <w:rPr/>
              <w:t>Less: Unamortized debt issuance costs, net of premium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(6,693,000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(9,578,000</w:t>
            </w:r>
          </w:p>
        </w:tc>
        <w:tc>
          <w:tcPr>
            <w:tcW w:w="110" w:type="dxa"/>
            <w:tcBorders/>
            <w:shd w:fill="CCEEFF" w:val="clear"/>
            <w:vAlign w:val="center"/>
          </w:tcPr>
          <w:p>
            <w:pPr>
              <w:pStyle w:val="TableContents"/>
              <w:bidi w:val="0"/>
              <w:spacing w:before="0" w:after="283"/>
              <w:jc w:val="left"/>
              <w:rPr/>
            </w:pPr>
            <w:r>
              <w:rPr/>
              <w:t>)</w:t>
            </w:r>
            <w:bookmarkStart w:id="595" w:name="xdx_405_eus-gaap--LongTermNotesPayable_i"/>
            <w:bookmarkEnd w:id="595"/>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186,057,000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183,172,000</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bookmarkStart w:id="596" w:name="xdx_8A9_zUiaxKE9oQDc"/>
      <w:bookmarkEnd w:id="596"/>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nine months ended September 30, 2024, the total effective interest rate of the Company’s debt was </w:t>
      </w:r>
      <w:bookmarkStart w:id="597" w:name="xdx_905_eus-gaap--DebtInstrumentInterest"/>
      <w:bookmarkEnd w:id="597"/>
      <w:r>
        <w:rPr>
          <w:rFonts w:ascii="Times New Roman;Times;Serif" w:hAnsi="Times New Roman;Times;Serif"/>
          <w:b w:val="false"/>
          <w:i w:val="false"/>
          <w:caps w:val="false"/>
          <w:smallCaps w:val="false"/>
          <w:sz w:val="20"/>
        </w:rPr>
        <w:t xml:space="preserve">11.03% and </w:t>
      </w:r>
      <w:bookmarkStart w:id="598" w:name="xdx_90E_eus-gaap--DebtInstrumentInterest"/>
      <w:bookmarkEnd w:id="598"/>
      <w:r>
        <w:rPr>
          <w:rFonts w:ascii="Times New Roman;Times;Serif" w:hAnsi="Times New Roman;Times;Serif"/>
          <w:b w:val="false"/>
          <w:i w:val="false"/>
          <w:caps w:val="false"/>
          <w:smallCaps w:val="false"/>
          <w:sz w:val="20"/>
        </w:rPr>
        <w:t xml:space="preserve">11.17%, respectively, and </w:t>
      </w:r>
      <w:bookmarkStart w:id="599" w:name="xdx_90F_eus-gaap--DebtInstrumentInterest"/>
      <w:bookmarkEnd w:id="599"/>
      <w:r>
        <w:rPr>
          <w:rFonts w:ascii="Times New Roman;Times;Serif" w:hAnsi="Times New Roman;Times;Serif"/>
          <w:b w:val="false"/>
          <w:i w:val="false"/>
          <w:caps w:val="false"/>
          <w:smallCaps w:val="false"/>
          <w:sz w:val="20"/>
        </w:rPr>
        <w:t xml:space="preserve">10.78% and </w:t>
      </w:r>
      <w:bookmarkStart w:id="600" w:name="xdx_907_eus-gaap--DebtInstrumentInterest"/>
      <w:bookmarkEnd w:id="600"/>
      <w:r>
        <w:rPr>
          <w:rFonts w:ascii="Times New Roman;Times;Serif" w:hAnsi="Times New Roman;Times;Serif"/>
          <w:b w:val="false"/>
          <w:i w:val="false"/>
          <w:caps w:val="false"/>
          <w:smallCaps w:val="false"/>
          <w:sz w:val="20"/>
        </w:rPr>
        <w:t>10.91% for the same periods in 2023, respectively</w:t>
      </w:r>
      <w:r>
        <w:rPr>
          <w:rFonts w:ascii="Times New Roman;Times;Serif" w:hAnsi="Times New Roman;Times;Serif"/>
          <w:b w:val="false"/>
          <w:i w:val="false"/>
          <w:caps w:val="false"/>
          <w:smallCaps w:val="false"/>
          <w:sz w:val="20"/>
          <w:shd w:fill="FFFFFF" w:val="clear"/>
        </w:rPr>
        <w:t xml:space="preserve">.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601" w:name="xdx_89A_eus-gaap--ScheduleOfMaturitiesOf"/>
      <w:bookmarkEnd w:id="601"/>
      <w:r>
        <w:rPr>
          <w:rFonts w:ascii="Times New Roman;Times;Serif" w:hAnsi="Times New Roman;Times;Serif"/>
          <w:b w:val="false"/>
          <w:i w:val="false"/>
          <w:caps w:val="false"/>
          <w:smallCaps w:val="false"/>
          <w:sz w:val="20"/>
        </w:rPr>
        <w:t>At September 30, 2024, future minimum payments under the Company’s debt were as follows:</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602" w:name="xdx_8BA_zFSykHkl6WGd"/>
      <w:bookmarkEnd w:id="602"/>
      <w:r>
        <w:rPr>
          <w:rFonts w:ascii="Times New Roman;Times;Serif" w:hAnsi="Times New Roman;Times;Serif"/>
          <w:b w:val="false"/>
          <w:i w:val="false"/>
          <w:caps w:val="false"/>
          <w:smallCaps w:val="false"/>
          <w:sz w:val="20"/>
        </w:rPr>
        <w:t>SCHEDULE OF FUTURE MINIMUM PAYMENT UNDER NOTES PAYABLES  </w:t>
      </w:r>
    </w:p>
    <w:tbl>
      <w:tblPr>
        <w:tblW w:w="6695" w:type="dxa"/>
        <w:jc w:val="left"/>
        <w:tblInd w:w="0" w:type="dxa"/>
        <w:tblLayout w:type="fixed"/>
        <w:tblCellMar>
          <w:top w:w="0" w:type="dxa"/>
          <w:left w:w="0" w:type="dxa"/>
          <w:bottom w:w="0" w:type="dxa"/>
          <w:right w:w="0" w:type="dxa"/>
        </w:tblCellMar>
      </w:tblPr>
      <w:tblGrid>
        <w:gridCol w:w="5165"/>
        <w:gridCol w:w="60"/>
        <w:gridCol w:w="140"/>
        <w:gridCol w:w="1220"/>
        <w:gridCol w:w="11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3" w:name="xdx_49A_20240930_zflGa63DASgb"/>
            <w:bookmarkEnd w:id="603"/>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bookmarkStart w:id="604" w:name="xdx_406_eus-gaap--LongTermDebtMaturities"/>
            <w:bookmarkEnd w:id="604"/>
          </w:p>
        </w:tc>
      </w:tr>
      <w:tr>
        <w:trPr/>
        <w:tc>
          <w:tcPr>
            <w:tcW w:w="5165" w:type="dxa"/>
            <w:tcBorders/>
            <w:shd w:fill="CCEEFF" w:val="clear"/>
            <w:vAlign w:val="center"/>
          </w:tcPr>
          <w:p>
            <w:pPr>
              <w:pStyle w:val="TableContents"/>
              <w:bidi w:val="0"/>
              <w:spacing w:before="0" w:after="283"/>
              <w:jc w:val="left"/>
              <w:rPr/>
            </w:pPr>
            <w:r>
              <w:rPr/>
              <w:t>Remainder of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5,166,000</w:t>
            </w:r>
          </w:p>
        </w:tc>
        <w:tc>
          <w:tcPr>
            <w:tcW w:w="110" w:type="dxa"/>
            <w:tcBorders/>
            <w:shd w:fill="CCEEFF" w:val="clear"/>
            <w:vAlign w:val="center"/>
          </w:tcPr>
          <w:p>
            <w:pPr>
              <w:pStyle w:val="TableContents"/>
              <w:bidi w:val="0"/>
              <w:spacing w:before="0" w:after="283"/>
              <w:jc w:val="left"/>
              <w:rPr/>
            </w:pPr>
            <w:r>
              <w:rPr/>
              <w:t> </w:t>
            </w:r>
            <w:bookmarkStart w:id="605" w:name="xdx_40C_eus-gaap--LongTermDebtMaturities"/>
            <w:bookmarkEnd w:id="605"/>
          </w:p>
        </w:tc>
      </w:tr>
      <w:tr>
        <w:trPr/>
        <w:tc>
          <w:tcPr>
            <w:tcW w:w="516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20,560,000</w:t>
            </w:r>
          </w:p>
        </w:tc>
        <w:tc>
          <w:tcPr>
            <w:tcW w:w="110" w:type="dxa"/>
            <w:tcBorders/>
            <w:shd w:fill="FFFFFF" w:val="clear"/>
            <w:vAlign w:val="center"/>
          </w:tcPr>
          <w:p>
            <w:pPr>
              <w:pStyle w:val="TableContents"/>
              <w:bidi w:val="0"/>
              <w:spacing w:before="0" w:after="283"/>
              <w:jc w:val="left"/>
              <w:rPr/>
            </w:pPr>
            <w:r>
              <w:rPr/>
              <w:t> </w:t>
            </w:r>
            <w:bookmarkStart w:id="606" w:name="xdx_409_eus-gaap--LongTermDebtMaturities"/>
            <w:bookmarkEnd w:id="606"/>
          </w:p>
        </w:tc>
      </w:tr>
      <w:tr>
        <w:trPr/>
        <w:tc>
          <w:tcPr>
            <w:tcW w:w="516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159,895,000</w:t>
            </w:r>
          </w:p>
        </w:tc>
        <w:tc>
          <w:tcPr>
            <w:tcW w:w="110" w:type="dxa"/>
            <w:tcBorders/>
            <w:shd w:fill="CCEEFF" w:val="clear"/>
            <w:vAlign w:val="center"/>
          </w:tcPr>
          <w:p>
            <w:pPr>
              <w:pStyle w:val="TableContents"/>
              <w:bidi w:val="0"/>
              <w:spacing w:before="0" w:after="283"/>
              <w:jc w:val="left"/>
              <w:rPr/>
            </w:pPr>
            <w:r>
              <w:rPr/>
              <w:t> </w:t>
            </w:r>
            <w:bookmarkStart w:id="607" w:name="xdx_40B_eus-gaap--LongTermDebtMaturities"/>
            <w:bookmarkEnd w:id="607"/>
          </w:p>
        </w:tc>
      </w:tr>
      <w:tr>
        <w:trPr/>
        <w:tc>
          <w:tcPr>
            <w:tcW w:w="51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45,030,000</w:t>
            </w:r>
          </w:p>
        </w:tc>
        <w:tc>
          <w:tcPr>
            <w:tcW w:w="110" w:type="dxa"/>
            <w:tcBorders/>
            <w:shd w:fill="FFFFFF" w:val="clear"/>
            <w:vAlign w:val="center"/>
          </w:tcPr>
          <w:p>
            <w:pPr>
              <w:pStyle w:val="TableContents"/>
              <w:bidi w:val="0"/>
              <w:spacing w:before="0" w:after="283"/>
              <w:jc w:val="left"/>
              <w:rPr/>
            </w:pPr>
            <w:r>
              <w:rPr/>
              <w:t> </w:t>
            </w:r>
            <w:bookmarkStart w:id="608" w:name="xdx_403_eus-gaap--LongTermDebt_iTI_mtCzg"/>
            <w:bookmarkEnd w:id="608"/>
          </w:p>
        </w:tc>
      </w:tr>
      <w:tr>
        <w:trPr/>
        <w:tc>
          <w:tcPr>
            <w:tcW w:w="5165" w:type="dxa"/>
            <w:tcBorders/>
            <w:shd w:fill="CCEEFF" w:val="clear"/>
            <w:vAlign w:val="center"/>
          </w:tcPr>
          <w:p>
            <w:pPr>
              <w:pStyle w:val="TableContents"/>
              <w:bidi w:val="0"/>
              <w:spacing w:before="0" w:after="283"/>
              <w:jc w:val="left"/>
              <w:rPr/>
            </w:pPr>
            <w:r>
              <w:rPr/>
              <w:t>Total minimum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230,651,000</w:t>
            </w:r>
          </w:p>
        </w:tc>
        <w:tc>
          <w:tcPr>
            <w:tcW w:w="110" w:type="dxa"/>
            <w:tcBorders/>
            <w:shd w:fill="CCEEFF" w:val="clear"/>
            <w:vAlign w:val="center"/>
          </w:tcPr>
          <w:p>
            <w:pPr>
              <w:pStyle w:val="TableContents"/>
              <w:bidi w:val="0"/>
              <w:spacing w:before="0" w:after="283"/>
              <w:jc w:val="left"/>
              <w:rPr/>
            </w:pPr>
            <w:r>
              <w:rPr/>
              <w:t> </w:t>
            </w:r>
            <w:bookmarkStart w:id="609" w:name="xdx_405_eus-gaap--InterestPayableCurrent"/>
            <w:bookmarkEnd w:id="609"/>
          </w:p>
        </w:tc>
      </w:tr>
      <w:tr>
        <w:trPr/>
        <w:tc>
          <w:tcPr>
            <w:tcW w:w="5165" w:type="dxa"/>
            <w:tcBorders/>
            <w:shd w:fill="FFFFFF" w:val="clear"/>
            <w:vAlign w:val="center"/>
          </w:tcPr>
          <w:p>
            <w:pPr>
              <w:pStyle w:val="TableContents"/>
              <w:bidi w:val="0"/>
              <w:spacing w:before="0" w:after="283"/>
              <w:jc w:val="left"/>
              <w:rPr/>
            </w:pPr>
            <w:r>
              <w:rPr/>
              <w:t>Less: amount representing interest 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(37,901,000</w:t>
            </w:r>
          </w:p>
        </w:tc>
        <w:tc>
          <w:tcPr>
            <w:tcW w:w="110" w:type="dxa"/>
            <w:tcBorders/>
            <w:shd w:fill="FFFFFF" w:val="clear"/>
            <w:vAlign w:val="center"/>
          </w:tcPr>
          <w:p>
            <w:pPr>
              <w:pStyle w:val="TableContents"/>
              <w:bidi w:val="0"/>
              <w:spacing w:before="0" w:after="283"/>
              <w:jc w:val="left"/>
              <w:rPr/>
            </w:pPr>
            <w:r>
              <w:rPr/>
              <w:t>)</w:t>
            </w:r>
            <w:bookmarkStart w:id="610" w:name="xdx_401_eus-gaap--DebtInstrumentCarrying"/>
            <w:bookmarkEnd w:id="610"/>
          </w:p>
        </w:tc>
      </w:tr>
      <w:tr>
        <w:trPr/>
        <w:tc>
          <w:tcPr>
            <w:tcW w:w="5165" w:type="dxa"/>
            <w:tcBorders/>
            <w:shd w:fill="CCEEFF" w:val="clear"/>
            <w:vAlign w:val="center"/>
          </w:tcPr>
          <w:p>
            <w:pPr>
              <w:pStyle w:val="TableContents"/>
              <w:bidi w:val="0"/>
              <w:spacing w:before="0" w:after="283"/>
              <w:jc w:val="left"/>
              <w:rPr/>
            </w:pPr>
            <w:r>
              <w:rPr/>
              <w:t>Notes payable, gross principal amount due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192,750,000</w:t>
            </w:r>
          </w:p>
        </w:tc>
        <w:tc>
          <w:tcPr>
            <w:tcW w:w="110" w:type="dxa"/>
            <w:tcBorders/>
            <w:shd w:fill="CCEEFF" w:val="clear"/>
            <w:vAlign w:val="center"/>
          </w:tcPr>
          <w:p>
            <w:pPr>
              <w:pStyle w:val="TableContents"/>
              <w:bidi w:val="0"/>
              <w:spacing w:before="0" w:after="283"/>
              <w:jc w:val="left"/>
              <w:rPr/>
            </w:pPr>
            <w:r>
              <w:rPr/>
              <w:t> </w:t>
            </w:r>
            <w:bookmarkStart w:id="611" w:name="xdx_40F_eus-gaap--DebtInstrumentUnamorti"/>
            <w:bookmarkEnd w:id="611"/>
          </w:p>
        </w:tc>
      </w:tr>
      <w:tr>
        <w:trPr/>
        <w:tc>
          <w:tcPr>
            <w:tcW w:w="5165" w:type="dxa"/>
            <w:tcBorders/>
            <w:shd w:fill="FFFFFF" w:val="clear"/>
            <w:vAlign w:val="center"/>
          </w:tcPr>
          <w:p>
            <w:pPr>
              <w:pStyle w:val="TableContents"/>
              <w:bidi w:val="0"/>
              <w:spacing w:before="0" w:after="283"/>
              <w:jc w:val="left"/>
              <w:rPr/>
            </w:pPr>
            <w:r>
              <w:rPr/>
              <w:t>Less: unamortized debt issuance costs, net of premium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(6,693,000</w:t>
            </w:r>
          </w:p>
        </w:tc>
        <w:tc>
          <w:tcPr>
            <w:tcW w:w="110" w:type="dxa"/>
            <w:tcBorders/>
            <w:shd w:fill="FFFFFF" w:val="clear"/>
            <w:vAlign w:val="center"/>
          </w:tcPr>
          <w:p>
            <w:pPr>
              <w:pStyle w:val="TableContents"/>
              <w:bidi w:val="0"/>
              <w:spacing w:before="0" w:after="283"/>
              <w:jc w:val="left"/>
              <w:rPr/>
            </w:pPr>
            <w:r>
              <w:rPr/>
              <w:t>)</w:t>
            </w:r>
            <w:bookmarkStart w:id="612" w:name="xdx_40F_eus-gaap--LongTermNotesPayable_i"/>
            <w:bookmarkEnd w:id="612"/>
          </w:p>
        </w:tc>
      </w:tr>
      <w:tr>
        <w:trPr/>
        <w:tc>
          <w:tcPr>
            <w:tcW w:w="5165" w:type="dxa"/>
            <w:tcBorders/>
            <w:shd w:fill="CCEEFF" w:val="clear"/>
            <w:vAlign w:val="center"/>
          </w:tcPr>
          <w:p>
            <w:pPr>
              <w:pStyle w:val="TableContents"/>
              <w:bidi w:val="0"/>
              <w:spacing w:before="0" w:after="283"/>
              <w:jc w:val="left"/>
              <w:rPr/>
            </w:pPr>
            <w:r>
              <w:rPr/>
              <w:t>Notes payable, net of unamortized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186,057,000</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613" w:name="xdx_8A9_zuGcgRBrNr95"/>
      <w:bookmarkEnd w:id="61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14" w:name="xdx_80D_eus-gaap--LesseeOperatingLeasesT"/>
      <w:bookmarkEnd w:id="614"/>
      <w:r>
        <w:rPr>
          <w:rFonts w:ascii="Times New Roman;Times;Serif" w:hAnsi="Times New Roman;Times;Serif"/>
          <w:b/>
          <w:i w:val="false"/>
          <w:caps w:val="false"/>
          <w:smallCaps w:val="false"/>
          <w:sz w:val="20"/>
        </w:rPr>
        <w:t xml:space="preserve">NOTE 12. </w:t>
      </w:r>
      <w:bookmarkStart w:id="615" w:name="xdx_82D_zeT1NYt4w7Lc"/>
      <w:bookmarkEnd w:id="615"/>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office and laboratory space under non-cancellable operating leases listed below. These lease agreements have remaining terms between </w:t>
      </w:r>
      <w:bookmarkStart w:id="616" w:name="xdx_904_eus-gaap--LesseeOperatingLeaseRe"/>
      <w:bookmarkEnd w:id="616"/>
      <w:r>
        <w:rPr>
          <w:rFonts w:ascii="Times New Roman;Times;Serif" w:hAnsi="Times New Roman;Times;Serif"/>
          <w:b w:val="false"/>
          <w:i w:val="false"/>
          <w:caps w:val="false"/>
          <w:smallCaps w:val="false"/>
          <w:sz w:val="20"/>
        </w:rPr>
        <w:t xml:space="preserve">one to </w:t>
      </w:r>
      <w:bookmarkStart w:id="617" w:name="xdx_90E_eus-gaap--LesseeOperatingLeaseRe"/>
      <w:bookmarkEnd w:id="617"/>
      <w:r>
        <w:rPr>
          <w:rFonts w:ascii="Times New Roman;Times;Serif" w:hAnsi="Times New Roman;Times;Serif"/>
          <w:b w:val="false"/>
          <w:i w:val="false"/>
          <w:caps w:val="false"/>
          <w:smallCaps w:val="false"/>
          <w:sz w:val="20"/>
        </w:rPr>
        <w:t>seven years and contain various clauses for renewal at the Company’s option.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618" w:name="xdx_90C_eus-gaap--AreaOfLand_iI_uSquareF"/>
            <w:bookmarkEnd w:id="618"/>
            <w:r>
              <w:rPr>
                <w:rFonts w:ascii="Times New Roman;Times;Serif" w:hAnsi="Times New Roman;Times;Serif"/>
                <w:b w:val="false"/>
                <w:i w:val="false"/>
                <w:caps w:val="false"/>
                <w:smallCaps w:val="false"/>
                <w:sz w:val="20"/>
              </w:rPr>
              <w:t xml:space="preserve">5,789 square feet of office space in Carlsbad, California, which commenced in January 2022 and will expire in </w:t>
            </w:r>
            <w:bookmarkStart w:id="619" w:name="xdx_90C_ecustom--LeaseExpirationDateDesc"/>
            <w:bookmarkEnd w:id="619"/>
            <w:r>
              <w:rPr>
                <w:rFonts w:ascii="Times New Roman;Times;Serif" w:hAnsi="Times New Roman;Times;Serif"/>
                <w:b w:val="false"/>
                <w:i w:val="false"/>
                <w:caps w:val="false"/>
                <w:smallCaps w:val="false"/>
                <w:sz w:val="20"/>
              </w:rPr>
              <w:t>March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620" w:name="xdx_902_eus-gaap--AreaOfLand_iI_uSquareF"/>
            <w:bookmarkEnd w:id="620"/>
            <w:r>
              <w:rPr>
                <w:rFonts w:ascii="Times New Roman;Times;Serif" w:hAnsi="Times New Roman;Times;Serif"/>
                <w:b w:val="false"/>
                <w:i w:val="false"/>
                <w:caps w:val="false"/>
                <w:smallCaps w:val="false"/>
                <w:sz w:val="20"/>
              </w:rPr>
              <w:t xml:space="preserve">38,153 square feet of lab, warehouse and office space in Ledgewood, New Jersey that expires in </w:t>
            </w:r>
            <w:bookmarkStart w:id="621" w:name="xdx_906_ecustom--LeaseExpirationDateDesc"/>
            <w:bookmarkEnd w:id="621"/>
            <w:r>
              <w:rPr>
                <w:rFonts w:ascii="Times New Roman;Times;Serif" w:hAnsi="Times New Roman;Times;Serif"/>
                <w:b w:val="false"/>
                <w:i w:val="false"/>
                <w:caps w:val="false"/>
                <w:smallCaps w:val="false"/>
                <w:sz w:val="20"/>
              </w:rPr>
              <w:t xml:space="preserve">July 2027, with an option to extend the term for two additional five-year periods. This includes an amendment, which was made effective July 2020, that extended the term of the original lease and added </w:t>
            </w:r>
            <w:bookmarkStart w:id="622" w:name="xdx_907_ecustom--AdditionalAreaOfLand_uS"/>
            <w:bookmarkEnd w:id="622"/>
            <w:r>
              <w:rPr>
                <w:rFonts w:ascii="Times New Roman;Times;Serif" w:hAnsi="Times New Roman;Times;Serif"/>
                <w:b w:val="false"/>
                <w:i w:val="false"/>
                <w:caps w:val="false"/>
                <w:smallCaps w:val="false"/>
                <w:sz w:val="20"/>
              </w:rPr>
              <w:t xml:space="preserve">1,400 of additional square footage to the lease, another amendment entered into in May 2021 that extended the term of the lease to </w:t>
            </w:r>
            <w:bookmarkStart w:id="623" w:name="xdx_909_ecustom--LeaseExpirationDateDesc"/>
            <w:bookmarkEnd w:id="623"/>
            <w:r>
              <w:rPr>
                <w:rFonts w:ascii="Times New Roman;Times;Serif" w:hAnsi="Times New Roman;Times;Serif"/>
                <w:b w:val="false"/>
                <w:i w:val="false"/>
                <w:caps w:val="false"/>
                <w:smallCaps w:val="false"/>
                <w:sz w:val="20"/>
              </w:rPr>
              <w:t xml:space="preserve">July 2027 and added </w:t>
            </w:r>
            <w:bookmarkStart w:id="624" w:name="xdx_902_ecustom--AdditionalAreaOfLand_uS"/>
            <w:bookmarkEnd w:id="624"/>
            <w:r>
              <w:rPr>
                <w:rFonts w:ascii="Times New Roman;Times;Serif" w:hAnsi="Times New Roman;Times;Serif"/>
                <w:b w:val="false"/>
                <w:i w:val="false"/>
                <w:caps w:val="false"/>
                <w:smallCaps w:val="false"/>
                <w:sz w:val="20"/>
              </w:rPr>
              <w:t xml:space="preserve">8,900 square feet of space, and another amendment entered into in January 2024 that added </w:t>
            </w:r>
            <w:bookmarkStart w:id="625" w:name="xdx_90F_ecustom--AdditionalAreaOfLand_uS"/>
            <w:bookmarkEnd w:id="625"/>
            <w:r>
              <w:rPr>
                <w:rFonts w:ascii="Times New Roman;Times;Serif" w:hAnsi="Times New Roman;Times;Serif"/>
                <w:b w:val="false"/>
                <w:i w:val="false"/>
                <w:caps w:val="false"/>
                <w:smallCaps w:val="false"/>
                <w:sz w:val="20"/>
              </w:rPr>
              <w:t>2,861 square feet of space.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626" w:name="xdx_90F_eus-gaap--AreaOfLand_iI_uSquareF"/>
            <w:bookmarkEnd w:id="626"/>
            <w:r>
              <w:rPr>
                <w:rFonts w:ascii="Times New Roman;Times;Serif" w:hAnsi="Times New Roman;Times;Serif"/>
                <w:b w:val="false"/>
                <w:i w:val="false"/>
                <w:caps w:val="false"/>
                <w:smallCaps w:val="false"/>
                <w:sz w:val="20"/>
              </w:rPr>
              <w:t xml:space="preserve">5,500 square feet of office space in Nashville, Tennessee, which commenced in January 2020 and will expire in </w:t>
            </w:r>
            <w:bookmarkStart w:id="627" w:name="xdx_90F_ecustom--LeaseExpirationDateDesc"/>
            <w:bookmarkEnd w:id="627"/>
            <w:r>
              <w:rPr>
                <w:rFonts w:ascii="Times New Roman;Times;Serif" w:hAnsi="Times New Roman;Times;Serif"/>
                <w:b w:val="false"/>
                <w:i w:val="false"/>
                <w:caps w:val="false"/>
                <w:smallCaps w:val="false"/>
                <w:sz w:val="20"/>
              </w:rPr>
              <w:t xml:space="preserve">December 2024, with an </w:t>
            </w:r>
            <w:bookmarkStart w:id="628" w:name="xdx_908_eus-gaap--LesseeOperatingLeaseOp"/>
            <w:bookmarkEnd w:id="628"/>
            <w:r>
              <w:rPr>
                <w:rFonts w:ascii="Times New Roman;Times;Serif" w:hAnsi="Times New Roman;Times;Serif"/>
                <w:b w:val="false"/>
                <w:i w:val="false"/>
                <w:caps w:val="false"/>
                <w:smallCaps w:val="false"/>
                <w:sz w:val="20"/>
              </w:rPr>
              <w:t>option to extend the term for two additional five-year periods. The Company does not intend to exercise its option to extend the term of this lease.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629" w:name="xdx_903_eus-gaap--AreaOfLand_iI_uSquareF"/>
            <w:bookmarkEnd w:id="629"/>
            <w:r>
              <w:rPr>
                <w:rFonts w:ascii="Times New Roman;Times;Serif" w:hAnsi="Times New Roman;Times;Serif"/>
                <w:b w:val="false"/>
                <w:i w:val="false"/>
                <w:caps w:val="false"/>
                <w:smallCaps w:val="false"/>
                <w:sz w:val="20"/>
              </w:rPr>
              <w:t xml:space="preserve">11,552 square feet of lab and office space in Nashville, Tennessee, which commenced in September 2022 and will expire in </w:t>
            </w:r>
            <w:bookmarkStart w:id="630" w:name="xdx_908_ecustom--LeaseExpirationDateDesc"/>
            <w:bookmarkEnd w:id="630"/>
            <w:r>
              <w:rPr>
                <w:rFonts w:ascii="Times New Roman;Times;Serif" w:hAnsi="Times New Roman;Times;Serif"/>
                <w:b w:val="false"/>
                <w:i w:val="false"/>
                <w:caps w:val="false"/>
                <w:smallCaps w:val="false"/>
                <w:sz w:val="20"/>
              </w:rPr>
              <w:t>September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Company entered into an operating lease for </w:t>
            </w:r>
            <w:bookmarkStart w:id="631" w:name="xdx_90C_eus-gaap--AreaOfLand_iI_uSquareF"/>
            <w:bookmarkEnd w:id="631"/>
            <w:r>
              <w:rPr>
                <w:rFonts w:ascii="Times New Roman;Times;Serif" w:hAnsi="Times New Roman;Times;Serif"/>
                <w:b w:val="false"/>
                <w:i w:val="false"/>
                <w:caps w:val="false"/>
                <w:smallCaps w:val="false"/>
                <w:sz w:val="20"/>
              </w:rPr>
              <w:t xml:space="preserve">17,625 square feet of office space in Nashville, Tennessee that commenced in August 2024 and has a </w:t>
            </w:r>
            <w:bookmarkStart w:id="632" w:name="xdx_90A_eus-gaap--LesseeOperatingLeaseLe"/>
            <w:bookmarkEnd w:id="632"/>
            <w:r>
              <w:rPr>
                <w:rFonts w:ascii="Times New Roman;Times;Serif" w:hAnsi="Times New Roman;Times;Serif"/>
                <w:b w:val="false"/>
                <w:i w:val="false"/>
                <w:caps w:val="false"/>
                <w:smallCaps w:val="false"/>
                <w:sz w:val="20"/>
              </w:rPr>
              <w:t xml:space="preserve">seven-year term with an </w:t>
            </w:r>
            <w:bookmarkStart w:id="633" w:name="xdx_902_eus-gaap--LesseeOperatingLeaseLe"/>
            <w:bookmarkEnd w:id="633"/>
            <w:r>
              <w:rPr>
                <w:rFonts w:ascii="Times New Roman;Times;Serif" w:hAnsi="Times New Roman;Times;Serif"/>
                <w:b w:val="false"/>
                <w:i w:val="false"/>
                <w:caps w:val="false"/>
                <w:smallCaps w:val="false"/>
                <w:sz w:val="20"/>
              </w:rPr>
              <w:t>option to extend the term for two additional five-year periods. This office space serves as the Company’s new corporate headquarters. Commensurate with the commencement date of the lease, the Company recognized an operating right of use asset and liability of $</w:t>
            </w:r>
            <w:bookmarkStart w:id="634" w:name="xdx_901_ecustom--OperatingLeaseAssetsLia"/>
            <w:bookmarkEnd w:id="634"/>
            <w:r>
              <w:rPr>
                <w:rFonts w:ascii="Times New Roman;Times;Serif" w:hAnsi="Times New Roman;Times;Serif"/>
                <w:b w:val="false"/>
                <w:i w:val="false"/>
                <w:caps w:val="false"/>
                <w:smallCaps w:val="false"/>
                <w:sz w:val="20"/>
              </w:rPr>
              <w:t xml:space="preserve">2,853,000.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September 30, 2024, the weighted average incremental borrowing rate and the weighted average remaining lease term for the operating leases held by the Company were </w:t>
      </w:r>
      <w:bookmarkStart w:id="635" w:name="xdx_909_eus-gaap--OperatingLeaseWeighted"/>
      <w:bookmarkEnd w:id="635"/>
      <w:r>
        <w:rPr>
          <w:rFonts w:ascii="Times New Roman;Times;Serif" w:hAnsi="Times New Roman;Times;Serif"/>
          <w:b w:val="false"/>
          <w:i w:val="false"/>
          <w:caps w:val="false"/>
          <w:smallCaps w:val="false"/>
          <w:sz w:val="20"/>
        </w:rPr>
        <w:t xml:space="preserve">7.85% and </w:t>
      </w:r>
      <w:bookmarkStart w:id="636" w:name="xdx_908_eus-gaap--OperatingLeaseWeighted"/>
      <w:bookmarkEnd w:id="636"/>
      <w:r>
        <w:rPr>
          <w:rFonts w:ascii="Times New Roman;Times;Serif" w:hAnsi="Times New Roman;Times;Serif"/>
          <w:b w:val="false"/>
          <w:i w:val="false"/>
          <w:caps w:val="false"/>
          <w:smallCaps w:val="false"/>
          <w:sz w:val="20"/>
        </w:rPr>
        <w:t>10.4years,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2024, cash paid for amounts included for the operating lease liabilities was $</w:t>
      </w:r>
      <w:bookmarkStart w:id="637" w:name="xdx_902_eus-gaap--OperatingLeasePayments"/>
      <w:bookmarkEnd w:id="637"/>
      <w:r>
        <w:rPr>
          <w:rFonts w:ascii="Times New Roman;Times;Serif" w:hAnsi="Times New Roman;Times;Serif"/>
          <w:b w:val="false"/>
          <w:i w:val="false"/>
          <w:caps w:val="false"/>
          <w:smallCaps w:val="false"/>
          <w:sz w:val="20"/>
        </w:rPr>
        <w:t>327,000 and $</w:t>
      </w:r>
      <w:bookmarkStart w:id="638" w:name="xdx_902_eus-gaap--OperatingLeasePayments"/>
      <w:bookmarkEnd w:id="638"/>
      <w:r>
        <w:rPr>
          <w:rFonts w:ascii="Times New Roman;Times;Serif" w:hAnsi="Times New Roman;Times;Serif"/>
          <w:b w:val="false"/>
          <w:i w:val="false"/>
          <w:caps w:val="false"/>
          <w:smallCaps w:val="false"/>
          <w:sz w:val="20"/>
        </w:rPr>
        <w:t>972,000, respectively, and $</w:t>
      </w:r>
      <w:bookmarkStart w:id="639" w:name="xdx_90E_eus-gaap--OperatingLeasePayments"/>
      <w:bookmarkEnd w:id="639"/>
      <w:r>
        <w:rPr>
          <w:rFonts w:ascii="Times New Roman;Times;Serif" w:hAnsi="Times New Roman;Times;Serif"/>
          <w:b w:val="false"/>
          <w:i w:val="false"/>
          <w:caps w:val="false"/>
          <w:smallCaps w:val="false"/>
          <w:sz w:val="20"/>
        </w:rPr>
        <w:t>310,000 and $</w:t>
      </w:r>
      <w:bookmarkStart w:id="640" w:name="xdx_906_eus-gaap--OperatingLeasePayments"/>
      <w:bookmarkEnd w:id="640"/>
      <w:r>
        <w:rPr>
          <w:rFonts w:ascii="Times New Roman;Times;Serif" w:hAnsi="Times New Roman;Times;Serif"/>
          <w:b w:val="false"/>
          <w:i w:val="false"/>
          <w:caps w:val="false"/>
          <w:smallCaps w:val="false"/>
          <w:sz w:val="20"/>
        </w:rPr>
        <w:t>921,000 for the same periods in 2023, respectively. During the three and nine months ended September 30, 2024, the Company recorded operating lease expense of $</w:t>
      </w:r>
      <w:bookmarkStart w:id="641" w:name="xdx_909_eus-gaap--OperatingLeaseExpense_"/>
      <w:bookmarkEnd w:id="641"/>
      <w:r>
        <w:rPr>
          <w:rFonts w:ascii="Times New Roman;Times;Serif" w:hAnsi="Times New Roman;Times;Serif"/>
          <w:b w:val="false"/>
          <w:i w:val="false"/>
          <w:caps w:val="false"/>
          <w:smallCaps w:val="false"/>
          <w:sz w:val="20"/>
        </w:rPr>
        <w:t>414,000 and $</w:t>
      </w:r>
      <w:bookmarkStart w:id="642" w:name="xdx_904_eus-gaap--OperatingLeaseExpense_"/>
      <w:bookmarkEnd w:id="642"/>
      <w:r>
        <w:rPr>
          <w:rFonts w:ascii="Times New Roman;Times;Serif" w:hAnsi="Times New Roman;Times;Serif"/>
          <w:b w:val="false"/>
          <w:i w:val="false"/>
          <w:caps w:val="false"/>
          <w:smallCaps w:val="false"/>
          <w:sz w:val="20"/>
        </w:rPr>
        <w:t>1,053,000, respectively, and $</w:t>
      </w:r>
      <w:bookmarkStart w:id="643" w:name="xdx_902_eus-gaap--OperatingLeaseExpense_"/>
      <w:bookmarkEnd w:id="643"/>
      <w:r>
        <w:rPr>
          <w:rFonts w:ascii="Times New Roman;Times;Serif" w:hAnsi="Times New Roman;Times;Serif"/>
          <w:b w:val="false"/>
          <w:i w:val="false"/>
          <w:caps w:val="false"/>
          <w:smallCaps w:val="false"/>
          <w:sz w:val="20"/>
        </w:rPr>
        <w:t>309,000 and $</w:t>
      </w:r>
      <w:bookmarkStart w:id="644" w:name="xdx_90A_eus-gaap--OperatingLeaseExpense_"/>
      <w:bookmarkEnd w:id="644"/>
      <w:r>
        <w:rPr>
          <w:rFonts w:ascii="Times New Roman;Times;Serif" w:hAnsi="Times New Roman;Times;Serif"/>
          <w:b w:val="false"/>
          <w:i w:val="false"/>
          <w:caps w:val="false"/>
          <w:smallCaps w:val="false"/>
          <w:sz w:val="20"/>
        </w:rPr>
        <w:t>926,000 for the same periods in 2023, respectively, which is included in 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5" w:name="xdx_89E_eus-gaap--LesseeOperatingLeaseLi"/>
      <w:bookmarkEnd w:id="645"/>
      <w:r>
        <w:rPr>
          <w:rFonts w:ascii="Times New Roman;Times;Serif" w:hAnsi="Times New Roman;Times;Serif"/>
          <w:b w:val="false"/>
          <w:i w:val="false"/>
          <w:caps w:val="false"/>
          <w:smallCaps w:val="false"/>
          <w:sz w:val="20"/>
        </w:rPr>
        <w:t>Future lease payments under operating leases as of September 30, 2024 were as follows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bookmarkStart w:id="646" w:name="xdx_8BA_zhqq61E9t8Hf"/>
      <w:bookmarkEnd w:id="646"/>
      <w:r>
        <w:rPr>
          <w:rFonts w:ascii="Times New Roman;Times;Serif" w:hAnsi="Times New Roman;Times;Serif"/>
          <w:b w:val="false"/>
          <w:i w:val="false"/>
          <w:caps w:val="false"/>
          <w:smallCaps w:val="false"/>
          <w:sz w:val="20"/>
        </w:rPr>
        <w:t>SCHEDULE OF FUTURE LEASE PAYMENTS UNDER OPERATING LEASES </w:t>
      </w:r>
    </w:p>
    <w:tbl>
      <w:tblPr>
        <w:tblW w:w="6674" w:type="dxa"/>
        <w:jc w:val="left"/>
        <w:tblInd w:w="0" w:type="dxa"/>
        <w:tblLayout w:type="fixed"/>
        <w:tblCellMar>
          <w:top w:w="0" w:type="dxa"/>
          <w:left w:w="0" w:type="dxa"/>
          <w:bottom w:w="0" w:type="dxa"/>
          <w:right w:w="0" w:type="dxa"/>
        </w:tblCellMar>
      </w:tblPr>
      <w:tblGrid>
        <w:gridCol w:w="4715"/>
        <w:gridCol w:w="60"/>
        <w:gridCol w:w="202"/>
        <w:gridCol w:w="1587"/>
        <w:gridCol w:w="11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7" w:name="xdx_491_20240930_zxb1BKEm3COe"/>
            <w:bookmarkEnd w:id="647"/>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Operating Leases</w:t>
            </w:r>
          </w:p>
        </w:tc>
        <w:tc>
          <w:tcPr>
            <w:tcW w:w="110" w:type="dxa"/>
            <w:tcBorders/>
            <w:vAlign w:val="center"/>
          </w:tcPr>
          <w:p>
            <w:pPr>
              <w:pStyle w:val="TableContents"/>
              <w:bidi w:val="0"/>
              <w:spacing w:before="0" w:after="283"/>
              <w:jc w:val="left"/>
              <w:rPr/>
            </w:pPr>
            <w:r>
              <w:rPr/>
              <w:t> </w:t>
            </w:r>
            <w:bookmarkStart w:id="648" w:name="xdx_40E_eus-gaap--LesseeOperatingLeaseLi"/>
            <w:bookmarkEnd w:id="648"/>
          </w:p>
        </w:tc>
      </w:tr>
      <w:tr>
        <w:trPr/>
        <w:tc>
          <w:tcPr>
            <w:tcW w:w="4715" w:type="dxa"/>
            <w:tcBorders/>
            <w:shd w:fill="CCEEFF" w:val="clear"/>
            <w:vAlign w:val="center"/>
          </w:tcPr>
          <w:p>
            <w:pPr>
              <w:pStyle w:val="TableContents"/>
              <w:bidi w:val="0"/>
              <w:spacing w:before="0" w:after="283"/>
              <w:jc w:val="left"/>
              <w:rPr/>
            </w:pPr>
            <w:r>
              <w:rPr/>
              <w:t>Remainder of 2024</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587" w:type="dxa"/>
            <w:tcBorders/>
            <w:shd w:fill="CCEEFF" w:val="clear"/>
            <w:vAlign w:val="center"/>
          </w:tcPr>
          <w:p>
            <w:pPr>
              <w:pStyle w:val="TableContents"/>
              <w:bidi w:val="0"/>
              <w:spacing w:before="0" w:after="283"/>
              <w:jc w:val="right"/>
              <w:rPr/>
            </w:pPr>
            <w:r>
              <w:rPr/>
              <w:t>329,000</w:t>
            </w:r>
          </w:p>
        </w:tc>
        <w:tc>
          <w:tcPr>
            <w:tcW w:w="110" w:type="dxa"/>
            <w:tcBorders/>
            <w:shd w:fill="CCEEFF" w:val="clear"/>
            <w:vAlign w:val="center"/>
          </w:tcPr>
          <w:p>
            <w:pPr>
              <w:pStyle w:val="TableContents"/>
              <w:bidi w:val="0"/>
              <w:spacing w:before="0" w:after="283"/>
              <w:jc w:val="left"/>
              <w:rPr/>
            </w:pPr>
            <w:r>
              <w:rPr/>
              <w:t> </w:t>
            </w:r>
            <w:bookmarkStart w:id="649" w:name="xdx_408_eus-gaap--LesseeOperatingLeaseLi"/>
            <w:bookmarkEnd w:id="649"/>
          </w:p>
        </w:tc>
      </w:tr>
      <w:tr>
        <w:trPr/>
        <w:tc>
          <w:tcPr>
            <w:tcW w:w="471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1,386,000</w:t>
            </w:r>
          </w:p>
        </w:tc>
        <w:tc>
          <w:tcPr>
            <w:tcW w:w="110" w:type="dxa"/>
            <w:tcBorders/>
            <w:shd w:fill="FFFFFF" w:val="clear"/>
            <w:vAlign w:val="center"/>
          </w:tcPr>
          <w:p>
            <w:pPr>
              <w:pStyle w:val="TableContents"/>
              <w:bidi w:val="0"/>
              <w:spacing w:before="0" w:after="283"/>
              <w:jc w:val="left"/>
              <w:rPr/>
            </w:pPr>
            <w:r>
              <w:rPr/>
              <w:t> </w:t>
            </w:r>
            <w:bookmarkStart w:id="650" w:name="xdx_40E_eus-gaap--LesseeOperatingLeaseLi"/>
            <w:bookmarkEnd w:id="650"/>
          </w:p>
        </w:tc>
      </w:tr>
      <w:tr>
        <w:trPr/>
        <w:tc>
          <w:tcPr>
            <w:tcW w:w="471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1,767,000</w:t>
            </w:r>
          </w:p>
        </w:tc>
        <w:tc>
          <w:tcPr>
            <w:tcW w:w="110" w:type="dxa"/>
            <w:tcBorders/>
            <w:shd w:fill="CCEEFF" w:val="clear"/>
            <w:vAlign w:val="center"/>
          </w:tcPr>
          <w:p>
            <w:pPr>
              <w:pStyle w:val="TableContents"/>
              <w:bidi w:val="0"/>
              <w:spacing w:before="0" w:after="283"/>
              <w:jc w:val="left"/>
              <w:rPr/>
            </w:pPr>
            <w:r>
              <w:rPr/>
              <w:t> </w:t>
            </w:r>
            <w:bookmarkStart w:id="651" w:name="xdx_400_eus-gaap--LesseeOperatingLeaseLi"/>
            <w:bookmarkEnd w:id="651"/>
          </w:p>
        </w:tc>
      </w:tr>
      <w:tr>
        <w:trPr/>
        <w:tc>
          <w:tcPr>
            <w:tcW w:w="471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1,641,000</w:t>
            </w:r>
          </w:p>
        </w:tc>
        <w:tc>
          <w:tcPr>
            <w:tcW w:w="110" w:type="dxa"/>
            <w:tcBorders/>
            <w:shd w:fill="FFFFFF" w:val="clear"/>
            <w:vAlign w:val="center"/>
          </w:tcPr>
          <w:p>
            <w:pPr>
              <w:pStyle w:val="TableContents"/>
              <w:bidi w:val="0"/>
              <w:spacing w:before="0" w:after="283"/>
              <w:jc w:val="left"/>
              <w:rPr/>
            </w:pPr>
            <w:r>
              <w:rPr/>
              <w:t> </w:t>
            </w:r>
            <w:bookmarkStart w:id="652" w:name="xdx_40A_eus-gaap--LesseeOperatingLeaseLi"/>
            <w:bookmarkEnd w:id="652"/>
          </w:p>
        </w:tc>
      </w:tr>
      <w:tr>
        <w:trPr/>
        <w:tc>
          <w:tcPr>
            <w:tcW w:w="471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1,342,000</w:t>
            </w:r>
          </w:p>
        </w:tc>
        <w:tc>
          <w:tcPr>
            <w:tcW w:w="110" w:type="dxa"/>
            <w:tcBorders/>
            <w:shd w:fill="CCEEFF" w:val="clear"/>
            <w:vAlign w:val="center"/>
          </w:tcPr>
          <w:p>
            <w:pPr>
              <w:pStyle w:val="TableContents"/>
              <w:bidi w:val="0"/>
              <w:spacing w:before="0" w:after="283"/>
              <w:jc w:val="left"/>
              <w:rPr/>
            </w:pPr>
            <w:r>
              <w:rPr/>
              <w:t> </w:t>
            </w:r>
            <w:bookmarkStart w:id="653" w:name="xdx_401_ecustom--LesseeOperatingLeaseLia"/>
            <w:bookmarkEnd w:id="653"/>
          </w:p>
        </w:tc>
      </w:tr>
      <w:tr>
        <w:trPr/>
        <w:tc>
          <w:tcPr>
            <w:tcW w:w="471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8" w:space="0" w:color="000000"/>
            </w:tcBorders>
            <w:shd w:fill="FFFFFF" w:val="clear"/>
            <w:tcMar>
              <w:bottom w:w="28" w:type="dxa"/>
            </w:tcMar>
            <w:vAlign w:val="center"/>
          </w:tcPr>
          <w:p>
            <w:pPr>
              <w:pStyle w:val="TableContents"/>
              <w:bidi w:val="0"/>
              <w:spacing w:before="0" w:after="283"/>
              <w:jc w:val="right"/>
              <w:rPr/>
            </w:pPr>
            <w:r>
              <w:rPr/>
              <w:t>7,971,000</w:t>
            </w:r>
          </w:p>
        </w:tc>
        <w:tc>
          <w:tcPr>
            <w:tcW w:w="110" w:type="dxa"/>
            <w:tcBorders/>
            <w:shd w:fill="FFFFFF" w:val="clear"/>
            <w:vAlign w:val="center"/>
          </w:tcPr>
          <w:p>
            <w:pPr>
              <w:pStyle w:val="TableContents"/>
              <w:bidi w:val="0"/>
              <w:spacing w:before="0" w:after="283"/>
              <w:jc w:val="left"/>
              <w:rPr/>
            </w:pPr>
            <w:r>
              <w:rPr/>
              <w:t> </w:t>
            </w:r>
            <w:bookmarkStart w:id="654" w:name="xdx_401_eus-gaap--LesseeOperatingLeaseLi"/>
            <w:bookmarkEnd w:id="654"/>
          </w:p>
        </w:tc>
      </w:tr>
      <w:tr>
        <w:trPr/>
        <w:tc>
          <w:tcPr>
            <w:tcW w:w="4715" w:type="dxa"/>
            <w:tcBorders/>
            <w:shd w:fill="CCEEFF" w:val="clear"/>
            <w:vAlign w:val="center"/>
          </w:tcPr>
          <w:p>
            <w:pPr>
              <w:pStyle w:val="TableContents"/>
              <w:bidi w:val="0"/>
              <w:spacing w:before="0" w:after="283"/>
              <w:jc w:val="left"/>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14,436,000</w:t>
            </w:r>
          </w:p>
        </w:tc>
        <w:tc>
          <w:tcPr>
            <w:tcW w:w="110" w:type="dxa"/>
            <w:tcBorders/>
            <w:shd w:fill="CCEEFF" w:val="clear"/>
            <w:vAlign w:val="center"/>
          </w:tcPr>
          <w:p>
            <w:pPr>
              <w:pStyle w:val="TableContents"/>
              <w:bidi w:val="0"/>
              <w:spacing w:before="0" w:after="283"/>
              <w:jc w:val="left"/>
              <w:rPr/>
            </w:pPr>
            <w:r>
              <w:rPr/>
              <w:t> </w:t>
            </w:r>
            <w:bookmarkStart w:id="655" w:name="xdx_400_eus-gaap--LesseeOperatingLeaseLi"/>
            <w:bookmarkEnd w:id="655"/>
          </w:p>
        </w:tc>
      </w:tr>
      <w:tr>
        <w:trPr/>
        <w:tc>
          <w:tcPr>
            <w:tcW w:w="4715" w:type="dxa"/>
            <w:tcBorders/>
            <w:shd w:fill="FFFFFF" w:val="clear"/>
            <w:vAlign w:val="center"/>
          </w:tcPr>
          <w:p>
            <w:pPr>
              <w:pStyle w:val="TableContents"/>
              <w:bidi w:val="0"/>
              <w:spacing w:before="0" w:after="283"/>
              <w:jc w:val="left"/>
              <w:rPr/>
            </w:pPr>
            <w:r>
              <w:rPr/>
              <w:t>Less: amount representing interest payments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8" w:space="0" w:color="000000"/>
            </w:tcBorders>
            <w:shd w:fill="FFFFFF" w:val="clear"/>
            <w:tcMar>
              <w:bottom w:w="28" w:type="dxa"/>
            </w:tcMar>
            <w:vAlign w:val="center"/>
          </w:tcPr>
          <w:p>
            <w:pPr>
              <w:pStyle w:val="TableContents"/>
              <w:bidi w:val="0"/>
              <w:spacing w:before="0" w:after="283"/>
              <w:jc w:val="right"/>
              <w:rPr/>
            </w:pPr>
            <w:r>
              <w:rPr/>
              <w:t>(4,429,000</w:t>
            </w:r>
          </w:p>
        </w:tc>
        <w:tc>
          <w:tcPr>
            <w:tcW w:w="110" w:type="dxa"/>
            <w:tcBorders/>
            <w:shd w:fill="FFFFFF" w:val="clear"/>
            <w:vAlign w:val="center"/>
          </w:tcPr>
          <w:p>
            <w:pPr>
              <w:pStyle w:val="TableContents"/>
              <w:bidi w:val="0"/>
              <w:spacing w:before="0" w:after="283"/>
              <w:jc w:val="left"/>
              <w:rPr/>
            </w:pPr>
            <w:r>
              <w:rPr/>
              <w:t>)</w:t>
            </w:r>
            <w:bookmarkStart w:id="656" w:name="xdx_406_eus-gaap--OperatingLeaseLiabilit"/>
            <w:bookmarkEnd w:id="656"/>
          </w:p>
        </w:tc>
      </w:tr>
      <w:tr>
        <w:trPr/>
        <w:tc>
          <w:tcPr>
            <w:tcW w:w="4715" w:type="dxa"/>
            <w:tcBorders/>
            <w:shd w:fill="CCEEFF" w:val="clear"/>
            <w:vAlign w:val="center"/>
          </w:tcPr>
          <w:p>
            <w:pPr>
              <w:pStyle w:val="TableContents"/>
              <w:bidi w:val="0"/>
              <w:spacing w:before="0" w:after="283"/>
              <w:jc w:val="left"/>
              <w:rPr/>
            </w:pPr>
            <w:r>
              <w:rPr/>
              <w:t>Total operating lease obligations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10,007,000</w:t>
            </w:r>
          </w:p>
        </w:tc>
        <w:tc>
          <w:tcPr>
            <w:tcW w:w="110" w:type="dxa"/>
            <w:tcBorders/>
            <w:shd w:fill="CCEEFF" w:val="clear"/>
            <w:vAlign w:val="center"/>
          </w:tcPr>
          <w:p>
            <w:pPr>
              <w:pStyle w:val="TableContents"/>
              <w:bidi w:val="0"/>
              <w:spacing w:before="0" w:after="283"/>
              <w:jc w:val="left"/>
              <w:rPr/>
            </w:pPr>
            <w:r>
              <w:rPr/>
              <w:t> </w:t>
            </w:r>
            <w:bookmarkStart w:id="657" w:name="xdx_40E_eus-gaap--OperatingLeaseLiabilit"/>
            <w:bookmarkEnd w:id="657"/>
          </w:p>
        </w:tc>
      </w:tr>
      <w:tr>
        <w:trPr/>
        <w:tc>
          <w:tcPr>
            <w:tcW w:w="4715" w:type="dxa"/>
            <w:tcBorders/>
            <w:shd w:fill="FFFFFF" w:val="clear"/>
            <w:vAlign w:val="center"/>
          </w:tcPr>
          <w:p>
            <w:pPr>
              <w:pStyle w:val="TableContents"/>
              <w:bidi w:val="0"/>
              <w:spacing w:before="0" w:after="283"/>
              <w:jc w:val="left"/>
              <w:rPr/>
            </w:pPr>
            <w:r>
              <w:rPr/>
              <w:t>Less: current portion, operating lease obligations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8" w:space="0" w:color="000000"/>
            </w:tcBorders>
            <w:shd w:fill="FFFFFF" w:val="clear"/>
            <w:tcMar>
              <w:bottom w:w="28" w:type="dxa"/>
            </w:tcMar>
            <w:vAlign w:val="center"/>
          </w:tcPr>
          <w:p>
            <w:pPr>
              <w:pStyle w:val="TableContents"/>
              <w:bidi w:val="0"/>
              <w:spacing w:before="0" w:after="283"/>
              <w:jc w:val="right"/>
              <w:rPr/>
            </w:pPr>
            <w:r>
              <w:rPr/>
              <w:t>(507,000</w:t>
            </w:r>
          </w:p>
        </w:tc>
        <w:tc>
          <w:tcPr>
            <w:tcW w:w="110" w:type="dxa"/>
            <w:tcBorders/>
            <w:shd w:fill="FFFFFF" w:val="clear"/>
            <w:vAlign w:val="center"/>
          </w:tcPr>
          <w:p>
            <w:pPr>
              <w:pStyle w:val="TableContents"/>
              <w:bidi w:val="0"/>
              <w:spacing w:before="0" w:after="283"/>
              <w:jc w:val="left"/>
              <w:rPr/>
            </w:pPr>
            <w:r>
              <w:rPr/>
              <w:t>)</w:t>
            </w:r>
            <w:bookmarkStart w:id="658" w:name="xdx_40C_eus-gaap--OperatingLeaseLiabilit"/>
            <w:bookmarkEnd w:id="658"/>
          </w:p>
        </w:tc>
      </w:tr>
      <w:tr>
        <w:trPr/>
        <w:tc>
          <w:tcPr>
            <w:tcW w:w="4715" w:type="dxa"/>
            <w:tcBorders/>
            <w:shd w:fill="CCEEFF" w:val="clear"/>
            <w:vAlign w:val="center"/>
          </w:tcPr>
          <w:p>
            <w:pPr>
              <w:pStyle w:val="TableContents"/>
              <w:bidi w:val="0"/>
              <w:spacing w:before="0" w:after="283"/>
              <w:jc w:val="left"/>
              <w:rPr/>
            </w:pPr>
            <w:r>
              <w:rPr/>
              <w:t>Operating lease obligations, net of current portion</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pPr>
            <w:r>
              <w:rPr/>
              <w:t>9,500,000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9" w:name="xdx_8AA_zmkrYMe7Zfqg"/>
      <w:bookmarkEnd w:id="65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60" w:name="xdx_80F_eus-gaap--ShareholdersEquityAndS"/>
      <w:bookmarkEnd w:id="660"/>
      <w:r>
        <w:rPr>
          <w:rFonts w:ascii="Times New Roman;Times;Serif" w:hAnsi="Times New Roman;Times;Serif"/>
          <w:b/>
          <w:i w:val="false"/>
          <w:caps w:val="false"/>
          <w:smallCaps w:val="false"/>
          <w:sz w:val="20"/>
        </w:rPr>
        <w:t xml:space="preserve">NOTE 13. </w:t>
      </w:r>
      <w:bookmarkStart w:id="661" w:name="xdx_82D_zVTVBzipLOO5"/>
      <w:bookmarkEnd w:id="661"/>
      <w:r>
        <w:rPr>
          <w:rFonts w:ascii="Times New Roman;Times;Serif" w:hAnsi="Times New Roman;Times;Serif"/>
          <w:b/>
          <w:i w:val="false"/>
          <w:caps w:val="false"/>
          <w:smallCaps w:val="false"/>
          <w:sz w:val="20"/>
        </w:rPr>
        <w:t xml:space="preserve">STOCKHOLDERS’ EQUITY AND STOCK-BASED COMPENSATION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the Company issued </w:t>
      </w:r>
      <w:bookmarkStart w:id="662" w:name="xdx_901_eus-gaap--StockIssuedDuringPerio"/>
      <w:bookmarkEnd w:id="662"/>
      <w:r>
        <w:rPr>
          <w:rFonts w:ascii="Times New Roman;Times;Serif" w:hAnsi="Times New Roman;Times;Serif"/>
          <w:b w:val="false"/>
          <w:i w:val="false"/>
          <w:caps w:val="false"/>
          <w:smallCaps w:val="false"/>
          <w:sz w:val="20"/>
        </w:rPr>
        <w:t>141,628 shares of common stock and received proceeds of $</w:t>
      </w:r>
      <w:bookmarkStart w:id="663" w:name="xdx_902_eus-gaap--ProceedsFromStockOptio"/>
      <w:bookmarkEnd w:id="663"/>
      <w:r>
        <w:rPr>
          <w:rFonts w:ascii="Times New Roman;Times;Serif" w:hAnsi="Times New Roman;Times;Serif"/>
          <w:b w:val="false"/>
          <w:i w:val="false"/>
          <w:caps w:val="false"/>
          <w:smallCaps w:val="false"/>
          <w:sz w:val="20"/>
        </w:rPr>
        <w:t xml:space="preserve">1,005,000 upon the exercise of options to purchase </w:t>
      </w:r>
      <w:bookmarkStart w:id="664" w:name="xdx_904_eus-gaap--StockIssuedDuringPerio"/>
      <w:bookmarkEnd w:id="664"/>
      <w:r>
        <w:rPr>
          <w:rFonts w:ascii="Times New Roman;Times;Serif" w:hAnsi="Times New Roman;Times;Serif"/>
          <w:b w:val="false"/>
          <w:i w:val="false"/>
          <w:caps w:val="false"/>
          <w:smallCaps w:val="false"/>
          <w:sz w:val="20"/>
        </w:rPr>
        <w:t>141,628 shares of common stock with exercise prices ranging from $</w:t>
      </w:r>
      <w:bookmarkStart w:id="665" w:name="xdx_906_eus-gaap--ShareBasedCompensation"/>
      <w:bookmarkEnd w:id="665"/>
      <w:r>
        <w:rPr>
          <w:rFonts w:ascii="Times New Roman;Times;Serif" w:hAnsi="Times New Roman;Times;Serif"/>
          <w:b w:val="false"/>
          <w:i w:val="false"/>
          <w:caps w:val="false"/>
          <w:smallCaps w:val="false"/>
          <w:sz w:val="20"/>
        </w:rPr>
        <w:t>1.70 to $</w:t>
      </w:r>
      <w:bookmarkStart w:id="666" w:name="xdx_90D_eus-gaap--ShareBasedCompensation"/>
      <w:bookmarkEnd w:id="666"/>
      <w:r>
        <w:rPr>
          <w:rFonts w:ascii="Times New Roman;Times;Serif" w:hAnsi="Times New Roman;Times;Serif"/>
          <w:b w:val="false"/>
          <w:i w:val="false"/>
          <w:caps w:val="false"/>
          <w:smallCaps w:val="false"/>
          <w:sz w:val="20"/>
        </w:rPr>
        <w:t>25.86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the Company issued </w:t>
      </w:r>
      <w:bookmarkStart w:id="667" w:name="xdx_90C_eus-gaap--StockIssuedDuringPerio"/>
      <w:bookmarkEnd w:id="667"/>
      <w:r>
        <w:rPr>
          <w:rFonts w:ascii="Times New Roman;Times;Serif" w:hAnsi="Times New Roman;Times;Serif"/>
          <w:b w:val="false"/>
          <w:i w:val="false"/>
          <w:caps w:val="false"/>
          <w:smallCaps w:val="false"/>
          <w:sz w:val="20"/>
        </w:rPr>
        <w:t xml:space="preserve">32,580 shares of common stock upon the cashless exercise of options to purchase </w:t>
      </w:r>
      <w:bookmarkStart w:id="668" w:name="xdx_900_eus-gaap--StockIssuedDuringPerio"/>
      <w:bookmarkEnd w:id="668"/>
      <w:r>
        <w:rPr>
          <w:rFonts w:ascii="Times New Roman;Times;Serif" w:hAnsi="Times New Roman;Times;Serif"/>
          <w:b w:val="false"/>
          <w:i w:val="false"/>
          <w:caps w:val="false"/>
          <w:smallCaps w:val="false"/>
          <w:sz w:val="20"/>
        </w:rPr>
        <w:t>39,237 shares with exercise prices ranging from $</w:t>
      </w:r>
      <w:bookmarkStart w:id="669" w:name="xdx_90C_eus-gaap--SharesIssuedPricePerSh"/>
      <w:bookmarkEnd w:id="669"/>
      <w:r>
        <w:rPr>
          <w:rFonts w:ascii="Times New Roman;Times;Serif" w:hAnsi="Times New Roman;Times;Serif"/>
          <w:b w:val="false"/>
          <w:i w:val="false"/>
          <w:caps w:val="false"/>
          <w:smallCaps w:val="false"/>
          <w:sz w:val="20"/>
        </w:rPr>
        <w:t>1.70 to $</w:t>
      </w:r>
      <w:bookmarkStart w:id="670" w:name="xdx_90E_eus-gaap--SharesIssuedPricePerSh"/>
      <w:bookmarkEnd w:id="670"/>
      <w:r>
        <w:rPr>
          <w:rFonts w:ascii="Times New Roman;Times;Serif" w:hAnsi="Times New Roman;Times;Serif"/>
          <w:b w:val="false"/>
          <w:i w:val="false"/>
          <w:caps w:val="false"/>
          <w:smallCaps w:val="false"/>
          <w:sz w:val="20"/>
        </w:rPr>
        <w:t>8.00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the Company issued </w:t>
      </w:r>
      <w:bookmarkStart w:id="671" w:name="xdx_907_eus-gaap--StockIssuedDuringPerio"/>
      <w:bookmarkEnd w:id="671"/>
      <w:r>
        <w:rPr>
          <w:rFonts w:ascii="Times New Roman;Times;Serif" w:hAnsi="Times New Roman;Times;Serif"/>
          <w:b w:val="false"/>
          <w:i w:val="false"/>
          <w:caps w:val="false"/>
          <w:smallCaps w:val="false"/>
          <w:sz w:val="20"/>
        </w:rPr>
        <w:t xml:space="preserve">44,860 shares of common stock upon the cashless exercise of options to purchase </w:t>
      </w:r>
      <w:bookmarkStart w:id="672" w:name="xdx_901_eus-gaap--StockIssuedDuringPerio"/>
      <w:bookmarkEnd w:id="672"/>
      <w:r>
        <w:rPr>
          <w:rFonts w:ascii="Times New Roman;Times;Serif" w:hAnsi="Times New Roman;Times;Serif"/>
          <w:b w:val="false"/>
          <w:i w:val="false"/>
          <w:caps w:val="false"/>
          <w:smallCaps w:val="false"/>
          <w:sz w:val="20"/>
        </w:rPr>
        <w:t>90,000 shares at an exercise price of $</w:t>
      </w:r>
      <w:bookmarkStart w:id="673" w:name="xdx_90F_eus-gaap--SharesIssuedPricePerSh"/>
      <w:bookmarkEnd w:id="673"/>
      <w:r>
        <w:rPr>
          <w:rFonts w:ascii="Times New Roman;Times;Serif" w:hAnsi="Times New Roman;Times;Serif"/>
          <w:b w:val="false"/>
          <w:i w:val="false"/>
          <w:caps w:val="false"/>
          <w:smallCaps w:val="false"/>
          <w:sz w:val="20"/>
        </w:rPr>
        <w:t xml:space="preserve">7.37. The Company withheld </w:t>
      </w:r>
      <w:bookmarkStart w:id="674" w:name="xdx_903_eus-gaap--SharesPaidForTaxWithho"/>
      <w:bookmarkEnd w:id="674"/>
      <w:r>
        <w:rPr>
          <w:rFonts w:ascii="Times New Roman;Times;Serif" w:hAnsi="Times New Roman;Times;Serif"/>
          <w:b w:val="false"/>
          <w:i w:val="false"/>
          <w:caps w:val="false"/>
          <w:smallCaps w:val="false"/>
          <w:sz w:val="20"/>
        </w:rPr>
        <w:t>29,107 shares of common stock for payroll tax withholdings totaling $</w:t>
      </w:r>
      <w:bookmarkStart w:id="675" w:name="xdx_907_eus-gaap--PaymentsRelatedToTaxWi"/>
      <w:bookmarkEnd w:id="675"/>
      <w:r>
        <w:rPr>
          <w:rFonts w:ascii="Times New Roman;Times;Serif" w:hAnsi="Times New Roman;Times;Serif"/>
          <w:b w:val="false"/>
          <w:i w:val="false"/>
          <w:caps w:val="false"/>
          <w:smallCaps w:val="false"/>
          <w:sz w:val="20"/>
        </w:rPr>
        <w:t>1,205,000.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w:t>
      </w:r>
      <w:bookmarkStart w:id="676" w:name="xdx_908_eus-gaap--ShareBasedCompensation"/>
      <w:bookmarkEnd w:id="676"/>
      <w:r>
        <w:rPr>
          <w:rFonts w:ascii="Times New Roman;Times;Serif" w:hAnsi="Times New Roman;Times;Serif"/>
          <w:b w:val="false"/>
          <w:i w:val="false"/>
          <w:caps w:val="false"/>
          <w:smallCaps w:val="false"/>
          <w:sz w:val="20"/>
        </w:rPr>
        <w:t xml:space="preserve">45,000 RSUs granted in February 2021 to Andrew R. Boll, the Company’s Chief Financial Officer, vested, and </w:t>
      </w:r>
      <w:bookmarkStart w:id="677" w:name="xdx_909_eus-gaap--StockIssuedDuringPerio"/>
      <w:bookmarkEnd w:id="677"/>
      <w:r>
        <w:rPr>
          <w:rFonts w:ascii="Times New Roman;Times;Serif" w:hAnsi="Times New Roman;Times;Serif"/>
          <w:b w:val="false"/>
          <w:i w:val="false"/>
          <w:caps w:val="false"/>
          <w:smallCaps w:val="false"/>
          <w:sz w:val="20"/>
        </w:rPr>
        <w:t xml:space="preserve">26,520 shares of the Company’s common stock were issued to Mr. Boll, net of </w:t>
      </w:r>
      <w:bookmarkStart w:id="678" w:name="xdx_906_eus-gaap--SharesPaidForTaxWithho"/>
      <w:bookmarkEnd w:id="678"/>
      <w:r>
        <w:rPr>
          <w:rFonts w:ascii="Times New Roman;Times;Serif" w:hAnsi="Times New Roman;Times;Serif"/>
          <w:b w:val="false"/>
          <w:i w:val="false"/>
          <w:caps w:val="false"/>
          <w:smallCaps w:val="false"/>
          <w:sz w:val="20"/>
        </w:rPr>
        <w:t>18,480 shares of common stock withheld for payroll tax withholdings totaling $</w:t>
      </w:r>
      <w:bookmarkStart w:id="679" w:name="xdx_90C_eus-gaap--PaymentsRelatedToTaxWi"/>
      <w:bookmarkEnd w:id="679"/>
      <w:r>
        <w:rPr>
          <w:rFonts w:ascii="Times New Roman;Times;Serif" w:hAnsi="Times New Roman;Times;Serif"/>
          <w:b w:val="false"/>
          <w:i w:val="false"/>
          <w:caps w:val="false"/>
          <w:smallCaps w:val="false"/>
          <w:sz w:val="20"/>
        </w:rPr>
        <w:t>197,000.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w:t>
      </w:r>
      <w:bookmarkStart w:id="680" w:name="xdx_90E_eus-gaap--ShareBasedCompensation"/>
      <w:bookmarkEnd w:id="680"/>
      <w:r>
        <w:rPr>
          <w:rFonts w:ascii="Times New Roman;Times;Serif" w:hAnsi="Times New Roman;Times;Serif"/>
          <w:b w:val="false"/>
          <w:i w:val="false"/>
          <w:caps w:val="false"/>
          <w:smallCaps w:val="false"/>
          <w:sz w:val="20"/>
        </w:rPr>
        <w:t xml:space="preserve">150,000 RSUs granted in February 2021 to Mark L. Baum, the Company’s Chief Executive Officer, vested, and </w:t>
      </w:r>
      <w:bookmarkStart w:id="681" w:name="xdx_903_eus-gaap--StockIssuedDuringPerio"/>
      <w:bookmarkEnd w:id="681"/>
      <w:r>
        <w:rPr>
          <w:rFonts w:ascii="Times New Roman;Times;Serif" w:hAnsi="Times New Roman;Times;Serif"/>
          <w:b w:val="false"/>
          <w:i w:val="false"/>
          <w:caps w:val="false"/>
          <w:smallCaps w:val="false"/>
          <w:sz w:val="20"/>
        </w:rPr>
        <w:t xml:space="preserve">90,164 shares of the Company’s common stock were issued to Mr. Baum, net of </w:t>
      </w:r>
      <w:bookmarkStart w:id="682" w:name="xdx_909_eus-gaap--SharesPaidForTaxWithho"/>
      <w:bookmarkEnd w:id="682"/>
      <w:r>
        <w:rPr>
          <w:rFonts w:ascii="Times New Roman;Times;Serif" w:hAnsi="Times New Roman;Times;Serif"/>
          <w:b w:val="false"/>
          <w:i w:val="false"/>
          <w:caps w:val="false"/>
          <w:smallCaps w:val="false"/>
          <w:sz w:val="20"/>
        </w:rPr>
        <w:t>59,836 shares of common stock withheld for payroll tax withholdings totaling $</w:t>
      </w:r>
      <w:bookmarkStart w:id="683" w:name="xdx_908_eus-gaap--PaymentsRelatedToTaxWi"/>
      <w:bookmarkEnd w:id="683"/>
      <w:r>
        <w:rPr>
          <w:rFonts w:ascii="Times New Roman;Times;Serif" w:hAnsi="Times New Roman;Times;Serif"/>
          <w:b w:val="false"/>
          <w:i w:val="false"/>
          <w:caps w:val="false"/>
          <w:smallCaps w:val="false"/>
          <w:sz w:val="20"/>
        </w:rPr>
        <w:t>638,000.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w:t>
      </w:r>
      <w:bookmarkStart w:id="684" w:name="xdx_90C_eus-gaap--ShareBasedCompensation"/>
      <w:bookmarkEnd w:id="684"/>
      <w:r>
        <w:rPr>
          <w:rFonts w:ascii="Times New Roman;Times;Serif" w:hAnsi="Times New Roman;Times;Serif"/>
          <w:b w:val="false"/>
          <w:i w:val="false"/>
          <w:caps w:val="false"/>
          <w:smallCaps w:val="false"/>
          <w:sz w:val="20"/>
        </w:rPr>
        <w:t xml:space="preserve">30,000 RSUs granted in February 2021 to John Saharek, the Company’s Chief Commercial Officer, vested, and </w:t>
      </w:r>
      <w:bookmarkStart w:id="685" w:name="xdx_90A_eus-gaap--StockIssuedDuringPerio"/>
      <w:bookmarkEnd w:id="685"/>
      <w:r>
        <w:rPr>
          <w:rFonts w:ascii="Times New Roman;Times;Serif" w:hAnsi="Times New Roman;Times;Serif"/>
          <w:b w:val="false"/>
          <w:i w:val="false"/>
          <w:caps w:val="false"/>
          <w:smallCaps w:val="false"/>
          <w:sz w:val="20"/>
        </w:rPr>
        <w:t xml:space="preserve">17,384 shares of the Company’s common stock were issued to Mr. Saharek, net of </w:t>
      </w:r>
      <w:bookmarkStart w:id="686" w:name="xdx_90C_eus-gaap--SharesPaidForTaxWithho"/>
      <w:bookmarkEnd w:id="686"/>
      <w:r>
        <w:rPr>
          <w:rFonts w:ascii="Times New Roman;Times;Serif" w:hAnsi="Times New Roman;Times;Serif"/>
          <w:b w:val="false"/>
          <w:i w:val="false"/>
          <w:caps w:val="false"/>
          <w:smallCaps w:val="false"/>
          <w:sz w:val="20"/>
        </w:rPr>
        <w:t>12,616 shares of common stock withheld for payroll tax withholdings totaling $</w:t>
      </w:r>
      <w:bookmarkStart w:id="687" w:name="xdx_90F_eus-gaap--PaymentsRelatedToTaxWi"/>
      <w:bookmarkEnd w:id="687"/>
      <w:r>
        <w:rPr>
          <w:rFonts w:ascii="Times New Roman;Times;Serif" w:hAnsi="Times New Roman;Times;Serif"/>
          <w:b w:val="false"/>
          <w:i w:val="false"/>
          <w:caps w:val="false"/>
          <w:smallCaps w:val="false"/>
          <w:sz w:val="20"/>
        </w:rPr>
        <w:t>135,000.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w:t>
      </w:r>
      <w:bookmarkStart w:id="688" w:name="xdx_90A_eus-gaap--ShareBasedCompensation"/>
      <w:bookmarkEnd w:id="688"/>
      <w:r>
        <w:rPr>
          <w:rFonts w:ascii="Times New Roman;Times;Serif" w:hAnsi="Times New Roman;Times;Serif"/>
          <w:b w:val="false"/>
          <w:i w:val="false"/>
          <w:caps w:val="false"/>
          <w:smallCaps w:val="false"/>
          <w:sz w:val="20"/>
        </w:rPr>
        <w:t xml:space="preserve">50,000 RSUs granted in February 2021 to various other employees, vested, and </w:t>
      </w:r>
      <w:bookmarkStart w:id="689" w:name="xdx_905_eus-gaap--StockIssuedDuringPerio"/>
      <w:bookmarkEnd w:id="689"/>
      <w:r>
        <w:rPr>
          <w:rFonts w:ascii="Times New Roman;Times;Serif" w:hAnsi="Times New Roman;Times;Serif"/>
          <w:b w:val="false"/>
          <w:i w:val="false"/>
          <w:caps w:val="false"/>
          <w:smallCaps w:val="false"/>
          <w:sz w:val="20"/>
        </w:rPr>
        <w:t xml:space="preserve">32,452 shares of the Company’s common stock were issued, net of </w:t>
      </w:r>
      <w:bookmarkStart w:id="690" w:name="xdx_907_eus-gaap--SharesPaidForTaxWithho"/>
      <w:bookmarkEnd w:id="690"/>
      <w:r>
        <w:rPr>
          <w:rFonts w:ascii="Times New Roman;Times;Serif" w:hAnsi="Times New Roman;Times;Serif"/>
          <w:b w:val="false"/>
          <w:i w:val="false"/>
          <w:caps w:val="false"/>
          <w:smallCaps w:val="false"/>
          <w:sz w:val="20"/>
        </w:rPr>
        <w:t>17,548 shares of common stock withheld for payroll tax withholdings totaling $</w:t>
      </w:r>
      <w:bookmarkStart w:id="691" w:name="xdx_90A_eus-gaap--PaymentsRelatedToTaxWi"/>
      <w:bookmarkEnd w:id="691"/>
      <w:r>
        <w:rPr>
          <w:rFonts w:ascii="Times New Roman;Times;Serif" w:hAnsi="Times New Roman;Times;Serif"/>
          <w:b w:val="false"/>
          <w:i w:val="false"/>
          <w:caps w:val="false"/>
          <w:smallCaps w:val="false"/>
          <w:sz w:val="20"/>
        </w:rPr>
        <w:t>187,000.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the Company issued </w:t>
      </w:r>
      <w:bookmarkStart w:id="692" w:name="xdx_90D_eus-gaap--StockIssuedDuringPerio"/>
      <w:bookmarkEnd w:id="692"/>
      <w:r>
        <w:rPr>
          <w:rFonts w:ascii="Times New Roman;Times;Serif" w:hAnsi="Times New Roman;Times;Serif"/>
          <w:b w:val="false"/>
          <w:i w:val="false"/>
          <w:caps w:val="false"/>
          <w:smallCaps w:val="false"/>
          <w:sz w:val="20"/>
        </w:rPr>
        <w:t xml:space="preserve">57,517 shares of its common stock underlying RSUs held by directors that ceased providing services to the Company. The RSUs had previously vested, including </w:t>
      </w:r>
      <w:bookmarkStart w:id="693" w:name="xdx_903_eus-gaap--ShareBasedCompensation"/>
      <w:bookmarkEnd w:id="693"/>
      <w:r>
        <w:rPr>
          <w:rFonts w:ascii="Times New Roman;Times;Serif" w:hAnsi="Times New Roman;Times;Serif"/>
          <w:b w:val="false"/>
          <w:i w:val="false"/>
          <w:caps w:val="false"/>
          <w:smallCaps w:val="false"/>
          <w:sz w:val="20"/>
        </w:rPr>
        <w:t>3,872 RSUs that vested during the nine months ended September 30, 2024, but the issuance and delivery of the shares were deferred until the director ceased providing services to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w:t>
      </w:r>
      <w:bookmarkStart w:id="694" w:name="xdx_907_eus-gaap--StockIssuedDuringPerio"/>
      <w:bookmarkEnd w:id="694"/>
      <w:r>
        <w:rPr>
          <w:rFonts w:ascii="Times New Roman;Times;Serif" w:hAnsi="Times New Roman;Times;Serif"/>
          <w:b w:val="false"/>
          <w:i w:val="false"/>
          <w:caps w:val="false"/>
          <w:smallCaps w:val="false"/>
          <w:sz w:val="20"/>
        </w:rPr>
        <w:t>34,008 shares of the Company’s common stock underlying RSUs issued to directors vested, but the issuance and delivery of these shares are deferred until the applicable directors cease providing services to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w:t>
      </w:r>
      <w:bookmarkStart w:id="695" w:name="xdx_90B_eus-gaap--StockIssuedDuringPerio"/>
      <w:bookmarkEnd w:id="695"/>
      <w:r>
        <w:rPr>
          <w:rFonts w:ascii="Times New Roman;Times;Serif" w:hAnsi="Times New Roman;Times;Serif"/>
          <w:b w:val="false"/>
          <w:i w:val="false"/>
          <w:caps w:val="false"/>
          <w:smallCaps w:val="false"/>
          <w:sz w:val="20"/>
        </w:rPr>
        <w:t>3,667 shares of the Company’s common stock underlying RSUs issued to consultants vested, but the issuance and delivery of these shares has not occurred.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 Option Plan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September 30, 2024, the 2017 Plan provides for the issuance of a maximum of </w:t>
      </w:r>
      <w:bookmarkStart w:id="696" w:name="xdx_906_eus-gaap--ShareBasedCompensation"/>
      <w:bookmarkEnd w:id="696"/>
      <w:r>
        <w:rPr>
          <w:rFonts w:ascii="Times New Roman;Times;Serif" w:hAnsi="Times New Roman;Times;Serif"/>
          <w:b w:val="false"/>
          <w:i w:val="false"/>
          <w:caps w:val="false"/>
          <w:smallCaps w:val="false"/>
          <w:sz w:val="20"/>
        </w:rPr>
        <w:t xml:space="preserve">6,000,000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RSUs and restricted stock. The Plans are administered by the Compensation Committee of the Company’s Board of Directors. The Company had </w:t>
      </w:r>
      <w:bookmarkStart w:id="697" w:name="xdx_90B_eus-gaap--CommonStockCapitalShar"/>
      <w:bookmarkEnd w:id="697"/>
      <w:r>
        <w:rPr>
          <w:rFonts w:ascii="Times New Roman;Times;Serif" w:hAnsi="Times New Roman;Times;Serif"/>
          <w:b w:val="false"/>
          <w:i w:val="false"/>
          <w:caps w:val="false"/>
          <w:smallCaps w:val="false"/>
          <w:sz w:val="20"/>
        </w:rPr>
        <w:t>53,344 shares available for future issuances under the 2017 Plan at September 30, 2024.</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98" w:name="xdx_896_eus-gaap--ScheduleOfShareBasedCo"/>
      <w:bookmarkEnd w:id="698"/>
      <w:r>
        <w:rPr>
          <w:rFonts w:ascii="Times New Roman;Times;Serif" w:hAnsi="Times New Roman;Times;Serif"/>
          <w:b w:val="false"/>
          <w:i w:val="false"/>
          <w:caps w:val="false"/>
          <w:smallCaps w:val="false"/>
          <w:sz w:val="20"/>
        </w:rPr>
        <w:t>A summary of stock option activity under the Plans for the nine months ended September 30, 2024 is as follows:</w:t>
      </w:r>
    </w:p>
    <w:p>
      <w:pPr>
        <w:pStyle w:val="TextBody"/>
        <w:bidi w:val="0"/>
        <w:jc w:val="left"/>
        <w:rPr>
          <w:caps w:val="false"/>
          <w:smallCaps w:val="false"/>
        </w:rPr>
      </w:pPr>
      <w:r>
        <w:rPr>
          <w:caps w:val="false"/>
          <w:smallCaps w:val="false"/>
        </w:rPr>
        <w:t> </w:t>
      </w:r>
      <w:bookmarkStart w:id="699" w:name="xdx_8B2_zIgTtFmFJymh"/>
      <w:bookmarkEnd w:id="699"/>
      <w:r>
        <w:rPr>
          <w:rFonts w:ascii="Times New Roman;Times;Serif" w:hAnsi="Times New Roman;Times;Serif"/>
          <w:b w:val="false"/>
          <w:i w:val="false"/>
          <w:caps w:val="false"/>
          <w:smallCaps w:val="false"/>
          <w:sz w:val="20"/>
        </w:rPr>
        <w:t>SCHEDULE OF STOCK OPTION PLAN ACTIVITY</w:t>
      </w:r>
    </w:p>
    <w:tbl>
      <w:tblPr>
        <w:tblW w:w="10205" w:type="dxa"/>
        <w:jc w:val="left"/>
        <w:tblInd w:w="0" w:type="dxa"/>
        <w:tblLayout w:type="fixed"/>
        <w:tblCellMar>
          <w:top w:w="0" w:type="dxa"/>
          <w:left w:w="0" w:type="dxa"/>
          <w:bottom w:w="0" w:type="dxa"/>
          <w:right w:w="0" w:type="dxa"/>
        </w:tblCellMar>
      </w:tblPr>
      <w:tblGrid>
        <w:gridCol w:w="2233"/>
        <w:gridCol w:w="60"/>
        <w:gridCol w:w="76"/>
        <w:gridCol w:w="1259"/>
        <w:gridCol w:w="95"/>
        <w:gridCol w:w="60"/>
        <w:gridCol w:w="369"/>
        <w:gridCol w:w="1479"/>
        <w:gridCol w:w="60"/>
        <w:gridCol w:w="60"/>
        <w:gridCol w:w="302"/>
        <w:gridCol w:w="2215"/>
        <w:gridCol w:w="60"/>
        <w:gridCol w:w="60"/>
        <w:gridCol w:w="195"/>
        <w:gridCol w:w="1540"/>
        <w:gridCol w:w="82"/>
      </w:tblGrid>
      <w:tr>
        <w:trPr/>
        <w:tc>
          <w:tcPr>
            <w:tcW w:w="2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82" w:type="dxa"/>
            <w:tcBorders/>
            <w:vAlign w:val="center"/>
          </w:tcPr>
          <w:p>
            <w:pPr>
              <w:pStyle w:val="TableContents"/>
              <w:bidi w:val="0"/>
              <w:spacing w:before="0" w:after="283"/>
              <w:jc w:val="left"/>
              <w:rPr/>
            </w:pPr>
            <w:r>
              <w:rPr/>
              <w:t> </w:t>
            </w:r>
          </w:p>
        </w:tc>
      </w:tr>
      <w:tr>
        <w:trPr/>
        <w:tc>
          <w:tcPr>
            <w:tcW w:w="2233" w:type="dxa"/>
            <w:tcBorders/>
            <w:shd w:fill="CCEEFF" w:val="clear"/>
            <w:vAlign w:val="center"/>
          </w:tcPr>
          <w:p>
            <w:pPr>
              <w:pStyle w:val="TableContents"/>
              <w:bidi w:val="0"/>
              <w:spacing w:before="0" w:after="283"/>
              <w:jc w:val="left"/>
              <w:rPr/>
            </w:pPr>
            <w:r>
              <w:rPr/>
              <w:t>Options outstanding – January 1, 2024</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700" w:name="xdx_981_eus-gaap--ShareBasedCompensation"/>
            <w:bookmarkEnd w:id="700"/>
          </w:p>
        </w:tc>
        <w:tc>
          <w:tcPr>
            <w:tcW w:w="1259" w:type="dxa"/>
            <w:tcBorders/>
            <w:shd w:fill="CCEEFF" w:val="clear"/>
            <w:vAlign w:val="center"/>
          </w:tcPr>
          <w:p>
            <w:pPr>
              <w:pStyle w:val="TableContents"/>
              <w:bidi w:val="0"/>
              <w:spacing w:before="0" w:after="283"/>
              <w:jc w:val="right"/>
              <w:rPr/>
            </w:pPr>
            <w:r>
              <w:rPr/>
              <w:t>2,711,317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w:t>
            </w:r>
            <w:bookmarkStart w:id="701" w:name="xdx_989_eus-gaap--ShareBasedCompensation"/>
            <w:bookmarkEnd w:id="701"/>
          </w:p>
        </w:tc>
        <w:tc>
          <w:tcPr>
            <w:tcW w:w="1479" w:type="dxa"/>
            <w:tcBorders/>
            <w:shd w:fill="CCEEFF" w:val="clear"/>
            <w:vAlign w:val="center"/>
          </w:tcPr>
          <w:p>
            <w:pPr>
              <w:pStyle w:val="TableContents"/>
              <w:bidi w:val="0"/>
              <w:spacing w:before="0" w:after="283"/>
              <w:jc w:val="right"/>
              <w:rPr/>
            </w:pPr>
            <w:r>
              <w:rPr/>
              <w:t>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22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2233"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702" w:name="xdx_98E_eus-gaap--ShareBasedCompensation"/>
            <w:bookmarkEnd w:id="702"/>
          </w:p>
        </w:tc>
        <w:tc>
          <w:tcPr>
            <w:tcW w:w="1259" w:type="dxa"/>
            <w:tcBorders/>
            <w:shd w:fill="FFFFFF" w:val="clear"/>
            <w:vAlign w:val="center"/>
          </w:tcPr>
          <w:p>
            <w:pPr>
              <w:pStyle w:val="TableContents"/>
              <w:bidi w:val="0"/>
              <w:spacing w:before="0" w:after="283"/>
              <w:jc w:val="right"/>
              <w:rPr/>
            </w:pPr>
            <w:r>
              <w:rPr/>
              <w:t>140,000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w:t>
            </w:r>
            <w:bookmarkStart w:id="703" w:name="xdx_984_eus-gaap--ShareBasedCompensation"/>
            <w:bookmarkEnd w:id="703"/>
          </w:p>
        </w:tc>
        <w:tc>
          <w:tcPr>
            <w:tcW w:w="1479" w:type="dxa"/>
            <w:tcBorders/>
            <w:shd w:fill="FFFFFF" w:val="clear"/>
            <w:vAlign w:val="center"/>
          </w:tcPr>
          <w:p>
            <w:pPr>
              <w:pStyle w:val="TableContents"/>
              <w:bidi w:val="0"/>
              <w:spacing w:before="0" w:after="283"/>
              <w:jc w:val="right"/>
              <w:rPr/>
            </w:pPr>
            <w:r>
              <w:rPr/>
              <w:t>14.72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22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2233"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704" w:name="xdx_982_eus-gaap--StockIssuedDuringPerio"/>
            <w:bookmarkEnd w:id="704"/>
          </w:p>
        </w:tc>
        <w:tc>
          <w:tcPr>
            <w:tcW w:w="1259" w:type="dxa"/>
            <w:tcBorders/>
            <w:shd w:fill="CCEEFF" w:val="clear"/>
            <w:vAlign w:val="center"/>
          </w:tcPr>
          <w:p>
            <w:pPr>
              <w:pStyle w:val="TableContents"/>
              <w:bidi w:val="0"/>
              <w:spacing w:before="0" w:after="283"/>
              <w:jc w:val="right"/>
              <w:rPr/>
            </w:pPr>
            <w:r>
              <w:rPr/>
              <w:t>(270,865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w:t>
            </w:r>
            <w:bookmarkStart w:id="705" w:name="xdx_984_eus-gaap--ShareBasedCompensation"/>
            <w:bookmarkEnd w:id="705"/>
          </w:p>
        </w:tc>
        <w:tc>
          <w:tcPr>
            <w:tcW w:w="1479" w:type="dxa"/>
            <w:tcBorders/>
            <w:shd w:fill="CCEEFF" w:val="clear"/>
            <w:vAlign w:val="center"/>
          </w:tcPr>
          <w:p>
            <w:pPr>
              <w:pStyle w:val="TableContents"/>
              <w:bidi w:val="0"/>
              <w:spacing w:before="0" w:after="283"/>
              <w:jc w:val="right"/>
              <w:rPr/>
            </w:pPr>
            <w:r>
              <w:rPr/>
              <w:t>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22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2233" w:type="dxa"/>
            <w:tcBorders/>
            <w:shd w:fill="FFFFFF" w:val="clear"/>
            <w:vAlign w:val="center"/>
          </w:tcPr>
          <w:p>
            <w:pPr>
              <w:pStyle w:val="TableContents"/>
              <w:bidi w:val="0"/>
              <w:spacing w:before="0" w:after="283"/>
              <w:jc w:val="left"/>
              <w:rPr/>
            </w:pPr>
            <w:r>
              <w:rPr/>
              <w:t>Options cancelled/forfeited</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06" w:name="xdx_98D_eus-gaap--ShareBasedCompensation"/>
            <w:bookmarkEnd w:id="706"/>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pPr>
            <w:r>
              <w:rPr/>
              <w:t>(100,063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w:t>
            </w:r>
            <w:bookmarkStart w:id="707" w:name="xdx_985_eus-gaap--ShareBasedCompensation"/>
            <w:bookmarkEnd w:id="707"/>
          </w:p>
        </w:tc>
        <w:tc>
          <w:tcPr>
            <w:tcW w:w="1479" w:type="dxa"/>
            <w:tcBorders/>
            <w:shd w:fill="FFFFFF" w:val="clear"/>
            <w:vAlign w:val="center"/>
          </w:tcPr>
          <w:p>
            <w:pPr>
              <w:pStyle w:val="TableContents"/>
              <w:bidi w:val="0"/>
              <w:spacing w:before="0" w:after="283"/>
              <w:jc w:val="right"/>
              <w:rPr/>
            </w:pPr>
            <w:r>
              <w:rPr/>
              <w:t>13.56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22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2233" w:type="dxa"/>
            <w:tcBorders/>
            <w:shd w:fill="CCEEFF" w:val="clear"/>
            <w:vAlign w:val="center"/>
          </w:tcPr>
          <w:p>
            <w:pPr>
              <w:pStyle w:val="TableContents"/>
              <w:bidi w:val="0"/>
              <w:spacing w:before="0" w:after="283"/>
              <w:jc w:val="left"/>
              <w:rPr/>
            </w:pPr>
            <w:r>
              <w:rPr/>
              <w:t>Options outstanding – September 30, 2024</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08" w:name="xdx_986_eus-gaap--ShareBasedCompensation"/>
            <w:bookmarkEnd w:id="708"/>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2,480,389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w:t>
            </w:r>
            <w:bookmarkStart w:id="709" w:name="xdx_982_eus-gaap--ShareBasedCompensation"/>
            <w:bookmarkEnd w:id="709"/>
          </w:p>
        </w:tc>
        <w:tc>
          <w:tcPr>
            <w:tcW w:w="1479" w:type="dxa"/>
            <w:tcBorders/>
            <w:shd w:fill="CCEEFF" w:val="clear"/>
            <w:vAlign w:val="center"/>
          </w:tcPr>
          <w:p>
            <w:pPr>
              <w:pStyle w:val="TableContents"/>
              <w:bidi w:val="0"/>
              <w:spacing w:before="0" w:after="283"/>
              <w:jc w:val="right"/>
              <w:rPr/>
            </w:pPr>
            <w:r>
              <w:rPr/>
              <w:t>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2215" w:type="dxa"/>
            <w:tcBorders/>
            <w:shd w:fill="CCEEFF" w:val="clear"/>
            <w:vAlign w:val="center"/>
          </w:tcPr>
          <w:p>
            <w:pPr>
              <w:pStyle w:val="TableContents"/>
              <w:bidi w:val="0"/>
              <w:spacing w:before="0" w:after="283"/>
              <w:jc w:val="right"/>
              <w:rPr/>
            </w:pPr>
            <w:bookmarkStart w:id="710" w:name="xdx_908_eus-gaap--SharebasedCompensation"/>
            <w:bookmarkEnd w:id="710"/>
            <w:r>
              <w:rPr/>
              <w:t>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bookmarkStart w:id="711" w:name="xdx_98F_eus-gaap--ShareBasedCompensation"/>
            <w:bookmarkEnd w:id="711"/>
          </w:p>
        </w:tc>
        <w:tc>
          <w:tcPr>
            <w:tcW w:w="1540" w:type="dxa"/>
            <w:tcBorders/>
            <w:shd w:fill="CCEEFF" w:val="clear"/>
            <w:vAlign w:val="center"/>
          </w:tcPr>
          <w:p>
            <w:pPr>
              <w:pStyle w:val="TableContents"/>
              <w:bidi w:val="0"/>
              <w:spacing w:before="0" w:after="283"/>
              <w:jc w:val="right"/>
              <w:rPr/>
            </w:pPr>
            <w:r>
              <w:rPr/>
              <w:t>95,807,000</w:t>
            </w:r>
          </w:p>
        </w:tc>
        <w:tc>
          <w:tcPr>
            <w:tcW w:w="82" w:type="dxa"/>
            <w:tcBorders/>
            <w:shd w:fill="CCEEFF" w:val="clear"/>
            <w:vAlign w:val="center"/>
          </w:tcPr>
          <w:p>
            <w:pPr>
              <w:pStyle w:val="TableContents"/>
              <w:bidi w:val="0"/>
              <w:spacing w:before="0" w:after="283"/>
              <w:jc w:val="left"/>
              <w:rPr/>
            </w:pPr>
            <w:r>
              <w:rPr/>
              <w:t> </w:t>
            </w:r>
          </w:p>
        </w:tc>
      </w:tr>
      <w:tr>
        <w:trPr/>
        <w:tc>
          <w:tcPr>
            <w:tcW w:w="2233" w:type="dxa"/>
            <w:tcBorders/>
            <w:shd w:fill="FFFFFF" w:val="clear"/>
            <w:vAlign w:val="center"/>
          </w:tcPr>
          <w:p>
            <w:pPr>
              <w:pStyle w:val="TableContents"/>
              <w:bidi w:val="0"/>
              <w:spacing w:before="0" w:after="283"/>
              <w:jc w:val="left"/>
              <w:rPr/>
            </w:pPr>
            <w:r>
              <w:rPr/>
              <w:t>Options exercisable</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12" w:name="xdx_98B_eus-gaap--ShareBasedCompensation"/>
            <w:bookmarkEnd w:id="712"/>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pPr>
            <w:r>
              <w:rPr/>
              <w:t>2,218,148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w:t>
            </w:r>
            <w:bookmarkStart w:id="713" w:name="xdx_98F_eus-gaap--ShareBasedCompensation"/>
            <w:bookmarkEnd w:id="713"/>
          </w:p>
        </w:tc>
        <w:tc>
          <w:tcPr>
            <w:tcW w:w="1479" w:type="dxa"/>
            <w:tcBorders/>
            <w:shd w:fill="FFFFFF" w:val="clear"/>
            <w:vAlign w:val="center"/>
          </w:tcPr>
          <w:p>
            <w:pPr>
              <w:pStyle w:val="TableContents"/>
              <w:bidi w:val="0"/>
              <w:spacing w:before="0" w:after="283"/>
              <w:jc w:val="right"/>
              <w:rPr/>
            </w:pPr>
            <w:r>
              <w:rPr/>
              <w:t>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2215" w:type="dxa"/>
            <w:tcBorders/>
            <w:shd w:fill="FFFFFF" w:val="clear"/>
            <w:vAlign w:val="center"/>
          </w:tcPr>
          <w:p>
            <w:pPr>
              <w:pStyle w:val="TableContents"/>
              <w:bidi w:val="0"/>
              <w:spacing w:before="0" w:after="283"/>
              <w:jc w:val="right"/>
              <w:rPr/>
            </w:pPr>
            <w:bookmarkStart w:id="714" w:name="xdx_90D_eus-gaap--SharebasedCompensation"/>
            <w:bookmarkEnd w:id="714"/>
            <w:r>
              <w:rPr/>
              <w:t>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bookmarkStart w:id="715" w:name="xdx_980_eus-gaap--SharebasedCompensation"/>
            <w:bookmarkEnd w:id="715"/>
          </w:p>
        </w:tc>
        <w:tc>
          <w:tcPr>
            <w:tcW w:w="1540" w:type="dxa"/>
            <w:tcBorders/>
            <w:shd w:fill="FFFFFF" w:val="clear"/>
            <w:vAlign w:val="center"/>
          </w:tcPr>
          <w:p>
            <w:pPr>
              <w:pStyle w:val="TableContents"/>
              <w:bidi w:val="0"/>
              <w:spacing w:before="0" w:after="283"/>
              <w:jc w:val="right"/>
              <w:rPr/>
            </w:pPr>
            <w:r>
              <w:rPr/>
              <w:t>87,536,000</w:t>
            </w:r>
          </w:p>
        </w:tc>
        <w:tc>
          <w:tcPr>
            <w:tcW w:w="82" w:type="dxa"/>
            <w:tcBorders/>
            <w:shd w:fill="FFFFFF" w:val="clear"/>
            <w:vAlign w:val="center"/>
          </w:tcPr>
          <w:p>
            <w:pPr>
              <w:pStyle w:val="TableContents"/>
              <w:bidi w:val="0"/>
              <w:spacing w:before="0" w:after="283"/>
              <w:jc w:val="left"/>
              <w:rPr/>
            </w:pPr>
            <w:r>
              <w:rPr/>
              <w:t> </w:t>
            </w:r>
          </w:p>
        </w:tc>
      </w:tr>
      <w:tr>
        <w:trPr/>
        <w:tc>
          <w:tcPr>
            <w:tcW w:w="2233" w:type="dxa"/>
            <w:tcBorders/>
            <w:shd w:fill="CCEEFF" w:val="clear"/>
            <w:vAlign w:val="center"/>
          </w:tcPr>
          <w:p>
            <w:pPr>
              <w:pStyle w:val="TableContents"/>
              <w:bidi w:val="0"/>
              <w:spacing w:before="0" w:after="283"/>
              <w:jc w:val="left"/>
              <w:rPr/>
            </w:pPr>
            <w:r>
              <w:rPr/>
              <w:t>Options vested and expected to vest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16" w:name="xdx_98A_eus-gaap--ShareBasedCompensation"/>
            <w:bookmarkEnd w:id="716"/>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2,444,924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w:t>
            </w:r>
            <w:bookmarkStart w:id="717" w:name="xdx_982_eus-gaap--ShareBasedCompensation"/>
            <w:bookmarkEnd w:id="717"/>
          </w:p>
        </w:tc>
        <w:tc>
          <w:tcPr>
            <w:tcW w:w="1479" w:type="dxa"/>
            <w:tcBorders/>
            <w:shd w:fill="CCEEFF" w:val="clear"/>
            <w:vAlign w:val="center"/>
          </w:tcPr>
          <w:p>
            <w:pPr>
              <w:pStyle w:val="TableContents"/>
              <w:bidi w:val="0"/>
              <w:spacing w:before="0" w:after="283"/>
              <w:jc w:val="right"/>
              <w:rPr/>
            </w:pPr>
            <w:r>
              <w:rPr/>
              <w:t>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2215" w:type="dxa"/>
            <w:tcBorders/>
            <w:shd w:fill="CCEEFF" w:val="clear"/>
            <w:vAlign w:val="center"/>
          </w:tcPr>
          <w:p>
            <w:pPr>
              <w:pStyle w:val="TableContents"/>
              <w:bidi w:val="0"/>
              <w:spacing w:before="0" w:after="283"/>
              <w:jc w:val="right"/>
              <w:rPr/>
            </w:pPr>
            <w:bookmarkStart w:id="718" w:name="xdx_90F_eus-gaap--SharebasedCompensation"/>
            <w:bookmarkEnd w:id="718"/>
            <w:r>
              <w:rPr/>
              <w:t>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bookmarkStart w:id="719" w:name="xdx_984_eus-gaap--ShareBasedCompensation"/>
            <w:bookmarkEnd w:id="719"/>
          </w:p>
        </w:tc>
        <w:tc>
          <w:tcPr>
            <w:tcW w:w="1540" w:type="dxa"/>
            <w:tcBorders/>
            <w:shd w:fill="CCEEFF" w:val="clear"/>
            <w:vAlign w:val="center"/>
          </w:tcPr>
          <w:p>
            <w:pPr>
              <w:pStyle w:val="TableContents"/>
              <w:bidi w:val="0"/>
              <w:spacing w:before="0" w:after="283"/>
              <w:jc w:val="right"/>
              <w:rPr/>
            </w:pPr>
            <w:r>
              <w:rPr/>
              <w:t>94,733,000</w:t>
            </w:r>
          </w:p>
        </w:tc>
        <w:tc>
          <w:tcPr>
            <w:tcW w:w="82"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20" w:name="xdx_8A4_zGZgW8UOnen1"/>
      <w:bookmarkEnd w:id="72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September 30, 2024, based on the closing price of the Company’s common stock of $</w:t>
      </w:r>
      <w:bookmarkStart w:id="721" w:name="xdx_909_eus-gaap--SharePrice_iI_pid_c202"/>
      <w:bookmarkEnd w:id="721"/>
      <w:r>
        <w:rPr>
          <w:rFonts w:ascii="Times New Roman;Times;Serif" w:hAnsi="Times New Roman;Times;Serif"/>
          <w:b w:val="false"/>
          <w:i w:val="false"/>
          <w:caps w:val="false"/>
          <w:smallCaps w:val="false"/>
          <w:sz w:val="20"/>
        </w:rPr>
        <w:t>44.96 on that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the Company granted stock options to certain employees. </w:t>
      </w:r>
      <w:bookmarkStart w:id="722" w:name="xdx_909_eus-gaap--ShareBasedCompensation"/>
      <w:bookmarkEnd w:id="722"/>
      <w:r>
        <w:rPr>
          <w:rFonts w:ascii="Times New Roman;Times;Serif" w:hAnsi="Times New Roman;Times;Serif"/>
          <w:b w:val="false"/>
          <w:i w:val="false"/>
          <w:caps w:val="false"/>
          <w:smallCaps w:val="false"/>
          <w:sz w:val="20"/>
        </w:rPr>
        <w:t>The stock options were granted with an exercise price equal to the current market price of the Company’s common stock, as reported by the securities exchange on which the common stock was then listed, at the grant date and have contractual terms of ten years. Vesting terms for options granted to employees during the nine months ended September 30, 2024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w:t>
      </w:r>
      <w:bookmarkStart w:id="723" w:name="xdx_907_ecustom--ShareBasedCompensationA"/>
      <w:bookmarkEnd w:id="723"/>
      <w:r>
        <w:rPr>
          <w:rFonts w:ascii="Times New Roman;Times;Serif" w:hAnsi="Times New Roman;Times;Serif"/>
          <w:b w:val="false"/>
          <w:i w:val="false"/>
          <w:caps w:val="false"/>
          <w:smallCaps w:val="false"/>
          <w:sz w:val="20"/>
        </w:rPr>
        <w:t>10%. These factors could change in the future, which would affect the determination of stock-based compensation expense in future periods.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724" w:name="xdx_89E_eus-gaap--ScheduleOfShareBasedPa"/>
      <w:bookmarkEnd w:id="724"/>
      <w:r>
        <w:rPr>
          <w:rFonts w:ascii="Times New Roman;Times;Serif" w:hAnsi="Times New Roman;Times;Serif"/>
          <w:b w:val="false"/>
          <w:i w:val="false"/>
          <w:caps w:val="false"/>
          <w:smallCaps w:val="false"/>
          <w:sz w:val="20"/>
        </w:rPr>
        <w:t>The table below illustrates the fair value per share determined using the Black-Scholes-Merton option pricing model with the following assumptions used for valuing options granted to employees:</w:t>
      </w:r>
    </w:p>
    <w:p>
      <w:pPr>
        <w:pStyle w:val="TextBody"/>
        <w:bidi w:val="0"/>
        <w:jc w:val="both"/>
        <w:rPr>
          <w:caps w:val="false"/>
          <w:smallCaps w:val="false"/>
        </w:rPr>
      </w:pPr>
      <w:r>
        <w:rPr>
          <w:caps w:val="false"/>
          <w:smallCaps w:val="false"/>
        </w:rPr>
        <w:t> </w:t>
      </w:r>
      <w:bookmarkStart w:id="725" w:name="xdx_8BC_zE0JBafZ1inl"/>
      <w:bookmarkEnd w:id="725"/>
      <w:r>
        <w:rPr>
          <w:rFonts w:ascii="Times New Roman;Times;Serif" w:hAnsi="Times New Roman;Times;Serif"/>
          <w:b w:val="false"/>
          <w:i w:val="false"/>
          <w:caps w:val="false"/>
          <w:smallCaps w:val="false"/>
          <w:sz w:val="20"/>
        </w:rPr>
        <w:t>SCHEDULE OF FAIR VALUE ASSUMPTIONS</w:t>
      </w:r>
    </w:p>
    <w:tbl>
      <w:tblPr>
        <w:tblW w:w="5345" w:type="dxa"/>
        <w:jc w:val="left"/>
        <w:tblInd w:w="0" w:type="dxa"/>
        <w:tblLayout w:type="fixed"/>
        <w:tblCellMar>
          <w:top w:w="0" w:type="dxa"/>
          <w:left w:w="0" w:type="dxa"/>
          <w:bottom w:w="0" w:type="dxa"/>
          <w:right w:w="0" w:type="dxa"/>
        </w:tblCellMar>
      </w:tblPr>
      <w:tblGrid>
        <w:gridCol w:w="3860"/>
        <w:gridCol w:w="60"/>
        <w:gridCol w:w="125"/>
        <w:gridCol w:w="1100"/>
        <w:gridCol w:w="200"/>
      </w:tblGrid>
      <w:tr>
        <w:trPr/>
        <w:tc>
          <w:tcPr>
            <w:tcW w:w="38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fair value of options granted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26" w:name="xdx_986_eus-gaap--ShareBasedCompensation"/>
            <w:bookmarkEnd w:id="726"/>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terms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27" w:name="xdx_90E_eus-gaap--SharebasedCompensation"/>
            <w:bookmarkEnd w:id="727"/>
            <w:r>
              <w:rPr>
                <w:rFonts w:ascii="Times New Roman;Times;Serif" w:hAnsi="Times New Roman;Times;Serif"/>
                <w:b w:val="false"/>
                <w:i w:val="false"/>
                <w:caps w:val="false"/>
                <w:smallCaps w:val="false"/>
                <w:sz w:val="20"/>
              </w:rPr>
              <w:t>6.11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28" w:name="xdx_900_eus-gaap--ShareBasedCompensation"/>
            <w:bookmarkEnd w:id="728"/>
            <w:r>
              <w:rPr>
                <w:rFonts w:ascii="Times New Roman;Times;Serif" w:hAnsi="Times New Roman;Times;Serif"/>
                <w:b w:val="false"/>
                <w:i w:val="false"/>
                <w:caps w:val="false"/>
                <w:smallCaps w:val="false"/>
                <w:sz w:val="20"/>
              </w:rPr>
              <w:t xml:space="preserve">67.78 - </w:t>
            </w:r>
            <w:bookmarkStart w:id="729" w:name="xdx_903_eus-gaap--ShareBasedCompensation"/>
            <w:bookmarkEnd w:id="729"/>
            <w:r>
              <w:rPr>
                <w:rFonts w:ascii="Times New Roman;Times;Serif" w:hAnsi="Times New Roman;Times;Serif"/>
                <w:b w:val="false"/>
                <w:i w:val="false"/>
                <w:caps w:val="false"/>
                <w:smallCaps w:val="false"/>
                <w:sz w:val="20"/>
              </w:rPr>
              <w:t>72.95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30" w:name="xdx_90C_eus-gaap--ShareBasedCompensation"/>
            <w:bookmarkEnd w:id="730"/>
            <w:r>
              <w:rPr>
                <w:rFonts w:ascii="Times New Roman;Times;Serif" w:hAnsi="Times New Roman;Times;Serif"/>
                <w:b w:val="false"/>
                <w:i w:val="false"/>
                <w:caps w:val="false"/>
                <w:smallCaps w:val="false"/>
                <w:sz w:val="20"/>
              </w:rPr>
              <w:t xml:space="preserve">3.72 - </w:t>
            </w:r>
            <w:bookmarkStart w:id="731" w:name="xdx_908_eus-gaap--ShareBasedCompensation"/>
            <w:bookmarkEnd w:id="731"/>
            <w:r>
              <w:rPr>
                <w:rFonts w:ascii="Times New Roman;Times;Serif" w:hAnsi="Times New Roman;Times;Serif"/>
                <w:b w:val="false"/>
                <w:i w:val="false"/>
                <w:caps w:val="false"/>
                <w:smallCaps w:val="false"/>
                <w:sz w:val="20"/>
              </w:rPr>
              <w:t>4.48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2" w:name="xdx_98E_eus-gaap--ShareBasedCompensation"/>
            <w:bookmarkEnd w:id="732"/>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bookmarkStart w:id="733" w:name="xdx_8A1_zHsFuOvk8xlg"/>
      <w:bookmarkEnd w:id="73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734" w:name="xdx_89A_eus-gaap--ScheduleOfShareBasedCo"/>
      <w:bookmarkEnd w:id="734"/>
      <w:r>
        <w:rPr>
          <w:rFonts w:ascii="Times New Roman;Times;Serif" w:hAnsi="Times New Roman;Times;Serif"/>
          <w:b w:val="false"/>
          <w:i w:val="false"/>
          <w:caps w:val="false"/>
          <w:smallCaps w:val="false"/>
          <w:sz w:val="20"/>
        </w:rPr>
        <w:t>The following table summarizes information about stock options outstanding and exercisable at September 30, 2024:</w:t>
      </w:r>
    </w:p>
    <w:p>
      <w:pPr>
        <w:pStyle w:val="TextBody"/>
        <w:bidi w:val="0"/>
        <w:jc w:val="center"/>
        <w:rPr>
          <w:rFonts w:ascii="Times New Roman;Times;Serif" w:hAnsi="Times New Roman;Times;Serif"/>
          <w:b w:val="false"/>
          <w:i w:val="false"/>
          <w:caps w:val="false"/>
          <w:smallCaps w:val="false"/>
          <w:sz w:val="20"/>
        </w:rPr>
      </w:pPr>
      <w:bookmarkStart w:id="735" w:name="xdx_8BB_zMIPXnXW7vG9"/>
      <w:bookmarkEnd w:id="735"/>
      <w:r>
        <w:rPr>
          <w:rFonts w:ascii="Times New Roman;Times;Serif" w:hAnsi="Times New Roman;Times;Serif"/>
          <w:b w:val="false"/>
          <w:i w:val="false"/>
          <w:caps w:val="false"/>
          <w:smallCaps w:val="false"/>
          <w:sz w:val="20"/>
        </w:rPr>
        <w:t>SCHEDULE OF STOCK OPTION OUTSTANDING AND EXERCISABLE </w:t>
      </w:r>
    </w:p>
    <w:tbl>
      <w:tblPr>
        <w:tblW w:w="10205" w:type="dxa"/>
        <w:jc w:val="left"/>
        <w:tblInd w:w="0" w:type="dxa"/>
        <w:tblLayout w:type="fixed"/>
        <w:tblCellMar>
          <w:top w:w="0" w:type="dxa"/>
          <w:left w:w="0" w:type="dxa"/>
          <w:bottom w:w="28" w:type="dxa"/>
          <w:right w:w="0" w:type="dxa"/>
        </w:tblCellMar>
      </w:tblPr>
      <w:tblGrid>
        <w:gridCol w:w="155"/>
        <w:gridCol w:w="1553"/>
        <w:gridCol w:w="60"/>
        <w:gridCol w:w="60"/>
        <w:gridCol w:w="60"/>
        <w:gridCol w:w="1471"/>
        <w:gridCol w:w="60"/>
        <w:gridCol w:w="60"/>
        <w:gridCol w:w="60"/>
        <w:gridCol w:w="3154"/>
        <w:gridCol w:w="60"/>
        <w:gridCol w:w="60"/>
        <w:gridCol w:w="140"/>
        <w:gridCol w:w="855"/>
        <w:gridCol w:w="60"/>
        <w:gridCol w:w="60"/>
        <w:gridCol w:w="60"/>
        <w:gridCol w:w="1025"/>
        <w:gridCol w:w="60"/>
        <w:gridCol w:w="60"/>
        <w:gridCol w:w="140"/>
        <w:gridCol w:w="855"/>
        <w:gridCol w:w="77"/>
      </w:tblGrid>
      <w:tr>
        <w:trPr/>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1553"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920" w:type="dxa"/>
            <w:gridSpan w:val="9"/>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140" w:type="dxa"/>
            <w:gridSpan w:val="5"/>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 Exercisable</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1553"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Range of Exercise Prices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71"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154"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Remaining Contractual Life in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55" w:type="dxa"/>
            <w:tcBorders>
              <w:bottom w:val="single" w:sz="8" w:space="0" w:color="000000"/>
            </w:tcBorders>
            <w:shd w:fill="FFFFFF" w:val="cle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025" w:type="dxa"/>
            <w:tcBorders>
              <w:bottom w:val="single" w:sz="8" w:space="0" w:color="000000"/>
            </w:tcBorders>
            <w:shd w:fill="FFFFFF" w:val="cle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55" w:type="dxa"/>
            <w:tcBorders>
              <w:bottom w:val="single" w:sz="8" w:space="0" w:color="000000"/>
            </w:tcBorders>
            <w:shd w:fill="FFFFFF" w:val="cle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15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736" w:name="xdx_901_eus-gaap--ShareBasedCompensation"/>
            <w:bookmarkEnd w:id="736"/>
            <w:r>
              <w:rPr>
                <w:rFonts w:ascii="Times New Roman;Times;Serif" w:hAnsi="Times New Roman;Times;Serif"/>
                <w:sz w:val="20"/>
              </w:rPr>
              <w:t>1.47 - $</w:t>
            </w:r>
            <w:bookmarkStart w:id="737" w:name="xdx_903_eus-gaap--ShareBasedCompensation"/>
            <w:bookmarkEnd w:id="737"/>
            <w:r>
              <w:rPr>
                <w:rFonts w:ascii="Times New Roman;Times;Serif" w:hAnsi="Times New Roman;Times;Serif"/>
                <w:sz w:val="20"/>
              </w:rPr>
              <w:t>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38" w:name="xdx_980_eus-gaap--ShareBasedCompensation"/>
            <w:bookmarkEnd w:id="738"/>
          </w:p>
        </w:tc>
        <w:tc>
          <w:tcPr>
            <w:tcW w:w="1471" w:type="dxa"/>
            <w:tcBorders/>
            <w:shd w:fill="CCEEFF" w:val="clear"/>
            <w:tcMar>
              <w:bottom w:w="0" w:type="dxa"/>
            </w:tcMar>
            <w:vAlign w:val="center"/>
          </w:tcPr>
          <w:p>
            <w:pPr>
              <w:pStyle w:val="TableContents"/>
              <w:bidi w:val="0"/>
              <w:spacing w:before="0" w:after="283"/>
              <w:jc w:val="right"/>
              <w:rPr/>
            </w:pPr>
            <w:r>
              <w:rPr/>
              <w:t>31,942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4" w:type="dxa"/>
            <w:tcBorders/>
            <w:shd w:fill="CCEEFF" w:val="clear"/>
            <w:tcMar>
              <w:bottom w:w="0" w:type="dxa"/>
            </w:tcMar>
            <w:vAlign w:val="center"/>
          </w:tcPr>
          <w:p>
            <w:pPr>
              <w:pStyle w:val="TableContents"/>
              <w:bidi w:val="0"/>
              <w:spacing w:before="0" w:after="283"/>
              <w:jc w:val="right"/>
              <w:rPr/>
            </w:pPr>
            <w:bookmarkStart w:id="739" w:name="xdx_90B_eus-gaap--SharebasedCompensation"/>
            <w:bookmarkEnd w:id="739"/>
            <w:r>
              <w:rPr/>
              <w:t>2.96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740" w:name="xdx_980_eus-gaap--SharebasedCompensation"/>
            <w:bookmarkEnd w:id="740"/>
          </w:p>
        </w:tc>
        <w:tc>
          <w:tcPr>
            <w:tcW w:w="855" w:type="dxa"/>
            <w:tcBorders/>
            <w:shd w:fill="CCEEFF" w:val="clear"/>
            <w:tcMar>
              <w:bottom w:w="0" w:type="dxa"/>
            </w:tcMar>
            <w:vAlign w:val="center"/>
          </w:tcPr>
          <w:p>
            <w:pPr>
              <w:pStyle w:val="TableContents"/>
              <w:bidi w:val="0"/>
              <w:spacing w:before="0" w:after="283"/>
              <w:jc w:val="right"/>
              <w:rPr/>
            </w:pPr>
            <w:r>
              <w:rPr/>
              <w:t>1.68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41" w:name="xdx_988_eus-gaap--ShareBasedCompensation"/>
            <w:bookmarkEnd w:id="741"/>
          </w:p>
        </w:tc>
        <w:tc>
          <w:tcPr>
            <w:tcW w:w="1025" w:type="dxa"/>
            <w:tcBorders/>
            <w:shd w:fill="CCEEFF" w:val="clear"/>
            <w:tcMar>
              <w:bottom w:w="0" w:type="dxa"/>
            </w:tcMar>
            <w:vAlign w:val="center"/>
          </w:tcPr>
          <w:p>
            <w:pPr>
              <w:pStyle w:val="TableContents"/>
              <w:bidi w:val="0"/>
              <w:spacing w:before="0" w:after="283"/>
              <w:jc w:val="right"/>
              <w:rPr/>
            </w:pPr>
            <w:r>
              <w:rPr/>
              <w:t>31,942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742" w:name="xdx_980_eus-gaap--SharebasedCompensation"/>
            <w:bookmarkEnd w:id="742"/>
          </w:p>
        </w:tc>
        <w:tc>
          <w:tcPr>
            <w:tcW w:w="855" w:type="dxa"/>
            <w:tcBorders/>
            <w:shd w:fill="CCEEFF" w:val="clear"/>
            <w:tcMar>
              <w:bottom w:w="0" w:type="dxa"/>
            </w:tcMar>
            <w:vAlign w:val="center"/>
          </w:tcPr>
          <w:p>
            <w:pPr>
              <w:pStyle w:val="TableContents"/>
              <w:bidi w:val="0"/>
              <w:spacing w:before="0" w:after="283"/>
              <w:jc w:val="right"/>
              <w:rPr/>
            </w:pPr>
            <w:r>
              <w:rPr/>
              <w:t>1.68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553" w:type="dxa"/>
            <w:tcBorders/>
            <w:shd w:fill="FFFFFF" w:val="clear"/>
            <w:tcMar>
              <w:bottom w:w="0" w:type="dxa"/>
            </w:tcMar>
            <w:vAlign w:val="center"/>
          </w:tcPr>
          <w:p>
            <w:pPr>
              <w:pStyle w:val="TableContents"/>
              <w:bidi w:val="0"/>
              <w:spacing w:before="0" w:after="283"/>
              <w:jc w:val="right"/>
              <w:rPr/>
            </w:pPr>
            <w:bookmarkStart w:id="743" w:name="xdx_904_eus-gaap--ShareBasedCompensation"/>
            <w:bookmarkEnd w:id="743"/>
            <w:r>
              <w:rPr/>
              <w:t>1.73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44" w:name="xdx_985_eus-gaap--ShareBasedCompensation"/>
            <w:bookmarkEnd w:id="744"/>
          </w:p>
        </w:tc>
        <w:tc>
          <w:tcPr>
            <w:tcW w:w="1471"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4" w:type="dxa"/>
            <w:tcBorders/>
            <w:shd w:fill="FFFFFF" w:val="clear"/>
            <w:tcMar>
              <w:bottom w:w="0" w:type="dxa"/>
            </w:tcMar>
            <w:vAlign w:val="center"/>
          </w:tcPr>
          <w:p>
            <w:pPr>
              <w:pStyle w:val="TableContents"/>
              <w:bidi w:val="0"/>
              <w:spacing w:before="0" w:after="283"/>
              <w:jc w:val="right"/>
              <w:rPr/>
            </w:pPr>
            <w:bookmarkStart w:id="745" w:name="xdx_90B_eus-gaap--SharebasedCompensation"/>
            <w:bookmarkEnd w:id="745"/>
            <w:r>
              <w:rPr/>
              <w:t>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746" w:name="xdx_98D_eus-gaap--SharebasedCompensation"/>
            <w:bookmarkEnd w:id="746"/>
          </w:p>
        </w:tc>
        <w:tc>
          <w:tcPr>
            <w:tcW w:w="855" w:type="dxa"/>
            <w:tcBorders/>
            <w:shd w:fill="FFFFFF" w:val="clear"/>
            <w:tcMar>
              <w:bottom w:w="0" w:type="dxa"/>
            </w:tcMar>
            <w:vAlign w:val="center"/>
          </w:tcPr>
          <w:p>
            <w:pPr>
              <w:pStyle w:val="TableContents"/>
              <w:bidi w:val="0"/>
              <w:spacing w:before="0" w:after="283"/>
              <w:jc w:val="right"/>
              <w:rPr/>
            </w:pPr>
            <w:r>
              <w:rPr/>
              <w:t>1.73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47" w:name="xdx_982_eus-gaap--ShareBasedCompensation"/>
            <w:bookmarkEnd w:id="747"/>
          </w:p>
        </w:tc>
        <w:tc>
          <w:tcPr>
            <w:tcW w:w="1025"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748" w:name="xdx_980_eus-gaap--SharebasedCompensation"/>
            <w:bookmarkEnd w:id="748"/>
          </w:p>
        </w:tc>
        <w:tc>
          <w:tcPr>
            <w:tcW w:w="855" w:type="dxa"/>
            <w:tcBorders/>
            <w:shd w:fill="FFFFFF" w:val="clear"/>
            <w:tcMar>
              <w:bottom w:w="0" w:type="dxa"/>
            </w:tcMar>
            <w:vAlign w:val="center"/>
          </w:tcPr>
          <w:p>
            <w:pPr>
              <w:pStyle w:val="TableContents"/>
              <w:bidi w:val="0"/>
              <w:spacing w:before="0" w:after="283"/>
              <w:jc w:val="right"/>
              <w:rPr/>
            </w:pPr>
            <w:r>
              <w:rPr/>
              <w:t>1.73</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1553" w:type="dxa"/>
            <w:tcBorders/>
            <w:shd w:fill="CCEEFF" w:val="clear"/>
            <w:tcMar>
              <w:bottom w:w="0" w:type="dxa"/>
            </w:tcMar>
            <w:vAlign w:val="center"/>
          </w:tcPr>
          <w:p>
            <w:pPr>
              <w:pStyle w:val="TableContents"/>
              <w:bidi w:val="0"/>
              <w:spacing w:before="0" w:after="283"/>
              <w:jc w:val="right"/>
              <w:rPr/>
            </w:pPr>
            <w:bookmarkStart w:id="749" w:name="xdx_907_eus-gaap--ShareBasedCompensation"/>
            <w:bookmarkEnd w:id="749"/>
            <w:r>
              <w:rPr/>
              <w:t>2.23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50" w:name="xdx_981_eus-gaap--ShareBasedCompensation"/>
            <w:bookmarkEnd w:id="750"/>
          </w:p>
        </w:tc>
        <w:tc>
          <w:tcPr>
            <w:tcW w:w="1471" w:type="dxa"/>
            <w:tcBorders/>
            <w:shd w:fill="CCEEFF" w:val="clear"/>
            <w:tcMar>
              <w:bottom w:w="0" w:type="dxa"/>
            </w:tcMar>
            <w:vAlign w:val="center"/>
          </w:tcPr>
          <w:p>
            <w:pPr>
              <w:pStyle w:val="TableContents"/>
              <w:bidi w:val="0"/>
              <w:spacing w:before="0" w:after="283"/>
              <w:jc w:val="right"/>
              <w:rPr/>
            </w:pPr>
            <w:r>
              <w:rPr/>
              <w:t>270,000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4" w:type="dxa"/>
            <w:tcBorders/>
            <w:shd w:fill="CCEEFF" w:val="clear"/>
            <w:tcMar>
              <w:bottom w:w="0" w:type="dxa"/>
            </w:tcMar>
            <w:vAlign w:val="center"/>
          </w:tcPr>
          <w:p>
            <w:pPr>
              <w:pStyle w:val="TableContents"/>
              <w:bidi w:val="0"/>
              <w:spacing w:before="0" w:after="283"/>
              <w:jc w:val="right"/>
              <w:rPr/>
            </w:pPr>
            <w:bookmarkStart w:id="751" w:name="xdx_90A_eus-gaap--SharebasedCompensation"/>
            <w:bookmarkEnd w:id="751"/>
            <w:r>
              <w:rPr/>
              <w:t>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752" w:name="xdx_98A_eus-gaap--SharebasedCompensation"/>
            <w:bookmarkEnd w:id="752"/>
          </w:p>
        </w:tc>
        <w:tc>
          <w:tcPr>
            <w:tcW w:w="855" w:type="dxa"/>
            <w:tcBorders/>
            <w:shd w:fill="CCEEFF" w:val="clear"/>
            <w:tcMar>
              <w:bottom w:w="0" w:type="dxa"/>
            </w:tcMar>
            <w:vAlign w:val="center"/>
          </w:tcPr>
          <w:p>
            <w:pPr>
              <w:pStyle w:val="TableContents"/>
              <w:bidi w:val="0"/>
              <w:spacing w:before="0" w:after="283"/>
              <w:jc w:val="right"/>
              <w:rPr/>
            </w:pPr>
            <w:r>
              <w:rPr/>
              <w:t>2.23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53" w:name="xdx_983_eus-gaap--ShareBasedCompensation"/>
            <w:bookmarkEnd w:id="753"/>
          </w:p>
        </w:tc>
        <w:tc>
          <w:tcPr>
            <w:tcW w:w="1025" w:type="dxa"/>
            <w:tcBorders/>
            <w:shd w:fill="CCEEFF" w:val="clear"/>
            <w:tcMar>
              <w:bottom w:w="0" w:type="dxa"/>
            </w:tcMar>
            <w:vAlign w:val="center"/>
          </w:tcPr>
          <w:p>
            <w:pPr>
              <w:pStyle w:val="TableContents"/>
              <w:bidi w:val="0"/>
              <w:spacing w:before="0" w:after="283"/>
              <w:jc w:val="right"/>
              <w:rPr/>
            </w:pPr>
            <w:r>
              <w:rPr/>
              <w:t>270,000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754" w:name="xdx_98E_eus-gaap--SharebasedCompensation"/>
            <w:bookmarkEnd w:id="754"/>
          </w:p>
        </w:tc>
        <w:tc>
          <w:tcPr>
            <w:tcW w:w="855" w:type="dxa"/>
            <w:tcBorders/>
            <w:shd w:fill="CCEEFF" w:val="clear"/>
            <w:tcMar>
              <w:bottom w:w="0" w:type="dxa"/>
            </w:tcMar>
            <w:vAlign w:val="center"/>
          </w:tcPr>
          <w:p>
            <w:pPr>
              <w:pStyle w:val="TableContents"/>
              <w:bidi w:val="0"/>
              <w:spacing w:before="0" w:after="283"/>
              <w:jc w:val="right"/>
              <w:rPr/>
            </w:pPr>
            <w:r>
              <w:rPr/>
              <w:t>2.23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5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755" w:name="xdx_902_eus-gaap--ShareBasedCompensation"/>
            <w:bookmarkEnd w:id="755"/>
            <w:r>
              <w:rPr>
                <w:rFonts w:ascii="Times New Roman;Times;Serif" w:hAnsi="Times New Roman;Times;Serif"/>
                <w:sz w:val="20"/>
              </w:rPr>
              <w:t>2.40 - $</w:t>
            </w:r>
            <w:bookmarkStart w:id="756" w:name="xdx_90E_eus-gaap--ShareBasedCompensation"/>
            <w:bookmarkEnd w:id="756"/>
            <w:r>
              <w:rPr>
                <w:rFonts w:ascii="Times New Roman;Times;Serif" w:hAnsi="Times New Roman;Times;Serif"/>
                <w:sz w:val="20"/>
              </w:rPr>
              <w:t>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57" w:name="xdx_985_eus-gaap--ShareBasedCompensation"/>
            <w:bookmarkEnd w:id="757"/>
          </w:p>
        </w:tc>
        <w:tc>
          <w:tcPr>
            <w:tcW w:w="1471" w:type="dxa"/>
            <w:tcBorders/>
            <w:shd w:fill="FFFFFF" w:val="clear"/>
            <w:tcMar>
              <w:bottom w:w="0" w:type="dxa"/>
            </w:tcMar>
            <w:vAlign w:val="center"/>
          </w:tcPr>
          <w:p>
            <w:pPr>
              <w:pStyle w:val="TableContents"/>
              <w:bidi w:val="0"/>
              <w:spacing w:before="0" w:after="283"/>
              <w:jc w:val="right"/>
              <w:rPr/>
            </w:pPr>
            <w:r>
              <w:rPr/>
              <w:t>14,068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4" w:type="dxa"/>
            <w:tcBorders/>
            <w:shd w:fill="FFFFFF" w:val="clear"/>
            <w:tcMar>
              <w:bottom w:w="0" w:type="dxa"/>
            </w:tcMar>
            <w:vAlign w:val="center"/>
          </w:tcPr>
          <w:p>
            <w:pPr>
              <w:pStyle w:val="TableContents"/>
              <w:bidi w:val="0"/>
              <w:spacing w:before="0" w:after="283"/>
              <w:jc w:val="right"/>
              <w:rPr/>
            </w:pPr>
            <w:bookmarkStart w:id="758" w:name="xdx_90C_eus-gaap--SharebasedCompensation"/>
            <w:bookmarkEnd w:id="758"/>
            <w:r>
              <w:rPr/>
              <w:t>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759" w:name="xdx_984_eus-gaap--SharebasedCompensation"/>
            <w:bookmarkEnd w:id="759"/>
          </w:p>
        </w:tc>
        <w:tc>
          <w:tcPr>
            <w:tcW w:w="855" w:type="dxa"/>
            <w:tcBorders/>
            <w:shd w:fill="FFFFFF" w:val="clear"/>
            <w:tcMar>
              <w:bottom w:w="0" w:type="dxa"/>
            </w:tcMar>
            <w:vAlign w:val="center"/>
          </w:tcPr>
          <w:p>
            <w:pPr>
              <w:pStyle w:val="TableContents"/>
              <w:bidi w:val="0"/>
              <w:spacing w:before="0" w:after="283"/>
              <w:jc w:val="right"/>
              <w:rPr/>
            </w:pPr>
            <w:r>
              <w:rPr/>
              <w:t>2.57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60" w:name="xdx_987_eus-gaap--ShareBasedCompensation"/>
            <w:bookmarkEnd w:id="760"/>
          </w:p>
        </w:tc>
        <w:tc>
          <w:tcPr>
            <w:tcW w:w="1025" w:type="dxa"/>
            <w:tcBorders/>
            <w:shd w:fill="FFFFFF" w:val="clear"/>
            <w:tcMar>
              <w:bottom w:w="0" w:type="dxa"/>
            </w:tcMar>
            <w:vAlign w:val="center"/>
          </w:tcPr>
          <w:p>
            <w:pPr>
              <w:pStyle w:val="TableContents"/>
              <w:bidi w:val="0"/>
              <w:spacing w:before="0" w:after="283"/>
              <w:jc w:val="right"/>
              <w:rPr/>
            </w:pPr>
            <w:r>
              <w:rPr/>
              <w:t>14,068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761" w:name="xdx_98B_eus-gaap--SharebasedCompensation"/>
            <w:bookmarkEnd w:id="761"/>
          </w:p>
        </w:tc>
        <w:tc>
          <w:tcPr>
            <w:tcW w:w="855" w:type="dxa"/>
            <w:tcBorders/>
            <w:shd w:fill="FFFFFF" w:val="clear"/>
            <w:tcMar>
              <w:bottom w:w="0" w:type="dxa"/>
            </w:tcMar>
            <w:vAlign w:val="center"/>
          </w:tcPr>
          <w:p>
            <w:pPr>
              <w:pStyle w:val="TableContents"/>
              <w:bidi w:val="0"/>
              <w:spacing w:before="0" w:after="283"/>
              <w:jc w:val="right"/>
              <w:rPr/>
            </w:pPr>
            <w:r>
              <w:rPr/>
              <w:t>2.57</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1553" w:type="dxa"/>
            <w:tcBorders/>
            <w:shd w:fill="CCEEFF" w:val="clear"/>
            <w:tcMar>
              <w:bottom w:w="0" w:type="dxa"/>
            </w:tcMar>
            <w:vAlign w:val="center"/>
          </w:tcPr>
          <w:p>
            <w:pPr>
              <w:pStyle w:val="TableContents"/>
              <w:bidi w:val="0"/>
              <w:spacing w:before="0" w:after="283"/>
              <w:jc w:val="right"/>
              <w:rPr/>
            </w:pPr>
            <w:bookmarkStart w:id="762" w:name="xdx_900_eus-gaap--ShareBasedCompensation"/>
            <w:bookmarkEnd w:id="762"/>
            <w:r>
              <w:rPr/>
              <w:t>3.95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63" w:name="xdx_98E_eus-gaap--ShareBasedCompensation"/>
            <w:bookmarkEnd w:id="763"/>
          </w:p>
        </w:tc>
        <w:tc>
          <w:tcPr>
            <w:tcW w:w="1471" w:type="dxa"/>
            <w:tcBorders/>
            <w:shd w:fill="CCEEFF" w:val="clear"/>
            <w:tcMar>
              <w:bottom w:w="0" w:type="dxa"/>
            </w:tcMar>
            <w:vAlign w:val="center"/>
          </w:tcPr>
          <w:p>
            <w:pPr>
              <w:pStyle w:val="TableContents"/>
              <w:bidi w:val="0"/>
              <w:spacing w:before="0" w:after="283"/>
              <w:jc w:val="right"/>
              <w:rPr/>
            </w:pPr>
            <w:r>
              <w:rPr/>
              <w:t>308,500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4" w:type="dxa"/>
            <w:tcBorders/>
            <w:shd w:fill="CCEEFF" w:val="clear"/>
            <w:tcMar>
              <w:bottom w:w="0" w:type="dxa"/>
            </w:tcMar>
            <w:vAlign w:val="center"/>
          </w:tcPr>
          <w:p>
            <w:pPr>
              <w:pStyle w:val="TableContents"/>
              <w:bidi w:val="0"/>
              <w:spacing w:before="0" w:after="283"/>
              <w:jc w:val="right"/>
              <w:rPr/>
            </w:pPr>
            <w:bookmarkStart w:id="764" w:name="xdx_90D_eus-gaap--SharebasedCompensation"/>
            <w:bookmarkEnd w:id="764"/>
            <w:r>
              <w:rPr/>
              <w:t>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765" w:name="xdx_98D_eus-gaap--SharebasedCompensation"/>
            <w:bookmarkEnd w:id="765"/>
          </w:p>
        </w:tc>
        <w:tc>
          <w:tcPr>
            <w:tcW w:w="855" w:type="dxa"/>
            <w:tcBorders/>
            <w:shd w:fill="CCEEFF" w:val="clear"/>
            <w:tcMar>
              <w:bottom w:w="0" w:type="dxa"/>
            </w:tcMar>
            <w:vAlign w:val="center"/>
          </w:tcPr>
          <w:p>
            <w:pPr>
              <w:pStyle w:val="TableContents"/>
              <w:bidi w:val="0"/>
              <w:spacing w:before="0" w:after="283"/>
              <w:jc w:val="right"/>
              <w:rPr/>
            </w:pPr>
            <w:r>
              <w:rPr/>
              <w:t>3.95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66" w:name="xdx_988_eus-gaap--ShareBasedCompensation"/>
            <w:bookmarkEnd w:id="766"/>
          </w:p>
        </w:tc>
        <w:tc>
          <w:tcPr>
            <w:tcW w:w="1025" w:type="dxa"/>
            <w:tcBorders/>
            <w:shd w:fill="CCEEFF" w:val="clear"/>
            <w:tcMar>
              <w:bottom w:w="0" w:type="dxa"/>
            </w:tcMar>
            <w:vAlign w:val="center"/>
          </w:tcPr>
          <w:p>
            <w:pPr>
              <w:pStyle w:val="TableContents"/>
              <w:bidi w:val="0"/>
              <w:spacing w:before="0" w:after="283"/>
              <w:jc w:val="right"/>
              <w:rPr/>
            </w:pPr>
            <w:r>
              <w:rPr/>
              <w:t>308,500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767" w:name="xdx_987_eus-gaap--SharebasedCompensation"/>
            <w:bookmarkEnd w:id="767"/>
          </w:p>
        </w:tc>
        <w:tc>
          <w:tcPr>
            <w:tcW w:w="855" w:type="dxa"/>
            <w:tcBorders/>
            <w:shd w:fill="CCEEFF" w:val="clear"/>
            <w:tcMar>
              <w:bottom w:w="0" w:type="dxa"/>
            </w:tcMar>
            <w:vAlign w:val="center"/>
          </w:tcPr>
          <w:p>
            <w:pPr>
              <w:pStyle w:val="TableContents"/>
              <w:bidi w:val="0"/>
              <w:spacing w:before="0" w:after="283"/>
              <w:jc w:val="right"/>
              <w:rPr/>
            </w:pPr>
            <w:r>
              <w:rPr/>
              <w:t>3.95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5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768" w:name="xdx_906_eus-gaap--ShareBasedCompensation"/>
            <w:bookmarkEnd w:id="768"/>
            <w:r>
              <w:rPr>
                <w:rFonts w:ascii="Times New Roman;Times;Serif" w:hAnsi="Times New Roman;Times;Serif"/>
                <w:sz w:val="20"/>
              </w:rPr>
              <w:t>4.49 - $</w:t>
            </w:r>
            <w:bookmarkStart w:id="769" w:name="xdx_90B_eus-gaap--ShareBasedCompensation"/>
            <w:bookmarkEnd w:id="769"/>
            <w:r>
              <w:rPr>
                <w:rFonts w:ascii="Times New Roman;Times;Serif" w:hAnsi="Times New Roman;Times;Serif"/>
                <w:sz w:val="20"/>
              </w:rPr>
              <w:t>5.72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70" w:name="xdx_988_eus-gaap--ShareBasedCompensation"/>
            <w:bookmarkEnd w:id="770"/>
          </w:p>
        </w:tc>
        <w:tc>
          <w:tcPr>
            <w:tcW w:w="1471" w:type="dxa"/>
            <w:tcBorders/>
            <w:shd w:fill="FFFFFF" w:val="clear"/>
            <w:tcMar>
              <w:bottom w:w="0" w:type="dxa"/>
            </w:tcMar>
            <w:vAlign w:val="center"/>
          </w:tcPr>
          <w:p>
            <w:pPr>
              <w:pStyle w:val="TableContents"/>
              <w:bidi w:val="0"/>
              <w:spacing w:before="0" w:after="283"/>
              <w:jc w:val="right"/>
              <w:rPr/>
            </w:pPr>
            <w:r>
              <w:rPr/>
              <w:t>92,300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4" w:type="dxa"/>
            <w:tcBorders/>
            <w:shd w:fill="FFFFFF" w:val="clear"/>
            <w:tcMar>
              <w:bottom w:w="0" w:type="dxa"/>
            </w:tcMar>
            <w:vAlign w:val="center"/>
          </w:tcPr>
          <w:p>
            <w:pPr>
              <w:pStyle w:val="TableContents"/>
              <w:bidi w:val="0"/>
              <w:spacing w:before="0" w:after="283"/>
              <w:jc w:val="right"/>
              <w:rPr/>
            </w:pPr>
            <w:bookmarkStart w:id="771" w:name="xdx_909_eus-gaap--SharebasedCompensation"/>
            <w:bookmarkEnd w:id="771"/>
            <w:r>
              <w:rPr/>
              <w:t>4.86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772" w:name="xdx_98B_eus-gaap--SharebasedCompensation"/>
            <w:bookmarkEnd w:id="772"/>
          </w:p>
        </w:tc>
        <w:tc>
          <w:tcPr>
            <w:tcW w:w="855" w:type="dxa"/>
            <w:tcBorders/>
            <w:shd w:fill="FFFFFF" w:val="clear"/>
            <w:tcMar>
              <w:bottom w:w="0" w:type="dxa"/>
            </w:tcMar>
            <w:vAlign w:val="center"/>
          </w:tcPr>
          <w:p>
            <w:pPr>
              <w:pStyle w:val="TableContents"/>
              <w:bidi w:val="0"/>
              <w:spacing w:before="0" w:after="283"/>
              <w:jc w:val="right"/>
              <w:rPr/>
            </w:pPr>
            <w:r>
              <w:rPr/>
              <w:t>5.53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73" w:name="xdx_982_eus-gaap--ShareBasedCompensation"/>
            <w:bookmarkEnd w:id="773"/>
          </w:p>
        </w:tc>
        <w:tc>
          <w:tcPr>
            <w:tcW w:w="1025" w:type="dxa"/>
            <w:tcBorders/>
            <w:shd w:fill="FFFFFF" w:val="clear"/>
            <w:tcMar>
              <w:bottom w:w="0" w:type="dxa"/>
            </w:tcMar>
            <w:vAlign w:val="center"/>
          </w:tcPr>
          <w:p>
            <w:pPr>
              <w:pStyle w:val="TableContents"/>
              <w:bidi w:val="0"/>
              <w:spacing w:before="0" w:after="283"/>
              <w:jc w:val="right"/>
              <w:rPr/>
            </w:pPr>
            <w:r>
              <w:rPr/>
              <w:t>92,300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774" w:name="xdx_982_eus-gaap--SharebasedCompensation"/>
            <w:bookmarkEnd w:id="774"/>
          </w:p>
        </w:tc>
        <w:tc>
          <w:tcPr>
            <w:tcW w:w="855" w:type="dxa"/>
            <w:tcBorders/>
            <w:shd w:fill="FFFFFF" w:val="clear"/>
            <w:tcMar>
              <w:bottom w:w="0" w:type="dxa"/>
            </w:tcMar>
            <w:vAlign w:val="center"/>
          </w:tcPr>
          <w:p>
            <w:pPr>
              <w:pStyle w:val="TableContents"/>
              <w:bidi w:val="0"/>
              <w:spacing w:before="0" w:after="283"/>
              <w:jc w:val="right"/>
              <w:rPr/>
            </w:pPr>
            <w:r>
              <w:rPr/>
              <w:t>5.53</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1553" w:type="dxa"/>
            <w:tcBorders/>
            <w:shd w:fill="CCEEFF" w:val="clear"/>
            <w:tcMar>
              <w:bottom w:w="0" w:type="dxa"/>
            </w:tcMar>
            <w:vAlign w:val="center"/>
          </w:tcPr>
          <w:p>
            <w:pPr>
              <w:pStyle w:val="TableContents"/>
              <w:bidi w:val="0"/>
              <w:spacing w:before="0" w:after="283"/>
              <w:jc w:val="right"/>
              <w:rPr/>
            </w:pPr>
            <w:bookmarkStart w:id="775" w:name="xdx_90B_eus-gaap--ShareBasedCompensation"/>
            <w:bookmarkEnd w:id="775"/>
            <w:r>
              <w:rPr/>
              <w:t>6.30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76" w:name="xdx_98C_eus-gaap--ShareBasedCompensation"/>
            <w:bookmarkEnd w:id="776"/>
          </w:p>
        </w:tc>
        <w:tc>
          <w:tcPr>
            <w:tcW w:w="1471" w:type="dxa"/>
            <w:tcBorders/>
            <w:shd w:fill="CCEEFF" w:val="clear"/>
            <w:tcMar>
              <w:bottom w:w="0" w:type="dxa"/>
            </w:tcMar>
            <w:vAlign w:val="center"/>
          </w:tcPr>
          <w:p>
            <w:pPr>
              <w:pStyle w:val="TableContents"/>
              <w:bidi w:val="0"/>
              <w:spacing w:before="0" w:after="283"/>
              <w:jc w:val="right"/>
              <w:rPr/>
            </w:pPr>
            <w:r>
              <w:rPr/>
              <w:t>285,000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4" w:type="dxa"/>
            <w:tcBorders/>
            <w:shd w:fill="CCEEFF" w:val="clear"/>
            <w:tcMar>
              <w:bottom w:w="0" w:type="dxa"/>
            </w:tcMar>
            <w:vAlign w:val="center"/>
          </w:tcPr>
          <w:p>
            <w:pPr>
              <w:pStyle w:val="TableContents"/>
              <w:bidi w:val="0"/>
              <w:spacing w:before="0" w:after="283"/>
              <w:jc w:val="right"/>
              <w:rPr/>
            </w:pPr>
            <w:bookmarkStart w:id="777" w:name="xdx_90E_eus-gaap--SharebasedCompensation"/>
            <w:bookmarkEnd w:id="777"/>
            <w:r>
              <w:rPr/>
              <w:t>4.39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778" w:name="xdx_989_eus-gaap--SharebasedCompensation"/>
            <w:bookmarkEnd w:id="778"/>
          </w:p>
        </w:tc>
        <w:tc>
          <w:tcPr>
            <w:tcW w:w="855" w:type="dxa"/>
            <w:tcBorders/>
            <w:shd w:fill="CCEEFF" w:val="clear"/>
            <w:tcMar>
              <w:bottom w:w="0" w:type="dxa"/>
            </w:tcMar>
            <w:vAlign w:val="center"/>
          </w:tcPr>
          <w:p>
            <w:pPr>
              <w:pStyle w:val="TableContents"/>
              <w:bidi w:val="0"/>
              <w:spacing w:before="0" w:after="283"/>
              <w:jc w:val="right"/>
              <w:rPr/>
            </w:pPr>
            <w:r>
              <w:rPr/>
              <w:t>6.30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79" w:name="xdx_987_eus-gaap--ShareBasedCompensation"/>
            <w:bookmarkEnd w:id="779"/>
          </w:p>
        </w:tc>
        <w:tc>
          <w:tcPr>
            <w:tcW w:w="1025" w:type="dxa"/>
            <w:tcBorders/>
            <w:shd w:fill="CCEEFF" w:val="clear"/>
            <w:tcMar>
              <w:bottom w:w="0" w:type="dxa"/>
            </w:tcMar>
            <w:vAlign w:val="center"/>
          </w:tcPr>
          <w:p>
            <w:pPr>
              <w:pStyle w:val="TableContents"/>
              <w:bidi w:val="0"/>
              <w:spacing w:before="0" w:after="283"/>
              <w:jc w:val="right"/>
              <w:rPr/>
            </w:pPr>
            <w:r>
              <w:rPr/>
              <w:t>285,000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780" w:name="xdx_984_eus-gaap--SharebasedCompensation"/>
            <w:bookmarkEnd w:id="780"/>
          </w:p>
        </w:tc>
        <w:tc>
          <w:tcPr>
            <w:tcW w:w="855" w:type="dxa"/>
            <w:tcBorders/>
            <w:shd w:fill="CCEEFF" w:val="clear"/>
            <w:tcMar>
              <w:bottom w:w="0" w:type="dxa"/>
            </w:tcMar>
            <w:vAlign w:val="center"/>
          </w:tcPr>
          <w:p>
            <w:pPr>
              <w:pStyle w:val="TableContents"/>
              <w:bidi w:val="0"/>
              <w:spacing w:before="0" w:after="283"/>
              <w:jc w:val="right"/>
              <w:rPr/>
            </w:pPr>
            <w:r>
              <w:rPr/>
              <w:t>6.30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5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781" w:name="xdx_90D_eus-gaap--ShareBasedCompensation"/>
            <w:bookmarkEnd w:id="781"/>
            <w:r>
              <w:rPr>
                <w:rFonts w:ascii="Times New Roman;Times;Serif" w:hAnsi="Times New Roman;Times;Serif"/>
                <w:sz w:val="20"/>
              </w:rPr>
              <w:t>6.75 - $</w:t>
            </w:r>
            <w:bookmarkStart w:id="782" w:name="xdx_90E_eus-gaap--ShareBasedCompensation"/>
            <w:bookmarkEnd w:id="782"/>
            <w:r>
              <w:rPr>
                <w:rFonts w:ascii="Times New Roman;Times;Serif" w:hAnsi="Times New Roman;Times;Serif"/>
                <w:sz w:val="20"/>
              </w:rPr>
              <w:t>7.26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83" w:name="xdx_986_eus-gaap--ShareBasedCompensation"/>
            <w:bookmarkEnd w:id="783"/>
          </w:p>
        </w:tc>
        <w:tc>
          <w:tcPr>
            <w:tcW w:w="1471" w:type="dxa"/>
            <w:tcBorders/>
            <w:shd w:fill="FFFFFF" w:val="clear"/>
            <w:tcMar>
              <w:bottom w:w="0" w:type="dxa"/>
            </w:tcMar>
            <w:vAlign w:val="center"/>
          </w:tcPr>
          <w:p>
            <w:pPr>
              <w:pStyle w:val="TableContents"/>
              <w:bidi w:val="0"/>
              <w:spacing w:before="0" w:after="283"/>
              <w:jc w:val="right"/>
              <w:rPr/>
            </w:pPr>
            <w:r>
              <w:rPr/>
              <w:t>46,036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4" w:type="dxa"/>
            <w:tcBorders/>
            <w:shd w:fill="FFFFFF" w:val="clear"/>
            <w:tcMar>
              <w:bottom w:w="0" w:type="dxa"/>
            </w:tcMar>
            <w:vAlign w:val="center"/>
          </w:tcPr>
          <w:p>
            <w:pPr>
              <w:pStyle w:val="TableContents"/>
              <w:bidi w:val="0"/>
              <w:spacing w:before="0" w:after="283"/>
              <w:jc w:val="right"/>
              <w:rPr/>
            </w:pPr>
            <w:bookmarkStart w:id="784" w:name="xdx_908_eus-gaap--SharebasedCompensation"/>
            <w:bookmarkEnd w:id="784"/>
            <w:r>
              <w:rPr/>
              <w:t>7.76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785" w:name="xdx_983_eus-gaap--SharebasedCompensation"/>
            <w:bookmarkEnd w:id="785"/>
          </w:p>
        </w:tc>
        <w:tc>
          <w:tcPr>
            <w:tcW w:w="855" w:type="dxa"/>
            <w:tcBorders/>
            <w:shd w:fill="FFFFFF" w:val="clear"/>
            <w:tcMar>
              <w:bottom w:w="0" w:type="dxa"/>
            </w:tcMar>
            <w:vAlign w:val="center"/>
          </w:tcPr>
          <w:p>
            <w:pPr>
              <w:pStyle w:val="TableContents"/>
              <w:bidi w:val="0"/>
              <w:spacing w:before="0" w:after="283"/>
              <w:jc w:val="right"/>
              <w:rPr/>
            </w:pPr>
            <w:r>
              <w:rPr/>
              <w:t>6.85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86" w:name="xdx_98B_eus-gaap--ShareBasedCompensation"/>
            <w:bookmarkEnd w:id="786"/>
          </w:p>
        </w:tc>
        <w:tc>
          <w:tcPr>
            <w:tcW w:w="1025" w:type="dxa"/>
            <w:tcBorders/>
            <w:shd w:fill="FFFFFF" w:val="clear"/>
            <w:tcMar>
              <w:bottom w:w="0" w:type="dxa"/>
            </w:tcMar>
            <w:vAlign w:val="center"/>
          </w:tcPr>
          <w:p>
            <w:pPr>
              <w:pStyle w:val="TableContents"/>
              <w:bidi w:val="0"/>
              <w:spacing w:before="0" w:after="283"/>
              <w:jc w:val="right"/>
              <w:rPr/>
            </w:pPr>
            <w:r>
              <w:rPr/>
              <w:t>18,162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787" w:name="xdx_982_eus-gaap--SharebasedCompensation"/>
            <w:bookmarkEnd w:id="787"/>
          </w:p>
        </w:tc>
        <w:tc>
          <w:tcPr>
            <w:tcW w:w="855" w:type="dxa"/>
            <w:tcBorders/>
            <w:shd w:fill="FFFFFF" w:val="clear"/>
            <w:tcMar>
              <w:bottom w:w="0" w:type="dxa"/>
            </w:tcMar>
            <w:vAlign w:val="center"/>
          </w:tcPr>
          <w:p>
            <w:pPr>
              <w:pStyle w:val="TableContents"/>
              <w:bidi w:val="0"/>
              <w:spacing w:before="0" w:after="283"/>
              <w:jc w:val="right"/>
              <w:rPr/>
            </w:pPr>
            <w:r>
              <w:rPr/>
              <w:t>6.77</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1553" w:type="dxa"/>
            <w:tcBorders/>
            <w:shd w:fill="CCEEFF" w:val="clear"/>
            <w:tcMar>
              <w:bottom w:w="0" w:type="dxa"/>
            </w:tcMar>
            <w:vAlign w:val="center"/>
          </w:tcPr>
          <w:p>
            <w:pPr>
              <w:pStyle w:val="TableContents"/>
              <w:bidi w:val="0"/>
              <w:spacing w:before="0" w:after="283"/>
              <w:jc w:val="right"/>
              <w:rPr/>
            </w:pPr>
            <w:bookmarkStart w:id="788" w:name="xdx_90F_eus-gaap--ShareBasedCompensation"/>
            <w:bookmarkEnd w:id="788"/>
            <w:r>
              <w:rPr/>
              <w:t>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89" w:name="xdx_981_eus-gaap--ShareBasedCompensation"/>
            <w:bookmarkEnd w:id="789"/>
          </w:p>
        </w:tc>
        <w:tc>
          <w:tcPr>
            <w:tcW w:w="1471" w:type="dxa"/>
            <w:tcBorders/>
            <w:shd w:fill="CCEEFF" w:val="clear"/>
            <w:tcMar>
              <w:bottom w:w="0" w:type="dxa"/>
            </w:tcMar>
            <w:vAlign w:val="center"/>
          </w:tcPr>
          <w:p>
            <w:pPr>
              <w:pStyle w:val="TableContents"/>
              <w:bidi w:val="0"/>
              <w:spacing w:before="0" w:after="283"/>
              <w:jc w:val="right"/>
              <w:rPr/>
            </w:pPr>
            <w:r>
              <w:rPr/>
              <w:t>274,500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4" w:type="dxa"/>
            <w:tcBorders/>
            <w:shd w:fill="CCEEFF" w:val="clear"/>
            <w:tcMar>
              <w:bottom w:w="0" w:type="dxa"/>
            </w:tcMar>
            <w:vAlign w:val="center"/>
          </w:tcPr>
          <w:p>
            <w:pPr>
              <w:pStyle w:val="TableContents"/>
              <w:bidi w:val="0"/>
              <w:spacing w:before="0" w:after="283"/>
              <w:jc w:val="right"/>
              <w:rPr/>
            </w:pPr>
            <w:bookmarkStart w:id="790" w:name="xdx_908_eus-gaap--SharebasedCompensation"/>
            <w:bookmarkEnd w:id="790"/>
            <w:r>
              <w:rPr/>
              <w:t>5.26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791" w:name="xdx_982_eus-gaap--SharebasedCompensation"/>
            <w:bookmarkEnd w:id="791"/>
          </w:p>
        </w:tc>
        <w:tc>
          <w:tcPr>
            <w:tcW w:w="855" w:type="dxa"/>
            <w:tcBorders/>
            <w:shd w:fill="CCEEFF" w:val="clear"/>
            <w:tcMar>
              <w:bottom w:w="0" w:type="dxa"/>
            </w:tcMar>
            <w:vAlign w:val="center"/>
          </w:tcPr>
          <w:p>
            <w:pPr>
              <w:pStyle w:val="TableContents"/>
              <w:bidi w:val="0"/>
              <w:spacing w:before="0" w:after="283"/>
              <w:jc w:val="right"/>
              <w:rPr/>
            </w:pPr>
            <w:r>
              <w:rPr/>
              <w:t>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92" w:name="xdx_982_eus-gaap--ShareBasedCompensation"/>
            <w:bookmarkEnd w:id="792"/>
          </w:p>
        </w:tc>
        <w:tc>
          <w:tcPr>
            <w:tcW w:w="1025" w:type="dxa"/>
            <w:tcBorders/>
            <w:shd w:fill="CCEEFF" w:val="clear"/>
            <w:tcMar>
              <w:bottom w:w="0" w:type="dxa"/>
            </w:tcMar>
            <w:vAlign w:val="center"/>
          </w:tcPr>
          <w:p>
            <w:pPr>
              <w:pStyle w:val="TableContents"/>
              <w:bidi w:val="0"/>
              <w:spacing w:before="0" w:after="283"/>
              <w:jc w:val="right"/>
              <w:rPr/>
            </w:pPr>
            <w:r>
              <w:rPr/>
              <w:t>274,500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793" w:name="xdx_98F_eus-gaap--SharebasedCompensation"/>
            <w:bookmarkEnd w:id="793"/>
          </w:p>
        </w:tc>
        <w:tc>
          <w:tcPr>
            <w:tcW w:w="855" w:type="dxa"/>
            <w:tcBorders/>
            <w:shd w:fill="CCEEFF" w:val="clear"/>
            <w:tcMar>
              <w:bottom w:w="0" w:type="dxa"/>
            </w:tcMar>
            <w:vAlign w:val="center"/>
          </w:tcPr>
          <w:p>
            <w:pPr>
              <w:pStyle w:val="TableContents"/>
              <w:bidi w:val="0"/>
              <w:spacing w:before="0" w:after="283"/>
              <w:jc w:val="right"/>
              <w:rPr/>
            </w:pPr>
            <w:r>
              <w:rPr/>
              <w:t>7.30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553" w:type="dxa"/>
            <w:tcBorders/>
            <w:shd w:fill="FFFFFF" w:val="clear"/>
            <w:tcMar>
              <w:bottom w:w="0" w:type="dxa"/>
            </w:tcMar>
            <w:vAlign w:val="center"/>
          </w:tcPr>
          <w:p>
            <w:pPr>
              <w:pStyle w:val="TableContents"/>
              <w:bidi w:val="0"/>
              <w:spacing w:before="0" w:after="283"/>
              <w:jc w:val="right"/>
              <w:rPr/>
            </w:pPr>
            <w:bookmarkStart w:id="794" w:name="xdx_904_eus-gaap--ShareBasedCompensation"/>
            <w:bookmarkEnd w:id="794"/>
            <w:r>
              <w:rPr/>
              <w:t>7.60 - $</w:t>
            </w:r>
            <w:bookmarkStart w:id="795" w:name="xdx_904_eus-gaap--ShareBasedCompensation"/>
            <w:bookmarkEnd w:id="795"/>
            <w:r>
              <w:rPr/>
              <w:t>39.63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bookmarkStart w:id="796" w:name="xdx_982_eus-gaap--ShareBasedCompensation"/>
            <w:bookmarkEnd w:id="796"/>
          </w:p>
        </w:tc>
        <w:tc>
          <w:tcPr>
            <w:tcW w:w="1471" w:type="dxa"/>
            <w:tcBorders>
              <w:bottom w:val="single" w:sz="8" w:space="0" w:color="000000"/>
            </w:tcBorders>
            <w:shd w:fill="FFFFFF" w:val="clear"/>
            <w:vAlign w:val="center"/>
          </w:tcPr>
          <w:p>
            <w:pPr>
              <w:pStyle w:val="TableContents"/>
              <w:bidi w:val="0"/>
              <w:spacing w:before="0" w:after="283"/>
              <w:jc w:val="right"/>
              <w:rPr/>
            </w:pPr>
            <w:r>
              <w:rPr/>
              <w:t>908,043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4" w:type="dxa"/>
            <w:tcBorders/>
            <w:shd w:fill="FFFFFF" w:val="clear"/>
            <w:tcMar>
              <w:bottom w:w="0" w:type="dxa"/>
            </w:tcMar>
            <w:vAlign w:val="center"/>
          </w:tcPr>
          <w:p>
            <w:pPr>
              <w:pStyle w:val="TableContents"/>
              <w:bidi w:val="0"/>
              <w:spacing w:before="0" w:after="283"/>
              <w:jc w:val="right"/>
              <w:rPr/>
            </w:pPr>
            <w:bookmarkStart w:id="797" w:name="xdx_90C_eus-gaap--SharebasedCompensation"/>
            <w:bookmarkEnd w:id="797"/>
            <w:r>
              <w:rPr/>
              <w:t>3.31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798" w:name="xdx_986_eus-gaap--SharebasedCompensation"/>
            <w:bookmarkEnd w:id="798"/>
          </w:p>
        </w:tc>
        <w:tc>
          <w:tcPr>
            <w:tcW w:w="855" w:type="dxa"/>
            <w:tcBorders/>
            <w:shd w:fill="FFFFFF" w:val="clear"/>
            <w:tcMar>
              <w:bottom w:w="0" w:type="dxa"/>
            </w:tcMar>
            <w:vAlign w:val="center"/>
          </w:tcPr>
          <w:p>
            <w:pPr>
              <w:pStyle w:val="TableContents"/>
              <w:bidi w:val="0"/>
              <w:spacing w:before="0" w:after="283"/>
              <w:jc w:val="right"/>
              <w:rPr/>
            </w:pPr>
            <w:r>
              <w:rPr/>
              <w:t>9.63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bookmarkStart w:id="799" w:name="xdx_983_eus-gaap--ShareBasedCompensation"/>
            <w:bookmarkEnd w:id="799"/>
          </w:p>
        </w:tc>
        <w:tc>
          <w:tcPr>
            <w:tcW w:w="1025" w:type="dxa"/>
            <w:tcBorders>
              <w:bottom w:val="single" w:sz="8" w:space="0" w:color="000000"/>
            </w:tcBorders>
            <w:shd w:fill="FFFFFF" w:val="clear"/>
            <w:vAlign w:val="center"/>
          </w:tcPr>
          <w:p>
            <w:pPr>
              <w:pStyle w:val="TableContents"/>
              <w:bidi w:val="0"/>
              <w:spacing w:before="0" w:after="283"/>
              <w:jc w:val="right"/>
              <w:rPr/>
            </w:pPr>
            <w:r>
              <w:rPr/>
              <w:t>673,676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800" w:name="xdx_98E_eus-gaap--SharebasedCompensation"/>
            <w:bookmarkEnd w:id="800"/>
          </w:p>
        </w:tc>
        <w:tc>
          <w:tcPr>
            <w:tcW w:w="855" w:type="dxa"/>
            <w:tcBorders/>
            <w:shd w:fill="FFFFFF" w:val="clear"/>
            <w:tcMar>
              <w:bottom w:w="0" w:type="dxa"/>
            </w:tcMar>
            <w:vAlign w:val="center"/>
          </w:tcPr>
          <w:p>
            <w:pPr>
              <w:pStyle w:val="TableContents"/>
              <w:bidi w:val="0"/>
              <w:spacing w:before="0" w:after="283"/>
              <w:jc w:val="right"/>
              <w:rPr/>
            </w:pPr>
            <w:r>
              <w:rPr/>
              <w:t>8.04</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15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801" w:name="xdx_900_eus-gaap--ShareBasedCompensation"/>
            <w:bookmarkEnd w:id="801"/>
            <w:r>
              <w:rPr>
                <w:rFonts w:ascii="Times New Roman;Times;Serif" w:hAnsi="Times New Roman;Times;Serif"/>
                <w:sz w:val="20"/>
              </w:rPr>
              <w:t>1.47 - $</w:t>
            </w:r>
            <w:bookmarkStart w:id="802" w:name="xdx_902_eus-gaap--ShareBasedCompensation"/>
            <w:bookmarkEnd w:id="802"/>
            <w:r>
              <w:rPr>
                <w:rFonts w:ascii="Times New Roman;Times;Serif" w:hAnsi="Times New Roman;Times;Serif"/>
                <w:sz w:val="20"/>
              </w:rPr>
              <w:t>39.63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803" w:name="xdx_980_eus-gaap--ShareBasedCompensation"/>
            <w:bookmarkEnd w:id="803"/>
          </w:p>
        </w:tc>
        <w:tc>
          <w:tcPr>
            <w:tcW w:w="1471" w:type="dxa"/>
            <w:tcBorders>
              <w:bottom w:val="double" w:sz="6" w:space="0" w:color="000000"/>
            </w:tcBorders>
            <w:shd w:fill="CCEEFF" w:val="clear"/>
            <w:vAlign w:val="center"/>
          </w:tcPr>
          <w:p>
            <w:pPr>
              <w:pStyle w:val="TableContents"/>
              <w:bidi w:val="0"/>
              <w:spacing w:before="0" w:after="283"/>
              <w:jc w:val="right"/>
              <w:rPr/>
            </w:pPr>
            <w:r>
              <w:rPr/>
              <w:t>2,480,389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4" w:type="dxa"/>
            <w:tcBorders/>
            <w:shd w:fill="CCEEFF" w:val="clear"/>
            <w:tcMar>
              <w:bottom w:w="0" w:type="dxa"/>
            </w:tcMar>
            <w:vAlign w:val="center"/>
          </w:tcPr>
          <w:p>
            <w:pPr>
              <w:pStyle w:val="TableContents"/>
              <w:bidi w:val="0"/>
              <w:spacing w:before="0" w:after="283"/>
              <w:jc w:val="right"/>
              <w:rPr/>
            </w:pPr>
            <w:bookmarkStart w:id="804" w:name="xdx_907_eus-gaap--SharebasedCompensation"/>
            <w:bookmarkEnd w:id="804"/>
            <w:r>
              <w:rPr/>
              <w:t>3.44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805" w:name="xdx_98A_eus-gaap--SharebasedCompensation"/>
            <w:bookmarkEnd w:id="805"/>
          </w:p>
        </w:tc>
        <w:tc>
          <w:tcPr>
            <w:tcW w:w="855" w:type="dxa"/>
            <w:tcBorders/>
            <w:shd w:fill="CCEEFF" w:val="clear"/>
            <w:tcMar>
              <w:bottom w:w="0" w:type="dxa"/>
            </w:tcMar>
            <w:vAlign w:val="center"/>
          </w:tcPr>
          <w:p>
            <w:pPr>
              <w:pStyle w:val="TableContents"/>
              <w:bidi w:val="0"/>
              <w:spacing w:before="0" w:after="283"/>
              <w:jc w:val="right"/>
              <w:rPr/>
            </w:pPr>
            <w:r>
              <w:rPr/>
              <w:t>6.33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806" w:name="xdx_98D_eus-gaap--ShareBasedCompensation"/>
            <w:bookmarkEnd w:id="806"/>
          </w:p>
        </w:tc>
        <w:tc>
          <w:tcPr>
            <w:tcW w:w="1025" w:type="dxa"/>
            <w:tcBorders>
              <w:bottom w:val="double" w:sz="6" w:space="0" w:color="000000"/>
            </w:tcBorders>
            <w:shd w:fill="CCEEFF" w:val="clear"/>
            <w:vAlign w:val="center"/>
          </w:tcPr>
          <w:p>
            <w:pPr>
              <w:pStyle w:val="TableContents"/>
              <w:bidi w:val="0"/>
              <w:spacing w:before="0" w:after="283"/>
              <w:jc w:val="right"/>
              <w:rPr/>
            </w:pPr>
            <w:r>
              <w:rPr/>
              <w:t>2,218,148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807" w:name="xdx_985_eus-gaap--SharebasedCompensation"/>
            <w:bookmarkEnd w:id="807"/>
          </w:p>
        </w:tc>
        <w:tc>
          <w:tcPr>
            <w:tcW w:w="855" w:type="dxa"/>
            <w:tcBorders/>
            <w:shd w:fill="CCEEFF" w:val="clear"/>
            <w:tcMar>
              <w:bottom w:w="0" w:type="dxa"/>
            </w:tcMar>
            <w:vAlign w:val="center"/>
          </w:tcPr>
          <w:p>
            <w:pPr>
              <w:pStyle w:val="TableContents"/>
              <w:bidi w:val="0"/>
              <w:spacing w:before="0" w:after="283"/>
              <w:jc w:val="right"/>
              <w:rPr/>
            </w:pPr>
            <w:r>
              <w:rPr/>
              <w:t>5.50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808" w:name="xdx_8AB_z5EkCop8Q301"/>
      <w:bookmarkEnd w:id="80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there was approximately $</w:t>
      </w:r>
      <w:bookmarkStart w:id="809" w:name="xdx_90F_eus-gaap--EmployeeServiceShareBa"/>
      <w:bookmarkEnd w:id="809"/>
      <w:r>
        <w:rPr>
          <w:rFonts w:ascii="Times New Roman;Times;Serif" w:hAnsi="Times New Roman;Times;Serif"/>
          <w:b w:val="false"/>
          <w:i w:val="false"/>
          <w:caps w:val="false"/>
          <w:smallCaps w:val="false"/>
          <w:sz w:val="20"/>
        </w:rPr>
        <w:t xml:space="preserve">2,071,000 of total unrecognized compensation expense related to unvested stock options granted under the Plans which is expected to be recognized over the weighted-average remaining vesting period of </w:t>
      </w:r>
      <w:bookmarkStart w:id="810" w:name="xdx_900_eus-gaap--EmployeeServiceShareBa"/>
      <w:bookmarkEnd w:id="810"/>
      <w:r>
        <w:rPr>
          <w:rFonts w:ascii="Times New Roman;Times;Serif" w:hAnsi="Times New Roman;Times;Serif"/>
          <w:b w:val="false"/>
          <w:i w:val="false"/>
          <w:caps w:val="false"/>
          <w:smallCaps w:val="false"/>
          <w:sz w:val="20"/>
        </w:rPr>
        <w:t>2.83 years. The stock-based compensation for all stock options was $</w:t>
      </w:r>
      <w:bookmarkStart w:id="811" w:name="xdx_904_eus-gaap--AllocatedShareBasedCom"/>
      <w:bookmarkEnd w:id="811"/>
      <w:r>
        <w:rPr>
          <w:rFonts w:ascii="Times New Roman;Times;Serif" w:hAnsi="Times New Roman;Times;Serif"/>
          <w:b w:val="false"/>
          <w:i w:val="false"/>
          <w:caps w:val="false"/>
          <w:smallCaps w:val="false"/>
          <w:sz w:val="20"/>
        </w:rPr>
        <w:t>160,000 and $</w:t>
      </w:r>
      <w:bookmarkStart w:id="812" w:name="xdx_908_eus-gaap--AllocatedShareBasedCom"/>
      <w:bookmarkEnd w:id="812"/>
      <w:r>
        <w:rPr>
          <w:rFonts w:ascii="Times New Roman;Times;Serif" w:hAnsi="Times New Roman;Times;Serif"/>
          <w:b w:val="false"/>
          <w:i w:val="false"/>
          <w:caps w:val="false"/>
          <w:smallCaps w:val="false"/>
          <w:sz w:val="20"/>
        </w:rPr>
        <w:t>416,000 during the three and nine months ended September 30, 2024, respectively, and $</w:t>
      </w:r>
      <w:bookmarkStart w:id="813" w:name="xdx_90E_eus-gaap--AllocatedShareBasedCom"/>
      <w:bookmarkEnd w:id="813"/>
      <w:r>
        <w:rPr>
          <w:rFonts w:ascii="Times New Roman;Times;Serif" w:hAnsi="Times New Roman;Times;Serif"/>
          <w:b w:val="false"/>
          <w:i w:val="false"/>
          <w:caps w:val="false"/>
          <w:smallCaps w:val="false"/>
          <w:sz w:val="20"/>
        </w:rPr>
        <w:t>154,000 and $</w:t>
      </w:r>
      <w:bookmarkStart w:id="814" w:name="xdx_905_eus-gaap--AllocatedShareBasedCom"/>
      <w:bookmarkEnd w:id="814"/>
      <w:r>
        <w:rPr>
          <w:rFonts w:ascii="Times New Roman;Times;Serif" w:hAnsi="Times New Roman;Times;Serif"/>
          <w:b w:val="false"/>
          <w:i w:val="false"/>
          <w:caps w:val="false"/>
          <w:smallCaps w:val="false"/>
          <w:sz w:val="20"/>
        </w:rPr>
        <w:t>617,000 during the same periods in 2023,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of options exercised during the nine months ended September 30, 2024 was $</w:t>
      </w:r>
      <w:bookmarkStart w:id="815" w:name="xdx_901_eus-gaap--ShareBasedCompensation"/>
      <w:bookmarkEnd w:id="815"/>
      <w:r>
        <w:rPr>
          <w:rFonts w:ascii="Times New Roman;Times;Serif" w:hAnsi="Times New Roman;Times;Serif"/>
          <w:b w:val="false"/>
          <w:i w:val="false"/>
          <w:caps w:val="false"/>
          <w:smallCaps w:val="false"/>
          <w:sz w:val="20"/>
        </w:rPr>
        <w:t>6,651,000.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Restricted Stock Units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awards are granted subject to certain vesting requirements and other restrictions, including time-based and performance-based vesting criteria. The grant date fair value of the RSUs, which has been determined based upon the market value of the Company’s common stock on the grant date, is expensed over the vesting period of the RSUs.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816" w:name="xdx_890_eus-gaap--ScheduleOfShareBasedCo"/>
      <w:bookmarkEnd w:id="816"/>
      <w:r>
        <w:rPr>
          <w:rFonts w:ascii="Times New Roman;Times;Serif" w:hAnsi="Times New Roman;Times;Serif"/>
          <w:b w:val="false"/>
          <w:i w:val="false"/>
          <w:caps w:val="false"/>
          <w:smallCaps w:val="false"/>
          <w:sz w:val="20"/>
        </w:rPr>
        <w:t>A summary of the Company’s RSU activity and related information for the nine months ended September 30, 2024 is as follows:</w:t>
      </w:r>
    </w:p>
    <w:p>
      <w:pPr>
        <w:pStyle w:val="TextBody"/>
        <w:bidi w:val="0"/>
        <w:jc w:val="both"/>
        <w:rPr>
          <w:caps w:val="false"/>
          <w:smallCaps w:val="false"/>
        </w:rPr>
      </w:pPr>
      <w:r>
        <w:rPr>
          <w:caps w:val="false"/>
          <w:smallCaps w:val="false"/>
        </w:rPr>
        <w:t> </w:t>
      </w:r>
      <w:bookmarkStart w:id="817" w:name="xdx_8B5_zbaIEIfv67v6"/>
      <w:bookmarkEnd w:id="817"/>
      <w:r>
        <w:rPr>
          <w:rFonts w:ascii="Times New Roman;Times;Serif" w:hAnsi="Times New Roman;Times;Serif"/>
          <w:b w:val="false"/>
          <w:i w:val="false"/>
          <w:caps w:val="false"/>
          <w:smallCaps w:val="false"/>
          <w:sz w:val="20"/>
        </w:rPr>
        <w:t>SCHEDULE OF RESTRICTED STOCK UNITS ACTIVITY</w:t>
      </w:r>
    </w:p>
    <w:tbl>
      <w:tblPr>
        <w:tblW w:w="10054" w:type="dxa"/>
        <w:jc w:val="left"/>
        <w:tblInd w:w="0" w:type="dxa"/>
        <w:tblLayout w:type="fixed"/>
        <w:tblCellMar>
          <w:top w:w="0" w:type="dxa"/>
          <w:left w:w="0" w:type="dxa"/>
          <w:bottom w:w="0" w:type="dxa"/>
          <w:right w:w="0" w:type="dxa"/>
        </w:tblCellMar>
      </w:tblPr>
      <w:tblGrid>
        <w:gridCol w:w="3605"/>
        <w:gridCol w:w="60"/>
        <w:gridCol w:w="120"/>
        <w:gridCol w:w="1759"/>
        <w:gridCol w:w="95"/>
        <w:gridCol w:w="60"/>
        <w:gridCol w:w="856"/>
        <w:gridCol w:w="3424"/>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RSUs unvested - January 1, 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bookmarkStart w:id="818" w:name="xdx_983_eus-gaap--ShareBasedCompensation"/>
            <w:bookmarkEnd w:id="818"/>
          </w:p>
        </w:tc>
        <w:tc>
          <w:tcPr>
            <w:tcW w:w="1759" w:type="dxa"/>
            <w:tcBorders/>
            <w:shd w:fill="CCEEFF" w:val="clear"/>
            <w:vAlign w:val="center"/>
          </w:tcPr>
          <w:p>
            <w:pPr>
              <w:pStyle w:val="TableContents"/>
              <w:bidi w:val="0"/>
              <w:spacing w:before="0" w:after="283"/>
              <w:jc w:val="right"/>
              <w:rPr/>
            </w:pPr>
            <w:r>
              <w:rPr/>
              <w:t>363,029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819" w:name="xdx_980_eus-gaap--ShareBasedCompensation"/>
            <w:bookmarkEnd w:id="819"/>
          </w:p>
        </w:tc>
        <w:tc>
          <w:tcPr>
            <w:tcW w:w="3424" w:type="dxa"/>
            <w:tcBorders/>
            <w:shd w:fill="CCEEFF" w:val="clear"/>
            <w:vAlign w:val="center"/>
          </w:tcPr>
          <w:p>
            <w:pPr>
              <w:pStyle w:val="TableContents"/>
              <w:bidi w:val="0"/>
              <w:spacing w:before="0" w:after="283"/>
              <w:jc w:val="right"/>
              <w:rPr/>
            </w:pPr>
            <w:r>
              <w:rPr/>
              <w:t>9.23</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RSUs granted</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bookmarkStart w:id="820" w:name="xdx_982_eus-gaap--ShareBasedCompensation"/>
            <w:bookmarkEnd w:id="820"/>
          </w:p>
        </w:tc>
        <w:tc>
          <w:tcPr>
            <w:tcW w:w="1759" w:type="dxa"/>
            <w:tcBorders/>
            <w:shd w:fill="FFFFFF" w:val="clear"/>
            <w:vAlign w:val="center"/>
          </w:tcPr>
          <w:p>
            <w:pPr>
              <w:pStyle w:val="TableContents"/>
              <w:bidi w:val="0"/>
              <w:spacing w:before="0" w:after="283"/>
              <w:jc w:val="right"/>
              <w:rPr/>
            </w:pPr>
            <w:r>
              <w:rPr/>
              <w:t>319,081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bookmarkStart w:id="821" w:name="xdx_98A_eus-gaap--ShareBasedCompensation"/>
            <w:bookmarkEnd w:id="821"/>
          </w:p>
        </w:tc>
        <w:tc>
          <w:tcPr>
            <w:tcW w:w="3424" w:type="dxa"/>
            <w:tcBorders/>
            <w:shd w:fill="FFFFFF" w:val="clear"/>
            <w:vAlign w:val="center"/>
          </w:tcPr>
          <w:p>
            <w:pPr>
              <w:pStyle w:val="TableContents"/>
              <w:bidi w:val="0"/>
              <w:spacing w:before="0" w:after="283"/>
              <w:jc w:val="right"/>
              <w:rPr/>
            </w:pPr>
            <w:r>
              <w:rPr/>
              <w:t>23.93</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RSUs vested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bookmarkStart w:id="822" w:name="xdx_989_eus-gaap--ShareBasedCompensation"/>
            <w:bookmarkEnd w:id="822"/>
          </w:p>
        </w:tc>
        <w:tc>
          <w:tcPr>
            <w:tcW w:w="1759" w:type="dxa"/>
            <w:tcBorders/>
            <w:shd w:fill="CCEEFF" w:val="clear"/>
            <w:vAlign w:val="center"/>
          </w:tcPr>
          <w:p>
            <w:pPr>
              <w:pStyle w:val="TableContents"/>
              <w:bidi w:val="0"/>
              <w:spacing w:before="0" w:after="283"/>
              <w:jc w:val="right"/>
              <w:rPr/>
            </w:pPr>
            <w:r>
              <w:rPr/>
              <w:t>(312,674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bookmarkStart w:id="823" w:name="xdx_985_eus-gaap--ShareBasedCompensation"/>
            <w:bookmarkEnd w:id="823"/>
          </w:p>
        </w:tc>
        <w:tc>
          <w:tcPr>
            <w:tcW w:w="3424" w:type="dxa"/>
            <w:tcBorders/>
            <w:shd w:fill="CCEEFF" w:val="clear"/>
            <w:vAlign w:val="center"/>
          </w:tcPr>
          <w:p>
            <w:pPr>
              <w:pStyle w:val="TableContents"/>
              <w:bidi w:val="0"/>
              <w:spacing w:before="0" w:after="283"/>
              <w:jc w:val="right"/>
              <w:rPr/>
            </w:pPr>
            <w:r>
              <w:rPr/>
              <w:t>9.84</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RSUs cancelled/forfeited</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24" w:name="xdx_98F_eus-gaap--ShareBasedCompensation"/>
            <w:bookmarkEnd w:id="824"/>
          </w:p>
        </w:tc>
        <w:tc>
          <w:tcPr>
            <w:tcW w:w="1759" w:type="dxa"/>
            <w:tcBorders>
              <w:bottom w:val="single" w:sz="8" w:space="0" w:color="000000"/>
            </w:tcBorders>
            <w:shd w:fill="FFFFFF" w:val="clear"/>
            <w:tcMar>
              <w:bottom w:w="28" w:type="dxa"/>
            </w:tcMar>
            <w:vAlign w:val="center"/>
          </w:tcPr>
          <w:p>
            <w:pPr>
              <w:pStyle w:val="TableContents"/>
              <w:bidi w:val="0"/>
              <w:spacing w:before="0" w:after="283"/>
              <w:jc w:val="right"/>
              <w:rPr/>
            </w:pPr>
            <w:r>
              <w:rPr/>
              <w:t>(6,250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bookmarkStart w:id="825" w:name="xdx_98A_eus-gaap--ShareBasedCompensation"/>
            <w:bookmarkEnd w:id="825"/>
          </w:p>
        </w:tc>
        <w:tc>
          <w:tcPr>
            <w:tcW w:w="3424" w:type="dxa"/>
            <w:tcBorders/>
            <w:shd w:fill="FFFFFF" w:val="clear"/>
            <w:vAlign w:val="center"/>
          </w:tcPr>
          <w:p>
            <w:pPr>
              <w:pStyle w:val="TableContents"/>
              <w:bidi w:val="0"/>
              <w:spacing w:before="0" w:after="283"/>
              <w:jc w:val="right"/>
              <w:rPr/>
            </w:pPr>
            <w:r>
              <w:rPr/>
              <w:t>8.10</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RSUs unvested - September 30, 2024</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26" w:name="xdx_983_eus-gaap--ShareBasedCompensation"/>
            <w:bookmarkEnd w:id="826"/>
          </w:p>
        </w:tc>
        <w:tc>
          <w:tcPr>
            <w:tcW w:w="1759" w:type="dxa"/>
            <w:tcBorders>
              <w:bottom w:val="double" w:sz="6" w:space="0" w:color="000000"/>
            </w:tcBorders>
            <w:shd w:fill="CCEEFF" w:val="clear"/>
            <w:tcMar>
              <w:bottom w:w="28" w:type="dxa"/>
            </w:tcMar>
            <w:vAlign w:val="center"/>
          </w:tcPr>
          <w:p>
            <w:pPr>
              <w:pStyle w:val="TableContents"/>
              <w:bidi w:val="0"/>
              <w:spacing w:before="0" w:after="283"/>
              <w:jc w:val="right"/>
              <w:rPr/>
            </w:pPr>
            <w:r>
              <w:rPr/>
              <w:t>363,186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827" w:name="xdx_987_eus-gaap--ShareBasedCompensation"/>
            <w:bookmarkEnd w:id="827"/>
          </w:p>
        </w:tc>
        <w:tc>
          <w:tcPr>
            <w:tcW w:w="3424" w:type="dxa"/>
            <w:tcBorders/>
            <w:shd w:fill="CCEEFF" w:val="clear"/>
            <w:vAlign w:val="center"/>
          </w:tcPr>
          <w:p>
            <w:pPr>
              <w:pStyle w:val="TableContents"/>
              <w:bidi w:val="0"/>
              <w:spacing w:before="0" w:after="283"/>
              <w:jc w:val="right"/>
              <w:rPr/>
            </w:pPr>
            <w:r>
              <w:rPr/>
              <w:t>21.63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828" w:name="xdx_8A1_zZyLl3UrPqD5"/>
      <w:bookmarkEnd w:id="82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the total unrecognized compensation expense related to unvested RSUs was approximately $</w:t>
      </w:r>
      <w:bookmarkStart w:id="829" w:name="xdx_90D_eus-gaap--EmployeeServiceShareBa"/>
      <w:bookmarkEnd w:id="829"/>
      <w:r>
        <w:rPr>
          <w:rFonts w:ascii="Times New Roman;Times;Serif" w:hAnsi="Times New Roman;Times;Serif"/>
          <w:b w:val="false"/>
          <w:i w:val="false"/>
          <w:caps w:val="false"/>
          <w:smallCaps w:val="false"/>
          <w:sz w:val="20"/>
        </w:rPr>
        <w:t xml:space="preserve">7,324,000, which is expected to be recognized over a weighted-average period of </w:t>
      </w:r>
      <w:bookmarkStart w:id="830" w:name="xdx_907_eus-gaap--EmployeeServiceShareBa"/>
      <w:bookmarkEnd w:id="830"/>
      <w:r>
        <w:rPr>
          <w:rFonts w:ascii="Times New Roman;Times;Serif" w:hAnsi="Times New Roman;Times;Serif"/>
          <w:b w:val="false"/>
          <w:i w:val="false"/>
          <w:caps w:val="false"/>
          <w:smallCaps w:val="false"/>
          <w:sz w:val="20"/>
        </w:rPr>
        <w:t>2 years, based on estimated and actual vesting schedules of the applicable RSUs. The stock-based compensation for RSUs during the three and nine months ended September 30, 2024 was $</w:t>
      </w:r>
      <w:bookmarkStart w:id="831" w:name="xdx_907_eus-gaap--AllocatedShareBasedCom"/>
      <w:bookmarkEnd w:id="831"/>
      <w:r>
        <w:rPr>
          <w:rFonts w:ascii="Times New Roman;Times;Serif" w:hAnsi="Times New Roman;Times;Serif"/>
          <w:b w:val="false"/>
          <w:i w:val="false"/>
          <w:caps w:val="false"/>
          <w:smallCaps w:val="false"/>
          <w:sz w:val="20"/>
        </w:rPr>
        <w:t>587,000 and $</w:t>
      </w:r>
      <w:bookmarkStart w:id="832" w:name="xdx_905_eus-gaap--AllocatedShareBasedCom"/>
      <w:bookmarkEnd w:id="832"/>
      <w:r>
        <w:rPr>
          <w:rFonts w:ascii="Times New Roman;Times;Serif" w:hAnsi="Times New Roman;Times;Serif"/>
          <w:b w:val="false"/>
          <w:i w:val="false"/>
          <w:caps w:val="false"/>
          <w:smallCaps w:val="false"/>
          <w:sz w:val="20"/>
        </w:rPr>
        <w:t>1,494,000, respectively, and was $</w:t>
      </w:r>
      <w:bookmarkStart w:id="833" w:name="xdx_90B_eus-gaap--AllocatedShareBasedCom"/>
      <w:bookmarkEnd w:id="833"/>
      <w:r>
        <w:rPr>
          <w:rFonts w:ascii="Times New Roman;Times;Serif" w:hAnsi="Times New Roman;Times;Serif"/>
          <w:b w:val="false"/>
          <w:i w:val="false"/>
          <w:caps w:val="false"/>
          <w:smallCaps w:val="false"/>
          <w:sz w:val="20"/>
        </w:rPr>
        <w:t>374,000 and $</w:t>
      </w:r>
      <w:bookmarkStart w:id="834" w:name="xdx_900_eus-gaap--AllocatedShareBasedCom"/>
      <w:bookmarkEnd w:id="834"/>
      <w:r>
        <w:rPr>
          <w:rFonts w:ascii="Times New Roman;Times;Serif" w:hAnsi="Times New Roman;Times;Serif"/>
          <w:b w:val="false"/>
          <w:i w:val="false"/>
          <w:caps w:val="false"/>
          <w:smallCaps w:val="false"/>
          <w:sz w:val="20"/>
        </w:rPr>
        <w:t>789,000 during the same periods in 2023,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Units (Market-Based Vesting)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835" w:name="xdx_892_eus-gaap--ShareBasedCompensation"/>
      <w:bookmarkEnd w:id="835"/>
      <w:r>
        <w:rPr>
          <w:rFonts w:ascii="Times New Roman;Times;Serif" w:hAnsi="Times New Roman;Times;Serif"/>
          <w:b w:val="false"/>
          <w:i w:val="false"/>
          <w:caps w:val="false"/>
          <w:smallCaps w:val="false"/>
          <w:sz w:val="20"/>
        </w:rPr>
        <w:t>A summary of the Company’s PSU activity and related information for the nine months ended September 30, 2024 is as follows:</w:t>
      </w:r>
    </w:p>
    <w:p>
      <w:pPr>
        <w:pStyle w:val="TextBody"/>
        <w:bidi w:val="0"/>
        <w:jc w:val="both"/>
        <w:rPr>
          <w:caps w:val="false"/>
          <w:smallCaps w:val="false"/>
        </w:rPr>
      </w:pPr>
      <w:r>
        <w:rPr>
          <w:caps w:val="false"/>
          <w:smallCaps w:val="false"/>
        </w:rPr>
        <w:t> </w:t>
      </w:r>
      <w:bookmarkStart w:id="836" w:name="xdx_8B4_z2IADNfUKtFk"/>
      <w:bookmarkEnd w:id="836"/>
      <w:r>
        <w:rPr>
          <w:rFonts w:ascii="Times New Roman;Times;Serif" w:hAnsi="Times New Roman;Times;Serif"/>
          <w:b w:val="false"/>
          <w:i w:val="false"/>
          <w:caps w:val="false"/>
          <w:smallCaps w:val="false"/>
          <w:sz w:val="20"/>
        </w:rPr>
        <w:t>SCHEDULE OF PERFORMANCE STOCK UNITS ACTIVITY</w:t>
      </w:r>
    </w:p>
    <w:tbl>
      <w:tblPr>
        <w:tblW w:w="10034" w:type="dxa"/>
        <w:jc w:val="left"/>
        <w:tblInd w:w="0" w:type="dxa"/>
        <w:tblLayout w:type="fixed"/>
        <w:tblCellMar>
          <w:top w:w="0" w:type="dxa"/>
          <w:left w:w="0" w:type="dxa"/>
          <w:bottom w:w="0" w:type="dxa"/>
          <w:right w:w="0" w:type="dxa"/>
        </w:tblCellMar>
      </w:tblPr>
      <w:tblGrid>
        <w:gridCol w:w="3620"/>
        <w:gridCol w:w="60"/>
        <w:gridCol w:w="108"/>
        <w:gridCol w:w="1771"/>
        <w:gridCol w:w="60"/>
        <w:gridCol w:w="60"/>
        <w:gridCol w:w="856"/>
        <w:gridCol w:w="3424"/>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PSUs unvested – January 1, 2024</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bookmarkStart w:id="837" w:name="xdx_983_eus-gaap--ShareBasedCompensation"/>
            <w:bookmarkEnd w:id="837"/>
          </w:p>
        </w:tc>
        <w:tc>
          <w:tcPr>
            <w:tcW w:w="1771" w:type="dxa"/>
            <w:tcBorders/>
            <w:shd w:fill="CCEEFF" w:val="clear"/>
            <w:vAlign w:val="center"/>
          </w:tcPr>
          <w:p>
            <w:pPr>
              <w:pStyle w:val="TableContents"/>
              <w:bidi w:val="0"/>
              <w:spacing w:before="0" w:after="283"/>
              <w:jc w:val="right"/>
              <w:rPr/>
            </w:pPr>
            <w:r>
              <w:rPr/>
              <w:t>1,567,913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838" w:name="xdx_982_eus-gaap--ShareBasedCompensation"/>
            <w:bookmarkEnd w:id="838"/>
          </w:p>
        </w:tc>
        <w:tc>
          <w:tcPr>
            <w:tcW w:w="3424" w:type="dxa"/>
            <w:tcBorders/>
            <w:shd w:fill="CCEEFF" w:val="clear"/>
            <w:vAlign w:val="center"/>
          </w:tcPr>
          <w:p>
            <w:pPr>
              <w:pStyle w:val="TableContents"/>
              <w:bidi w:val="0"/>
              <w:spacing w:before="0" w:after="283"/>
              <w:jc w:val="right"/>
              <w:rPr/>
            </w:pPr>
            <w:r>
              <w:rPr/>
              <w:t>18.56</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PSUs granted</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bookmarkStart w:id="839" w:name="xdx_980_eus-gaap--ShareBasedCompensation"/>
            <w:bookmarkEnd w:id="839"/>
          </w:p>
        </w:tc>
        <w:tc>
          <w:tcPr>
            <w:tcW w:w="17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34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PSUs vested</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bookmarkStart w:id="840" w:name="xdx_98D_eus-gaap--ShareBasedCompensation"/>
            <w:bookmarkEnd w:id="840"/>
          </w:p>
        </w:tc>
        <w:tc>
          <w:tcPr>
            <w:tcW w:w="17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34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PSUs cancelled/forfeited</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1" w:name="xdx_984_eus-gaap--ShareBasedCompensation"/>
            <w:bookmarkEnd w:id="841"/>
          </w:p>
        </w:tc>
        <w:tc>
          <w:tcPr>
            <w:tcW w:w="177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34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PSUs unvested – September 30, 2024</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42" w:name="xdx_98D_eus-gaap--ShareBasedCompensation"/>
            <w:bookmarkEnd w:id="842"/>
          </w:p>
        </w:tc>
        <w:tc>
          <w:tcPr>
            <w:tcW w:w="1771" w:type="dxa"/>
            <w:tcBorders>
              <w:bottom w:val="double" w:sz="6" w:space="0" w:color="000000"/>
            </w:tcBorders>
            <w:shd w:fill="CCEEFF" w:val="clear"/>
            <w:tcMar>
              <w:bottom w:w="28" w:type="dxa"/>
            </w:tcMar>
            <w:vAlign w:val="center"/>
          </w:tcPr>
          <w:p>
            <w:pPr>
              <w:pStyle w:val="TableContents"/>
              <w:bidi w:val="0"/>
              <w:spacing w:before="0" w:after="283"/>
              <w:jc w:val="right"/>
              <w:rPr/>
            </w:pPr>
            <w:r>
              <w:rPr/>
              <w:t>1,567,913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843" w:name="xdx_987_eus-gaap--ShareBasedCompensation"/>
            <w:bookmarkEnd w:id="843"/>
          </w:p>
        </w:tc>
        <w:tc>
          <w:tcPr>
            <w:tcW w:w="3424" w:type="dxa"/>
            <w:tcBorders/>
            <w:shd w:fill="CCEEFF" w:val="clear"/>
            <w:vAlign w:val="center"/>
          </w:tcPr>
          <w:p>
            <w:pPr>
              <w:pStyle w:val="TableContents"/>
              <w:bidi w:val="0"/>
              <w:spacing w:before="0" w:after="283"/>
              <w:jc w:val="right"/>
              <w:rPr/>
            </w:pPr>
            <w:r>
              <w:rPr/>
              <w:t>18.56</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844" w:name="xdx_8AE_zGNcA41Fcaka"/>
      <w:bookmarkEnd w:id="84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the total unrecognized compensation expense related to unvested PSUs was approximately $</w:t>
      </w:r>
      <w:bookmarkStart w:id="845" w:name="xdx_90F_eus-gaap--EmployeeServiceShareBa"/>
      <w:bookmarkEnd w:id="845"/>
      <w:r>
        <w:rPr>
          <w:rFonts w:ascii="Times New Roman;Times;Serif" w:hAnsi="Times New Roman;Times;Serif"/>
          <w:b w:val="false"/>
          <w:i w:val="false"/>
          <w:caps w:val="false"/>
          <w:smallCaps w:val="false"/>
          <w:sz w:val="20"/>
        </w:rPr>
        <w:t xml:space="preserve">7,277,000, which is expected to be recognized over a weighted-average period of </w:t>
      </w:r>
      <w:bookmarkStart w:id="846" w:name="xdx_908_eus-gaap--EmployeeServiceShareBa"/>
      <w:bookmarkEnd w:id="846"/>
      <w:r>
        <w:rPr>
          <w:rFonts w:ascii="Times New Roman;Times;Serif" w:hAnsi="Times New Roman;Times;Serif"/>
          <w:b w:val="false"/>
          <w:i w:val="false"/>
          <w:caps w:val="false"/>
          <w:smallCaps w:val="false"/>
          <w:sz w:val="20"/>
        </w:rPr>
        <w:t>0.51 years, based on estimated and actual vesting schedules of the applicable PSUs. The stock-based compensation for PSUs during the three and nine months ended September 30, 2024 was $</w:t>
      </w:r>
      <w:bookmarkStart w:id="847" w:name="xdx_90F_eus-gaap--AllocatedShareBasedCom"/>
      <w:bookmarkEnd w:id="847"/>
      <w:r>
        <w:rPr>
          <w:rFonts w:ascii="Times New Roman;Times;Serif" w:hAnsi="Times New Roman;Times;Serif"/>
          <w:b w:val="false"/>
          <w:i w:val="false"/>
          <w:caps w:val="false"/>
          <w:smallCaps w:val="false"/>
          <w:sz w:val="20"/>
        </w:rPr>
        <w:t>3,638,000 and $</w:t>
      </w:r>
      <w:bookmarkStart w:id="848" w:name="xdx_90F_eus-gaap--AllocatedShareBasedCom"/>
      <w:bookmarkEnd w:id="848"/>
      <w:r>
        <w:rPr>
          <w:rFonts w:ascii="Times New Roman;Times;Serif" w:hAnsi="Times New Roman;Times;Serif"/>
          <w:b w:val="false"/>
          <w:i w:val="false"/>
          <w:caps w:val="false"/>
          <w:smallCaps w:val="false"/>
          <w:sz w:val="20"/>
        </w:rPr>
        <w:t>10,915,000, respectively, and $</w:t>
      </w:r>
      <w:bookmarkStart w:id="849" w:name="xdx_904_eus-gaap--AllocatedShareBasedCom"/>
      <w:bookmarkEnd w:id="849"/>
      <w:r>
        <w:rPr>
          <w:rFonts w:ascii="Times New Roman;Times;Serif" w:hAnsi="Times New Roman;Times;Serif"/>
          <w:b w:val="false"/>
          <w:i w:val="false"/>
          <w:caps w:val="false"/>
          <w:smallCaps w:val="false"/>
          <w:sz w:val="20"/>
        </w:rPr>
        <w:t>3,948,000 and $</w:t>
      </w:r>
      <w:bookmarkStart w:id="850" w:name="xdx_90E_eus-gaap--AllocatedShareBasedCom"/>
      <w:bookmarkEnd w:id="850"/>
      <w:r>
        <w:rPr>
          <w:rFonts w:ascii="Times New Roman;Times;Serif" w:hAnsi="Times New Roman;Times;Serif"/>
          <w:b w:val="false"/>
          <w:i w:val="false"/>
          <w:caps w:val="false"/>
          <w:smallCaps w:val="false"/>
          <w:sz w:val="20"/>
        </w:rPr>
        <w:t>10,115,000 during the same periods in 2023, respectively.</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Summary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851" w:name="xdx_89E_eus-gaap--ScheduleOfShareBasedCo"/>
      <w:bookmarkEnd w:id="851"/>
      <w:r>
        <w:rPr>
          <w:rFonts w:ascii="Times New Roman;Times;Serif" w:hAnsi="Times New Roman;Times;Serif"/>
          <w:b w:val="false"/>
          <w:i w:val="false"/>
          <w:caps w:val="false"/>
          <w:smallCaps w:val="false"/>
          <w:sz w:val="20"/>
        </w:rPr>
        <w:t>The Company recorded stock-based compensation related to equity instruments granted to employees, directors and consultants as follows:</w:t>
      </w:r>
    </w:p>
    <w:p>
      <w:pPr>
        <w:pStyle w:val="TextBody"/>
        <w:bidi w:val="0"/>
        <w:jc w:val="both"/>
        <w:rPr>
          <w:caps w:val="false"/>
          <w:smallCaps w:val="false"/>
        </w:rPr>
      </w:pPr>
      <w:r>
        <w:rPr>
          <w:caps w:val="false"/>
          <w:smallCaps w:val="false"/>
        </w:rPr>
        <w:t> </w:t>
      </w:r>
      <w:bookmarkStart w:id="852" w:name="xdx_8BB_zl7A3DSDLk2b"/>
      <w:bookmarkEnd w:id="852"/>
      <w:r>
        <w:rPr>
          <w:rFonts w:ascii="Times New Roman;Times;Serif" w:hAnsi="Times New Roman;Times;Serif"/>
          <w:b w:val="false"/>
          <w:i w:val="false"/>
          <w:caps w:val="false"/>
          <w:smallCaps w:val="false"/>
          <w:sz w:val="20"/>
        </w:rPr>
        <w:t>SCHEDULE OF STOCK BASED COMPENSATION GRANTED TO EMPLOYEES, DIRECTORS AND CONSULTANTS</w:t>
      </w:r>
    </w:p>
    <w:tbl>
      <w:tblPr>
        <w:tblW w:w="9853" w:type="dxa"/>
        <w:jc w:val="left"/>
        <w:tblInd w:w="0" w:type="dxa"/>
        <w:tblLayout w:type="fixed"/>
        <w:tblCellMar>
          <w:top w:w="0" w:type="dxa"/>
          <w:left w:w="0" w:type="dxa"/>
          <w:bottom w:w="0" w:type="dxa"/>
          <w:right w:w="0" w:type="dxa"/>
        </w:tblCellMar>
      </w:tblPr>
      <w:tblGrid>
        <w:gridCol w:w="4550"/>
        <w:gridCol w:w="60"/>
        <w:gridCol w:w="145"/>
        <w:gridCol w:w="1017"/>
        <w:gridCol w:w="62"/>
        <w:gridCol w:w="62"/>
        <w:gridCol w:w="145"/>
        <w:gridCol w:w="1017"/>
        <w:gridCol w:w="60"/>
        <w:gridCol w:w="60"/>
        <w:gridCol w:w="140"/>
        <w:gridCol w:w="1100"/>
        <w:gridCol w:w="60"/>
        <w:gridCol w:w="60"/>
        <w:gridCol w:w="140"/>
        <w:gridCol w:w="1100"/>
        <w:gridCol w:w="75"/>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53" w:name="xdx_491_20240701__20240930_zjfgWoF5VFDd"/>
            <w:bookmarkEnd w:id="853"/>
          </w:p>
        </w:tc>
        <w:tc>
          <w:tcPr>
            <w:tcW w:w="1162"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bookmarkStart w:id="854" w:name="xdx_493_20230701__20230930_z36Rx5CDYtA4"/>
            <w:bookmarkEnd w:id="854"/>
          </w:p>
        </w:tc>
        <w:tc>
          <w:tcPr>
            <w:tcW w:w="1162"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55" w:name="xdx_494_20240101__20240930_z8fFpN8H0c6"/>
            <w:bookmarkEnd w:id="855"/>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56" w:name="xdx_49E_20230101__20230930_znhVdCYicei7"/>
            <w:bookmarkEnd w:id="856"/>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857" w:name="xdx_40A_eus-gaap--AllocatedShareBasedCom"/>
            <w:bookmarkEnd w:id="857"/>
          </w:p>
        </w:tc>
      </w:tr>
      <w:tr>
        <w:trPr/>
        <w:tc>
          <w:tcPr>
            <w:tcW w:w="4550" w:type="dxa"/>
            <w:tcBorders/>
            <w:shd w:fill="CCEEFF" w:val="clear"/>
            <w:vAlign w:val="center"/>
          </w:tcPr>
          <w:p>
            <w:pPr>
              <w:pStyle w:val="TableContents"/>
              <w:bidi w:val="0"/>
              <w:spacing w:before="0" w:after="283"/>
              <w:jc w:val="left"/>
              <w:rPr/>
            </w:pPr>
            <w:r>
              <w:rPr/>
              <w:t>Employees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3,728,000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3,784,000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10,832,000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9,719,000</w:t>
            </w:r>
          </w:p>
        </w:tc>
        <w:tc>
          <w:tcPr>
            <w:tcW w:w="75" w:type="dxa"/>
            <w:tcBorders/>
            <w:shd w:fill="CCEEFF" w:val="clear"/>
            <w:vAlign w:val="center"/>
          </w:tcPr>
          <w:p>
            <w:pPr>
              <w:pStyle w:val="TableContents"/>
              <w:bidi w:val="0"/>
              <w:spacing w:before="0" w:after="283"/>
              <w:jc w:val="left"/>
              <w:rPr/>
            </w:pPr>
            <w:r>
              <w:rPr/>
              <w:t> </w:t>
            </w:r>
            <w:bookmarkStart w:id="858" w:name="xdx_407_eus-gaap--AllocatedShareBasedCom"/>
            <w:bookmarkEnd w:id="858"/>
          </w:p>
        </w:tc>
      </w:tr>
      <w:tr>
        <w:trPr/>
        <w:tc>
          <w:tcPr>
            <w:tcW w:w="4550" w:type="dxa"/>
            <w:tcBorders/>
            <w:shd w:fill="FFFFFF" w:val="clear"/>
            <w:vAlign w:val="center"/>
          </w:tcPr>
          <w:p>
            <w:pPr>
              <w:pStyle w:val="TableContents"/>
              <w:bidi w:val="0"/>
              <w:spacing w:before="0" w:after="283"/>
              <w:jc w:val="left"/>
              <w:rPr/>
            </w:pPr>
            <w:r>
              <w:rPr/>
              <w:t>Employees - research and development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422,000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475,000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1,224,000</w:t>
            </w:r>
          </w:p>
        </w:tc>
        <w:tc>
          <w:tcPr>
            <w:tcW w:w="75" w:type="dxa"/>
            <w:tcBorders/>
            <w:shd w:fill="FFFFFF" w:val="clear"/>
            <w:vAlign w:val="center"/>
          </w:tcPr>
          <w:p>
            <w:pPr>
              <w:pStyle w:val="TableContents"/>
              <w:bidi w:val="0"/>
              <w:spacing w:before="0" w:after="283"/>
              <w:jc w:val="left"/>
              <w:rPr/>
            </w:pPr>
            <w:r>
              <w:rPr/>
              <w:t> </w:t>
            </w:r>
            <w:bookmarkStart w:id="859" w:name="xdx_402_eus-gaap--AllocatedShareBasedCom"/>
            <w:bookmarkEnd w:id="859"/>
          </w:p>
        </w:tc>
      </w:tr>
      <w:tr>
        <w:trPr/>
        <w:tc>
          <w:tcPr>
            <w:tcW w:w="4550" w:type="dxa"/>
            <w:tcBorders/>
            <w:shd w:fill="CCEEFF" w:val="clear"/>
            <w:vAlign w:val="center"/>
          </w:tcPr>
          <w:p>
            <w:pPr>
              <w:pStyle w:val="TableContents"/>
              <w:bidi w:val="0"/>
              <w:spacing w:before="0" w:after="283"/>
              <w:jc w:val="left"/>
              <w:rPr/>
            </w:pPr>
            <w:r>
              <w:rPr/>
              <w:t>Directors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199,000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528,000</w:t>
            </w:r>
          </w:p>
        </w:tc>
        <w:tc>
          <w:tcPr>
            <w:tcW w:w="75" w:type="dxa"/>
            <w:tcBorders/>
            <w:shd w:fill="CCEEFF" w:val="clear"/>
            <w:vAlign w:val="center"/>
          </w:tcPr>
          <w:p>
            <w:pPr>
              <w:pStyle w:val="TableContents"/>
              <w:bidi w:val="0"/>
              <w:spacing w:before="0" w:after="283"/>
              <w:jc w:val="left"/>
              <w:rPr/>
            </w:pPr>
            <w:r>
              <w:rPr/>
              <w:t> </w:t>
            </w:r>
            <w:bookmarkStart w:id="860" w:name="xdx_40B_eus-gaap--AllocatedShareBasedCom"/>
            <w:bookmarkEnd w:id="860"/>
          </w:p>
        </w:tc>
      </w:tr>
      <w:tr>
        <w:trPr/>
        <w:tc>
          <w:tcPr>
            <w:tcW w:w="4550" w:type="dxa"/>
            <w:tcBorders/>
            <w:shd w:fill="FFFFFF" w:val="clear"/>
            <w:vAlign w:val="center"/>
          </w:tcPr>
          <w:p>
            <w:pPr>
              <w:pStyle w:val="TableContents"/>
              <w:bidi w:val="0"/>
              <w:spacing w:before="0" w:after="283"/>
              <w:jc w:val="left"/>
              <w:rPr/>
            </w:pPr>
            <w:r>
              <w:rPr/>
              <w:t>Consultants - selling, general and administrative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36,000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50,000</w:t>
            </w:r>
          </w:p>
        </w:tc>
        <w:tc>
          <w:tcPr>
            <w:tcW w:w="75" w:type="dxa"/>
            <w:tcBorders/>
            <w:shd w:fill="FFFFFF" w:val="clear"/>
            <w:vAlign w:val="center"/>
          </w:tcPr>
          <w:p>
            <w:pPr>
              <w:pStyle w:val="TableContents"/>
              <w:bidi w:val="0"/>
              <w:spacing w:before="0" w:after="283"/>
              <w:jc w:val="left"/>
              <w:rPr/>
            </w:pPr>
            <w:r>
              <w:rPr/>
              <w:t> </w:t>
            </w:r>
            <w:bookmarkStart w:id="861" w:name="xdx_409_eus-gaap--AllocatedShareBasedCom"/>
            <w:bookmarkEnd w:id="861"/>
          </w:p>
        </w:tc>
      </w:tr>
      <w:tr>
        <w:trPr/>
        <w:tc>
          <w:tcPr>
            <w:tcW w:w="455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jc w:val="right"/>
              <w:rPr/>
            </w:pPr>
            <w:r>
              <w:rPr/>
              <w:t>4,385,000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jc w:val="right"/>
              <w:rPr/>
            </w:pPr>
            <w:r>
              <w:rPr/>
              <w:t>4,476,000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12,825,000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11,521,000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862" w:name="xdx_8A3_zwBbtV4uD4D7"/>
      <w:bookmarkEnd w:id="862"/>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63" w:name="xdx_80D_eus-gaap--CommitmentsAndContinge"/>
      <w:bookmarkEnd w:id="863"/>
      <w:r>
        <w:rPr>
          <w:rFonts w:ascii="Times New Roman;Times;Serif" w:hAnsi="Times New Roman;Times;Serif"/>
          <w:b/>
          <w:i w:val="false"/>
          <w:caps w:val="false"/>
          <w:smallCaps w:val="false"/>
          <w:sz w:val="20"/>
        </w:rPr>
        <w:t xml:space="preserve">NOTE 14. </w:t>
      </w:r>
      <w:bookmarkStart w:id="864" w:name="xdx_82D_zU3zABhDlm5h"/>
      <w:bookmarkEnd w:id="864"/>
      <w:r>
        <w:rPr>
          <w:rFonts w:ascii="Times New Roman;Times;Serif" w:hAnsi="Times New Roman;Times;Serif"/>
          <w:b/>
          <w:i w:val="false"/>
          <w:caps w:val="false"/>
          <w:smallCaps w:val="false"/>
          <w:sz w:val="20"/>
        </w:rPr>
        <w:t xml:space="preserve">COMMITMENTS AND CONTINGENCIES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Other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involved in various legal proceedings, government investigations and other matters that are complex in nature and have outcomes that are difficult to predict. The Company describes legal proceedings and other matters that are/were significant or that it believes could become significant in this 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pStyle w:val="TextBody"/>
        <w:bidi w:val="0"/>
        <w:ind w:left="0" w:right="0" w:firstLine="45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faces often extend for several years. While it is not possible to accurately predict or determine the eventual outcomes of matters that have not concluded, an adverse determination in one or more of the matters (whether discussed in this note or not) currently pending may have a material adverse effect on the Company’s condensed consolidated results of operations, financial position or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Ocular Science, Inc. et. 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Since July 2021, the complaint has been amended and OSRX added counterclaims alleging ImprimisRx, LLC is violating the Lanham Act with false advertising. The Court granted cross motions for summary judgement on each party’s Lanham Act claims thus leaving only ImprimisRx, LLC’s copyright infringement, trademark infringement and unfair competition claims for trial. ImprimisRx, LLC is seeking damages from OSRX. The trial associated with this matter began during the month of November 2024 and is ongoing as of the date of this Quarterly Report.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and Professional Liability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Several of the Company’s asset purchase and license agreements contain customary representations, warranties, covenants and confidentiality provisions, and also contain mutual indemnification obligations related primarily to performance under the respective agreements.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License and Related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Approved Product Acquisitions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Company has acquired commercial and product rights to various FDA approved ophthalmic medications and products through asset purchase, licenses, supply and/or other related agreements. In general, in exchange for product and commercial rights these agreements provide the counterparties with certain upfront and contingent milestone payments typically related to certain annual sales amounts and manufacturing events, and in certain cases, per unit transfer prices and royalties on sales of some of the products. During the three and nine months ended September 30, 2024, $</w:t>
      </w:r>
      <w:bookmarkStart w:id="865" w:name="xdx_90F_eus-gaap--RoyaltyExpense_c202407"/>
      <w:bookmarkEnd w:id="865"/>
      <w:r>
        <w:rPr>
          <w:rFonts w:ascii="Times New Roman;Times;Serif" w:hAnsi="Times New Roman;Times;Serif"/>
          <w:b w:val="false"/>
          <w:i w:val="false"/>
          <w:caps w:val="false"/>
          <w:smallCaps w:val="false"/>
          <w:sz w:val="20"/>
        </w:rPr>
        <w:t>730,000 and $</w:t>
      </w:r>
      <w:bookmarkStart w:id="866" w:name="xdx_901_eus-gaap--RoyaltyExpense_c202401"/>
      <w:bookmarkEnd w:id="866"/>
      <w:r>
        <w:rPr>
          <w:rFonts w:ascii="Times New Roman;Times;Serif" w:hAnsi="Times New Roman;Times;Serif"/>
          <w:b w:val="false"/>
          <w:i w:val="false"/>
          <w:caps w:val="false"/>
          <w:smallCaps w:val="false"/>
          <w:sz w:val="20"/>
        </w:rPr>
        <w:t>2,040,000, respectively, were incurred under these agreements as royalty expenses, and $</w:t>
      </w:r>
      <w:bookmarkStart w:id="867" w:name="xdx_909_eus-gaap--RoyaltyExpense_c202307"/>
      <w:bookmarkEnd w:id="867"/>
      <w:r>
        <w:rPr>
          <w:rFonts w:ascii="Times New Roman;Times;Serif" w:hAnsi="Times New Roman;Times;Serif"/>
          <w:b w:val="false"/>
          <w:i w:val="false"/>
          <w:caps w:val="false"/>
          <w:smallCaps w:val="false"/>
          <w:sz w:val="20"/>
        </w:rPr>
        <w:t>220,000 and $</w:t>
      </w:r>
      <w:bookmarkStart w:id="868" w:name="xdx_906_eus-gaap--RoyaltyExpense_c202301"/>
      <w:bookmarkEnd w:id="868"/>
      <w:r>
        <w:rPr>
          <w:rFonts w:ascii="Times New Roman;Times;Serif" w:hAnsi="Times New Roman;Times;Serif"/>
          <w:b w:val="false"/>
          <w:i w:val="false"/>
          <w:caps w:val="false"/>
          <w:smallCaps w:val="false"/>
          <w:sz w:val="20"/>
        </w:rPr>
        <w:t>705,000, respectively, during the same periods in 2023. During the three and nine months ended September 30, 2024, $</w:t>
      </w:r>
      <w:bookmarkStart w:id="869" w:name="xdx_90E_ecustom--UpfrontAndMilestonePaym"/>
      <w:bookmarkStart w:id="870" w:name="xdx_90D_ecustom--UpfrontAndMilestonePaym"/>
      <w:bookmarkEnd w:id="869"/>
      <w:bookmarkEnd w:id="870"/>
      <w:r>
        <w:rPr>
          <w:rFonts w:ascii="Times New Roman;Times;Serif" w:hAnsi="Times New Roman;Times;Serif"/>
          <w:b w:val="false"/>
          <w:i w:val="false"/>
          <w:caps w:val="false"/>
          <w:smallCaps w:val="false"/>
          <w:sz w:val="20"/>
        </w:rPr>
        <w:t>0 was incurred under these agreements related to upfront and milestone payments under these agreements. During the three and nine months ended September 30, 2023, the Company amended the Sintetica Agreement to allow for early payment of previously accrued amounts for commercial related milestones associated with sales of IHEEZO in exchange for a $</w:t>
      </w:r>
      <w:bookmarkStart w:id="871" w:name="xdx_909_ecustom--ReductionInMilestoneAmo"/>
      <w:bookmarkStart w:id="872" w:name="xdx_90C_ecustom--ReductionInMilestoneAmo"/>
      <w:bookmarkEnd w:id="871"/>
      <w:bookmarkEnd w:id="872"/>
      <w:r>
        <w:rPr>
          <w:rFonts w:ascii="Times New Roman;Times;Serif" w:hAnsi="Times New Roman;Times;Serif"/>
          <w:b w:val="false"/>
          <w:i w:val="false"/>
          <w:caps w:val="false"/>
          <w:smallCaps w:val="false"/>
          <w:sz w:val="20"/>
        </w:rPr>
        <w:t>550,000 reduction in the milestone amounts due, and as a result of this amendment, the Company reduced the intangible asset value associated with IHEEZO by $</w:t>
      </w:r>
      <w:bookmarkStart w:id="873" w:name="xdx_90D_ecustom--ReductionInMilestoneAmo"/>
      <w:bookmarkStart w:id="874" w:name="xdx_90A_ecustom--ReductionInMilestoneAmo"/>
      <w:bookmarkEnd w:id="873"/>
      <w:bookmarkEnd w:id="874"/>
      <w:r>
        <w:rPr>
          <w:rFonts w:ascii="Times New Roman;Times;Serif" w:hAnsi="Times New Roman;Times;Serif"/>
          <w:b w:val="false"/>
          <w:i w:val="false"/>
          <w:caps w:val="false"/>
          <w:smallCaps w:val="false"/>
          <w:sz w:val="20"/>
        </w:rPr>
        <w:t>550,000 and paid the remaining commercial milestone amount of $</w:t>
      </w:r>
      <w:bookmarkStart w:id="875" w:name="xdx_900_ecustom--PaymentForMilestone_c20"/>
      <w:bookmarkStart w:id="876" w:name="xdx_90E_ecustom--PaymentForMilestone_c20"/>
      <w:bookmarkEnd w:id="875"/>
      <w:bookmarkEnd w:id="876"/>
      <w:r>
        <w:rPr>
          <w:rFonts w:ascii="Times New Roman;Times;Serif" w:hAnsi="Times New Roman;Times;Serif"/>
          <w:b w:val="false"/>
          <w:i w:val="false"/>
          <w:caps w:val="false"/>
          <w:smallCaps w:val="false"/>
          <w:sz w:val="20"/>
        </w:rPr>
        <w:t>4,450,000. As of September 30, 2024, the remaining contingent consideration payable pursuant to these agreements were not considered probable and reasonably estimable and therefore, no amount was accrued related to these contingent obligations during the three and nine months ended September 30, 2024. At the time contingent consideration payable becomes probable and reasonably estimable the additional consideration, if any, paid will be allocated to the assets based on their initial estimated fair values as a percent of the total purchase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Formulation Acquisitions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acquired and sourced intellectual property rights related to certain proprietary innovations from certain inventors, innovator companies and related parties (the “Inventors”) through multiple asset purchase agreements and license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these intellectual property rights, the Company is obligated to make payments to the Inventors based on the completion of a milestone, generally consisting of: (1) a payment payable within 30 to 45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three and nine months ended September 30, 2024, $</w:t>
      </w:r>
      <w:bookmarkStart w:id="877" w:name="xdx_90B_eus-gaap--RoyaltyExpense_c202407"/>
      <w:bookmarkEnd w:id="877"/>
      <w:r>
        <w:rPr>
          <w:rFonts w:ascii="Times New Roman;Times;Serif" w:hAnsi="Times New Roman;Times;Serif"/>
          <w:b w:val="false"/>
          <w:i w:val="false"/>
          <w:caps w:val="false"/>
          <w:smallCaps w:val="false"/>
          <w:sz w:val="20"/>
        </w:rPr>
        <w:t>453,000 and $</w:t>
      </w:r>
      <w:bookmarkStart w:id="878" w:name="xdx_90D_eus-gaap--RoyaltyExpense_c202401"/>
      <w:bookmarkEnd w:id="878"/>
      <w:r>
        <w:rPr>
          <w:rFonts w:ascii="Times New Roman;Times;Serif" w:hAnsi="Times New Roman;Times;Serif"/>
          <w:b w:val="false"/>
          <w:i w:val="false"/>
          <w:caps w:val="false"/>
          <w:smallCaps w:val="false"/>
          <w:sz w:val="20"/>
        </w:rPr>
        <w:t>949,000, respectively, were incurred under these agreements as royalty expenses and $</w:t>
      </w:r>
      <w:bookmarkStart w:id="879" w:name="xdx_909_eus-gaap--RoyaltyExpense_c202307"/>
      <w:bookmarkEnd w:id="879"/>
      <w:r>
        <w:rPr>
          <w:rFonts w:ascii="Times New Roman;Times;Serif" w:hAnsi="Times New Roman;Times;Serif"/>
          <w:b w:val="false"/>
          <w:i w:val="false"/>
          <w:caps w:val="false"/>
          <w:smallCaps w:val="false"/>
          <w:sz w:val="20"/>
        </w:rPr>
        <w:t>300,000 and $</w:t>
      </w:r>
      <w:bookmarkStart w:id="880" w:name="xdx_90A_eus-gaap--RoyaltyExpense_c202301"/>
      <w:bookmarkEnd w:id="880"/>
      <w:r>
        <w:rPr>
          <w:rFonts w:ascii="Times New Roman;Times;Serif" w:hAnsi="Times New Roman;Times;Serif"/>
          <w:b w:val="false"/>
          <w:i w:val="false"/>
          <w:caps w:val="false"/>
          <w:smallCaps w:val="false"/>
          <w:sz w:val="20"/>
        </w:rPr>
        <w:t>951,000, respectively, during the same periods in 2023.</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881" w:name="xdx_907_ecustom--DescriptionForCommissio"/>
      <w:bookmarkEnd w:id="881"/>
      <w:r>
        <w:rPr>
          <w:rFonts w:ascii="Times New Roman;Times;Serif" w:hAnsi="Times New Roman;Times;Serif"/>
          <w:b w:val="false"/>
          <w:i w:val="false"/>
          <w:caps w:val="false"/>
          <w:smallCaps w:val="false"/>
          <w:sz w:val="20"/>
        </w:rPr>
        <w:t xml:space="preserve">Under the terms of the sales and marketing agreements, the Company was generally required to make commission payments equal to </w:t>
      </w:r>
      <w:bookmarkStart w:id="882" w:name="xdx_905_ecustom--CommissionPaymentsPerce"/>
      <w:bookmarkEnd w:id="882"/>
      <w:r>
        <w:rPr>
          <w:rFonts w:ascii="Times New Roman;Times;Serif" w:hAnsi="Times New Roman;Times;Serif"/>
          <w:b w:val="false"/>
          <w:i w:val="false"/>
          <w:caps w:val="false"/>
          <w:smallCaps w:val="false"/>
          <w:sz w:val="20"/>
        </w:rPr>
        <w:t xml:space="preserve">10% to </w:t>
      </w:r>
      <w:bookmarkStart w:id="883" w:name="xdx_902_ecustom--CommissionPaymentsPerce"/>
      <w:bookmarkEnd w:id="883"/>
      <w:r>
        <w:rPr>
          <w:rFonts w:ascii="Times New Roman;Times;Serif" w:hAnsi="Times New Roman;Times;Serif"/>
          <w:b w:val="false"/>
          <w:i w:val="false"/>
          <w:caps w:val="false"/>
          <w:smallCaps w:val="false"/>
          <w:sz w:val="20"/>
        </w:rPr>
        <w:t>14% of net sales for products above and beyond the initial existing sales amounts. In addition, the Company was required to make periodic milestone payments to certain organizations in shares of the Company’s restricted common stock if net sales in the assigned territory reach certain future levels by the end of their terms. Commission expenses of $</w:t>
      </w:r>
      <w:bookmarkStart w:id="884" w:name="xdx_908_eus-gaap--SalesCommissionsAndFee"/>
      <w:bookmarkEnd w:id="884"/>
      <w:r>
        <w:rPr>
          <w:rFonts w:ascii="Times New Roman;Times;Serif" w:hAnsi="Times New Roman;Times;Serif"/>
          <w:b w:val="false"/>
          <w:i w:val="false"/>
          <w:caps w:val="false"/>
          <w:smallCaps w:val="false"/>
          <w:sz w:val="20"/>
        </w:rPr>
        <w:t>0 and $</w:t>
      </w:r>
      <w:bookmarkStart w:id="885" w:name="xdx_905_eus-gaap--SalesCommissionsAndFee"/>
      <w:bookmarkEnd w:id="885"/>
      <w:r>
        <w:rPr>
          <w:rFonts w:ascii="Times New Roman;Times;Serif" w:hAnsi="Times New Roman;Times;Serif"/>
          <w:b w:val="false"/>
          <w:i w:val="false"/>
          <w:caps w:val="false"/>
          <w:smallCaps w:val="false"/>
          <w:sz w:val="20"/>
        </w:rPr>
        <w:t>130,000 were incurred under these agreements for commission expenses during the three and nine months ended September 30, 2023,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Manufacturing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manufacturing agreements with respect to third-party contract manufacturers for its FDA approved pharmaceutical products. Some of these contract manufacturing agreements require minimum annual order amounts. The Company has committed to pay approximately $</w:t>
      </w:r>
      <w:bookmarkStart w:id="886" w:name="xdx_902_eus-gaap--PurchaseCommitmentRema"/>
      <w:bookmarkEnd w:id="886"/>
      <w:r>
        <w:rPr>
          <w:rFonts w:ascii="Times New Roman;Times;Serif" w:hAnsi="Times New Roman;Times;Serif"/>
          <w:b w:val="false"/>
          <w:i w:val="false"/>
          <w:caps w:val="false"/>
          <w:smallCaps w:val="false"/>
          <w:sz w:val="20"/>
        </w:rPr>
        <w:t>2,728,000 related to contract manufacturing agreements for the year ending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87" w:name="xdx_801_eus-gaap--SegmentReportingDisclo"/>
      <w:bookmarkEnd w:id="887"/>
      <w:r>
        <w:rPr>
          <w:rFonts w:ascii="Times New Roman;Times;Serif" w:hAnsi="Times New Roman;Times;Serif"/>
          <w:b/>
          <w:i w:val="false"/>
          <w:caps w:val="false"/>
          <w:smallCaps w:val="false"/>
          <w:sz w:val="20"/>
        </w:rPr>
        <w:t xml:space="preserve">NOTE 15. </w:t>
      </w:r>
      <w:bookmarkStart w:id="888" w:name="xdx_82F_zx9E84FTOz73"/>
      <w:bookmarkEnd w:id="888"/>
      <w:r>
        <w:rPr>
          <w:rFonts w:ascii="Times New Roman;Times;Serif" w:hAnsi="Times New Roman;Times;Serif"/>
          <w:b/>
          <w:i w:val="false"/>
          <w:caps w:val="false"/>
          <w:smallCaps w:val="false"/>
          <w:sz w:val="20"/>
        </w:rPr>
        <w:t>SEGMENTS AND CONCENTRATIONS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three months ended September 30, 2024, the Company operated its business on the basis of a </w:t>
      </w:r>
      <w:bookmarkStart w:id="889" w:name="xdx_906_eus-gaap--NumberOfReportableSegm"/>
      <w:bookmarkEnd w:id="889"/>
      <w:r>
        <w:rPr>
          <w:rFonts w:ascii="Times New Roman;Times;Serif" w:hAnsi="Times New Roman;Times;Serif"/>
          <w:b w:val="false"/>
          <w:i w:val="false"/>
          <w:caps w:val="false"/>
          <w:smallCaps w:val="false"/>
          <w:sz w:val="20"/>
        </w:rPr>
        <w:t xml:space="preserve">single reportable segment due to the lack of discrete, precise financial information available to the chief operating decision maker (“CODM”). The CODM does not review segment assets when assessing segment performance and deciding how to allocate resources. During the three months ended September 30, 2024, refinements were made to the financial reporting information and the Company began reporting on </w:t>
      </w:r>
      <w:bookmarkStart w:id="890" w:name="xdx_901_eus-gaap--NumberOfReportableSegm"/>
      <w:bookmarkEnd w:id="890"/>
      <w:r>
        <w:rPr>
          <w:rFonts w:ascii="Times New Roman;Times;Serif" w:hAnsi="Times New Roman;Times;Serif"/>
          <w:b w:val="false"/>
          <w:i w:val="false"/>
          <w:caps w:val="false"/>
          <w:smallCaps w:val="false"/>
          <w:sz w:val="20"/>
        </w:rPr>
        <w:t>two reportable segments which were generally determined based on the decision-making structure of the Company and the grouping of similar products and services: Branded and ImprimisRx.</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caps w:val="false"/>
                <w:smallCaps w:val="false"/>
                <w:sz w:val="20"/>
              </w:rPr>
              <w:t xml:space="preserve">Branded </w:t>
            </w:r>
            <w:r>
              <w:rPr>
                <w:rFonts w:ascii="Times New Roman;Times;Serif" w:hAnsi="Times New Roman;Times;Serif"/>
                <w:b w:val="false"/>
                <w:i w:val="false"/>
                <w:caps w:val="false"/>
                <w:smallCaps w:val="false"/>
                <w:sz w:val="20"/>
              </w:rPr>
              <w:t>segment includes activities of our FDA approved ophthalmology pharmaceutical products, including the out-licensing of rights to certain of our branded products.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caps w:val="false"/>
                <w:smallCaps w:val="false"/>
                <w:sz w:val="20"/>
              </w:rPr>
              <w:t>ImprimisRx</w:t>
            </w:r>
            <w:r>
              <w:rPr>
                <w:rFonts w:ascii="Times New Roman;Times;Serif" w:hAnsi="Times New Roman;Times;Serif"/>
                <w:b w:val="false"/>
                <w:i w:val="false"/>
                <w:caps w:val="false"/>
                <w:smallCaps w:val="false"/>
                <w:sz w:val="20"/>
              </w:rPr>
              <w:t xml:space="preserve"> segment represents activities in our ophthalmology-focused pharmaceutical compounding business.</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contribution for the segments represents net revenues less cost of sales, certain general and administrative expenses, selling and marketing expenses, and research and development expenses. The Company does not evaluate the following items at the segment level:</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within selling, general and administrative expenses that result from the impact of corporate initiatives. Corporate initiatives primarily include integration, restructuring, acquisition and other shared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select revenues and operating expenses including research and development expenses, amortization, and asset sales and impairments, net as not all such information has been accounted for at the segment level, or such information has not been used by all segments.</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891" w:name="xdx_89F_eus-gaap--ScheduleOfSegmentRepor"/>
      <w:bookmarkEnd w:id="891"/>
      <w:r>
        <w:rPr>
          <w:rFonts w:ascii="Times New Roman;Times;Serif" w:hAnsi="Times New Roman;Times;Serif"/>
          <w:b w:val="false"/>
          <w:i w:val="false"/>
          <w:caps w:val="false"/>
          <w:smallCaps w:val="false"/>
          <w:sz w:val="20"/>
        </w:rPr>
        <w:t>Segment net revenues, segment operating expenses and segment contribution information consisted of the following: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892" w:name="xdx_8B1_zSMeE6cNByJj"/>
      <w:bookmarkEnd w:id="892"/>
      <w:r>
        <w:rPr>
          <w:rFonts w:ascii="Times New Roman;Times;Serif" w:hAnsi="Times New Roman;Times;Serif"/>
          <w:b w:val="false"/>
          <w:i w:val="false"/>
          <w:caps w:val="false"/>
          <w:smallCaps w:val="false"/>
          <w:sz w:val="20"/>
        </w:rPr>
        <w:t>SCHEDULE OF SEGMENT NET REVENUES</w:t>
      </w:r>
    </w:p>
    <w:tbl>
      <w:tblPr>
        <w:tblW w:w="7780" w:type="dxa"/>
        <w:jc w:val="left"/>
        <w:tblInd w:w="0" w:type="dxa"/>
        <w:tblLayout w:type="fixed"/>
        <w:tblCellMar>
          <w:top w:w="0" w:type="dxa"/>
          <w:left w:w="0" w:type="dxa"/>
          <w:bottom w:w="0" w:type="dxa"/>
          <w:right w:w="0" w:type="dxa"/>
        </w:tblCellMar>
      </w:tblPr>
      <w:tblGrid>
        <w:gridCol w:w="3290"/>
        <w:gridCol w:w="60"/>
        <w:gridCol w:w="143"/>
        <w:gridCol w:w="1129"/>
        <w:gridCol w:w="97"/>
        <w:gridCol w:w="61"/>
        <w:gridCol w:w="144"/>
        <w:gridCol w:w="1138"/>
        <w:gridCol w:w="97"/>
        <w:gridCol w:w="61"/>
        <w:gridCol w:w="147"/>
        <w:gridCol w:w="1243"/>
        <w:gridCol w:w="17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3" w:name="xdx_491_20240701__20240930__us-gaap--Sta"/>
            <w:bookmarkEnd w:id="893"/>
          </w:p>
        </w:tc>
        <w:tc>
          <w:tcPr>
            <w:tcW w:w="12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894" w:name="xdx_492_20240701__20240930__us-gaap--Sta"/>
            <w:bookmarkEnd w:id="894"/>
          </w:p>
        </w:tc>
        <w:tc>
          <w:tcPr>
            <w:tcW w:w="12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ImprimisRx</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895" w:name="xdx_49C_20240701__20240930_zuYLFbYD5SZh"/>
            <w:bookmarkEnd w:id="895"/>
          </w:p>
        </w:tc>
        <w:tc>
          <w:tcPr>
            <w:tcW w:w="13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2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2024</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ImprimisRx</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70" w:type="dxa"/>
            <w:tcBorders/>
            <w:vAlign w:val="center"/>
          </w:tcPr>
          <w:p>
            <w:pPr>
              <w:pStyle w:val="TableContents"/>
              <w:bidi w:val="0"/>
              <w:spacing w:before="0" w:after="283"/>
              <w:jc w:val="left"/>
              <w:rPr/>
            </w:pPr>
            <w:r>
              <w:rPr/>
              <w:t> </w:t>
            </w:r>
            <w:bookmarkStart w:id="896" w:name="xdx_401_eus-gaap--RevenueFromContractWit"/>
            <w:bookmarkEnd w:id="896"/>
          </w:p>
        </w:tc>
      </w:tr>
      <w:tr>
        <w:trPr/>
        <w:tc>
          <w:tcPr>
            <w:tcW w:w="3290" w:type="dxa"/>
            <w:tcBorders/>
            <w:shd w:fill="CCEEFF" w:val="clear"/>
            <w:vAlign w:val="center"/>
          </w:tcPr>
          <w:p>
            <w:pPr>
              <w:pStyle w:val="TableContents"/>
              <w:bidi w:val="0"/>
              <w:spacing w:before="0" w:after="283"/>
              <w:jc w:val="left"/>
              <w:rPr/>
            </w:pPr>
            <w:r>
              <w:rPr/>
              <w:t>Product sales,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28,314,000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20,705,000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49,019,000</w:t>
            </w:r>
          </w:p>
        </w:tc>
        <w:tc>
          <w:tcPr>
            <w:tcW w:w="170" w:type="dxa"/>
            <w:tcBorders/>
            <w:shd w:fill="CCEEFF" w:val="clear"/>
            <w:vAlign w:val="center"/>
          </w:tcPr>
          <w:p>
            <w:pPr>
              <w:pStyle w:val="TableContents"/>
              <w:bidi w:val="0"/>
              <w:spacing w:before="0" w:after="283"/>
              <w:jc w:val="left"/>
              <w:rPr/>
            </w:pPr>
            <w:r>
              <w:rPr/>
              <w:t> </w:t>
            </w:r>
            <w:bookmarkStart w:id="897" w:name="xdx_405_eus-gaap--RevenueFromContractWit"/>
            <w:bookmarkEnd w:id="897"/>
          </w:p>
        </w:tc>
      </w:tr>
      <w:tr>
        <w:trPr/>
        <w:tc>
          <w:tcPr>
            <w:tcW w:w="3290"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238,000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pPr>
            <w:r>
              <w:rPr/>
              <w:t>238,000</w:t>
            </w:r>
          </w:p>
        </w:tc>
        <w:tc>
          <w:tcPr>
            <w:tcW w:w="170" w:type="dxa"/>
            <w:tcBorders/>
            <w:shd w:fill="FFFFFF" w:val="clear"/>
            <w:vAlign w:val="center"/>
          </w:tcPr>
          <w:p>
            <w:pPr>
              <w:pStyle w:val="TableContents"/>
              <w:bidi w:val="0"/>
              <w:spacing w:before="0" w:after="283"/>
              <w:jc w:val="left"/>
              <w:rPr/>
            </w:pPr>
            <w:r>
              <w:rPr/>
              <w:t> </w:t>
            </w:r>
            <w:bookmarkStart w:id="898" w:name="xdx_40E_eus-gaap--RevenueFromContractWit"/>
            <w:bookmarkEnd w:id="898"/>
          </w:p>
        </w:tc>
      </w:tr>
      <w:tr>
        <w:trPr/>
        <w:tc>
          <w:tcPr>
            <w:tcW w:w="329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28,552,000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20,705,000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49,257,000</w:t>
            </w:r>
          </w:p>
        </w:tc>
        <w:tc>
          <w:tcPr>
            <w:tcW w:w="170" w:type="dxa"/>
            <w:tcBorders/>
            <w:shd w:fill="CCEEFF" w:val="clear"/>
            <w:vAlign w:val="center"/>
          </w:tcPr>
          <w:p>
            <w:pPr>
              <w:pStyle w:val="TableContents"/>
              <w:bidi w:val="0"/>
              <w:spacing w:before="0" w:after="283"/>
              <w:jc w:val="left"/>
              <w:rPr/>
            </w:pPr>
            <w:r>
              <w:rPr/>
              <w:t> </w:t>
            </w:r>
            <w:bookmarkStart w:id="899" w:name="xdx_40B_eus-gaap--CostOfGoodsAndServices"/>
            <w:bookmarkEnd w:id="899"/>
          </w:p>
        </w:tc>
      </w:tr>
      <w:tr>
        <w:trPr/>
        <w:tc>
          <w:tcPr>
            <w:tcW w:w="329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(5,169,000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(6,849,000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pPr>
            <w:r>
              <w:rPr/>
              <w:t>(12,018,000</w:t>
            </w:r>
          </w:p>
        </w:tc>
        <w:tc>
          <w:tcPr>
            <w:tcW w:w="170" w:type="dxa"/>
            <w:tcBorders/>
            <w:shd w:fill="FFFFFF" w:val="clear"/>
            <w:vAlign w:val="center"/>
          </w:tcPr>
          <w:p>
            <w:pPr>
              <w:pStyle w:val="TableContents"/>
              <w:bidi w:val="0"/>
              <w:spacing w:before="0" w:after="283"/>
              <w:jc w:val="left"/>
              <w:rPr/>
            </w:pPr>
            <w:r>
              <w:rPr/>
              <w:t xml:space="preserve">) </w:t>
            </w:r>
            <w:bookmarkStart w:id="900" w:name="xdx_40C_eus-gaap--GrossProfit_zEa3TCWsuw"/>
            <w:bookmarkEnd w:id="900"/>
          </w:p>
        </w:tc>
      </w:tr>
      <w:tr>
        <w:trPr/>
        <w:tc>
          <w:tcPr>
            <w:tcW w:w="32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23,383,000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13,856,000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37,239,000</w:t>
            </w:r>
          </w:p>
        </w:tc>
        <w:tc>
          <w:tcPr>
            <w:tcW w:w="170" w:type="dxa"/>
            <w:tcBorders/>
            <w:shd w:fill="CCEEFF" w:val="clear"/>
            <w:vAlign w:val="center"/>
          </w:tcPr>
          <w:p>
            <w:pPr>
              <w:pStyle w:val="TableContents"/>
              <w:bidi w:val="0"/>
              <w:spacing w:before="0" w:after="283"/>
              <w:jc w:val="left"/>
              <w:rPr/>
            </w:pPr>
            <w:r>
              <w:rPr/>
              <w:t> </w:t>
            </w:r>
            <w:bookmarkStart w:id="901" w:name="xdx_40D_eus-gaap--OperatingExpensesAbstr"/>
            <w:bookmarkEnd w:id="901"/>
          </w:p>
        </w:tc>
      </w:tr>
      <w:tr>
        <w:trPr/>
        <w:tc>
          <w:tcPr>
            <w:tcW w:w="32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902" w:name="xdx_400_eus-gaap--SellingGeneralAndAdmin"/>
            <w:bookmarkEnd w:id="902"/>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14,038,000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5,427,000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19,465,000</w:t>
            </w:r>
          </w:p>
        </w:tc>
        <w:tc>
          <w:tcPr>
            <w:tcW w:w="170" w:type="dxa"/>
            <w:tcBorders/>
            <w:shd w:fill="CCEEFF" w:val="clear"/>
            <w:vAlign w:val="center"/>
          </w:tcPr>
          <w:p>
            <w:pPr>
              <w:pStyle w:val="TableContents"/>
              <w:bidi w:val="0"/>
              <w:spacing w:before="0" w:after="283"/>
              <w:jc w:val="left"/>
              <w:rPr/>
            </w:pPr>
            <w:r>
              <w:rPr/>
              <w:t> </w:t>
            </w:r>
            <w:bookmarkStart w:id="903" w:name="xdx_40C_eus-gaap--ResearchAndDevelopment"/>
            <w:bookmarkEnd w:id="903"/>
          </w:p>
        </w:tc>
      </w:tr>
      <w:tr>
        <w:trPr/>
        <w:tc>
          <w:tcPr>
            <w:tcW w:w="32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212,000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84,000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pPr>
            <w:r>
              <w:rPr/>
              <w:t>296,000</w:t>
            </w:r>
          </w:p>
        </w:tc>
        <w:tc>
          <w:tcPr>
            <w:tcW w:w="170" w:type="dxa"/>
            <w:tcBorders/>
            <w:shd w:fill="FFFFFF" w:val="clear"/>
            <w:vAlign w:val="center"/>
          </w:tcPr>
          <w:p>
            <w:pPr>
              <w:pStyle w:val="TableContents"/>
              <w:bidi w:val="0"/>
              <w:spacing w:before="0" w:after="283"/>
              <w:jc w:val="left"/>
              <w:rPr/>
            </w:pPr>
            <w:r>
              <w:rPr/>
              <w:t> </w:t>
            </w:r>
            <w:bookmarkStart w:id="904" w:name="xdx_40D_eus-gaap--OperatingExpenses_hsrt"/>
            <w:bookmarkEnd w:id="904"/>
          </w:p>
        </w:tc>
      </w:tr>
      <w:tr>
        <w:trPr/>
        <w:tc>
          <w:tcPr>
            <w:tcW w:w="3290" w:type="dxa"/>
            <w:tcBorders/>
            <w:shd w:fill="CCEEFF" w:val="clear"/>
            <w:vAlign w:val="center"/>
          </w:tcPr>
          <w:p>
            <w:pPr>
              <w:pStyle w:val="TableContents"/>
              <w:bidi w:val="0"/>
              <w:spacing w:before="0" w:after="283"/>
              <w:jc w:val="left"/>
              <w:rPr/>
            </w:pPr>
            <w:r>
              <w:rPr/>
              <w:t>Segment contribution</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pPr>
            <w:r>
              <w:rPr/>
              <w:t>9,133,000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8,345,000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17,478,000</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Corporate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left"/>
              <w:rPr>
                <w:sz w:val="4"/>
                <w:szCs w:val="4"/>
              </w:rPr>
            </w:pPr>
            <w:r>
              <w:rPr>
                <w:sz w:val="4"/>
                <w:szCs w:val="4"/>
              </w:rPr>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sz w:val="4"/>
                <w:szCs w:val="4"/>
              </w:rPr>
            </w:pPr>
            <w:r>
              <w:rPr>
                <w:sz w:val="4"/>
                <w:szCs w:val="4"/>
              </w:rPr>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bookmarkStart w:id="905" w:name="xdx_987_eus-gaap--OperatingExpenses_pp0p"/>
            <w:bookmarkEnd w:id="905"/>
          </w:p>
        </w:tc>
        <w:tc>
          <w:tcPr>
            <w:tcW w:w="1243" w:type="dxa"/>
            <w:tcBorders/>
            <w:shd w:fill="FFFFFF" w:val="clear"/>
            <w:vAlign w:val="center"/>
          </w:tcPr>
          <w:p>
            <w:pPr>
              <w:pStyle w:val="TableContents"/>
              <w:bidi w:val="0"/>
              <w:spacing w:before="0" w:after="283"/>
              <w:jc w:val="right"/>
              <w:rPr/>
            </w:pPr>
            <w:r>
              <w:rPr/>
              <w:t>14,180,000</w:t>
            </w:r>
          </w:p>
        </w:tc>
        <w:tc>
          <w:tcPr>
            <w:tcW w:w="17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6" w:name="xdx_988_eus-gaap--OperatingExpenses_pp0p"/>
            <w:bookmarkEnd w:id="906"/>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pPr>
            <w:r>
              <w:rPr/>
              <w:t>1,977,000</w:t>
            </w:r>
          </w:p>
        </w:tc>
        <w:tc>
          <w:tcPr>
            <w:tcW w:w="170" w:type="dxa"/>
            <w:tcBorders/>
            <w:shd w:fill="CCEEFF" w:val="clear"/>
            <w:vAlign w:val="center"/>
          </w:tcPr>
          <w:p>
            <w:pPr>
              <w:pStyle w:val="TableContents"/>
              <w:bidi w:val="0"/>
              <w:spacing w:before="0" w:after="283"/>
              <w:jc w:val="left"/>
              <w:rPr/>
            </w:pPr>
            <w:r>
              <w:rPr/>
              <w:t> </w:t>
            </w:r>
            <w:bookmarkStart w:id="907" w:name="xdx_402_eus-gaap--OperatingIncomeLoss_zY"/>
            <w:bookmarkEnd w:id="907"/>
          </w:p>
        </w:tc>
      </w:tr>
      <w:tr>
        <w:trPr/>
        <w:tc>
          <w:tcPr>
            <w:tcW w:w="3290" w:type="dxa"/>
            <w:tcBorders/>
            <w:shd w:fill="FFFFFF" w:val="clear"/>
            <w:vAlign w:val="center"/>
          </w:tcPr>
          <w:p>
            <w:pPr>
              <w:pStyle w:val="TableContents"/>
              <w:bidi w:val="0"/>
              <w:spacing w:before="0" w:after="283"/>
              <w:jc w:val="left"/>
              <w:rPr/>
            </w:pPr>
            <w:r>
              <w:rPr/>
              <w:t>Income from operations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pPr>
            <w:r>
              <w:rPr/>
              <w:t>1,321,000</w:t>
            </w:r>
          </w:p>
        </w:tc>
        <w:tc>
          <w:tcPr>
            <w:tcW w:w="17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3290"/>
        <w:gridCol w:w="60"/>
        <w:gridCol w:w="143"/>
        <w:gridCol w:w="1129"/>
        <w:gridCol w:w="97"/>
        <w:gridCol w:w="61"/>
        <w:gridCol w:w="144"/>
        <w:gridCol w:w="1138"/>
        <w:gridCol w:w="97"/>
        <w:gridCol w:w="61"/>
        <w:gridCol w:w="147"/>
        <w:gridCol w:w="1243"/>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8" w:name="xdx_498_20230701__20230930__us-gaap--Sta"/>
            <w:bookmarkEnd w:id="908"/>
          </w:p>
        </w:tc>
        <w:tc>
          <w:tcPr>
            <w:tcW w:w="12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909" w:name="xdx_495_20230701__20230930__us-gaap--Sta"/>
            <w:bookmarkEnd w:id="909"/>
          </w:p>
        </w:tc>
        <w:tc>
          <w:tcPr>
            <w:tcW w:w="12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ImprimisRx</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910" w:name="xdx_495_20230701__20230930_zZMJ0X6TR5R1"/>
            <w:bookmarkEnd w:id="910"/>
          </w:p>
        </w:tc>
        <w:tc>
          <w:tcPr>
            <w:tcW w:w="13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2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 2023</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ImprimisRx</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bookmarkStart w:id="911" w:name="xdx_409_eus-gaap--RevenueFromContractWit"/>
            <w:bookmarkEnd w:id="911"/>
          </w:p>
        </w:tc>
      </w:tr>
      <w:tr>
        <w:trPr/>
        <w:tc>
          <w:tcPr>
            <w:tcW w:w="3290" w:type="dxa"/>
            <w:tcBorders/>
            <w:shd w:fill="CCEEFF" w:val="clear"/>
            <w:vAlign w:val="center"/>
          </w:tcPr>
          <w:p>
            <w:pPr>
              <w:pStyle w:val="TableContents"/>
              <w:bidi w:val="0"/>
              <w:spacing w:before="0" w:after="283"/>
              <w:jc w:val="left"/>
              <w:rPr/>
            </w:pPr>
            <w:r>
              <w:rPr/>
              <w:t>Product sales,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12,040,000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19,769,000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31,809,000</w:t>
            </w:r>
          </w:p>
        </w:tc>
        <w:tc>
          <w:tcPr>
            <w:tcW w:w="110" w:type="dxa"/>
            <w:tcBorders/>
            <w:shd w:fill="CCEEFF" w:val="clear"/>
            <w:vAlign w:val="center"/>
          </w:tcPr>
          <w:p>
            <w:pPr>
              <w:pStyle w:val="TableContents"/>
              <w:bidi w:val="0"/>
              <w:spacing w:before="0" w:after="283"/>
              <w:jc w:val="left"/>
              <w:rPr/>
            </w:pPr>
            <w:r>
              <w:rPr/>
              <w:t> </w:t>
            </w:r>
            <w:bookmarkStart w:id="912" w:name="xdx_401_eus-gaap--RevenueFromContractWit"/>
            <w:bookmarkEnd w:id="912"/>
          </w:p>
        </w:tc>
      </w:tr>
      <w:tr>
        <w:trPr/>
        <w:tc>
          <w:tcPr>
            <w:tcW w:w="3290"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2,456,000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pPr>
            <w:r>
              <w:rPr/>
              <w:t>2,456,000</w:t>
            </w:r>
          </w:p>
        </w:tc>
        <w:tc>
          <w:tcPr>
            <w:tcW w:w="110" w:type="dxa"/>
            <w:tcBorders/>
            <w:shd w:fill="FFFFFF" w:val="clear"/>
            <w:vAlign w:val="center"/>
          </w:tcPr>
          <w:p>
            <w:pPr>
              <w:pStyle w:val="TableContents"/>
              <w:bidi w:val="0"/>
              <w:spacing w:before="0" w:after="283"/>
              <w:jc w:val="left"/>
              <w:rPr/>
            </w:pPr>
            <w:r>
              <w:rPr/>
              <w:t> </w:t>
            </w:r>
            <w:bookmarkStart w:id="913" w:name="xdx_405_eus-gaap--RevenueFromContractWit"/>
            <w:bookmarkEnd w:id="913"/>
          </w:p>
        </w:tc>
      </w:tr>
      <w:tr>
        <w:trPr/>
        <w:tc>
          <w:tcPr>
            <w:tcW w:w="329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14,496,000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19,769,000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34,265,000</w:t>
            </w:r>
          </w:p>
        </w:tc>
        <w:tc>
          <w:tcPr>
            <w:tcW w:w="110" w:type="dxa"/>
            <w:tcBorders/>
            <w:shd w:fill="CCEEFF" w:val="clear"/>
            <w:vAlign w:val="center"/>
          </w:tcPr>
          <w:p>
            <w:pPr>
              <w:pStyle w:val="TableContents"/>
              <w:bidi w:val="0"/>
              <w:spacing w:before="0" w:after="283"/>
              <w:jc w:val="left"/>
              <w:rPr/>
            </w:pPr>
            <w:r>
              <w:rPr/>
              <w:t> </w:t>
            </w:r>
            <w:bookmarkStart w:id="914" w:name="xdx_404_eus-gaap--CostOfGoodsAndServices"/>
            <w:bookmarkEnd w:id="914"/>
          </w:p>
        </w:tc>
      </w:tr>
      <w:tr>
        <w:trPr/>
        <w:tc>
          <w:tcPr>
            <w:tcW w:w="329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(3,335,000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(6,732,000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pPr>
            <w:r>
              <w:rPr/>
              <w:t>(10,067,000</w:t>
            </w:r>
          </w:p>
        </w:tc>
        <w:tc>
          <w:tcPr>
            <w:tcW w:w="110" w:type="dxa"/>
            <w:tcBorders/>
            <w:shd w:fill="FFFFFF" w:val="clear"/>
            <w:vAlign w:val="center"/>
          </w:tcPr>
          <w:p>
            <w:pPr>
              <w:pStyle w:val="TableContents"/>
              <w:bidi w:val="0"/>
              <w:spacing w:before="0" w:after="283"/>
              <w:jc w:val="left"/>
              <w:rPr/>
            </w:pPr>
            <w:r>
              <w:rPr/>
              <w:t>)</w:t>
            </w:r>
            <w:bookmarkStart w:id="915" w:name="xdx_407_eus-gaap--GrossProfit_zdUs4CB0kQ"/>
            <w:bookmarkEnd w:id="915"/>
          </w:p>
        </w:tc>
      </w:tr>
      <w:tr>
        <w:trPr/>
        <w:tc>
          <w:tcPr>
            <w:tcW w:w="32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11,161,000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13,037,000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24,198,000</w:t>
            </w:r>
          </w:p>
        </w:tc>
        <w:tc>
          <w:tcPr>
            <w:tcW w:w="110" w:type="dxa"/>
            <w:tcBorders/>
            <w:shd w:fill="CCEEFF" w:val="clear"/>
            <w:vAlign w:val="center"/>
          </w:tcPr>
          <w:p>
            <w:pPr>
              <w:pStyle w:val="TableContents"/>
              <w:bidi w:val="0"/>
              <w:spacing w:before="0" w:after="283"/>
              <w:jc w:val="left"/>
              <w:rPr/>
            </w:pPr>
            <w:r>
              <w:rPr/>
              <w:t> </w:t>
            </w:r>
            <w:bookmarkStart w:id="916" w:name="xdx_409_eus-gaap--OperatingExpensesAbstr"/>
            <w:bookmarkEnd w:id="916"/>
          </w:p>
        </w:tc>
      </w:tr>
      <w:tr>
        <w:trPr/>
        <w:tc>
          <w:tcPr>
            <w:tcW w:w="32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17" w:name="xdx_40D_eus-gaap--SellingGeneralAndAdmin"/>
            <w:bookmarkEnd w:id="917"/>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1,930,000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7,703,000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9,633,000</w:t>
            </w:r>
          </w:p>
        </w:tc>
        <w:tc>
          <w:tcPr>
            <w:tcW w:w="110" w:type="dxa"/>
            <w:tcBorders/>
            <w:shd w:fill="CCEEFF" w:val="clear"/>
            <w:vAlign w:val="center"/>
          </w:tcPr>
          <w:p>
            <w:pPr>
              <w:pStyle w:val="TableContents"/>
              <w:bidi w:val="0"/>
              <w:spacing w:before="0" w:after="283"/>
              <w:jc w:val="left"/>
              <w:rPr/>
            </w:pPr>
            <w:r>
              <w:rPr/>
              <w:t> </w:t>
            </w:r>
            <w:bookmarkStart w:id="918" w:name="xdx_40B_eus-gaap--ResearchAndDevelopment"/>
            <w:bookmarkEnd w:id="918"/>
          </w:p>
        </w:tc>
      </w:tr>
      <w:tr>
        <w:trPr/>
        <w:tc>
          <w:tcPr>
            <w:tcW w:w="32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37,000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159,000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pPr>
            <w:r>
              <w:rPr/>
              <w:t>196,000</w:t>
            </w:r>
          </w:p>
        </w:tc>
        <w:tc>
          <w:tcPr>
            <w:tcW w:w="110" w:type="dxa"/>
            <w:tcBorders/>
            <w:shd w:fill="FFFFFF" w:val="clear"/>
            <w:vAlign w:val="center"/>
          </w:tcPr>
          <w:p>
            <w:pPr>
              <w:pStyle w:val="TableContents"/>
              <w:bidi w:val="0"/>
              <w:spacing w:before="0" w:after="283"/>
              <w:jc w:val="left"/>
              <w:rPr/>
            </w:pPr>
            <w:r>
              <w:rPr/>
              <w:t> </w:t>
            </w:r>
            <w:bookmarkStart w:id="919" w:name="xdx_402_eus-gaap--OperatingExpenses_hsrt"/>
            <w:bookmarkEnd w:id="919"/>
          </w:p>
        </w:tc>
      </w:tr>
      <w:tr>
        <w:trPr/>
        <w:tc>
          <w:tcPr>
            <w:tcW w:w="3290" w:type="dxa"/>
            <w:tcBorders/>
            <w:shd w:fill="CCEEFF" w:val="clear"/>
            <w:vAlign w:val="center"/>
          </w:tcPr>
          <w:p>
            <w:pPr>
              <w:pStyle w:val="TableContents"/>
              <w:bidi w:val="0"/>
              <w:spacing w:before="0" w:after="283"/>
              <w:jc w:val="left"/>
              <w:rPr/>
            </w:pPr>
            <w:r>
              <w:rPr/>
              <w:t>Segment contribution</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pPr>
            <w:r>
              <w:rPr/>
              <w:t>9,194,000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5,175,000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14,369,000</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Corporate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left"/>
              <w:rPr>
                <w:sz w:val="4"/>
                <w:szCs w:val="4"/>
              </w:rPr>
            </w:pPr>
            <w:r>
              <w:rPr>
                <w:sz w:val="4"/>
                <w:szCs w:val="4"/>
              </w:rPr>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sz w:val="4"/>
                <w:szCs w:val="4"/>
              </w:rPr>
            </w:pPr>
            <w:r>
              <w:rPr>
                <w:sz w:val="4"/>
                <w:szCs w:val="4"/>
              </w:rPr>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bookmarkStart w:id="920" w:name="xdx_986_eus-gaap--OperatingExpenses_pp0p"/>
            <w:bookmarkEnd w:id="920"/>
          </w:p>
        </w:tc>
        <w:tc>
          <w:tcPr>
            <w:tcW w:w="1243" w:type="dxa"/>
            <w:tcBorders/>
            <w:shd w:fill="FFFFFF" w:val="clear"/>
            <w:vAlign w:val="center"/>
          </w:tcPr>
          <w:p>
            <w:pPr>
              <w:pStyle w:val="TableContents"/>
              <w:bidi w:val="0"/>
              <w:spacing w:before="0" w:after="283"/>
              <w:jc w:val="right"/>
              <w:rPr/>
            </w:pPr>
            <w:r>
              <w:rPr/>
              <w:t>11,400,000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1" w:name="xdx_985_eus-gaap--OperatingExpenses_pp0p"/>
            <w:bookmarkEnd w:id="921"/>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pPr>
            <w:r>
              <w:rPr/>
              <w:t>1,225,000</w:t>
            </w:r>
          </w:p>
        </w:tc>
        <w:tc>
          <w:tcPr>
            <w:tcW w:w="110" w:type="dxa"/>
            <w:tcBorders/>
            <w:shd w:fill="CCEEFF" w:val="clear"/>
            <w:vAlign w:val="center"/>
          </w:tcPr>
          <w:p>
            <w:pPr>
              <w:pStyle w:val="TableContents"/>
              <w:bidi w:val="0"/>
              <w:spacing w:before="0" w:after="283"/>
              <w:jc w:val="left"/>
              <w:rPr/>
            </w:pPr>
            <w:r>
              <w:rPr/>
              <w:t> </w:t>
            </w:r>
            <w:bookmarkStart w:id="922" w:name="xdx_408_eus-gaap--OperatingIncomeLoss_zI"/>
            <w:bookmarkEnd w:id="922"/>
          </w:p>
        </w:tc>
      </w:tr>
      <w:tr>
        <w:trPr/>
        <w:tc>
          <w:tcPr>
            <w:tcW w:w="3290" w:type="dxa"/>
            <w:tcBorders/>
            <w:shd w:fill="FFFFFF" w:val="clear"/>
            <w:vAlign w:val="center"/>
          </w:tcPr>
          <w:p>
            <w:pPr>
              <w:pStyle w:val="TableContents"/>
              <w:bidi w:val="0"/>
              <w:spacing w:before="0" w:after="283"/>
              <w:jc w:val="left"/>
              <w:rPr/>
            </w:pPr>
            <w:r>
              <w:rPr/>
              <w:t>Income from operations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pPr>
            <w:r>
              <w:rPr/>
              <w:t>1,744,000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3290"/>
        <w:gridCol w:w="60"/>
        <w:gridCol w:w="140"/>
        <w:gridCol w:w="1175"/>
        <w:gridCol w:w="95"/>
        <w:gridCol w:w="60"/>
        <w:gridCol w:w="140"/>
        <w:gridCol w:w="1175"/>
        <w:gridCol w:w="95"/>
        <w:gridCol w:w="60"/>
        <w:gridCol w:w="140"/>
        <w:gridCol w:w="1220"/>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3" w:name="xdx_499_20240101__20240930__us-gaap--Sta"/>
            <w:bookmarkEnd w:id="923"/>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4" w:name="xdx_49F_20240101__20240930__us-gaap--Sta"/>
            <w:bookmarkEnd w:id="924"/>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ImprimisRx</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5" w:name="xdx_493_20240101__20240930_zvCO5cjEOQdi"/>
            <w:bookmarkEnd w:id="925"/>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2024</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ImprimisRx</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bookmarkStart w:id="926" w:name="xdx_408_eus-gaap--RevenueFromContractWit"/>
            <w:bookmarkEnd w:id="926"/>
          </w:p>
        </w:tc>
      </w:tr>
      <w:tr>
        <w:trPr/>
        <w:tc>
          <w:tcPr>
            <w:tcW w:w="3290" w:type="dxa"/>
            <w:tcBorders/>
            <w:shd w:fill="CCEEFF" w:val="clear"/>
            <w:vAlign w:val="center"/>
          </w:tcPr>
          <w:p>
            <w:pPr>
              <w:pStyle w:val="TableContents"/>
              <w:bidi w:val="0"/>
              <w:spacing w:before="0" w:after="283"/>
              <w:jc w:val="left"/>
              <w:rPr/>
            </w:pPr>
            <w:r>
              <w:rPr/>
              <w:t>Product sales,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69,395,000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63,003,000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132,398,000</w:t>
            </w:r>
          </w:p>
        </w:tc>
        <w:tc>
          <w:tcPr>
            <w:tcW w:w="110" w:type="dxa"/>
            <w:tcBorders/>
            <w:shd w:fill="CCEEFF" w:val="clear"/>
            <w:vAlign w:val="center"/>
          </w:tcPr>
          <w:p>
            <w:pPr>
              <w:pStyle w:val="TableContents"/>
              <w:bidi w:val="0"/>
              <w:spacing w:before="0" w:after="283"/>
              <w:jc w:val="left"/>
              <w:rPr/>
            </w:pPr>
            <w:r>
              <w:rPr/>
              <w:t> </w:t>
            </w:r>
            <w:bookmarkStart w:id="927" w:name="xdx_403_eus-gaap--RevenueFromContractWit"/>
            <w:bookmarkEnd w:id="927"/>
          </w:p>
        </w:tc>
      </w:tr>
      <w:tr>
        <w:trPr/>
        <w:tc>
          <w:tcPr>
            <w:tcW w:w="3290"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385,000</w:t>
            </w:r>
          </w:p>
        </w:tc>
        <w:tc>
          <w:tcPr>
            <w:tcW w:w="110" w:type="dxa"/>
            <w:tcBorders/>
            <w:shd w:fill="FFFFFF" w:val="clear"/>
            <w:vAlign w:val="center"/>
          </w:tcPr>
          <w:p>
            <w:pPr>
              <w:pStyle w:val="TableContents"/>
              <w:bidi w:val="0"/>
              <w:spacing w:before="0" w:after="283"/>
              <w:jc w:val="left"/>
              <w:rPr/>
            </w:pPr>
            <w:r>
              <w:rPr/>
              <w:t> </w:t>
            </w:r>
            <w:bookmarkStart w:id="928" w:name="xdx_400_eus-gaap--RevenueFromContractWit"/>
            <w:bookmarkEnd w:id="928"/>
          </w:p>
        </w:tc>
      </w:tr>
      <w:tr>
        <w:trPr/>
        <w:tc>
          <w:tcPr>
            <w:tcW w:w="329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69,780,000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63,003,000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132,783,000</w:t>
            </w:r>
          </w:p>
        </w:tc>
        <w:tc>
          <w:tcPr>
            <w:tcW w:w="110" w:type="dxa"/>
            <w:tcBorders/>
            <w:shd w:fill="CCEEFF" w:val="clear"/>
            <w:vAlign w:val="center"/>
          </w:tcPr>
          <w:p>
            <w:pPr>
              <w:pStyle w:val="TableContents"/>
              <w:bidi w:val="0"/>
              <w:spacing w:before="0" w:after="283"/>
              <w:jc w:val="left"/>
              <w:rPr/>
            </w:pPr>
            <w:r>
              <w:rPr/>
              <w:t> </w:t>
            </w:r>
            <w:bookmarkStart w:id="929" w:name="xdx_404_eus-gaap--CostOfGoodsAndServices"/>
            <w:bookmarkEnd w:id="929"/>
          </w:p>
        </w:tc>
      </w:tr>
      <w:tr>
        <w:trPr/>
        <w:tc>
          <w:tcPr>
            <w:tcW w:w="329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(14,406,000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(20,704,000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(35,110,000</w:t>
            </w:r>
          </w:p>
        </w:tc>
        <w:tc>
          <w:tcPr>
            <w:tcW w:w="110" w:type="dxa"/>
            <w:tcBorders/>
            <w:shd w:fill="FFFFFF" w:val="clear"/>
            <w:vAlign w:val="center"/>
          </w:tcPr>
          <w:p>
            <w:pPr>
              <w:pStyle w:val="TableContents"/>
              <w:bidi w:val="0"/>
              <w:spacing w:before="0" w:after="283"/>
              <w:jc w:val="left"/>
              <w:rPr/>
            </w:pPr>
            <w:r>
              <w:rPr/>
              <w:t>)</w:t>
            </w:r>
            <w:bookmarkStart w:id="930" w:name="xdx_40F_eus-gaap--GrossProfit_zLROVDoFQR"/>
            <w:bookmarkEnd w:id="930"/>
          </w:p>
        </w:tc>
      </w:tr>
      <w:tr>
        <w:trPr/>
        <w:tc>
          <w:tcPr>
            <w:tcW w:w="32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55,374,000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42,299,000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97,673,000</w:t>
            </w:r>
          </w:p>
        </w:tc>
        <w:tc>
          <w:tcPr>
            <w:tcW w:w="110" w:type="dxa"/>
            <w:tcBorders/>
            <w:shd w:fill="CCEEFF" w:val="clear"/>
            <w:vAlign w:val="center"/>
          </w:tcPr>
          <w:p>
            <w:pPr>
              <w:pStyle w:val="TableContents"/>
              <w:bidi w:val="0"/>
              <w:spacing w:before="0" w:after="283"/>
              <w:jc w:val="left"/>
              <w:rPr/>
            </w:pPr>
            <w:r>
              <w:rPr/>
              <w:t> </w:t>
            </w:r>
            <w:bookmarkStart w:id="931" w:name="xdx_408_eus-gaap--OperatingExpensesAbstr"/>
            <w:bookmarkEnd w:id="931"/>
          </w:p>
        </w:tc>
      </w:tr>
      <w:tr>
        <w:trPr/>
        <w:tc>
          <w:tcPr>
            <w:tcW w:w="32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32" w:name="xdx_404_eus-gaap--SellingGeneralAndAdmin"/>
            <w:bookmarkEnd w:id="932"/>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36,034,000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17,364,000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53,398,000</w:t>
            </w:r>
          </w:p>
        </w:tc>
        <w:tc>
          <w:tcPr>
            <w:tcW w:w="110" w:type="dxa"/>
            <w:tcBorders/>
            <w:shd w:fill="CCEEFF" w:val="clear"/>
            <w:vAlign w:val="center"/>
          </w:tcPr>
          <w:p>
            <w:pPr>
              <w:pStyle w:val="TableContents"/>
              <w:bidi w:val="0"/>
              <w:spacing w:before="0" w:after="283"/>
              <w:jc w:val="left"/>
              <w:rPr/>
            </w:pPr>
            <w:r>
              <w:rPr/>
              <w:t> </w:t>
            </w:r>
            <w:bookmarkStart w:id="933" w:name="xdx_400_eus-gaap--ResearchAndDevelopment"/>
            <w:bookmarkEnd w:id="933"/>
          </w:p>
        </w:tc>
      </w:tr>
      <w:tr>
        <w:trPr/>
        <w:tc>
          <w:tcPr>
            <w:tcW w:w="32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261,000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582,000</w:t>
            </w:r>
          </w:p>
        </w:tc>
        <w:tc>
          <w:tcPr>
            <w:tcW w:w="110" w:type="dxa"/>
            <w:tcBorders/>
            <w:shd w:fill="FFFFFF" w:val="clear"/>
            <w:vAlign w:val="center"/>
          </w:tcPr>
          <w:p>
            <w:pPr>
              <w:pStyle w:val="TableContents"/>
              <w:bidi w:val="0"/>
              <w:spacing w:before="0" w:after="283"/>
              <w:jc w:val="left"/>
              <w:rPr/>
            </w:pPr>
            <w:r>
              <w:rPr/>
              <w:t> </w:t>
            </w:r>
            <w:bookmarkStart w:id="934" w:name="xdx_404_eus-gaap--OperatingExpenses_hsrt"/>
            <w:bookmarkEnd w:id="934"/>
          </w:p>
        </w:tc>
      </w:tr>
      <w:tr>
        <w:trPr/>
        <w:tc>
          <w:tcPr>
            <w:tcW w:w="3290" w:type="dxa"/>
            <w:tcBorders/>
            <w:shd w:fill="CCEEFF" w:val="clear"/>
            <w:vAlign w:val="center"/>
          </w:tcPr>
          <w:p>
            <w:pPr>
              <w:pStyle w:val="TableContents"/>
              <w:bidi w:val="0"/>
              <w:spacing w:before="0" w:after="283"/>
              <w:jc w:val="left"/>
              <w:rPr/>
            </w:pPr>
            <w:r>
              <w:rPr/>
              <w:t>Segment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19,019,000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24,674,000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43,693,000</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Corporate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35" w:name="xdx_981_eus-gaap--OperatingExpenses_pp0p"/>
            <w:bookmarkEnd w:id="935"/>
          </w:p>
        </w:tc>
        <w:tc>
          <w:tcPr>
            <w:tcW w:w="1220" w:type="dxa"/>
            <w:tcBorders/>
            <w:shd w:fill="FFFFFF" w:val="clear"/>
            <w:vAlign w:val="center"/>
          </w:tcPr>
          <w:p>
            <w:pPr>
              <w:pStyle w:val="TableContents"/>
              <w:bidi w:val="0"/>
              <w:spacing w:before="0" w:after="283"/>
              <w:jc w:val="right"/>
              <w:rPr/>
            </w:pPr>
            <w:r>
              <w:rPr/>
              <w:t>40,877,000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36" w:name="xdx_986_eus-gaap--OperatingExpenses_pp0p"/>
            <w:bookmarkEnd w:id="936"/>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6,893,000</w:t>
            </w:r>
          </w:p>
        </w:tc>
        <w:tc>
          <w:tcPr>
            <w:tcW w:w="110" w:type="dxa"/>
            <w:tcBorders/>
            <w:shd w:fill="CCEEFF" w:val="clear"/>
            <w:vAlign w:val="center"/>
          </w:tcPr>
          <w:p>
            <w:pPr>
              <w:pStyle w:val="TableContents"/>
              <w:bidi w:val="0"/>
              <w:spacing w:before="0" w:after="283"/>
              <w:jc w:val="left"/>
              <w:rPr/>
            </w:pPr>
            <w:r>
              <w:rPr/>
              <w:t> </w:t>
            </w:r>
            <w:bookmarkStart w:id="937" w:name="xdx_40F_eus-gaap--OperatingIncomeLoss_zj"/>
            <w:bookmarkEnd w:id="937"/>
          </w:p>
        </w:tc>
      </w:tr>
      <w:tr>
        <w:trPr/>
        <w:tc>
          <w:tcPr>
            <w:tcW w:w="329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(4,077,000</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7680" w:type="dxa"/>
        <w:jc w:val="left"/>
        <w:tblInd w:w="0" w:type="dxa"/>
        <w:tblLayout w:type="fixed"/>
        <w:tblCellMar>
          <w:top w:w="0" w:type="dxa"/>
          <w:left w:w="0" w:type="dxa"/>
          <w:bottom w:w="0" w:type="dxa"/>
          <w:right w:w="0" w:type="dxa"/>
        </w:tblCellMar>
      </w:tblPr>
      <w:tblGrid>
        <w:gridCol w:w="3290"/>
        <w:gridCol w:w="60"/>
        <w:gridCol w:w="140"/>
        <w:gridCol w:w="1100"/>
        <w:gridCol w:w="95"/>
        <w:gridCol w:w="60"/>
        <w:gridCol w:w="140"/>
        <w:gridCol w:w="1175"/>
        <w:gridCol w:w="95"/>
        <w:gridCol w:w="60"/>
        <w:gridCol w:w="144"/>
        <w:gridCol w:w="1211"/>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8" w:name="xdx_490_20230101__20230930__us-gaap--Sta"/>
            <w:bookmarkEnd w:id="93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9" w:name="xdx_49F_20230101__20230930__us-gaap--Sta"/>
            <w:bookmarkEnd w:id="939"/>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ImprimisRx</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0" w:name="xdx_498_20230101__20230930_zoHyUBqiSFJ1"/>
            <w:bookmarkEnd w:id="940"/>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22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2023</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ImprimisRx</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110" w:type="dxa"/>
            <w:tcBorders/>
            <w:vAlign w:val="center"/>
          </w:tcPr>
          <w:p>
            <w:pPr>
              <w:pStyle w:val="TableContents"/>
              <w:bidi w:val="0"/>
              <w:spacing w:before="0" w:after="283"/>
              <w:jc w:val="left"/>
              <w:rPr/>
            </w:pPr>
            <w:r>
              <w:rPr/>
              <w:t> </w:t>
            </w:r>
            <w:bookmarkStart w:id="941" w:name="xdx_405_eus-gaap--RevenueFromContractWit"/>
            <w:bookmarkEnd w:id="941"/>
          </w:p>
        </w:tc>
      </w:tr>
      <w:tr>
        <w:trPr/>
        <w:tc>
          <w:tcPr>
            <w:tcW w:w="3290" w:type="dxa"/>
            <w:tcBorders/>
            <w:shd w:fill="CCEEFF" w:val="clear"/>
            <w:vAlign w:val="center"/>
          </w:tcPr>
          <w:p>
            <w:pPr>
              <w:pStyle w:val="TableContents"/>
              <w:bidi w:val="0"/>
              <w:spacing w:before="0" w:after="283"/>
              <w:jc w:val="left"/>
              <w:rPr/>
            </w:pPr>
            <w:r>
              <w:rPr/>
              <w:t>Product sales,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21,829,000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59,975,000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81,804,000</w:t>
            </w:r>
          </w:p>
        </w:tc>
        <w:tc>
          <w:tcPr>
            <w:tcW w:w="110" w:type="dxa"/>
            <w:tcBorders/>
            <w:shd w:fill="CCEEFF" w:val="clear"/>
            <w:vAlign w:val="center"/>
          </w:tcPr>
          <w:p>
            <w:pPr>
              <w:pStyle w:val="TableContents"/>
              <w:bidi w:val="0"/>
              <w:spacing w:before="0" w:after="283"/>
              <w:jc w:val="left"/>
              <w:rPr/>
            </w:pPr>
            <w:r>
              <w:rPr/>
              <w:t> </w:t>
            </w:r>
            <w:bookmarkStart w:id="942" w:name="xdx_403_eus-gaap--RevenueFromContractWit"/>
            <w:bookmarkEnd w:id="942"/>
          </w:p>
        </w:tc>
      </w:tr>
      <w:tr>
        <w:trPr/>
        <w:tc>
          <w:tcPr>
            <w:tcW w:w="3290"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12,034,000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r>
              <w:rPr/>
              <w:t>12,034,000</w:t>
            </w:r>
          </w:p>
        </w:tc>
        <w:tc>
          <w:tcPr>
            <w:tcW w:w="110" w:type="dxa"/>
            <w:tcBorders/>
            <w:shd w:fill="FFFFFF" w:val="clear"/>
            <w:vAlign w:val="center"/>
          </w:tcPr>
          <w:p>
            <w:pPr>
              <w:pStyle w:val="TableContents"/>
              <w:bidi w:val="0"/>
              <w:spacing w:before="0" w:after="283"/>
              <w:jc w:val="left"/>
              <w:rPr/>
            </w:pPr>
            <w:r>
              <w:rPr/>
              <w:t> </w:t>
            </w:r>
            <w:bookmarkStart w:id="943" w:name="xdx_40A_eus-gaap--RevenueFromContractWit"/>
            <w:bookmarkEnd w:id="943"/>
          </w:p>
        </w:tc>
      </w:tr>
      <w:tr>
        <w:trPr/>
        <w:tc>
          <w:tcPr>
            <w:tcW w:w="329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33,863,000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59,975,000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93,838,000</w:t>
            </w:r>
          </w:p>
        </w:tc>
        <w:tc>
          <w:tcPr>
            <w:tcW w:w="110" w:type="dxa"/>
            <w:tcBorders/>
            <w:shd w:fill="CCEEFF" w:val="clear"/>
            <w:vAlign w:val="center"/>
          </w:tcPr>
          <w:p>
            <w:pPr>
              <w:pStyle w:val="TableContents"/>
              <w:bidi w:val="0"/>
              <w:spacing w:before="0" w:after="283"/>
              <w:jc w:val="left"/>
              <w:rPr/>
            </w:pPr>
            <w:r>
              <w:rPr/>
              <w:t> </w:t>
            </w:r>
            <w:bookmarkStart w:id="944" w:name="xdx_408_eus-gaap--CostOfGoodsAndServices"/>
            <w:bookmarkEnd w:id="944"/>
          </w:p>
        </w:tc>
      </w:tr>
      <w:tr>
        <w:trPr/>
        <w:tc>
          <w:tcPr>
            <w:tcW w:w="329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(8,396,000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(19,942,000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r>
              <w:rPr/>
              <w:t>(28,338,000</w:t>
            </w:r>
          </w:p>
        </w:tc>
        <w:tc>
          <w:tcPr>
            <w:tcW w:w="110" w:type="dxa"/>
            <w:tcBorders/>
            <w:shd w:fill="FFFFFF" w:val="clear"/>
            <w:vAlign w:val="center"/>
          </w:tcPr>
          <w:p>
            <w:pPr>
              <w:pStyle w:val="TableContents"/>
              <w:bidi w:val="0"/>
              <w:spacing w:before="0" w:after="283"/>
              <w:jc w:val="left"/>
              <w:rPr/>
            </w:pPr>
            <w:r>
              <w:rPr/>
              <w:t>)</w:t>
            </w:r>
            <w:bookmarkStart w:id="945" w:name="xdx_407_eus-gaap--GrossProfit_zJ5AbQ24YQ"/>
            <w:bookmarkEnd w:id="945"/>
          </w:p>
        </w:tc>
      </w:tr>
      <w:tr>
        <w:trPr/>
        <w:tc>
          <w:tcPr>
            <w:tcW w:w="32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25,467,000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40,033,000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65,500,000</w:t>
            </w:r>
          </w:p>
        </w:tc>
        <w:tc>
          <w:tcPr>
            <w:tcW w:w="110" w:type="dxa"/>
            <w:tcBorders/>
            <w:shd w:fill="CCEEFF" w:val="clear"/>
            <w:vAlign w:val="center"/>
          </w:tcPr>
          <w:p>
            <w:pPr>
              <w:pStyle w:val="TableContents"/>
              <w:bidi w:val="0"/>
              <w:spacing w:before="0" w:after="283"/>
              <w:jc w:val="left"/>
              <w:rPr/>
            </w:pPr>
            <w:r>
              <w:rPr/>
              <w:t> </w:t>
            </w:r>
            <w:bookmarkStart w:id="946" w:name="xdx_408_eus-gaap--OperatingExpensesAbstr"/>
            <w:bookmarkEnd w:id="946"/>
          </w:p>
        </w:tc>
      </w:tr>
      <w:tr>
        <w:trPr/>
        <w:tc>
          <w:tcPr>
            <w:tcW w:w="32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7" w:name="xdx_404_eus-gaap--SellingGeneralAndAdmin"/>
            <w:bookmarkEnd w:id="947"/>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4,797,000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23,334,000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28,131,000</w:t>
            </w:r>
          </w:p>
        </w:tc>
        <w:tc>
          <w:tcPr>
            <w:tcW w:w="110" w:type="dxa"/>
            <w:tcBorders/>
            <w:shd w:fill="CCEEFF" w:val="clear"/>
            <w:vAlign w:val="center"/>
          </w:tcPr>
          <w:p>
            <w:pPr>
              <w:pStyle w:val="TableContents"/>
              <w:bidi w:val="0"/>
              <w:spacing w:before="0" w:after="283"/>
              <w:jc w:val="left"/>
              <w:rPr/>
            </w:pPr>
            <w:r>
              <w:rPr/>
              <w:t> </w:t>
            </w:r>
            <w:bookmarkStart w:id="948" w:name="xdx_400_eus-gaap--ResearchAndDevelopment"/>
            <w:bookmarkEnd w:id="948"/>
          </w:p>
        </w:tc>
      </w:tr>
      <w:tr>
        <w:trPr/>
        <w:tc>
          <w:tcPr>
            <w:tcW w:w="32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r>
              <w:rPr/>
              <w:t>597,000</w:t>
            </w:r>
          </w:p>
        </w:tc>
        <w:tc>
          <w:tcPr>
            <w:tcW w:w="110" w:type="dxa"/>
            <w:tcBorders/>
            <w:shd w:fill="FFFFFF" w:val="clear"/>
            <w:vAlign w:val="center"/>
          </w:tcPr>
          <w:p>
            <w:pPr>
              <w:pStyle w:val="TableContents"/>
              <w:bidi w:val="0"/>
              <w:spacing w:before="0" w:after="283"/>
              <w:jc w:val="left"/>
              <w:rPr/>
            </w:pPr>
            <w:r>
              <w:rPr/>
              <w:t> </w:t>
            </w:r>
            <w:bookmarkStart w:id="949" w:name="xdx_404_eus-gaap--OperatingExpenses_hsrt"/>
            <w:bookmarkEnd w:id="949"/>
          </w:p>
        </w:tc>
      </w:tr>
      <w:tr>
        <w:trPr/>
        <w:tc>
          <w:tcPr>
            <w:tcW w:w="3290" w:type="dxa"/>
            <w:tcBorders/>
            <w:shd w:fill="CCEEFF" w:val="clear"/>
            <w:vAlign w:val="center"/>
          </w:tcPr>
          <w:p>
            <w:pPr>
              <w:pStyle w:val="TableContents"/>
              <w:bidi w:val="0"/>
              <w:spacing w:before="0" w:after="283"/>
              <w:jc w:val="left"/>
              <w:rPr/>
            </w:pPr>
            <w:r>
              <w:rPr/>
              <w:t>Segment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20,633,000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16,139,000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36,772,000</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Corporate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bookmarkStart w:id="950" w:name="xdx_987_eus-gaap--OperatingExpenses_pp0p"/>
            <w:bookmarkEnd w:id="950"/>
          </w:p>
        </w:tc>
        <w:tc>
          <w:tcPr>
            <w:tcW w:w="1211" w:type="dxa"/>
            <w:tcBorders/>
            <w:shd w:fill="FFFFFF" w:val="clear"/>
            <w:vAlign w:val="center"/>
          </w:tcPr>
          <w:p>
            <w:pPr>
              <w:pStyle w:val="TableContents"/>
              <w:bidi w:val="0"/>
              <w:spacing w:before="0" w:after="283"/>
              <w:jc w:val="right"/>
              <w:rPr/>
            </w:pPr>
            <w:r>
              <w:rPr/>
              <w:t>28,747,000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51" w:name="xdx_98E_eus-gaap--OperatingExpenses_pp0p"/>
            <w:bookmarkEnd w:id="951"/>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pPr>
            <w:r>
              <w:rPr/>
              <w:t>2,719,000</w:t>
            </w:r>
          </w:p>
        </w:tc>
        <w:tc>
          <w:tcPr>
            <w:tcW w:w="110" w:type="dxa"/>
            <w:tcBorders/>
            <w:shd w:fill="CCEEFF" w:val="clear"/>
            <w:vAlign w:val="center"/>
          </w:tcPr>
          <w:p>
            <w:pPr>
              <w:pStyle w:val="TableContents"/>
              <w:bidi w:val="0"/>
              <w:spacing w:before="0" w:after="283"/>
              <w:jc w:val="left"/>
              <w:rPr/>
            </w:pPr>
            <w:r>
              <w:rPr/>
              <w:t> </w:t>
            </w:r>
            <w:bookmarkStart w:id="952" w:name="xdx_403_eus-gaap--OperatingIncomeLoss_zf"/>
            <w:bookmarkEnd w:id="952"/>
          </w:p>
        </w:tc>
      </w:tr>
      <w:tr>
        <w:trPr/>
        <w:tc>
          <w:tcPr>
            <w:tcW w:w="3290" w:type="dxa"/>
            <w:tcBorders/>
            <w:shd w:fill="FFFFFF" w:val="clear"/>
            <w:vAlign w:val="center"/>
          </w:tcPr>
          <w:p>
            <w:pPr>
              <w:pStyle w:val="TableContents"/>
              <w:bidi w:val="0"/>
              <w:spacing w:before="0" w:after="283"/>
              <w:jc w:val="left"/>
              <w:rPr/>
            </w:pPr>
            <w:r>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FFFFFF" w:val="clear"/>
            <w:tcMar>
              <w:bottom w:w="28" w:type="dxa"/>
            </w:tcMar>
            <w:vAlign w:val="center"/>
          </w:tcPr>
          <w:p>
            <w:pPr>
              <w:pStyle w:val="TableContents"/>
              <w:bidi w:val="0"/>
              <w:spacing w:before="0" w:after="283"/>
              <w:jc w:val="right"/>
              <w:rPr/>
            </w:pPr>
            <w:r>
              <w:rPr/>
              <w:t>5,306,000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953" w:name="xdx_8A0_zy1VcXcAq9Ec"/>
      <w:bookmarkEnd w:id="95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is attributable to the United States. All long-lived assets at September 30, 2024 and December 31, 2023 were located in the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954" w:name="xdx_89A_ecustom--ScheduleOfSegmentReport"/>
      <w:bookmarkEnd w:id="954"/>
      <w:r>
        <w:rPr>
          <w:rFonts w:ascii="Times New Roman;Times;Serif" w:hAnsi="Times New Roman;Times;Serif"/>
          <w:b w:val="false"/>
          <w:i w:val="false"/>
          <w:caps w:val="false"/>
          <w:smallCaps w:val="false"/>
          <w:sz w:val="20"/>
        </w:rPr>
        <w:t>Revenues by segment are further described as follows:</w:t>
      </w:r>
    </w:p>
    <w:p>
      <w:pPr>
        <w:pStyle w:val="TextBody"/>
        <w:bidi w:val="0"/>
        <w:jc w:val="both"/>
        <w:rPr>
          <w:caps w:val="false"/>
          <w:smallCaps w:val="false"/>
        </w:rPr>
      </w:pPr>
      <w:r>
        <w:rPr>
          <w:caps w:val="false"/>
          <w:smallCaps w:val="false"/>
        </w:rPr>
        <w:t> </w:t>
      </w:r>
      <w:bookmarkStart w:id="955" w:name="xdx_8B3_z1D5IDJbKWje"/>
      <w:bookmarkEnd w:id="955"/>
      <w:r>
        <w:rPr>
          <w:rFonts w:ascii="Times New Roman;Times;Serif" w:hAnsi="Times New Roman;Times;Serif"/>
          <w:b w:val="false"/>
          <w:i w:val="false"/>
          <w:caps w:val="false"/>
          <w:smallCaps w:val="false"/>
          <w:sz w:val="20"/>
        </w:rPr>
        <w:t>SCHEDULE OF REVENUES BY SEGMENT</w:t>
      </w:r>
    </w:p>
    <w:tbl>
      <w:tblPr>
        <w:tblW w:w="10205" w:type="dxa"/>
        <w:jc w:val="left"/>
        <w:tblInd w:w="0" w:type="dxa"/>
        <w:tblLayout w:type="fixed"/>
        <w:tblCellMar>
          <w:top w:w="0" w:type="dxa"/>
          <w:left w:w="0" w:type="dxa"/>
          <w:bottom w:w="0" w:type="dxa"/>
          <w:right w:w="0" w:type="dxa"/>
        </w:tblCellMar>
      </w:tblPr>
      <w:tblGrid>
        <w:gridCol w:w="1770"/>
        <w:gridCol w:w="60"/>
        <w:gridCol w:w="140"/>
        <w:gridCol w:w="1100"/>
        <w:gridCol w:w="60"/>
        <w:gridCol w:w="60"/>
        <w:gridCol w:w="60"/>
        <w:gridCol w:w="380"/>
        <w:gridCol w:w="215"/>
        <w:gridCol w:w="60"/>
        <w:gridCol w:w="140"/>
        <w:gridCol w:w="1100"/>
        <w:gridCol w:w="60"/>
        <w:gridCol w:w="60"/>
        <w:gridCol w:w="60"/>
        <w:gridCol w:w="380"/>
        <w:gridCol w:w="215"/>
        <w:gridCol w:w="60"/>
        <w:gridCol w:w="140"/>
        <w:gridCol w:w="1220"/>
        <w:gridCol w:w="60"/>
        <w:gridCol w:w="60"/>
        <w:gridCol w:w="60"/>
        <w:gridCol w:w="380"/>
        <w:gridCol w:w="215"/>
        <w:gridCol w:w="60"/>
        <w:gridCol w:w="140"/>
        <w:gridCol w:w="1100"/>
        <w:gridCol w:w="60"/>
        <w:gridCol w:w="60"/>
        <w:gridCol w:w="60"/>
        <w:gridCol w:w="380"/>
        <w:gridCol w:w="230"/>
      </w:tblGrid>
      <w:tr>
        <w:trPr/>
        <w:tc>
          <w:tcPr>
            <w:tcW w:w="1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gridSpan w:val="14"/>
            <w:tcBorders/>
            <w:vAlign w:val="center"/>
          </w:tcPr>
          <w:p>
            <w:pPr>
              <w:pStyle w:val="TableContents"/>
              <w:bidi w:val="0"/>
              <w:spacing w:before="0" w:after="283"/>
              <w:jc w:val="center"/>
              <w:rPr/>
            </w:pPr>
            <w:r>
              <w:rPr/>
              <w:t>For the Three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gridSpan w:val="14"/>
            <w:tcBorders/>
            <w:vAlign w:val="center"/>
          </w:tcPr>
          <w:p>
            <w:pPr>
              <w:pStyle w:val="TableContents"/>
              <w:bidi w:val="0"/>
              <w:spacing w:before="0" w:after="283"/>
              <w:jc w:val="center"/>
              <w:rPr/>
            </w:pPr>
            <w:r>
              <w:rPr/>
              <w:t>For the Nine Months Ended</w:t>
            </w:r>
          </w:p>
        </w:tc>
        <w:tc>
          <w:tcPr>
            <w:tcW w:w="230" w:type="dxa"/>
            <w:tcBorders/>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gridSpan w:val="14"/>
            <w:tcBorders>
              <w:bottom w:val="single" w:sz="8" w:space="0" w:color="000000"/>
            </w:tcBorders>
            <w:tcMar>
              <w:bottom w:w="28" w:type="dxa"/>
            </w:tcMar>
            <w:vAlign w:val="center"/>
          </w:tcPr>
          <w:p>
            <w:pPr>
              <w:pStyle w:val="TableContents"/>
              <w:bidi w:val="0"/>
              <w:spacing w:before="0" w:after="283"/>
              <w:jc w:val="center"/>
              <w:rPr/>
            </w:pPr>
            <w:r>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5" w:type="dxa"/>
            <w:gridSpan w:val="14"/>
            <w:tcBorders>
              <w:bottom w:val="single" w:sz="8" w:space="0" w:color="000000"/>
            </w:tcBorders>
            <w:tcMar>
              <w:bottom w:w="28" w:type="dxa"/>
            </w:tcMar>
            <w:vAlign w:val="center"/>
          </w:tcPr>
          <w:p>
            <w:pPr>
              <w:pStyle w:val="TableContents"/>
              <w:bidi w:val="0"/>
              <w:spacing w:before="0" w:after="283"/>
              <w:jc w:val="center"/>
              <w:rPr/>
            </w:pPr>
            <w:r>
              <w:rPr/>
              <w:t>September 30,</w:t>
            </w:r>
          </w:p>
        </w:tc>
        <w:tc>
          <w:tcPr>
            <w:tcW w:w="230" w:type="dxa"/>
            <w:tcBorders/>
            <w:vAlign w:val="center"/>
          </w:tcPr>
          <w:p>
            <w:pPr>
              <w:pStyle w:val="TableContents"/>
              <w:bidi w:val="0"/>
              <w:spacing w:before="0" w:after="283"/>
              <w:jc w:val="left"/>
              <w:rPr/>
            </w:pPr>
            <w:r>
              <w:rPr/>
              <w:t> </w:t>
            </w:r>
          </w:p>
        </w:tc>
      </w:tr>
      <w:tr>
        <w:trPr/>
        <w:tc>
          <w:tcPr>
            <w:tcW w:w="1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770" w:type="dxa"/>
            <w:tcBorders/>
            <w:shd w:fill="CCEEFF" w:val="clear"/>
            <w:vAlign w:val="center"/>
          </w:tcPr>
          <w:p>
            <w:pPr>
              <w:pStyle w:val="TableContents"/>
              <w:bidi w:val="0"/>
              <w:spacing w:before="0" w:after="283"/>
              <w:jc w:val="left"/>
              <w:rPr/>
            </w:pPr>
            <w:r>
              <w:rPr/>
              <w:t>IHEEZO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56" w:name="xdx_985_eus-gaap--RevenueFromContractWit"/>
            <w:bookmarkEnd w:id="956"/>
          </w:p>
        </w:tc>
        <w:tc>
          <w:tcPr>
            <w:tcW w:w="1100" w:type="dxa"/>
            <w:tcBorders/>
            <w:shd w:fill="CCEEFF" w:val="clear"/>
            <w:vAlign w:val="center"/>
          </w:tcPr>
          <w:p>
            <w:pPr>
              <w:pStyle w:val="TableContents"/>
              <w:bidi w:val="0"/>
              <w:spacing w:before="0" w:after="283"/>
              <w:jc w:val="right"/>
              <w:rPr/>
            </w:pPr>
            <w:r>
              <w:rPr/>
              <w:t>12,882,000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57" w:name="xdx_983_eus-gaap--ConcentrationRiskPerce"/>
            <w:bookmarkEnd w:id="957"/>
          </w:p>
        </w:tc>
        <w:tc>
          <w:tcPr>
            <w:tcW w:w="380" w:type="dxa"/>
            <w:tcBorders/>
            <w:shd w:fill="CCEEFF" w:val="clear"/>
            <w:vAlign w:val="center"/>
          </w:tcPr>
          <w:p>
            <w:pPr>
              <w:pStyle w:val="TableContents"/>
              <w:bidi w:val="0"/>
              <w:spacing w:before="0" w:after="283"/>
              <w:jc w:val="right"/>
              <w:rPr/>
            </w:pPr>
            <w:r>
              <w:rPr/>
              <w:t>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58" w:name="xdx_985_eus-gaap--RevenueFromContractWit"/>
            <w:bookmarkEnd w:id="958"/>
          </w:p>
        </w:tc>
        <w:tc>
          <w:tcPr>
            <w:tcW w:w="1100" w:type="dxa"/>
            <w:tcBorders/>
            <w:shd w:fill="CCEEFF" w:val="clear"/>
            <w:vAlign w:val="center"/>
          </w:tcPr>
          <w:p>
            <w:pPr>
              <w:pStyle w:val="TableContents"/>
              <w:bidi w:val="0"/>
              <w:spacing w:before="0" w:after="283"/>
              <w:jc w:val="right"/>
              <w:rPr/>
            </w:pPr>
            <w:r>
              <w:rPr/>
              <w:t>5,927,000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59" w:name="xdx_984_eus-gaap--ConcentrationRiskPerce"/>
            <w:bookmarkEnd w:id="959"/>
          </w:p>
        </w:tc>
        <w:tc>
          <w:tcPr>
            <w:tcW w:w="380" w:type="dxa"/>
            <w:tcBorders/>
            <w:shd w:fill="CCEEFF" w:val="clear"/>
            <w:vAlign w:val="center"/>
          </w:tcPr>
          <w:p>
            <w:pPr>
              <w:pStyle w:val="TableContents"/>
              <w:bidi w:val="0"/>
              <w:spacing w:before="0" w:after="283"/>
              <w:jc w:val="right"/>
              <w:rPr/>
            </w:pPr>
            <w:r>
              <w:rPr/>
              <w:t>17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60" w:name="xdx_988_eus-gaap--RevenueFromContractWit"/>
            <w:bookmarkEnd w:id="960"/>
          </w:p>
        </w:tc>
        <w:tc>
          <w:tcPr>
            <w:tcW w:w="1220" w:type="dxa"/>
            <w:tcBorders/>
            <w:shd w:fill="CCEEFF" w:val="clear"/>
            <w:vAlign w:val="center"/>
          </w:tcPr>
          <w:p>
            <w:pPr>
              <w:pStyle w:val="TableContents"/>
              <w:bidi w:val="0"/>
              <w:spacing w:before="0" w:after="283"/>
              <w:jc w:val="right"/>
              <w:rPr/>
            </w:pPr>
            <w:r>
              <w:rPr/>
              <w:t>26,498,000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61" w:name="xdx_983_eus-gaap--ConcentrationRiskPerce"/>
            <w:bookmarkEnd w:id="961"/>
          </w:p>
        </w:tc>
        <w:tc>
          <w:tcPr>
            <w:tcW w:w="380" w:type="dxa"/>
            <w:tcBorders/>
            <w:shd w:fill="CCEEFF" w:val="clear"/>
            <w:vAlign w:val="center"/>
          </w:tcPr>
          <w:p>
            <w:pPr>
              <w:pStyle w:val="TableContents"/>
              <w:bidi w:val="0"/>
              <w:spacing w:before="0" w:after="283"/>
              <w:jc w:val="right"/>
              <w:rPr/>
            </w:pPr>
            <w:r>
              <w:rPr/>
              <w:t>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62" w:name="xdx_98D_eus-gaap--RevenueFromContractWit"/>
            <w:bookmarkEnd w:id="962"/>
          </w:p>
        </w:tc>
        <w:tc>
          <w:tcPr>
            <w:tcW w:w="1100" w:type="dxa"/>
            <w:tcBorders/>
            <w:shd w:fill="CCEEFF" w:val="clear"/>
            <w:vAlign w:val="center"/>
          </w:tcPr>
          <w:p>
            <w:pPr>
              <w:pStyle w:val="TableContents"/>
              <w:bidi w:val="0"/>
              <w:spacing w:before="0" w:after="283"/>
              <w:jc w:val="right"/>
              <w:rPr/>
            </w:pPr>
            <w:r>
              <w:rPr/>
              <w:t>10,073,000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63" w:name="xdx_98F_eus-gaap--ConcentrationRiskPerce"/>
            <w:bookmarkEnd w:id="963"/>
          </w:p>
        </w:tc>
        <w:tc>
          <w:tcPr>
            <w:tcW w:w="380" w:type="dxa"/>
            <w:tcBorders/>
            <w:shd w:fill="CCEEFF" w:val="clear"/>
            <w:vAlign w:val="center"/>
          </w:tcPr>
          <w:p>
            <w:pPr>
              <w:pStyle w:val="TableContents"/>
              <w:bidi w:val="0"/>
              <w:spacing w:before="0" w:after="283"/>
              <w:jc w:val="right"/>
              <w:rPr/>
            </w:pPr>
            <w:r>
              <w:rPr/>
              <w:t>11</w:t>
            </w:r>
          </w:p>
        </w:tc>
        <w:tc>
          <w:tcPr>
            <w:tcW w:w="230" w:type="dxa"/>
            <w:tcBorders/>
            <w:shd w:fill="CCEEFF" w:val="clear"/>
            <w:vAlign w:val="center"/>
          </w:tcPr>
          <w:p>
            <w:pPr>
              <w:pStyle w:val="TableContents"/>
              <w:bidi w:val="0"/>
              <w:spacing w:before="0" w:after="283"/>
              <w:jc w:val="left"/>
              <w:rPr/>
            </w:pPr>
            <w:r>
              <w:rPr/>
              <w:t>%</w:t>
            </w:r>
          </w:p>
        </w:tc>
      </w:tr>
      <w:tr>
        <w:trPr/>
        <w:tc>
          <w:tcPr>
            <w:tcW w:w="1770" w:type="dxa"/>
            <w:tcBorders/>
            <w:shd w:fill="FFFFFF" w:val="clear"/>
            <w:vAlign w:val="center"/>
          </w:tcPr>
          <w:p>
            <w:pPr>
              <w:pStyle w:val="TableContents"/>
              <w:bidi w:val="0"/>
              <w:spacing w:before="0" w:after="283"/>
              <w:jc w:val="left"/>
              <w:rPr/>
            </w:pPr>
            <w:r>
              <w:rPr/>
              <w:t>VEVYE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64" w:name="xdx_980_eus-gaap--RevenueFromContractWit"/>
            <w:bookmarkEnd w:id="964"/>
          </w:p>
        </w:tc>
        <w:tc>
          <w:tcPr>
            <w:tcW w:w="1100" w:type="dxa"/>
            <w:tcBorders/>
            <w:shd w:fill="FFFFFF" w:val="clear"/>
            <w:vAlign w:val="center"/>
          </w:tcPr>
          <w:p>
            <w:pPr>
              <w:pStyle w:val="TableContents"/>
              <w:bidi w:val="0"/>
              <w:spacing w:before="0" w:after="283"/>
              <w:jc w:val="right"/>
              <w:rPr/>
            </w:pPr>
            <w:r>
              <w:rPr/>
              <w:t>5,186,000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65" w:name="xdx_984_eus-gaap--ConcentrationRiskPerce"/>
            <w:bookmarkEnd w:id="965"/>
          </w:p>
        </w:tc>
        <w:tc>
          <w:tcPr>
            <w:tcW w:w="380" w:type="dxa"/>
            <w:tcBorders/>
            <w:shd w:fill="FFFFFF" w:val="clear"/>
            <w:vAlign w:val="center"/>
          </w:tcPr>
          <w:p>
            <w:pPr>
              <w:pStyle w:val="TableContents"/>
              <w:bidi w:val="0"/>
              <w:spacing w:before="0" w:after="283"/>
              <w:jc w:val="right"/>
              <w:rPr/>
            </w:pPr>
            <w:r>
              <w:rPr/>
              <w:t>11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66" w:name="xdx_98A_eus-gaap--RevenueFromContractWit"/>
            <w:bookmarkEnd w:id="966"/>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67" w:name="xdx_981_eus-gaap--ConcentrationRiskPerce"/>
            <w:bookmarkEnd w:id="967"/>
          </w:p>
        </w:tc>
        <w:tc>
          <w:tcPr>
            <w:tcW w:w="3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68" w:name="xdx_987_eus-gaap--RevenueFromContractWit"/>
            <w:bookmarkEnd w:id="968"/>
          </w:p>
        </w:tc>
        <w:tc>
          <w:tcPr>
            <w:tcW w:w="1220" w:type="dxa"/>
            <w:tcBorders/>
            <w:shd w:fill="FFFFFF" w:val="clear"/>
            <w:vAlign w:val="center"/>
          </w:tcPr>
          <w:p>
            <w:pPr>
              <w:pStyle w:val="TableContents"/>
              <w:bidi w:val="0"/>
              <w:spacing w:before="0" w:after="283"/>
              <w:jc w:val="right"/>
              <w:rPr/>
            </w:pPr>
            <w:r>
              <w:rPr/>
              <w:t>12,099,000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69" w:name="xdx_983_eus-gaap--ConcentrationRiskPerce"/>
            <w:bookmarkEnd w:id="969"/>
          </w:p>
        </w:tc>
        <w:tc>
          <w:tcPr>
            <w:tcW w:w="380" w:type="dxa"/>
            <w:tcBorders/>
            <w:shd w:fill="FFFFFF" w:val="clear"/>
            <w:vAlign w:val="center"/>
          </w:tcPr>
          <w:p>
            <w:pPr>
              <w:pStyle w:val="TableContents"/>
              <w:bidi w:val="0"/>
              <w:spacing w:before="0" w:after="283"/>
              <w:jc w:val="right"/>
              <w:rPr/>
            </w:pPr>
            <w:r>
              <w:rPr/>
              <w:t>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70" w:name="xdx_981_eus-gaap--RevenueFromContractWit"/>
            <w:bookmarkEnd w:id="970"/>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71" w:name="xdx_987_eus-gaap--ConcentrationRiskPerce"/>
            <w:bookmarkEnd w:id="971"/>
          </w:p>
        </w:tc>
        <w:tc>
          <w:tcPr>
            <w:tcW w:w="3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w:t>
            </w:r>
          </w:p>
        </w:tc>
      </w:tr>
      <w:tr>
        <w:trPr/>
        <w:tc>
          <w:tcPr>
            <w:tcW w:w="1770" w:type="dxa"/>
            <w:tcBorders/>
            <w:shd w:fill="CCEEFF" w:val="clear"/>
            <w:vAlign w:val="center"/>
          </w:tcPr>
          <w:p>
            <w:pPr>
              <w:pStyle w:val="TableContents"/>
              <w:bidi w:val="0"/>
              <w:spacing w:before="0" w:after="283"/>
              <w:jc w:val="left"/>
              <w:rPr/>
            </w:pPr>
            <w:r>
              <w:rPr/>
              <w:t>Other products (Anterior Segment)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72" w:name="xdx_989_eus-gaap--RevenueFromContractWit"/>
            <w:bookmarkEnd w:id="972"/>
          </w:p>
        </w:tc>
        <w:tc>
          <w:tcPr>
            <w:tcW w:w="1100" w:type="dxa"/>
            <w:tcBorders/>
            <w:shd w:fill="CCEEFF" w:val="clear"/>
            <w:vAlign w:val="center"/>
          </w:tcPr>
          <w:p>
            <w:pPr>
              <w:pStyle w:val="TableContents"/>
              <w:bidi w:val="0"/>
              <w:spacing w:before="0" w:after="283"/>
              <w:jc w:val="right"/>
              <w:rPr/>
            </w:pPr>
            <w:r>
              <w:rPr/>
              <w:t>10,256,000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73" w:name="xdx_982_eus-gaap--ConcentrationRiskPerce"/>
            <w:bookmarkEnd w:id="973"/>
          </w:p>
        </w:tc>
        <w:tc>
          <w:tcPr>
            <w:tcW w:w="380" w:type="dxa"/>
            <w:tcBorders/>
            <w:shd w:fill="CCEEFF" w:val="clear"/>
            <w:vAlign w:val="center"/>
          </w:tcPr>
          <w:p>
            <w:pPr>
              <w:pStyle w:val="TableContents"/>
              <w:bidi w:val="0"/>
              <w:spacing w:before="0" w:after="283"/>
              <w:jc w:val="right"/>
              <w:rPr/>
            </w:pPr>
            <w:r>
              <w:rPr/>
              <w:t>21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74" w:name="xdx_989_eus-gaap--RevenueFromContractWit"/>
            <w:bookmarkEnd w:id="974"/>
          </w:p>
        </w:tc>
        <w:tc>
          <w:tcPr>
            <w:tcW w:w="1100" w:type="dxa"/>
            <w:tcBorders/>
            <w:shd w:fill="CCEEFF" w:val="clear"/>
            <w:vAlign w:val="center"/>
          </w:tcPr>
          <w:p>
            <w:pPr>
              <w:pStyle w:val="TableContents"/>
              <w:bidi w:val="0"/>
              <w:spacing w:before="0" w:after="283"/>
              <w:jc w:val="right"/>
              <w:rPr/>
            </w:pPr>
            <w:r>
              <w:rPr/>
              <w:t>6,605,000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75" w:name="xdx_988_eus-gaap--ConcentrationRiskPerce"/>
            <w:bookmarkEnd w:id="975"/>
          </w:p>
        </w:tc>
        <w:tc>
          <w:tcPr>
            <w:tcW w:w="380" w:type="dxa"/>
            <w:tcBorders/>
            <w:shd w:fill="CCEEFF" w:val="clear"/>
            <w:vAlign w:val="center"/>
          </w:tcPr>
          <w:p>
            <w:pPr>
              <w:pStyle w:val="TableContents"/>
              <w:bidi w:val="0"/>
              <w:spacing w:before="0" w:after="283"/>
              <w:jc w:val="right"/>
              <w:rPr/>
            </w:pPr>
            <w:r>
              <w:rPr/>
              <w:t>19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76" w:name="xdx_98D_eus-gaap--RevenueFromContractWit"/>
            <w:bookmarkEnd w:id="976"/>
          </w:p>
        </w:tc>
        <w:tc>
          <w:tcPr>
            <w:tcW w:w="1220" w:type="dxa"/>
            <w:tcBorders/>
            <w:shd w:fill="CCEEFF" w:val="clear"/>
            <w:vAlign w:val="center"/>
          </w:tcPr>
          <w:p>
            <w:pPr>
              <w:pStyle w:val="TableContents"/>
              <w:bidi w:val="0"/>
              <w:spacing w:before="0" w:after="283"/>
              <w:jc w:val="right"/>
              <w:rPr/>
            </w:pPr>
            <w:r>
              <w:rPr/>
              <w:t>30,808,000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77" w:name="xdx_98B_eus-gaap--ConcentrationRiskPerce"/>
            <w:bookmarkEnd w:id="977"/>
          </w:p>
        </w:tc>
        <w:tc>
          <w:tcPr>
            <w:tcW w:w="380" w:type="dxa"/>
            <w:tcBorders/>
            <w:shd w:fill="CCEEFF" w:val="clear"/>
            <w:vAlign w:val="center"/>
          </w:tcPr>
          <w:p>
            <w:pPr>
              <w:pStyle w:val="TableContents"/>
              <w:bidi w:val="0"/>
              <w:spacing w:before="0" w:after="283"/>
              <w:jc w:val="right"/>
              <w:rPr/>
            </w:pPr>
            <w:r>
              <w:rPr/>
              <w:t>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78" w:name="xdx_98B_eus-gaap--RevenueFromContractWit"/>
            <w:bookmarkEnd w:id="978"/>
          </w:p>
        </w:tc>
        <w:tc>
          <w:tcPr>
            <w:tcW w:w="1100" w:type="dxa"/>
            <w:tcBorders/>
            <w:shd w:fill="CCEEFF" w:val="clear"/>
            <w:vAlign w:val="center"/>
          </w:tcPr>
          <w:p>
            <w:pPr>
              <w:pStyle w:val="TableContents"/>
              <w:bidi w:val="0"/>
              <w:spacing w:before="0" w:after="283"/>
              <w:jc w:val="right"/>
              <w:rPr/>
            </w:pPr>
            <w:r>
              <w:rPr/>
              <w:t>13,205,000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79" w:name="xdx_980_eus-gaap--ConcentrationRiskPerce"/>
            <w:bookmarkEnd w:id="979"/>
          </w:p>
        </w:tc>
        <w:tc>
          <w:tcPr>
            <w:tcW w:w="380" w:type="dxa"/>
            <w:tcBorders/>
            <w:shd w:fill="CCEEFF" w:val="clear"/>
            <w:vAlign w:val="center"/>
          </w:tcPr>
          <w:p>
            <w:pPr>
              <w:pStyle w:val="TableContents"/>
              <w:bidi w:val="0"/>
              <w:spacing w:before="0" w:after="283"/>
              <w:jc w:val="right"/>
              <w:rPr/>
            </w:pPr>
            <w:r>
              <w:rPr/>
              <w:t>14</w:t>
            </w:r>
          </w:p>
        </w:tc>
        <w:tc>
          <w:tcPr>
            <w:tcW w:w="230" w:type="dxa"/>
            <w:tcBorders/>
            <w:shd w:fill="CCEEFF" w:val="clear"/>
            <w:vAlign w:val="center"/>
          </w:tcPr>
          <w:p>
            <w:pPr>
              <w:pStyle w:val="TableContents"/>
              <w:bidi w:val="0"/>
              <w:spacing w:before="0" w:after="283"/>
              <w:jc w:val="left"/>
              <w:rPr/>
            </w:pPr>
            <w:r>
              <w:rPr/>
              <w:t>%</w:t>
            </w:r>
          </w:p>
        </w:tc>
      </w:tr>
      <w:tr>
        <w:trPr/>
        <w:tc>
          <w:tcPr>
            <w:tcW w:w="1770" w:type="dxa"/>
            <w:tcBorders/>
            <w:shd w:fill="FFFFFF" w:val="clear"/>
            <w:vAlign w:val="center"/>
          </w:tcPr>
          <w:p>
            <w:pPr>
              <w:pStyle w:val="TableContents"/>
              <w:bidi w:val="0"/>
              <w:spacing w:before="0" w:after="283"/>
              <w:jc w:val="left"/>
              <w:rPr/>
            </w:pPr>
            <w:r>
              <w:rPr/>
              <w:t>Other revenue,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0" w:name="xdx_986_eus-gaap--RevenueFromContractWit"/>
            <w:bookmarkEnd w:id="98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1" w:name="xdx_988_eus-gaap--ConcentrationRiskPerce"/>
            <w:bookmarkEnd w:id="981"/>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2" w:name="xdx_989_eus-gaap--RevenueFromContractWit"/>
            <w:bookmarkEnd w:id="982"/>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3" w:name="xdx_98F_eus-gaap--ConcentrationRiskPerce"/>
            <w:bookmarkEnd w:id="983"/>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4" w:name="xdx_981_eus-gaap--RevenueFromContractWit"/>
            <w:bookmarkEnd w:id="984"/>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5" w:name="xdx_985_eus-gaap--ConcentrationRiskPerce"/>
            <w:bookmarkEnd w:id="985"/>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6" w:name="xdx_98D_eus-gaap--RevenueFromContractWit"/>
            <w:bookmarkEnd w:id="98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10,585,000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87" w:name="xdx_988_eus-gaap--ConcentrationRiskPerce"/>
            <w:bookmarkEnd w:id="987"/>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230" w:type="dxa"/>
            <w:tcBorders/>
            <w:shd w:fill="FFFFFF" w:val="clear"/>
            <w:vAlign w:val="center"/>
          </w:tcPr>
          <w:p>
            <w:pPr>
              <w:pStyle w:val="TableContents"/>
              <w:bidi w:val="0"/>
              <w:spacing w:before="0" w:after="283"/>
              <w:jc w:val="left"/>
              <w:rPr/>
            </w:pPr>
            <w:r>
              <w:rPr/>
              <w:t>%</w:t>
            </w:r>
          </w:p>
        </w:tc>
      </w:tr>
      <w:tr>
        <w:trPr/>
        <w:tc>
          <w:tcPr>
            <w:tcW w:w="1770" w:type="dxa"/>
            <w:tcBorders/>
            <w:shd w:fill="CCEEFF" w:val="clear"/>
            <w:vAlign w:val="center"/>
          </w:tcPr>
          <w:p>
            <w:pPr>
              <w:pStyle w:val="TableContents"/>
              <w:bidi w:val="0"/>
              <w:spacing w:before="0" w:after="283"/>
              <w:jc w:val="left"/>
              <w:rPr>
                <w:b/>
              </w:rPr>
            </w:pPr>
            <w:r>
              <w:rPr>
                <w:b/>
              </w:rPr>
              <w:t>Branded revenue,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88" w:name="xdx_981_eus-gaap--RevenueFromContractWit"/>
            <w:bookmarkEnd w:id="988"/>
          </w:p>
        </w:tc>
        <w:tc>
          <w:tcPr>
            <w:tcW w:w="1100" w:type="dxa"/>
            <w:tcBorders/>
            <w:shd w:fill="CCEEFF" w:val="clear"/>
            <w:vAlign w:val="center"/>
          </w:tcPr>
          <w:p>
            <w:pPr>
              <w:pStyle w:val="TableContents"/>
              <w:bidi w:val="0"/>
              <w:spacing w:before="0" w:after="283"/>
              <w:jc w:val="right"/>
              <w:rPr/>
            </w:pPr>
            <w:r>
              <w:rPr/>
              <w:t>28,552,000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89" w:name="xdx_984_eus-gaap--ConcentrationRiskPerce"/>
            <w:bookmarkEnd w:id="989"/>
          </w:p>
        </w:tc>
        <w:tc>
          <w:tcPr>
            <w:tcW w:w="380" w:type="dxa"/>
            <w:tcBorders/>
            <w:shd w:fill="CCEEFF" w:val="clear"/>
            <w:vAlign w:val="center"/>
          </w:tcPr>
          <w:p>
            <w:pPr>
              <w:pStyle w:val="TableContents"/>
              <w:bidi w:val="0"/>
              <w:spacing w:before="0" w:after="283"/>
              <w:jc w:val="right"/>
              <w:rPr/>
            </w:pPr>
            <w:r>
              <w:rPr/>
              <w:t>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90" w:name="xdx_98F_eus-gaap--RevenueFromContractWit"/>
            <w:bookmarkEnd w:id="990"/>
          </w:p>
        </w:tc>
        <w:tc>
          <w:tcPr>
            <w:tcW w:w="1100" w:type="dxa"/>
            <w:tcBorders/>
            <w:shd w:fill="CCEEFF" w:val="clear"/>
            <w:vAlign w:val="center"/>
          </w:tcPr>
          <w:p>
            <w:pPr>
              <w:pStyle w:val="TableContents"/>
              <w:bidi w:val="0"/>
              <w:spacing w:before="0" w:after="283"/>
              <w:jc w:val="right"/>
              <w:rPr/>
            </w:pPr>
            <w:r>
              <w:rPr/>
              <w:t>14,496,000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91" w:name="xdx_98F_eus-gaap--ConcentrationRiskPerce"/>
            <w:bookmarkEnd w:id="991"/>
          </w:p>
        </w:tc>
        <w:tc>
          <w:tcPr>
            <w:tcW w:w="380" w:type="dxa"/>
            <w:tcBorders/>
            <w:shd w:fill="CCEEFF" w:val="clear"/>
            <w:vAlign w:val="center"/>
          </w:tcPr>
          <w:p>
            <w:pPr>
              <w:pStyle w:val="TableContents"/>
              <w:bidi w:val="0"/>
              <w:spacing w:before="0" w:after="283"/>
              <w:jc w:val="right"/>
              <w:rPr/>
            </w:pPr>
            <w:r>
              <w:rPr/>
              <w:t>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92" w:name="xdx_988_eus-gaap--RevenueFromContractWit"/>
            <w:bookmarkEnd w:id="992"/>
          </w:p>
        </w:tc>
        <w:tc>
          <w:tcPr>
            <w:tcW w:w="1220" w:type="dxa"/>
            <w:tcBorders/>
            <w:shd w:fill="CCEEFF" w:val="clear"/>
            <w:vAlign w:val="center"/>
          </w:tcPr>
          <w:p>
            <w:pPr>
              <w:pStyle w:val="TableContents"/>
              <w:bidi w:val="0"/>
              <w:spacing w:before="0" w:after="283"/>
              <w:jc w:val="right"/>
              <w:rPr/>
            </w:pPr>
            <w:r>
              <w:rPr/>
              <w:t>69,780,000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93" w:name="xdx_98D_eus-gaap--ConcentrationRiskPerce"/>
            <w:bookmarkEnd w:id="993"/>
          </w:p>
        </w:tc>
        <w:tc>
          <w:tcPr>
            <w:tcW w:w="380" w:type="dxa"/>
            <w:tcBorders/>
            <w:shd w:fill="CCEEFF" w:val="clear"/>
            <w:vAlign w:val="center"/>
          </w:tcPr>
          <w:p>
            <w:pPr>
              <w:pStyle w:val="TableContents"/>
              <w:bidi w:val="0"/>
              <w:spacing w:before="0" w:after="283"/>
              <w:jc w:val="right"/>
              <w:rPr/>
            </w:pPr>
            <w:r>
              <w:rPr/>
              <w:t>53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94" w:name="xdx_98A_eus-gaap--RevenueFromContractWit"/>
            <w:bookmarkEnd w:id="994"/>
          </w:p>
        </w:tc>
        <w:tc>
          <w:tcPr>
            <w:tcW w:w="1100" w:type="dxa"/>
            <w:tcBorders/>
            <w:shd w:fill="CCEEFF" w:val="clear"/>
            <w:vAlign w:val="center"/>
          </w:tcPr>
          <w:p>
            <w:pPr>
              <w:pStyle w:val="TableContents"/>
              <w:bidi w:val="0"/>
              <w:spacing w:before="0" w:after="283"/>
              <w:jc w:val="right"/>
              <w:rPr/>
            </w:pPr>
            <w:r>
              <w:rPr/>
              <w:t>33,863,000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95" w:name="xdx_98A_eus-gaap--ConcentrationRiskPerce"/>
            <w:bookmarkEnd w:id="995"/>
          </w:p>
        </w:tc>
        <w:tc>
          <w:tcPr>
            <w:tcW w:w="380" w:type="dxa"/>
            <w:tcBorders/>
            <w:shd w:fill="CCEEFF" w:val="clear"/>
            <w:vAlign w:val="center"/>
          </w:tcPr>
          <w:p>
            <w:pPr>
              <w:pStyle w:val="TableContents"/>
              <w:bidi w:val="0"/>
              <w:spacing w:before="0" w:after="283"/>
              <w:jc w:val="right"/>
              <w:rPr/>
            </w:pPr>
            <w:r>
              <w:rPr/>
              <w:t>36</w:t>
            </w:r>
          </w:p>
        </w:tc>
        <w:tc>
          <w:tcPr>
            <w:tcW w:w="230" w:type="dxa"/>
            <w:tcBorders/>
            <w:shd w:fill="CCEEFF" w:val="clear"/>
            <w:vAlign w:val="center"/>
          </w:tcPr>
          <w:p>
            <w:pPr>
              <w:pStyle w:val="TableContents"/>
              <w:bidi w:val="0"/>
              <w:spacing w:before="0" w:after="283"/>
              <w:jc w:val="left"/>
              <w:rPr/>
            </w:pPr>
            <w:r>
              <w:rPr/>
              <w:t>%</w:t>
            </w:r>
          </w:p>
        </w:tc>
      </w:tr>
      <w:tr>
        <w:trPr/>
        <w:tc>
          <w:tcPr>
            <w:tcW w:w="1770" w:type="dxa"/>
            <w:tcBorders/>
            <w:shd w:fill="FFFFFF" w:val="clear"/>
            <w:vAlign w:val="center"/>
          </w:tcPr>
          <w:p>
            <w:pPr>
              <w:pStyle w:val="TableContents"/>
              <w:bidi w:val="0"/>
              <w:spacing w:before="0" w:after="283"/>
              <w:jc w:val="left"/>
              <w:rPr>
                <w:b/>
              </w:rPr>
            </w:pPr>
            <w:r>
              <w:rPr>
                <w:b/>
              </w:rPr>
              <w:t>ImprimisRx revenue,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96" w:name="xdx_989_eus-gaap--RevenueFromContractWit"/>
            <w:bookmarkEnd w:id="99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20,705,000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97" w:name="xdx_98B_eus-gaap--ConcentrationRiskPerce"/>
            <w:bookmarkEnd w:id="997"/>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98" w:name="xdx_981_eus-gaap--RevenueFromContractWit"/>
            <w:bookmarkEnd w:id="998"/>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19,769,000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99" w:name="xdx_98F_eus-gaap--ConcentrationRiskPerce"/>
            <w:bookmarkEnd w:id="999"/>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00" w:name="xdx_982_eus-gaap--RevenueFromContractWit"/>
            <w:bookmarkEnd w:id="1000"/>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63,003,000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01" w:name="xdx_98A_eus-gaap--ConcentrationRiskPerce"/>
            <w:bookmarkEnd w:id="1001"/>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47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02" w:name="xdx_982_eus-gaap--RevenueFromContractWit"/>
            <w:bookmarkEnd w:id="1002"/>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59,975,000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03" w:name="xdx_98F_eus-gaap--ConcentrationRiskPerce"/>
            <w:bookmarkEnd w:id="1003"/>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230" w:type="dxa"/>
            <w:tcBorders/>
            <w:shd w:fill="FFFFFF" w:val="clear"/>
            <w:vAlign w:val="center"/>
          </w:tcPr>
          <w:p>
            <w:pPr>
              <w:pStyle w:val="TableContents"/>
              <w:bidi w:val="0"/>
              <w:spacing w:before="0" w:after="283"/>
              <w:jc w:val="left"/>
              <w:rPr/>
            </w:pPr>
            <w:r>
              <w:rPr/>
              <w:t>%</w:t>
            </w:r>
          </w:p>
        </w:tc>
      </w:tr>
      <w:tr>
        <w:trPr/>
        <w:tc>
          <w:tcPr>
            <w:tcW w:w="1770" w:type="dxa"/>
            <w:tcBorders/>
            <w:shd w:fill="CCEEFF" w:val="clear"/>
            <w:vAlign w:val="center"/>
          </w:tcPr>
          <w:p>
            <w:pPr>
              <w:pStyle w:val="TableContents"/>
              <w:bidi w:val="0"/>
              <w:spacing w:before="0" w:after="283"/>
              <w:jc w:val="left"/>
              <w:rPr/>
            </w:pPr>
            <w:r>
              <w:rPr/>
              <w:t>Total 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004" w:name="xdx_985_eus-gaap--RevenueFromContractWit"/>
            <w:bookmarkEnd w:id="100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49,257,000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05" w:name="xdx_984_eus-gaap--ConcentrationRiskPerce"/>
            <w:bookmarkEnd w:id="1005"/>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006" w:name="xdx_980_eus-gaap--RevenueFromContractWit"/>
            <w:bookmarkEnd w:id="100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34,265,000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07" w:name="xdx_989_eus-gaap--ConcentrationRiskPerce"/>
            <w:bookmarkEnd w:id="1007"/>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008" w:name="xdx_981_eus-gaap--RevenueFromContractWit"/>
            <w:bookmarkEnd w:id="1008"/>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132,783,000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09" w:name="xdx_98B_eus-gaap--ConcentrationRiskPerce"/>
            <w:bookmarkEnd w:id="1009"/>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010" w:name="xdx_980_eus-gaap--RevenueFromContractWit"/>
            <w:bookmarkEnd w:id="101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93,838,000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11" w:name="xdx_98C_eus-gaap--ConcentrationRiskPerce"/>
            <w:bookmarkEnd w:id="1011"/>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bookmarkStart w:id="1012" w:name="xdx_8AA_zTZfhp4l1Uab"/>
      <w:bookmarkEnd w:id="101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IHEEZO, VEVYE, and one ImprimisRx product, no other products accounted for more than 10% of total revenues for the periods presented.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and Supplier Concentrations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Substantially all of the Company’s Branded sales are made to a third-party logistics wholesaler who sells the products to the end-user. There were no customers who comprised more than </w:t>
      </w:r>
      <w:bookmarkStart w:id="1013" w:name="xdx_90F_eus-gaap--ConcentrationRiskPerce"/>
      <w:bookmarkStart w:id="1014" w:name="xdx_905_eus-gaap--ConcentrationRiskPerce"/>
      <w:bookmarkStart w:id="1015" w:name="xdx_90F_eus-gaap--ConcentrationRiskPerce"/>
      <w:bookmarkStart w:id="1016" w:name="xdx_90A_eus-gaap--ConcentrationRiskPerce"/>
      <w:bookmarkEnd w:id="1013"/>
      <w:bookmarkEnd w:id="1014"/>
      <w:bookmarkEnd w:id="1015"/>
      <w:bookmarkEnd w:id="1016"/>
      <w:r>
        <w:rPr>
          <w:rFonts w:ascii="Times New Roman;Times;Serif" w:hAnsi="Times New Roman;Times;Serif"/>
          <w:b w:val="false"/>
          <w:i w:val="false"/>
          <w:caps w:val="false"/>
          <w:smallCaps w:val="false"/>
          <w:sz w:val="20"/>
        </w:rPr>
        <w:t>10% of ImprimisRx revenues for the three and nine months ended September 30, 2024 and 2023.</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2024 and December 31, 2023, accounts receivable from a single customer accounted for </w:t>
      </w:r>
      <w:bookmarkStart w:id="1017" w:name="xdx_905_eus-gaap--ConcentrationRiskPerce"/>
      <w:bookmarkEnd w:id="1017"/>
      <w:r>
        <w:rPr>
          <w:rFonts w:ascii="Times New Roman;Times;Serif" w:hAnsi="Times New Roman;Times;Serif"/>
          <w:b w:val="false"/>
          <w:i w:val="false"/>
          <w:caps w:val="false"/>
          <w:smallCaps w:val="false"/>
          <w:sz w:val="20"/>
        </w:rPr>
        <w:t xml:space="preserve">64% and </w:t>
      </w:r>
      <w:bookmarkStart w:id="1018" w:name="xdx_902_eus-gaap--ConcentrationRiskPerce"/>
      <w:bookmarkEnd w:id="1018"/>
      <w:r>
        <w:rPr>
          <w:rFonts w:ascii="Times New Roman;Times;Serif" w:hAnsi="Times New Roman;Times;Serif"/>
          <w:b w:val="false"/>
          <w:i w:val="false"/>
          <w:caps w:val="false"/>
          <w:smallCaps w:val="false"/>
          <w:sz w:val="20"/>
        </w:rPr>
        <w:t xml:space="preserve">80%, respectively, of total consolidated accounts receivable. For the three and nine months ended September 30, 2024, revenues from a single customer accounted for </w:t>
      </w:r>
      <w:bookmarkStart w:id="1019" w:name="xdx_905_eus-gaap--ConcentrationRiskPerce"/>
      <w:bookmarkEnd w:id="1019"/>
      <w:r>
        <w:rPr>
          <w:rFonts w:ascii="Times New Roman;Times;Serif" w:hAnsi="Times New Roman;Times;Serif"/>
          <w:b w:val="false"/>
          <w:i w:val="false"/>
          <w:caps w:val="false"/>
          <w:smallCaps w:val="false"/>
          <w:sz w:val="20"/>
        </w:rPr>
        <w:t xml:space="preserve">46% and </w:t>
      </w:r>
      <w:bookmarkStart w:id="1020" w:name="xdx_902_eus-gaap--ConcentrationRiskPerce"/>
      <w:bookmarkEnd w:id="1020"/>
      <w:r>
        <w:rPr>
          <w:rFonts w:ascii="Times New Roman;Times;Serif" w:hAnsi="Times New Roman;Times;Serif"/>
          <w:b w:val="false"/>
          <w:i w:val="false"/>
          <w:caps w:val="false"/>
          <w:smallCaps w:val="false"/>
          <w:sz w:val="20"/>
        </w:rPr>
        <w:t xml:space="preserve">42%, respectively, of total consolidated revenues. For the three and nine months ended September 30, 2023, revenues from a single customer accounted for </w:t>
      </w:r>
      <w:bookmarkStart w:id="1021" w:name="xdx_90D_eus-gaap--ConcentrationRiskPerce"/>
      <w:bookmarkEnd w:id="1021"/>
      <w:r>
        <w:rPr>
          <w:rFonts w:ascii="Times New Roman;Times;Serif" w:hAnsi="Times New Roman;Times;Serif"/>
          <w:b w:val="false"/>
          <w:i w:val="false"/>
          <w:caps w:val="false"/>
          <w:smallCaps w:val="false"/>
          <w:sz w:val="20"/>
        </w:rPr>
        <w:t xml:space="preserve">35% and </w:t>
      </w:r>
      <w:bookmarkStart w:id="1022" w:name="xdx_90A_eus-gaap--ConcentrationRiskPerce"/>
      <w:bookmarkEnd w:id="1022"/>
      <w:r>
        <w:rPr>
          <w:rFonts w:ascii="Times New Roman;Times;Serif" w:hAnsi="Times New Roman;Times;Serif"/>
          <w:b w:val="false"/>
          <w:i w:val="false"/>
          <w:caps w:val="false"/>
          <w:smallCaps w:val="false"/>
          <w:sz w:val="20"/>
        </w:rPr>
        <w:t>23%, respectively, of total consolidated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receives its active pharmaceutical ingredients from three main suppliers. These suppliers collectively accounted for </w:t>
      </w:r>
      <w:bookmarkStart w:id="1023" w:name="xdx_907_eus-gaap--ConcentrationRiskPerce"/>
      <w:bookmarkEnd w:id="1023"/>
      <w:r>
        <w:rPr>
          <w:rFonts w:ascii="Times New Roman;Times;Serif" w:hAnsi="Times New Roman;Times;Serif"/>
          <w:b w:val="false"/>
          <w:i w:val="false"/>
          <w:caps w:val="false"/>
          <w:smallCaps w:val="false"/>
          <w:sz w:val="20"/>
        </w:rPr>
        <w:t xml:space="preserve">50% and </w:t>
      </w:r>
      <w:bookmarkStart w:id="1024" w:name="xdx_909_eus-gaap--ConcentrationRiskPerce"/>
      <w:bookmarkEnd w:id="1024"/>
      <w:r>
        <w:rPr>
          <w:rFonts w:ascii="Times New Roman;Times;Serif" w:hAnsi="Times New Roman;Times;Serif"/>
          <w:b w:val="false"/>
          <w:i w:val="false"/>
          <w:caps w:val="false"/>
          <w:smallCaps w:val="false"/>
          <w:sz w:val="20"/>
        </w:rPr>
        <w:t xml:space="preserve">51% of active pharmaceutical ingredient purchases during the three and nine months ended September 30, 2024, respectively, and </w:t>
      </w:r>
      <w:bookmarkStart w:id="1025" w:name="xdx_903_eus-gaap--ConcentrationRiskPerce"/>
      <w:bookmarkEnd w:id="1025"/>
      <w:r>
        <w:rPr>
          <w:rFonts w:ascii="Times New Roman;Times;Serif" w:hAnsi="Times New Roman;Times;Serif"/>
          <w:b w:val="false"/>
          <w:i w:val="false"/>
          <w:caps w:val="false"/>
          <w:smallCaps w:val="false"/>
          <w:sz w:val="20"/>
        </w:rPr>
        <w:t xml:space="preserve">96% and </w:t>
      </w:r>
      <w:bookmarkStart w:id="1026" w:name="xdx_905_eus-gaap--ConcentrationRiskPerce"/>
      <w:bookmarkEnd w:id="1026"/>
      <w:r>
        <w:rPr>
          <w:rFonts w:ascii="Times New Roman;Times;Serif" w:hAnsi="Times New Roman;Times;Serif"/>
          <w:b w:val="false"/>
          <w:i w:val="false"/>
          <w:caps w:val="false"/>
          <w:smallCaps w:val="false"/>
          <w:sz w:val="20"/>
        </w:rPr>
        <w:t>79% during the same periods in 2023,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27" w:name="xdx_802_eus-gaap--SubsequentEventsTextBl"/>
      <w:bookmarkEnd w:id="1027"/>
      <w:r>
        <w:rPr>
          <w:rFonts w:ascii="Times New Roman;Times;Serif" w:hAnsi="Times New Roman;Times;Serif"/>
          <w:b/>
          <w:i w:val="false"/>
          <w:caps w:val="false"/>
          <w:smallCaps w:val="false"/>
          <w:sz w:val="20"/>
        </w:rPr>
        <w:t xml:space="preserve">NOTE 16. </w:t>
      </w:r>
      <w:bookmarkStart w:id="1028" w:name="xdx_821_zUmQlLmiwOB6"/>
      <w:bookmarkEnd w:id="1028"/>
      <w:r>
        <w:rPr>
          <w:rFonts w:ascii="Times New Roman;Times;Serif" w:hAnsi="Times New Roman;Times;Serif"/>
          <w:b/>
          <w:i w:val="false"/>
          <w:caps w:val="false"/>
          <w:smallCaps w:val="false"/>
          <w:sz w:val="20"/>
        </w:rPr>
        <w:t>SUBSEQUENT EVENTS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performed an evaluation of events occurring subsequent to September 30, 2024 through the filing date of this Quarterly Report on Form 10-Q. Based on its evaluation, no events other than those described below need to be disclosed.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Company entered into the Second Amendment to Credit Agreement and Guaranty with Oaktree (“Second Amendment”). Upon satisfaction of certain conditions to funding, the Company drew down the principal amount of $</w:t>
      </w:r>
      <w:bookmarkStart w:id="1029" w:name="xdx_900_eus-gaap--DebtInstrumentFaceAmou"/>
      <w:bookmarkEnd w:id="1029"/>
      <w:r>
        <w:rPr>
          <w:rFonts w:ascii="Times New Roman;Times;Serif" w:hAnsi="Times New Roman;Times;Serif"/>
          <w:b w:val="false"/>
          <w:i w:val="false"/>
          <w:caps w:val="false"/>
          <w:smallCaps w:val="false"/>
          <w:sz w:val="20"/>
        </w:rPr>
        <w:t>30,000,000 (the “$</w:t>
      </w:r>
      <w:bookmarkStart w:id="1030" w:name="xdx_904_eus-gaap--DebtInstrumentCarrying"/>
      <w:bookmarkEnd w:id="1030"/>
      <w:r>
        <w:rPr>
          <w:rFonts w:ascii="Times New Roman;Times;Serif" w:hAnsi="Times New Roman;Times;Serif"/>
          <w:b w:val="false"/>
          <w:i w:val="false"/>
          <w:caps w:val="false"/>
          <w:smallCaps w:val="false"/>
          <w:sz w:val="20"/>
        </w:rPr>
        <w:t>30,000,000 Draw”) under a pre-existing commitment under the Oaktree Loan to partially fund a one-time milestone payment to Novartis Technology, LLC and Novartis Innovative Therapies AG (together, “Novartis”). Under its asset purchase agreement with Novartis, the Company made a one-time milestone payment to Novartis equal to $</w:t>
      </w:r>
      <w:bookmarkStart w:id="1031" w:name="xdx_90F_eus-gaap--PaymentOfFinancingAndS"/>
      <w:bookmarkEnd w:id="1031"/>
      <w:r>
        <w:rPr>
          <w:rFonts w:ascii="Times New Roman;Times;Serif" w:hAnsi="Times New Roman;Times;Serif"/>
          <w:b w:val="false"/>
          <w:i w:val="false"/>
          <w:caps w:val="false"/>
          <w:smallCaps w:val="false"/>
          <w:sz w:val="20"/>
        </w:rPr>
        <w:t>37,000,000 upon the commercial availability of TRIESENCE, which the Company paid in October 2024. In connection with the Second Amendment, the Company incurred approximately $</w:t>
      </w:r>
      <w:bookmarkStart w:id="1032" w:name="xdx_90C_eus-gaap--CostsAndExpenses_c2024"/>
      <w:bookmarkEnd w:id="1032"/>
      <w:r>
        <w:rPr>
          <w:rFonts w:ascii="Times New Roman;Times;Serif" w:hAnsi="Times New Roman;Times;Serif"/>
          <w:b w:val="false"/>
          <w:i w:val="false"/>
          <w:caps w:val="false"/>
          <w:smallCaps w:val="false"/>
          <w:sz w:val="20"/>
        </w:rPr>
        <w:t>150,000 of costs. In connection with the Second Amendment and following the $</w:t>
      </w:r>
      <w:bookmarkStart w:id="1033" w:name="xdx_90E_eus-gaap--DebtInstrumentCarrying"/>
      <w:bookmarkEnd w:id="1033"/>
      <w:r>
        <w:rPr>
          <w:rFonts w:ascii="Times New Roman;Times;Serif" w:hAnsi="Times New Roman;Times;Serif"/>
          <w:b w:val="false"/>
          <w:i w:val="false"/>
          <w:caps w:val="false"/>
          <w:smallCaps w:val="false"/>
          <w:sz w:val="20"/>
        </w:rPr>
        <w:t>30,000,000 Draw, the Company has drawn down a total principal loan amount of $</w:t>
      </w:r>
      <w:bookmarkStart w:id="1034" w:name="xdx_90D_eus-gaap--DebtInstrumentFaceAmou"/>
      <w:bookmarkEnd w:id="1034"/>
      <w:r>
        <w:rPr>
          <w:rFonts w:ascii="Times New Roman;Times;Serif" w:hAnsi="Times New Roman;Times;Serif"/>
          <w:b w:val="false"/>
          <w:i w:val="false"/>
          <w:caps w:val="false"/>
          <w:smallCaps w:val="false"/>
          <w:sz w:val="20"/>
        </w:rPr>
        <w:t>107,500,000 under the Oaktree Loan and no additional principal loan amount remains available to the Company under the Oaktree Loan.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became aware of a cybersecurity incident that involved unauthorized access of an employee’s email account. Through this unauthorized access the threat actor was able to fraudulently divert Company funds to its bank account. The Company, along with its external cybersecurity experts, is continuing to work diligently to fully investigate and assess the impact of the incident and has notified, and is cooperating with, federal law enforcement. As the investigation of the incident is ongoing, the full scope, nature and impact of the incident are not yet fully known.</w:t>
      </w:r>
    </w:p>
    <w:p>
      <w:pPr>
        <w:pStyle w:val="TextBody"/>
        <w:bidi w:val="0"/>
        <w:jc w:val="both"/>
        <w:rPr>
          <w:caps w:val="false"/>
          <w:smallCaps w:val="false"/>
        </w:rPr>
      </w:pPr>
      <w:bookmarkStart w:id="1035" w:name="xdx_81F_zRmtmqGxI7F2"/>
      <w:bookmarkEnd w:id="103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36" w:name="a_001"/>
      <w:bookmarkEnd w:id="1036"/>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2023 and subsequent reports, which discuss our business in greater detail. As used in this discussion and analysis, unless the context indicates otherwise, the terms the “Company,” “Harrow,” “we,” “us” and “our” refer to Harrow, Inc. and its consolidated subsidiaries, including ImprimisRx, LLC, ImprimisRx NJ, LLC dba ImprimisRx, Imprimis NJOF, LLC, Harrow IP, LLC and Harrow Eye, LLC. In this discussion and analysis, we refer to our consolidated subsidiaries ImprimisRx, LLC, ImprimisRx NJ, LLC and Imprimis NJOF, LLC collectively as “ImprimisRx.” </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pStyle w:val="TextBody"/>
        <w:shd w:fill="FFFFFF" w:val="clear"/>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We own commercial rights to one of the largest portfolios of branded ophthalmic pharmaceutical products in North America, all of which are marketed under the Harrow name. We also own and operate ImprimisRx, one of the nation’s leading ophthalmology-focused pharmaceutical-compounding businesses. </w:t>
      </w:r>
    </w:p>
    <w:p>
      <w:pPr>
        <w:pStyle w:val="TextBody"/>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primary factors affecting our performance are (1) our ability to increase revenues of our branded pharmaceutical products, proprietary compounded formulations and certain non-proprietary products, and grow and gain operating efficiencies in our operations, (2) potential and ongoing regulatory-related restrictions, (3) our ability to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Developments </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selected significant developments affecting our business that occurred since December 31, 2023. For additional developments, see our Annual Report on Form 10-K for the year ended December 31, 2023.</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Cybersecurity Incident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we became aware of a cybersecurity incident that involved unauthorized access of an employee’s email account. Through this unauthorized access the threat actor was able to fraudulently divert Company funds to its bank account. We detected the incident in a time that management believes minimized any financial, operational or reputational risk to the Company, we believe this early detection will result in an immaterial impact to the Company’s financial results and at no point was our ability to generate revenues disrupted. We, along with our external cybersecurity experts, are continuing to work diligently to fully investigate and assess the impact of the incident and we have notified, and are cooperating with, federal law enforcement. As the investigation of the incident is ongoing, the full scope, nature and impact of the incident are not yet fully known.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TRIESENCE Re-Launch, Oaktree Second Amendment and Draw</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we announced the re-launch of TRIESENCE following the successful manufacturing of three process performance qualification batches of the product. In connection with the re-launch, during October 2024 we made a one-time payment of $37,000,000 to Novartis Technology, LLC and Novartis Innovative Therapies AG (together, “Novartis”) pursuant to terms of an asset purchase agreement between Novartis and the Company. Also, during October 2024, we entered into the Second Amendment (the “Second Amendment”) to the Credit Agreement and Guaranty originally entered into on March 27, 2023, as amended by that certain First Amendment to Credit Agreement and Guaranty and Consent, dated as of July 18, 2023 (as amended, the “Oaktree Loan”), with the lenders from time to time party thereto and Oaktree Fund Administration, LLC, as administrative agent for the lenders (“Oaktree”). Upon satisfaction of certain conditions to funding, the Company drew down the principal amount of $30,000,000 (the “$30,000,000 Draw”) under a pre-existing commitment under the Oaktree Loan to partially fund the one-time payment to Novartis.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Amendment, the Company and Oaktree agreed to certain changes to the Oaktree Loan in connection with the Company’s draw under the Oaktree Loan. Pursuant to the amendment, Oaktree agreed to waive any make-whole costs associated with the $30,000,000 Draw in the event of early repayment of the debt under the Oaktree Loan if paid before March 31, 2025. In addition, Oaktree agreed to exclude the $30,000,000 Draw from the calculation of the Total Leverage Ratio as defined in the Oaktree Loan. No other material changes to the Oaktree Loan were provided in the Second Amendment.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Second Amendment and the funding of the Novartis milestone payment, the Company has drawn down a total principal loan amount of $107,500,000 under the Oaktree Loan and no additional principal loan amount remains available to the Company under the Oaktree Loan.</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Apotex - Canadian Out-License</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entered into a license and supply agreement with Apotex Inc. (“Apotex”). Under the terms of the agreement, Apotex licensed exclusive rights and marketing authorizations of the following products in the Canadian market from Harrow: VERKAZIA (cyclosporine ophthalmic emulsion) 0.1% and Cationorm PLUS. Apotex was also granted a license for products Apotex will pursue approval for in Canada: VEVYE (cyclosporine ophthalmic solution) 0.1%, IHEEZO (chloroprocaine hydrochloride ophthalmic gel) 3%, and ZERVIATE (cetirizine ophthalmic solution) 0.24% (with VERKAZIA and Cationorm Plus, collectively, the “Apotex Products”). In exchange for these licenses, Harrow will earn amounts related to manufacturing, regulatory and commercial achievement milestones, in addition to royalties on net sales of the Apotex Products.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IHEEZO Reimbursement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met with the Centers for Medicare &amp; Medicaid Services (“CMS”) to request clarification related to its anesthesia billing policy which has historically not allowed for the separate billing of anesthesia services in the physician’s office. During the meeting we requested that CMS clarify that J-Code 2403, IHEEZO’s permanent J-Code, is appropriate to be billed for the anesthesia product itself (i.e., IHEEZO in our case) in the physician office setting. In March 2024, we received communication from a representative at CMS that the inclusion of J-Code 2403 in CMS’s April 2024 quarterly drug pricing file of the average sales prices (ASP) of some Medicare Part B-covered drugs and biologicals confirms that IHEEZO is separately payable in the physician office setting.</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2024, we made a request to CMS to consider increasing the Medically Unlikely Edits (“MUE”) for IHEEZO’s J-Code from 1 to 2. This request was made because the limitation of one MUE only allowed a single IHEEZO administration (equal to one single-use vial) to be used and billed, while many ophthalmologists perform bilateral ocular procedures, which would require two vials of IHEEZO to be used. On March 20, 2024, we received communication from the National Correct Coding Initiative (NCCI) program of CMS stating that CMS decided to increase the MUE for IHEEZO’s J-Code (J2403) from 1 to 2. The MUE edit was made effective on July 1, 2024. </w:t>
      </w:r>
    </w:p>
    <w:p>
      <w:pPr>
        <w:pStyle w:val="TextBody"/>
        <w:shd w:fill="FFFFFF" w:val="clear"/>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VEVYE U.S. Launch</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launched VEVYE (cyclosporine ophthalmic solution) 0.1%, the first and only water-free cyclosporine dissolved in a semifluorinated alkane approved to treat both the signs and symptoms of dry eye disease in the U.S. We partnered with various entities including PhilRx, Apollo Care and PARx Solutions to enhance our market and patient access program for VEVYE.</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period-to-period comparisons of our financial results for the three and nine months ended September 30, 2024 and 2023 are not necessarily indicative of results for any future period.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Revenues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 The following presents our revenues:</w:t>
      </w:r>
    </w:p>
    <w:p>
      <w:pPr>
        <w:pStyle w:val="TextBody"/>
        <w:shd w:fill="FFFFFF" w:val="clear"/>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6"/>
        <w:gridCol w:w="60"/>
        <w:gridCol w:w="142"/>
        <w:gridCol w:w="1123"/>
        <w:gridCol w:w="61"/>
        <w:gridCol w:w="61"/>
        <w:gridCol w:w="142"/>
        <w:gridCol w:w="1123"/>
        <w:gridCol w:w="60"/>
        <w:gridCol w:w="60"/>
        <w:gridCol w:w="140"/>
        <w:gridCol w:w="1100"/>
        <w:gridCol w:w="95"/>
        <w:gridCol w:w="60"/>
        <w:gridCol w:w="141"/>
        <w:gridCol w:w="1230"/>
        <w:gridCol w:w="60"/>
        <w:gridCol w:w="60"/>
        <w:gridCol w:w="141"/>
        <w:gridCol w:w="1108"/>
        <w:gridCol w:w="60"/>
        <w:gridCol w:w="60"/>
        <w:gridCol w:w="140"/>
        <w:gridCol w:w="1295"/>
        <w:gridCol w:w="117"/>
      </w:tblGrid>
      <w:tr>
        <w:trPr/>
        <w:tc>
          <w:tcPr>
            <w:tcW w:w="15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2"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6"/>
            <w:tcBorders/>
            <w:vAlign w:val="center"/>
          </w:tcPr>
          <w:p>
            <w:pPr>
              <w:pStyle w:val="TableContents"/>
              <w:bidi w:val="0"/>
              <w:spacing w:before="0" w:after="283"/>
              <w:jc w:val="center"/>
              <w:rPr>
                <w:b/>
              </w:rPr>
            </w:pPr>
            <w:r>
              <w:rPr>
                <w:b/>
              </w:rPr>
              <w:t>For the 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r>
      <w:tr>
        <w:trPr/>
        <w:tc>
          <w:tcPr>
            <w:tcW w:w="15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w:t>
            </w:r>
          </w:p>
        </w:tc>
        <w:tc>
          <w:tcPr>
            <w:tcW w:w="117" w:type="dxa"/>
            <w:tcBorders/>
            <w:vAlign w:val="center"/>
          </w:tcPr>
          <w:p>
            <w:pPr>
              <w:pStyle w:val="TableContents"/>
              <w:bidi w:val="0"/>
              <w:spacing w:before="0" w:after="283"/>
              <w:jc w:val="left"/>
              <w:rPr/>
            </w:pPr>
            <w:r>
              <w:rPr/>
              <w:t> </w:t>
            </w:r>
          </w:p>
        </w:tc>
      </w:tr>
      <w:tr>
        <w:trPr/>
        <w:tc>
          <w:tcPr>
            <w:tcW w:w="15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117" w:type="dxa"/>
            <w:tcBorders/>
            <w:vAlign w:val="center"/>
          </w:tcPr>
          <w:p>
            <w:pPr>
              <w:pStyle w:val="TableContents"/>
              <w:bidi w:val="0"/>
              <w:spacing w:before="0" w:after="283"/>
              <w:jc w:val="left"/>
              <w:rPr/>
            </w:pPr>
            <w:r>
              <w:rPr/>
              <w:t> </w:t>
            </w:r>
          </w:p>
        </w:tc>
      </w:tr>
      <w:tr>
        <w:trPr/>
        <w:tc>
          <w:tcPr>
            <w:tcW w:w="1566" w:type="dxa"/>
            <w:tcBorders/>
            <w:shd w:fill="CCEEFF" w:val="clear"/>
            <w:vAlign w:val="center"/>
          </w:tcPr>
          <w:p>
            <w:pPr>
              <w:pStyle w:val="TableContents"/>
              <w:bidi w:val="0"/>
              <w:spacing w:before="0" w:after="283"/>
              <w:jc w:val="left"/>
              <w:rPr/>
            </w:pPr>
            <w:r>
              <w:rPr/>
              <w:t>IHEEZO</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12,882,000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5,927,000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6,955,000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26,498,000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10,073,000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16,425,000</w:t>
            </w:r>
          </w:p>
        </w:tc>
        <w:tc>
          <w:tcPr>
            <w:tcW w:w="117" w:type="dxa"/>
            <w:tcBorders/>
            <w:shd w:fill="CCEEFF" w:val="clear"/>
            <w:vAlign w:val="center"/>
          </w:tcPr>
          <w:p>
            <w:pPr>
              <w:pStyle w:val="TableContents"/>
              <w:bidi w:val="0"/>
              <w:spacing w:before="0" w:after="283"/>
              <w:jc w:val="left"/>
              <w:rPr/>
            </w:pPr>
            <w:r>
              <w:rPr/>
              <w:t> </w:t>
            </w:r>
          </w:p>
        </w:tc>
      </w:tr>
      <w:tr>
        <w:trPr/>
        <w:tc>
          <w:tcPr>
            <w:tcW w:w="1566" w:type="dxa"/>
            <w:tcBorders/>
            <w:shd w:fill="FFFFFF" w:val="clear"/>
            <w:vAlign w:val="center"/>
          </w:tcPr>
          <w:p>
            <w:pPr>
              <w:pStyle w:val="TableContents"/>
              <w:bidi w:val="0"/>
              <w:spacing w:before="0" w:after="283"/>
              <w:jc w:val="left"/>
              <w:rPr/>
            </w:pPr>
            <w:r>
              <w:rPr/>
              <w:t>VEVYE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5,186,000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5,186,000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12,099,000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12,099,000</w:t>
            </w:r>
          </w:p>
        </w:tc>
        <w:tc>
          <w:tcPr>
            <w:tcW w:w="117" w:type="dxa"/>
            <w:tcBorders/>
            <w:shd w:fill="FFFFFF" w:val="clear"/>
            <w:vAlign w:val="center"/>
          </w:tcPr>
          <w:p>
            <w:pPr>
              <w:pStyle w:val="TableContents"/>
              <w:bidi w:val="0"/>
              <w:spacing w:before="0" w:after="283"/>
              <w:jc w:val="left"/>
              <w:rPr/>
            </w:pPr>
            <w:r>
              <w:rPr/>
              <w:t> </w:t>
            </w:r>
          </w:p>
        </w:tc>
      </w:tr>
      <w:tr>
        <w:trPr/>
        <w:tc>
          <w:tcPr>
            <w:tcW w:w="1566" w:type="dxa"/>
            <w:tcBorders/>
            <w:shd w:fill="CCEEFF" w:val="clear"/>
            <w:vAlign w:val="center"/>
          </w:tcPr>
          <w:p>
            <w:pPr>
              <w:pStyle w:val="TableContents"/>
              <w:bidi w:val="0"/>
              <w:spacing w:before="0" w:after="283"/>
              <w:jc w:val="left"/>
              <w:rPr/>
            </w:pPr>
            <w:r>
              <w:rPr/>
              <w:t>Other branded products (Anterior Segment)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10,256,000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6,605,000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3,651,000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30,808,000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13,205,000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17,603,000</w:t>
            </w:r>
          </w:p>
        </w:tc>
        <w:tc>
          <w:tcPr>
            <w:tcW w:w="117" w:type="dxa"/>
            <w:tcBorders/>
            <w:shd w:fill="CCEEFF" w:val="clear"/>
            <w:vAlign w:val="center"/>
          </w:tcPr>
          <w:p>
            <w:pPr>
              <w:pStyle w:val="TableContents"/>
              <w:bidi w:val="0"/>
              <w:spacing w:before="0" w:after="283"/>
              <w:jc w:val="left"/>
              <w:rPr/>
            </w:pPr>
            <w:r>
              <w:rPr/>
              <w:t> </w:t>
            </w:r>
          </w:p>
        </w:tc>
      </w:tr>
      <w:tr>
        <w:trPr/>
        <w:tc>
          <w:tcPr>
            <w:tcW w:w="1566" w:type="dxa"/>
            <w:tcBorders/>
            <w:shd w:fill="FFFFFF" w:val="clear"/>
            <w:vAlign w:val="center"/>
          </w:tcPr>
          <w:p>
            <w:pPr>
              <w:pStyle w:val="TableContents"/>
              <w:bidi w:val="0"/>
              <w:spacing w:before="0" w:after="283"/>
              <w:jc w:val="left"/>
              <w:rPr/>
            </w:pPr>
            <w:r>
              <w:rPr/>
              <w:t>Other revenues, net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228,000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1,964,000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(1,736,000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375,000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10,585,000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(10,2109,000</w:t>
            </w:r>
          </w:p>
        </w:tc>
        <w:tc>
          <w:tcPr>
            <w:tcW w:w="117" w:type="dxa"/>
            <w:tcBorders/>
            <w:shd w:fill="FFFFFF" w:val="clear"/>
            <w:vAlign w:val="center"/>
          </w:tcPr>
          <w:p>
            <w:pPr>
              <w:pStyle w:val="TableContents"/>
              <w:bidi w:val="0"/>
              <w:spacing w:before="0" w:after="283"/>
              <w:jc w:val="left"/>
              <w:rPr/>
            </w:pPr>
            <w:r>
              <w:rPr/>
              <w:t>)</w:t>
            </w:r>
          </w:p>
        </w:tc>
      </w:tr>
      <w:tr>
        <w:trPr/>
        <w:tc>
          <w:tcPr>
            <w:tcW w:w="1566" w:type="dxa"/>
            <w:tcBorders/>
            <w:shd w:fill="CCEEFF" w:val="clear"/>
            <w:vAlign w:val="center"/>
          </w:tcPr>
          <w:p>
            <w:pPr>
              <w:pStyle w:val="TableContents"/>
              <w:bidi w:val="0"/>
              <w:spacing w:before="0" w:after="283"/>
              <w:jc w:val="left"/>
              <w:rPr/>
            </w:pPr>
            <w:r>
              <w:rPr/>
              <w:t>Branded revenue,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28,552,000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14,496,000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69,780,000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33,863,000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35,917,000</w:t>
            </w:r>
          </w:p>
        </w:tc>
        <w:tc>
          <w:tcPr>
            <w:tcW w:w="117" w:type="dxa"/>
            <w:tcBorders/>
            <w:shd w:fill="CCEEFF" w:val="clear"/>
            <w:vAlign w:val="center"/>
          </w:tcPr>
          <w:p>
            <w:pPr>
              <w:pStyle w:val="TableContents"/>
              <w:bidi w:val="0"/>
              <w:spacing w:before="0" w:after="283"/>
              <w:jc w:val="left"/>
              <w:rPr/>
            </w:pPr>
            <w:r>
              <w:rPr/>
              <w:t> </w:t>
            </w:r>
          </w:p>
        </w:tc>
      </w:tr>
      <w:tr>
        <w:trPr/>
        <w:tc>
          <w:tcPr>
            <w:tcW w:w="1566" w:type="dxa"/>
            <w:tcBorders/>
            <w:shd w:fill="FFFFFF" w:val="clear"/>
            <w:vAlign w:val="center"/>
          </w:tcPr>
          <w:p>
            <w:pPr>
              <w:pStyle w:val="TableContents"/>
              <w:bidi w:val="0"/>
              <w:spacing w:before="0" w:after="283"/>
              <w:jc w:val="left"/>
              <w:rPr/>
            </w:pPr>
            <w:r>
              <w:rPr/>
              <w:t>ImprimisRx revenue, net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20,705,000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19,769,000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936,000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63,003,000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59,975,000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3,028,000</w:t>
            </w:r>
          </w:p>
        </w:tc>
        <w:tc>
          <w:tcPr>
            <w:tcW w:w="117" w:type="dxa"/>
            <w:tcBorders/>
            <w:shd w:fill="FFFFFF" w:val="clear"/>
            <w:vAlign w:val="center"/>
          </w:tcPr>
          <w:p>
            <w:pPr>
              <w:pStyle w:val="TableContents"/>
              <w:bidi w:val="0"/>
              <w:spacing w:before="0" w:after="283"/>
              <w:jc w:val="left"/>
              <w:rPr/>
            </w:pPr>
            <w:r>
              <w:rPr/>
              <w:t> </w:t>
            </w:r>
          </w:p>
        </w:tc>
      </w:tr>
      <w:tr>
        <w:trPr/>
        <w:tc>
          <w:tcPr>
            <w:tcW w:w="1566" w:type="dxa"/>
            <w:tcBorders/>
            <w:shd w:fill="CCEEFF" w:val="clear"/>
            <w:vAlign w:val="center"/>
          </w:tcPr>
          <w:p>
            <w:pPr>
              <w:pStyle w:val="TableContents"/>
              <w:bidi w:val="0"/>
              <w:spacing w:before="0" w:after="283"/>
              <w:jc w:val="left"/>
              <w:rPr>
                <w:b/>
              </w:rPr>
            </w:pPr>
            <w:r>
              <w:rPr>
                <w:b/>
              </w:rPr>
              <w:t>Total revenues, net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49,257,000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34,265,000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14,992,000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132,783,000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93,838,000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38,945,000</w:t>
            </w:r>
          </w:p>
        </w:tc>
        <w:tc>
          <w:tcPr>
            <w:tcW w:w="117" w:type="dxa"/>
            <w:tcBorders/>
            <w:shd w:fill="CCEEFF" w:val="clear"/>
            <w:vAlign w:val="center"/>
          </w:tcPr>
          <w:p>
            <w:pPr>
              <w:pStyle w:val="TableContents"/>
              <w:bidi w:val="0"/>
              <w:spacing w:before="0" w:after="283"/>
              <w:jc w:val="left"/>
              <w:rPr/>
            </w:pPr>
            <w:r>
              <w:rPr/>
              <w:t> </w:t>
            </w:r>
          </w:p>
        </w:tc>
      </w:tr>
    </w:tbl>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Sales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sales includes direct and indirect costs to manufacture formulations and products, including active pharmaceutical ingredients, personnel costs, packaging, storage, royalties, shipping and handling costs, manufacturing equipment and tenant improvements depreciation, the write-off of obsolete inventory, amortization of acquired product NDAs, and other related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Branded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Branded cost of sales:</w:t>
      </w:r>
    </w:p>
    <w:p>
      <w:pPr>
        <w:pStyle w:val="TextBody"/>
        <w:bidi w:val="0"/>
        <w:ind w:left="0" w:right="0" w:firstLine="720"/>
        <w:jc w:val="left"/>
        <w:rPr>
          <w:caps w:val="false"/>
          <w:smallCaps w:val="false"/>
        </w:rPr>
      </w:pPr>
      <w:r>
        <w:rPr>
          <w:caps w:val="false"/>
          <w:smallCaps w:val="false"/>
        </w:rPr>
        <w:t> </w:t>
      </w:r>
    </w:p>
    <w:tbl>
      <w:tblPr>
        <w:tblW w:w="9974" w:type="dxa"/>
        <w:jc w:val="left"/>
        <w:tblInd w:w="0" w:type="dxa"/>
        <w:tblLayout w:type="fixed"/>
        <w:tblCellMar>
          <w:top w:w="0" w:type="dxa"/>
          <w:left w:w="0" w:type="dxa"/>
          <w:bottom w:w="0" w:type="dxa"/>
          <w:right w:w="0" w:type="dxa"/>
        </w:tblCellMar>
      </w:tblPr>
      <w:tblGrid>
        <w:gridCol w:w="1280"/>
        <w:gridCol w:w="60"/>
        <w:gridCol w:w="60"/>
        <w:gridCol w:w="179"/>
        <w:gridCol w:w="1254"/>
        <w:gridCol w:w="76"/>
        <w:gridCol w:w="76"/>
        <w:gridCol w:w="179"/>
        <w:gridCol w:w="1254"/>
        <w:gridCol w:w="60"/>
        <w:gridCol w:w="60"/>
        <w:gridCol w:w="140"/>
        <w:gridCol w:w="980"/>
        <w:gridCol w:w="60"/>
        <w:gridCol w:w="60"/>
        <w:gridCol w:w="162"/>
        <w:gridCol w:w="1279"/>
        <w:gridCol w:w="69"/>
        <w:gridCol w:w="69"/>
        <w:gridCol w:w="162"/>
        <w:gridCol w:w="1140"/>
        <w:gridCol w:w="60"/>
        <w:gridCol w:w="60"/>
        <w:gridCol w:w="140"/>
        <w:gridCol w:w="980"/>
        <w:gridCol w:w="75"/>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1" w:type="dxa"/>
            <w:gridSpan w:val="6"/>
            <w:tcBorders/>
            <w:vAlign w:val="center"/>
          </w:tcPr>
          <w:p>
            <w:pPr>
              <w:pStyle w:val="TableContents"/>
              <w:bidi w:val="0"/>
              <w:spacing w:before="0" w:after="283"/>
              <w:jc w:val="center"/>
              <w:rPr>
                <w:b/>
              </w:rPr>
            </w:pPr>
            <w:r>
              <w:rPr>
                <w:b/>
              </w:rPr>
              <w:t>For the 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7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b/>
              </w:rPr>
            </w:pPr>
            <w:r>
              <w:rPr>
                <w:b/>
              </w:rPr>
              <w:t>Cost of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5,169,000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3,335,000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1,834,000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9" w:type="dxa"/>
            <w:tcBorders>
              <w:bottom w:val="double" w:sz="6" w:space="0" w:color="000000"/>
            </w:tcBorders>
            <w:shd w:fill="CCEEFF" w:val="clear"/>
            <w:tcMar>
              <w:bottom w:w="28" w:type="dxa"/>
            </w:tcMar>
            <w:vAlign w:val="center"/>
          </w:tcPr>
          <w:p>
            <w:pPr>
              <w:pStyle w:val="TableContents"/>
              <w:bidi w:val="0"/>
              <w:spacing w:before="0" w:after="283"/>
              <w:jc w:val="right"/>
              <w:rPr/>
            </w:pPr>
            <w:r>
              <w:rPr/>
              <w:t>14,406,000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jc w:val="right"/>
              <w:rPr/>
            </w:pPr>
            <w:r>
              <w:rPr/>
              <w:t>8,396,000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6,010,000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our Branded cost of sales was largely attributable to expenses associated with unit volumes sold.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ImprimisRx</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ImprimisRx cost of sales:</w:t>
      </w:r>
    </w:p>
    <w:p>
      <w:pPr>
        <w:pStyle w:val="TextBody"/>
        <w:bidi w:val="0"/>
        <w:ind w:left="0" w:right="0" w:firstLine="720"/>
        <w:jc w:val="left"/>
        <w:rPr>
          <w:caps w:val="false"/>
          <w:smallCaps w:val="false"/>
        </w:rPr>
      </w:pPr>
      <w:r>
        <w:rPr>
          <w:caps w:val="false"/>
          <w:smallCaps w:val="false"/>
        </w:rPr>
        <w:t> </w:t>
      </w:r>
    </w:p>
    <w:tbl>
      <w:tblPr>
        <w:tblW w:w="9575" w:type="dxa"/>
        <w:jc w:val="left"/>
        <w:tblInd w:w="0" w:type="dxa"/>
        <w:tblLayout w:type="fixed"/>
        <w:tblCellMar>
          <w:top w:w="0" w:type="dxa"/>
          <w:left w:w="0" w:type="dxa"/>
          <w:bottom w:w="0" w:type="dxa"/>
          <w:right w:w="0" w:type="dxa"/>
        </w:tblCellMar>
      </w:tblPr>
      <w:tblGrid>
        <w:gridCol w:w="1280"/>
        <w:gridCol w:w="60"/>
        <w:gridCol w:w="179"/>
        <w:gridCol w:w="1254"/>
        <w:gridCol w:w="76"/>
        <w:gridCol w:w="76"/>
        <w:gridCol w:w="179"/>
        <w:gridCol w:w="1254"/>
        <w:gridCol w:w="60"/>
        <w:gridCol w:w="60"/>
        <w:gridCol w:w="141"/>
        <w:gridCol w:w="809"/>
        <w:gridCol w:w="60"/>
        <w:gridCol w:w="60"/>
        <w:gridCol w:w="155"/>
        <w:gridCol w:w="1220"/>
        <w:gridCol w:w="66"/>
        <w:gridCol w:w="66"/>
        <w:gridCol w:w="155"/>
        <w:gridCol w:w="1220"/>
        <w:gridCol w:w="60"/>
        <w:gridCol w:w="60"/>
        <w:gridCol w:w="141"/>
        <w:gridCol w:w="809"/>
        <w:gridCol w:w="75"/>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vAlign w:val="center"/>
          </w:tcPr>
          <w:p>
            <w:pPr>
              <w:pStyle w:val="TableContents"/>
              <w:bidi w:val="0"/>
              <w:spacing w:before="0" w:after="283"/>
              <w:jc w:val="center"/>
              <w:rPr>
                <w:b/>
              </w:rPr>
            </w:pPr>
            <w:r>
              <w:rPr>
                <w:b/>
              </w:rPr>
              <w:t>For the 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7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b/>
              </w:rPr>
            </w:pPr>
            <w:r>
              <w:rPr>
                <w:b/>
              </w:rPr>
              <w:t>Cost of sales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6,849,000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6,732,000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pPr>
            <w:r>
              <w:rPr/>
              <w:t>117,000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20,704,000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19,942,000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pPr>
            <w:r>
              <w:rPr/>
              <w:t>762,000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our ImprimisRx cost of sales was largely attributable to expenses associated with unit volumes sold and increased direct and indirect costs associated with production of our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Margin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Branded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7"/>
        <w:gridCol w:w="60"/>
        <w:gridCol w:w="143"/>
        <w:gridCol w:w="1130"/>
        <w:gridCol w:w="220"/>
        <w:gridCol w:w="61"/>
        <w:gridCol w:w="143"/>
        <w:gridCol w:w="1130"/>
        <w:gridCol w:w="215"/>
        <w:gridCol w:w="60"/>
        <w:gridCol w:w="140"/>
        <w:gridCol w:w="1100"/>
        <w:gridCol w:w="215"/>
        <w:gridCol w:w="60"/>
        <w:gridCol w:w="141"/>
        <w:gridCol w:w="1114"/>
        <w:gridCol w:w="217"/>
        <w:gridCol w:w="60"/>
        <w:gridCol w:w="141"/>
        <w:gridCol w:w="1114"/>
        <w:gridCol w:w="215"/>
        <w:gridCol w:w="60"/>
        <w:gridCol w:w="140"/>
        <w:gridCol w:w="1100"/>
        <w:gridCol w:w="239"/>
      </w:tblGrid>
      <w:tr>
        <w:trPr/>
        <w:tc>
          <w:tcPr>
            <w:tcW w:w="9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7" w:type="dxa"/>
            <w:gridSpan w:val="6"/>
            <w:tcBorders/>
            <w:vAlign w:val="center"/>
          </w:tcPr>
          <w:p>
            <w:pPr>
              <w:pStyle w:val="TableContents"/>
              <w:bidi w:val="0"/>
              <w:spacing w:before="0" w:after="283"/>
              <w:jc w:val="center"/>
              <w:rPr>
                <w:b/>
              </w:rPr>
            </w:pPr>
            <w:r>
              <w:rPr>
                <w:b/>
              </w:rPr>
              <w:t>For the Three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7" w:type="dxa"/>
            <w:gridSpan w:val="6"/>
            <w:tcBorders/>
            <w:vAlign w:val="center"/>
          </w:tcPr>
          <w:p>
            <w:pPr>
              <w:pStyle w:val="TableContents"/>
              <w:bidi w:val="0"/>
              <w:spacing w:before="0" w:after="283"/>
              <w:jc w:val="center"/>
              <w:rPr>
                <w:b/>
              </w:rPr>
            </w:pPr>
            <w:r>
              <w:rPr>
                <w:b/>
              </w:rPr>
              <w:t>For the Nine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r>
      <w:tr>
        <w:trPr/>
        <w:tc>
          <w:tcPr>
            <w:tcW w:w="9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w:t>
            </w:r>
          </w:p>
        </w:tc>
        <w:tc>
          <w:tcPr>
            <w:tcW w:w="239" w:type="dxa"/>
            <w:tcBorders/>
            <w:vAlign w:val="center"/>
          </w:tcPr>
          <w:p>
            <w:pPr>
              <w:pStyle w:val="TableContents"/>
              <w:bidi w:val="0"/>
              <w:spacing w:before="0" w:after="283"/>
              <w:jc w:val="left"/>
              <w:rPr/>
            </w:pPr>
            <w:r>
              <w:rPr/>
              <w:t> </w:t>
            </w:r>
          </w:p>
        </w:tc>
      </w:tr>
      <w:tr>
        <w:trPr/>
        <w:tc>
          <w:tcPr>
            <w:tcW w:w="9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39" w:type="dxa"/>
            <w:tcBorders/>
            <w:vAlign w:val="center"/>
          </w:tcPr>
          <w:p>
            <w:pPr>
              <w:pStyle w:val="TableContents"/>
              <w:bidi w:val="0"/>
              <w:spacing w:before="0" w:after="283"/>
              <w:jc w:val="left"/>
              <w:rPr/>
            </w:pPr>
            <w:r>
              <w:rPr/>
              <w:t> </w:t>
            </w:r>
          </w:p>
        </w:tc>
      </w:tr>
      <w:tr>
        <w:trPr/>
        <w:tc>
          <w:tcPr>
            <w:tcW w:w="987"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23,383,000</w:t>
            </w:r>
          </w:p>
        </w:tc>
        <w:tc>
          <w:tcPr>
            <w:tcW w:w="2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11,161,000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12,222,000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pPr>
            <w:r>
              <w:rPr/>
              <w:t>55,374,000</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pPr>
            <w:r>
              <w:rPr/>
              <w:t>25,467,000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29,907,000</w:t>
            </w:r>
          </w:p>
        </w:tc>
        <w:tc>
          <w:tcPr>
            <w:tcW w:w="239" w:type="dxa"/>
            <w:tcBorders/>
            <w:shd w:fill="CCEEFF" w:val="clear"/>
            <w:vAlign w:val="center"/>
          </w:tcPr>
          <w:p>
            <w:pPr>
              <w:pStyle w:val="TableContents"/>
              <w:bidi w:val="0"/>
              <w:spacing w:before="0" w:after="283"/>
              <w:jc w:val="left"/>
              <w:rPr/>
            </w:pPr>
            <w:r>
              <w:rPr/>
              <w:t> </w:t>
            </w:r>
          </w:p>
        </w:tc>
      </w:tr>
      <w:tr>
        <w:trPr/>
        <w:tc>
          <w:tcPr>
            <w:tcW w:w="987" w:type="dxa"/>
            <w:tcBorders/>
            <w:shd w:fill="FFFFFF" w:val="clear"/>
            <w:vAlign w:val="center"/>
          </w:tcPr>
          <w:p>
            <w:pPr>
              <w:pStyle w:val="TableContents"/>
              <w:bidi w:val="0"/>
              <w:spacing w:before="0" w:after="283"/>
              <w:jc w:val="left"/>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81.9</w:t>
            </w:r>
          </w:p>
        </w:tc>
        <w:tc>
          <w:tcPr>
            <w:tcW w:w="220"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77.0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double" w:sz="6" w:space="0" w:color="000000"/>
            </w:tcBorders>
            <w:shd w:fill="FFFFFF" w:val="clear"/>
            <w:tcMar>
              <w:bottom w:w="28" w:type="dxa"/>
            </w:tcMar>
            <w:vAlign w:val="center"/>
          </w:tcPr>
          <w:p>
            <w:pPr>
              <w:pStyle w:val="TableContents"/>
              <w:bidi w:val="0"/>
              <w:spacing w:before="0" w:after="283"/>
              <w:jc w:val="right"/>
              <w:rPr/>
            </w:pPr>
            <w:r>
              <w:rPr/>
              <w:t>79.4</w:t>
            </w:r>
          </w:p>
        </w:tc>
        <w:tc>
          <w:tcPr>
            <w:tcW w:w="21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75.2 </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4.2</w:t>
            </w:r>
          </w:p>
        </w:tc>
        <w:tc>
          <w:tcPr>
            <w:tcW w:w="239" w:type="dxa"/>
            <w:tcBorders/>
            <w:shd w:fill="FFFFFF" w:val="clear"/>
            <w:vAlign w:val="center"/>
          </w:tcPr>
          <w:p>
            <w:pPr>
              <w:pStyle w:val="TableContents"/>
              <w:bidi w:val="0"/>
              <w:spacing w:before="0" w:after="283"/>
              <w:jc w:val="left"/>
              <w:rPr/>
            </w:pPr>
            <w:r>
              <w:rPr/>
              <w:t>%</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Branded gross margin between the three and nine months ended September 30, 2024 and 2023 was primarily attributable to an increase in sales reducing the impact of our fixed expenses, such as license amortization.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ImprimisRx</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3"/>
        <w:gridCol w:w="60"/>
        <w:gridCol w:w="148"/>
        <w:gridCol w:w="1172"/>
        <w:gridCol w:w="228"/>
        <w:gridCol w:w="63"/>
        <w:gridCol w:w="148"/>
        <w:gridCol w:w="1172"/>
        <w:gridCol w:w="215"/>
        <w:gridCol w:w="60"/>
        <w:gridCol w:w="141"/>
        <w:gridCol w:w="809"/>
        <w:gridCol w:w="215"/>
        <w:gridCol w:w="60"/>
        <w:gridCol w:w="144"/>
        <w:gridCol w:w="1135"/>
        <w:gridCol w:w="221"/>
        <w:gridCol w:w="61"/>
        <w:gridCol w:w="144"/>
        <w:gridCol w:w="1135"/>
        <w:gridCol w:w="215"/>
        <w:gridCol w:w="60"/>
        <w:gridCol w:w="140"/>
        <w:gridCol w:w="980"/>
        <w:gridCol w:w="236"/>
      </w:tblGrid>
      <w:tr>
        <w:trPr/>
        <w:tc>
          <w:tcPr>
            <w:tcW w:w="1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1" w:type="dxa"/>
            <w:gridSpan w:val="6"/>
            <w:tcBorders/>
            <w:vAlign w:val="center"/>
          </w:tcPr>
          <w:p>
            <w:pPr>
              <w:pStyle w:val="TableContents"/>
              <w:bidi w:val="0"/>
              <w:spacing w:before="0" w:after="283"/>
              <w:jc w:val="center"/>
              <w:rPr>
                <w:b/>
              </w:rPr>
            </w:pPr>
            <w:r>
              <w:rPr>
                <w:b/>
              </w:rPr>
              <w:t>For the Three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vAlign w:val="center"/>
          </w:tcPr>
          <w:p>
            <w:pPr>
              <w:pStyle w:val="TableContents"/>
              <w:bidi w:val="0"/>
              <w:spacing w:before="0" w:after="283"/>
              <w:jc w:val="center"/>
              <w:rPr>
                <w:b/>
              </w:rPr>
            </w:pPr>
            <w:r>
              <w:rPr>
                <w:b/>
              </w:rPr>
              <w:t>For the Nine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1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236" w:type="dxa"/>
            <w:tcBorders/>
            <w:vAlign w:val="center"/>
          </w:tcPr>
          <w:p>
            <w:pPr>
              <w:pStyle w:val="TableContents"/>
              <w:bidi w:val="0"/>
              <w:spacing w:before="0" w:after="283"/>
              <w:jc w:val="left"/>
              <w:rPr/>
            </w:pPr>
            <w:r>
              <w:rPr/>
              <w:t> </w:t>
            </w:r>
          </w:p>
        </w:tc>
      </w:tr>
      <w:tr>
        <w:trPr/>
        <w:tc>
          <w:tcPr>
            <w:tcW w:w="1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28"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2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36" w:type="dxa"/>
            <w:tcBorders/>
            <w:vAlign w:val="center"/>
          </w:tcPr>
          <w:p>
            <w:pPr>
              <w:pStyle w:val="TableContents"/>
              <w:bidi w:val="0"/>
              <w:spacing w:before="0" w:after="283"/>
              <w:jc w:val="left"/>
              <w:rPr/>
            </w:pPr>
            <w:r>
              <w:rPr/>
              <w:t> </w:t>
            </w:r>
          </w:p>
        </w:tc>
      </w:tr>
      <w:tr>
        <w:trPr/>
        <w:tc>
          <w:tcPr>
            <w:tcW w:w="1243"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jc w:val="right"/>
              <w:rPr/>
            </w:pPr>
            <w:r>
              <w:rPr/>
              <w:t>13,856,000</w:t>
            </w:r>
          </w:p>
        </w:tc>
        <w:tc>
          <w:tcPr>
            <w:tcW w:w="22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jc w:val="right"/>
              <w:rPr/>
            </w:pPr>
            <w:r>
              <w:rPr/>
              <w:t>13,037,000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pPr>
            <w:r>
              <w:rPr/>
              <w:t>819,000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jc w:val="right"/>
              <w:rPr/>
            </w:pPr>
            <w:r>
              <w:rPr/>
              <w:t>42,299,000</w:t>
            </w:r>
          </w:p>
        </w:tc>
        <w:tc>
          <w:tcPr>
            <w:tcW w:w="22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jc w:val="right"/>
              <w:rPr/>
            </w:pPr>
            <w:r>
              <w:rPr/>
              <w:t>40,033,000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2,266,000</w:t>
            </w:r>
          </w:p>
        </w:tc>
        <w:tc>
          <w:tcPr>
            <w:tcW w:w="236" w:type="dxa"/>
            <w:tcBorders/>
            <w:shd w:fill="CCEEFF" w:val="clear"/>
            <w:vAlign w:val="center"/>
          </w:tcPr>
          <w:p>
            <w:pPr>
              <w:pStyle w:val="TableContents"/>
              <w:bidi w:val="0"/>
              <w:spacing w:before="0" w:after="283"/>
              <w:jc w:val="left"/>
              <w:rPr/>
            </w:pPr>
            <w:r>
              <w:rPr/>
              <w:t> </w:t>
            </w:r>
          </w:p>
        </w:tc>
      </w:tr>
      <w:tr>
        <w:trPr/>
        <w:tc>
          <w:tcPr>
            <w:tcW w:w="1243" w:type="dxa"/>
            <w:tcBorders/>
            <w:shd w:fill="FFFFFF" w:val="clear"/>
            <w:vAlign w:val="center"/>
          </w:tcPr>
          <w:p>
            <w:pPr>
              <w:pStyle w:val="TableContents"/>
              <w:bidi w:val="0"/>
              <w:spacing w:before="0" w:after="283"/>
              <w:jc w:val="left"/>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double" w:sz="6" w:space="0" w:color="000000"/>
            </w:tcBorders>
            <w:shd w:fill="FFFFFF" w:val="clear"/>
            <w:tcMar>
              <w:bottom w:w="28" w:type="dxa"/>
            </w:tcMar>
            <w:vAlign w:val="center"/>
          </w:tcPr>
          <w:p>
            <w:pPr>
              <w:pStyle w:val="TableContents"/>
              <w:bidi w:val="0"/>
              <w:spacing w:before="0" w:after="283"/>
              <w:jc w:val="right"/>
              <w:rPr/>
            </w:pPr>
            <w:r>
              <w:rPr/>
              <w:t>66.9</w:t>
            </w:r>
          </w:p>
        </w:tc>
        <w:tc>
          <w:tcPr>
            <w:tcW w:w="228"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double" w:sz="6" w:space="0" w:color="000000"/>
            </w:tcBorders>
            <w:shd w:fill="FFFFFF" w:val="clear"/>
            <w:tcMar>
              <w:bottom w:w="28" w:type="dxa"/>
            </w:tcMar>
            <w:vAlign w:val="center"/>
          </w:tcPr>
          <w:p>
            <w:pPr>
              <w:pStyle w:val="TableContents"/>
              <w:bidi w:val="0"/>
              <w:spacing w:before="0" w:after="283"/>
              <w:jc w:val="right"/>
              <w:rPr/>
            </w:pPr>
            <w:r>
              <w:rPr/>
              <w:t>65.9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bottom w:w="28" w:type="dxa"/>
            </w:tcMar>
            <w:vAlign w:val="center"/>
          </w:tcPr>
          <w:p>
            <w:pPr>
              <w:pStyle w:val="TableContents"/>
              <w:bidi w:val="0"/>
              <w:spacing w:before="0" w:after="283"/>
              <w:jc w:val="right"/>
              <w:rPr/>
            </w:pPr>
            <w:r>
              <w:rPr/>
              <w:t>67.1</w:t>
            </w:r>
          </w:p>
        </w:tc>
        <w:tc>
          <w:tcPr>
            <w:tcW w:w="221"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bottom w:w="28" w:type="dxa"/>
            </w:tcMar>
            <w:vAlign w:val="center"/>
          </w:tcPr>
          <w:p>
            <w:pPr>
              <w:pStyle w:val="TableContents"/>
              <w:bidi w:val="0"/>
              <w:spacing w:before="0" w:after="283"/>
              <w:jc w:val="right"/>
              <w:rPr/>
            </w:pPr>
            <w:r>
              <w:rPr/>
              <w:t>66.7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0.4</w:t>
            </w:r>
          </w:p>
        </w:tc>
        <w:tc>
          <w:tcPr>
            <w:tcW w:w="236" w:type="dxa"/>
            <w:tcBorders/>
            <w:shd w:fill="FFFF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FDA approved, proprietary compounded formulations and other non-proprietary pharmacy products and formulations.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3"/>
        <w:gridCol w:w="60"/>
        <w:gridCol w:w="144"/>
        <w:gridCol w:w="1134"/>
        <w:gridCol w:w="61"/>
        <w:gridCol w:w="61"/>
        <w:gridCol w:w="144"/>
        <w:gridCol w:w="1134"/>
        <w:gridCol w:w="60"/>
        <w:gridCol w:w="60"/>
        <w:gridCol w:w="140"/>
        <w:gridCol w:w="1100"/>
        <w:gridCol w:w="60"/>
        <w:gridCol w:w="60"/>
        <w:gridCol w:w="142"/>
        <w:gridCol w:w="1123"/>
        <w:gridCol w:w="61"/>
        <w:gridCol w:w="61"/>
        <w:gridCol w:w="142"/>
        <w:gridCol w:w="1123"/>
        <w:gridCol w:w="60"/>
        <w:gridCol w:w="60"/>
        <w:gridCol w:w="140"/>
        <w:gridCol w:w="1100"/>
        <w:gridCol w:w="82"/>
      </w:tblGrid>
      <w:tr>
        <w:trPr/>
        <w:tc>
          <w:tcPr>
            <w:tcW w:w="1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2" w:type="dxa"/>
            <w:gridSpan w:val="6"/>
            <w:tcBorders/>
            <w:vAlign w:val="center"/>
          </w:tcPr>
          <w:p>
            <w:pPr>
              <w:pStyle w:val="TableContents"/>
              <w:bidi w:val="0"/>
              <w:spacing w:before="0" w:after="283"/>
              <w:jc w:val="center"/>
              <w:rPr>
                <w:b/>
              </w:rPr>
            </w:pPr>
            <w:r>
              <w:rPr>
                <w:b/>
              </w:rPr>
              <w:t>For the Nine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1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w:t>
            </w:r>
          </w:p>
        </w:tc>
        <w:tc>
          <w:tcPr>
            <w:tcW w:w="82" w:type="dxa"/>
            <w:tcBorders/>
            <w:vAlign w:val="center"/>
          </w:tcPr>
          <w:p>
            <w:pPr>
              <w:pStyle w:val="TableContents"/>
              <w:bidi w:val="0"/>
              <w:spacing w:before="0" w:after="283"/>
              <w:jc w:val="left"/>
              <w:rPr/>
            </w:pPr>
            <w:r>
              <w:rPr/>
              <w:t> </w:t>
            </w:r>
          </w:p>
        </w:tc>
      </w:tr>
      <w:tr>
        <w:trPr/>
        <w:tc>
          <w:tcPr>
            <w:tcW w:w="1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82" w:type="dxa"/>
            <w:tcBorders/>
            <w:vAlign w:val="center"/>
          </w:tcPr>
          <w:p>
            <w:pPr>
              <w:pStyle w:val="TableContents"/>
              <w:bidi w:val="0"/>
              <w:spacing w:before="0" w:after="283"/>
              <w:jc w:val="left"/>
              <w:rPr/>
            </w:pPr>
            <w:r>
              <w:rPr/>
              <w:t> </w:t>
            </w:r>
          </w:p>
        </w:tc>
      </w:tr>
      <w:tr>
        <w:trPr/>
        <w:tc>
          <w:tcPr>
            <w:tcW w:w="1893" w:type="dxa"/>
            <w:tcBorders/>
            <w:shd w:fill="CCEEFF" w:val="clear"/>
            <w:vAlign w:val="center"/>
          </w:tcPr>
          <w:p>
            <w:pPr>
              <w:pStyle w:val="TableContents"/>
              <w:bidi w:val="0"/>
              <w:spacing w:before="0" w:after="283"/>
              <w:jc w:val="left"/>
              <w:rPr>
                <w:b/>
              </w:rPr>
            </w:pPr>
            <w:r>
              <w:rPr>
                <w:b/>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pPr>
            <w:r>
              <w:rPr/>
              <w:t>33,645,000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pPr>
            <w:r>
              <w:rPr/>
              <w:t>21,033,000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12,612,000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pPr>
            <w:r>
              <w:rPr/>
              <w:t>94,275,000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pPr>
            <w:r>
              <w:rPr/>
              <w:t>56,878,000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37,397,000</w:t>
            </w:r>
          </w:p>
        </w:tc>
        <w:tc>
          <w:tcPr>
            <w:tcW w:w="82"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selling, general and administrative expenses between periods was primarily attributable to an increase in expenses including regulatory enhancements, costs to support the transition of recent product acquisitions, and an increase in expenses related to the addition of new employees in sales, marketing and other departments to support current and expected growth, including the commercial launch of VEVYE in December 2023. Stock-based compensation expense increased by $1,227,000 during the nine months ended September 30, 2024 compared to the prior year period.</w:t>
      </w:r>
    </w:p>
    <w:p>
      <w:pPr>
        <w:pStyle w:val="TextBody"/>
        <w:shd w:fill="FFFFFF" w:val="clear"/>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Research and Development Expenses </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(“R&amp;D”) expenses primarily include personnel costs, including wages and stock-based compensation, expenses related to the development of intellectual property, investigator-initiated research and evaluations, formulation development, and other costs related to the clinical development of our assets.</w:t>
      </w:r>
    </w:p>
    <w:p>
      <w:pPr>
        <w:pStyle w:val="TextBody"/>
        <w:bidi w:val="0"/>
        <w:ind w:left="0" w:right="0" w:firstLine="720"/>
        <w:jc w:val="left"/>
        <w:rPr>
          <w:caps w:val="false"/>
          <w:smallCaps w:val="false"/>
        </w:rPr>
      </w:pPr>
      <w:r>
        <w:rPr>
          <w:caps w:val="false"/>
          <w:smallCaps w:val="false"/>
        </w:rPr>
        <w:t> </w:t>
      </w:r>
    </w:p>
    <w:tbl>
      <w:tblPr>
        <w:tblW w:w="9236" w:type="dxa"/>
        <w:jc w:val="left"/>
        <w:tblInd w:w="0" w:type="dxa"/>
        <w:tblLayout w:type="fixed"/>
        <w:tblCellMar>
          <w:top w:w="0" w:type="dxa"/>
          <w:left w:w="0" w:type="dxa"/>
          <w:bottom w:w="0" w:type="dxa"/>
          <w:right w:w="0" w:type="dxa"/>
        </w:tblCellMar>
      </w:tblPr>
      <w:tblGrid>
        <w:gridCol w:w="2300"/>
        <w:gridCol w:w="125"/>
        <w:gridCol w:w="1140"/>
        <w:gridCol w:w="168"/>
        <w:gridCol w:w="1140"/>
        <w:gridCol w:w="125"/>
        <w:gridCol w:w="800"/>
        <w:gridCol w:w="125"/>
        <w:gridCol w:w="1084"/>
        <w:gridCol w:w="160"/>
        <w:gridCol w:w="1084"/>
        <w:gridCol w:w="125"/>
        <w:gridCol w:w="860"/>
      </w:tblGrid>
      <w:tr>
        <w:trPr/>
        <w:tc>
          <w:tcPr>
            <w:tcW w:w="230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2448"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2328"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2448"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2328"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6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Variance</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Variance</w:t>
            </w:r>
          </w:p>
        </w:tc>
      </w:tr>
      <w:tr>
        <w:trPr/>
        <w:tc>
          <w:tcPr>
            <w:tcW w:w="2300" w:type="dxa"/>
            <w:tcBorders/>
            <w:shd w:fill="C1E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tc>
        <w:tc>
          <w:tcPr>
            <w:tcW w:w="125"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0"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2,273,000</w:t>
            </w:r>
          </w:p>
        </w:tc>
        <w:tc>
          <w:tcPr>
            <w:tcW w:w="168"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0"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1,421,000</w:t>
            </w:r>
          </w:p>
        </w:tc>
        <w:tc>
          <w:tcPr>
            <w:tcW w:w="125"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0"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852,000</w:t>
            </w:r>
          </w:p>
        </w:tc>
        <w:tc>
          <w:tcPr>
            <w:tcW w:w="125"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7,475,000</w:t>
            </w:r>
          </w:p>
        </w:tc>
        <w:tc>
          <w:tcPr>
            <w:tcW w:w="160"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3,316,000</w:t>
            </w:r>
          </w:p>
        </w:tc>
        <w:tc>
          <w:tcPr>
            <w:tcW w:w="125"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0" w:type="dxa"/>
            <w:tcBorders>
              <w:bottom w:val="double" w:sz="6" w:space="0" w:color="000000"/>
            </w:tcBorders>
            <w:shd w:fill="C1E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4,159,000</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R&amp;D expenses between periods was primarily attributable to activity related to our expanded branded product portfolio, technical transfer activities associated with the production of certain products related to our product acquisitions that occurred in 2023, product development efforts, product launches, and clinical and medical support.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Interest Expense, Net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was $5,525,000 and $16,411,000 for the three and nine months ended September 30, 2024, respectively, compared to $5,749,000 and $16,200,000 for the same periods in 2023, respectively. The decrease during the three months ended September 30, 2024 compared to the same period in 2023 was primarily the result of increased interest income earned. The increase during the nine months ended September 30, 2024 compared to the same period in 2023 was primarily the result from the increase in the outstanding principal amount of our debt obligations.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(Loss) Gain from Eton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we recorded a loss of $3,171,000 related to the change in fair market value of Eton’s common stock at the time of its sale, including trading expenses and commissions of approximately $436,000, compared to a gain of $1,348,000 and gain of $2,676,000 during the three and nine months ended September 30, 2023, respectively.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Debt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2023, we recorded a loss on extinguishment of debt of $5,465,000, related to the early payoff of a loan.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2024, we recorded other income of $4,000 and $76,000, respectively, related to a sublease of lab and office space in Nashville. During the three and nine months ended September 30, 2023, we recorded other expense, net of $195,000 and $344,000, respectively, related primarily to transition services and write-off of inventories associated with the divestment of our non-ophthalmology business.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on hand at September 30, 2024 was $72,601,000, compared to $74,085,000 at December 31, 2023.</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we made a one-time payment of $37,000,000 upon the achievement of a milestone associated with one of our asset purchase agreements which was funded, in part, from our availability under the delayed draw commitments of our Oaktree debt facility.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we believe that our cash and cash equivalents will be sufficient to sustain our planned level of operations and capital expenditures for at least the next 12 months. In addition, we may consider the sale of certain assets including, but not limited to, part of, or all of, our investments in Surface Ophthalmics, Inc. (“Surface”) and Melt Pharmaceuticals, Inc. (“Melt”) and any of our consolidated subsidiaries. However, we may pursue acquisitions of revenue generating products or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Flow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detailed information about our net cash flows:</w:t>
      </w:r>
    </w:p>
    <w:p>
      <w:pPr>
        <w:pStyle w:val="TextBody"/>
        <w:bidi w:val="0"/>
        <w:ind w:left="0" w:right="0" w:firstLine="720"/>
        <w:jc w:val="both"/>
        <w:rPr>
          <w:caps w:val="false"/>
          <w:smallCaps w:val="false"/>
        </w:rPr>
      </w:pPr>
      <w:r>
        <w:rPr>
          <w:caps w:val="false"/>
          <w:smallCaps w:val="false"/>
        </w:rPr>
        <w:t> </w:t>
      </w:r>
    </w:p>
    <w:tbl>
      <w:tblPr>
        <w:tblW w:w="9582" w:type="dxa"/>
        <w:jc w:val="left"/>
        <w:tblInd w:w="0" w:type="dxa"/>
        <w:tblLayout w:type="fixed"/>
        <w:tblCellMar>
          <w:top w:w="0" w:type="dxa"/>
          <w:left w:w="0" w:type="dxa"/>
          <w:bottom w:w="0" w:type="dxa"/>
          <w:right w:w="0" w:type="dxa"/>
        </w:tblCellMar>
      </w:tblPr>
      <w:tblGrid>
        <w:gridCol w:w="5015"/>
        <w:gridCol w:w="60"/>
        <w:gridCol w:w="217"/>
        <w:gridCol w:w="1710"/>
        <w:gridCol w:w="147"/>
        <w:gridCol w:w="93"/>
        <w:gridCol w:w="217"/>
        <w:gridCol w:w="2013"/>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Nine Months Ended September 30,</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2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cash (used in) provided by: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710" w:type="dxa"/>
            <w:tcBorders/>
            <w:shd w:fill="FFFFFF" w:val="clear"/>
            <w:vAlign w:val="center"/>
          </w:tcPr>
          <w:p>
            <w:pPr>
              <w:pStyle w:val="TableContents"/>
              <w:bidi w:val="0"/>
              <w:spacing w:before="0" w:after="283"/>
              <w:jc w:val="right"/>
              <w:rPr/>
            </w:pPr>
            <w:r>
              <w:rPr/>
              <w:t>(4,423,000</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2013" w:type="dxa"/>
            <w:tcBorders/>
            <w:shd w:fill="FFFFFF" w:val="clear"/>
            <w:vAlign w:val="center"/>
          </w:tcPr>
          <w:p>
            <w:pPr>
              <w:pStyle w:val="TableContents"/>
              <w:bidi w:val="0"/>
              <w:spacing w:before="0" w:after="283"/>
              <w:jc w:val="right"/>
              <w:rPr/>
            </w:pPr>
            <w:r>
              <w:rPr/>
              <w:t>(4,856,000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4,396,000</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right"/>
              <w:rPr/>
            </w:pPr>
            <w:r>
              <w:rPr/>
              <w:t>(152,350,000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(1,457,000</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13" w:type="dxa"/>
            <w:tcBorders>
              <w:bottom w:val="single" w:sz="8" w:space="0" w:color="000000"/>
            </w:tcBorders>
            <w:shd w:fill="FFFFFF" w:val="clear"/>
            <w:tcMar>
              <w:bottom w:w="28" w:type="dxa"/>
            </w:tcMar>
            <w:vAlign w:val="center"/>
          </w:tcPr>
          <w:p>
            <w:pPr>
              <w:pStyle w:val="TableContents"/>
              <w:bidi w:val="0"/>
              <w:spacing w:before="0" w:after="283"/>
              <w:jc w:val="right"/>
              <w:rPr/>
            </w:pPr>
            <w:r>
              <w:rPr/>
              <w:t>126,546,000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(1,484,000</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right"/>
              <w:rPr/>
            </w:pPr>
            <w:r>
              <w:rPr/>
              <w:t>(30,660,000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74,085,000</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13" w:type="dxa"/>
            <w:tcBorders>
              <w:bottom w:val="single" w:sz="8" w:space="0" w:color="000000"/>
            </w:tcBorders>
            <w:shd w:fill="FFFFFF" w:val="clear"/>
            <w:tcMar>
              <w:bottom w:w="28" w:type="dxa"/>
            </w:tcMar>
            <w:vAlign w:val="center"/>
          </w:tcPr>
          <w:p>
            <w:pPr>
              <w:pStyle w:val="TableContents"/>
              <w:bidi w:val="0"/>
              <w:spacing w:before="0" w:after="283"/>
              <w:jc w:val="right"/>
              <w:rPr/>
            </w:pPr>
            <w:r>
              <w:rPr/>
              <w:t>96,270,000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pPr>
            <w:r>
              <w:rPr/>
              <w:t>72,601,000</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13" w:type="dxa"/>
            <w:tcBorders>
              <w:bottom w:val="double" w:sz="6" w:space="0" w:color="000000"/>
            </w:tcBorders>
            <w:shd w:fill="CCEEFF" w:val="clear"/>
            <w:tcMar>
              <w:bottom w:w="28" w:type="dxa"/>
            </w:tcMar>
            <w:vAlign w:val="center"/>
          </w:tcPr>
          <w:p>
            <w:pPr>
              <w:pStyle w:val="TableContents"/>
              <w:bidi w:val="0"/>
              <w:spacing w:before="0" w:after="283"/>
              <w:jc w:val="right"/>
              <w:rPr/>
            </w:pPr>
            <w:r>
              <w:rPr/>
              <w:t>65,610,000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nine months ended September 30, 2024 was $(4,423,000) compared to $(4,856,000) during the same period in the prior year. The decrease in net cash used in operating activities between the periods was mainly attributed to changes in our working capital balances including accounts receivable, accounts payable, prepaid expenses and inventories.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 during the nine months ended September 30, 2024 was $4,396,000 compared to $(152,350,000) during the same period in the prior year. Cash used in investing activities in 2023 was primarily related to the acquisition of branded products completed in 2023. Cash provided by investing activities in 2024 was primarily related to the sale of our investment in Eton.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financing activities during the nine months ended September 30, 2024 and 2023 was $(1,457,000) and $126,546,000, respectively. Cash used in financing activities during the nine months ended September 30, 2024 was primarily related to payment of payroll taxes upon vesting of RSUs in exchange for shares withheld from employees. Cash provided by financing activities during the nine months ended September 30, 2023 was primarily related to proceeds received from the sale of notes and common stock in our 2023 capital markets transactions and entering into loan arrangements, offset by repayment of the B. Riley senior secured note and payment of payroll taxes upon vesting and exercise of equity instruments in exchange for shares withheld from employees.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Capital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sources of cash have consisted of sales of our common stock, debt issuances, sales of our investments, and on an annual basis (e.g. for the year ended December 31, 2023) cash generated from operating activities. We may also sell some or all of our ownership interests in Surface, Melt or our other subsidiaries.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new products, product candidates and/or businesses and, as a result, we may need significant additional capital to support our business plan and fund our proposed business operations. We may receive additional proceeds from the exercise of stock options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Pronouncements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unaudited condensed consolidated financial statements included in this Quarterly Report.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37" w:name="a_002"/>
      <w:bookmarkEnd w:id="1037"/>
      <w:r>
        <w:rPr>
          <w:rFonts w:ascii="Times New Roman;Times;Serif" w:hAnsi="Times New Roman;Times;Serif"/>
          <w:b/>
          <w:i w:val="false"/>
          <w:caps w:val="false"/>
          <w:smallCaps w:val="false"/>
          <w:sz w:val="20"/>
        </w:rPr>
        <w:t>Item 3. Quantitative and Qualitative Disclosures About Market Risk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38" w:name="a_003"/>
      <w:bookmarkEnd w:id="1038"/>
      <w:r>
        <w:rPr>
          <w:rFonts w:ascii="Times New Roman;Times;Serif" w:hAnsi="Times New Roman;Times;Serif"/>
          <w:b/>
          <w:i w:val="false"/>
          <w:caps w:val="false"/>
          <w:smallCaps w:val="false"/>
          <w:sz w:val="20"/>
        </w:rPr>
        <w:t>Item 4. Controls and Procedures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Evaluation of Disclosure Controls and Procedures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September 30, 2024. Based on this evaluation, our principal executive officer and principal financial officer have concluded that our disclosure controls and procedures were effective to achieve their stated purpose as of September 30, 2024, the end of the period covered by this Quarterly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Internal Control over Financial Reporting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change in our internal control over financial reporting (as defined in Rule 13a-15(f) under the Exchange Act) during the quarter ended September 30, 2024, that has materially affected, or is reasonably likely to materially affect, our internal control over financial reporting.</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sz w:val="20"/>
        </w:rPr>
      </w:pPr>
      <w:r>
        <w:rPr>
          <w:rFonts w:ascii="Times New Roman;Times;Serif" w:hAnsi="Times New Roman;Times;Serif"/>
          <w:b/>
          <w:sz w:val="20"/>
        </w:rPr>
      </w:r>
    </w:p>
    <w:p>
      <w:pPr>
        <w:pStyle w:val="TextBody"/>
        <w:bidi w:val="0"/>
        <w:jc w:val="center"/>
        <w:rPr>
          <w:rFonts w:ascii="Times New Roman;Times;Serif" w:hAnsi="Times New Roman;Times;Serif"/>
          <w:b/>
          <w:i w:val="false"/>
          <w:caps w:val="false"/>
          <w:smallCaps w:val="false"/>
          <w:sz w:val="20"/>
        </w:rPr>
      </w:pPr>
      <w:bookmarkStart w:id="1039" w:name="a_004"/>
      <w:bookmarkEnd w:id="1039"/>
      <w:r>
        <w:rPr>
          <w:rFonts w:ascii="Times New Roman;Times;Serif" w:hAnsi="Times New Roman;Times;Serif"/>
          <w:b/>
          <w:i w:val="false"/>
          <w:caps w:val="false"/>
          <w:smallCaps w:val="false"/>
          <w:sz w:val="20"/>
        </w:rPr>
        <w:t>PART 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40" w:name="a_005"/>
      <w:bookmarkEnd w:id="1040"/>
      <w:r>
        <w:rPr>
          <w:rFonts w:ascii="Times New Roman;Times;Serif" w:hAnsi="Times New Roman;Times;Serif"/>
          <w:b/>
          <w:i w:val="false"/>
          <w:caps w:val="false"/>
          <w:smallCaps w:val="false"/>
          <w:sz w:val="20"/>
        </w:rPr>
        <w:t xml:space="preserve">Item 1. Legal Proceedings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14 to our unaudited condensed consolidated financial statements included in this Quarterly Report for information on various legal proceedings, which is incorporated into this Item by reference.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41" w:name="a_006"/>
      <w:bookmarkEnd w:id="1041"/>
      <w:r>
        <w:rPr>
          <w:rFonts w:ascii="Times New Roman;Times;Serif" w:hAnsi="Times New Roman;Times;Serif"/>
          <w:b/>
          <w:i w:val="false"/>
          <w:caps w:val="false"/>
          <w:smallCaps w:val="false"/>
          <w:sz w:val="20"/>
        </w:rPr>
        <w:t>Item 1A. Risk Factors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contained in this Quarterly Report you should consider the risk factors below which have been updated based on recent events as well as the other risk factors and information in our Annual Report on Form 10-K for the year ended December 31, 2023,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 Additional risks and uncertainties not presently known to us or that we currently deem immaterial also may impair our business operations.</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rFonts w:ascii="Times New Roman;Times;Serif" w:hAnsi="Times New Roman;Times;Serif"/>
          <w:b/>
          <w:i/>
          <w:caps w:val="false"/>
          <w:smallCaps w:val="false"/>
          <w:color w:val="212529"/>
          <w:sz w:val="20"/>
        </w:rPr>
      </w:pPr>
      <w:r>
        <w:rPr>
          <w:rFonts w:ascii="Times New Roman;Times;Serif" w:hAnsi="Times New Roman;Times;Serif"/>
          <w:b/>
          <w:i/>
          <w:caps w:val="false"/>
          <w:smallCaps w:val="false"/>
          <w:color w:val="212529"/>
          <w:sz w:val="20"/>
        </w:rPr>
        <w:t>Our business and operations could suffer in the event of cybersecurity or other system failures.</w:t>
      </w:r>
    </w:p>
    <w:p>
      <w:pPr>
        <w:pStyle w:val="TextBody"/>
        <w:shd w:fill="FFFFFF" w:val="clear"/>
        <w:bidi w:val="0"/>
        <w:jc w:val="both"/>
        <w:rPr>
          <w:caps w:val="false"/>
          <w:smallCaps w:val="false"/>
          <w:color w:val="212529"/>
        </w:rPr>
      </w:pPr>
      <w:r>
        <w:rPr>
          <w:caps w:val="false"/>
          <w:smallCaps w:val="false"/>
          <w:color w:val="212529"/>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that has been determined to have had a material impact, if a significant event were to occur, it could result in a material disruption of our operations, substantial costs to rectify or correct the failure, if possible, and potentially violation of HIPAA and other privacy laws applicable to our operations. For example, the California Consumer Privacy Act (the “CCPA”) became effective on January 1, 2020 and gave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clinical trials data, and HIPAA-protected health information, the law may increase our compliance costs and potential liability with respect to other personal information we collect about California residents. The CCPA has prompted a number of proposals for new federal and state privacy legislation. Other countries also have, or are developing, laws governing the collection, use and transmission of personal information, such as the General Data Protection Regulation (“GDPR”) in the European Union (the “EU”) that became effective in May 2018 and the Personal Information Protection and Electronic Documents Act that became effective in Canada in April 2000. We anticipate that over time we may expand our business outside of the United States. With such expansion, we would be subject to increased governmental regulation in the EU countries in which we might operate, including the GDPR. These laws and similar laws adopted in the future could increase our potential liability, increase our compliance costs and adversely affect our business.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pStyle w:val="TextBody"/>
        <w:shd w:fill="FFFFFF" w:val="clear"/>
        <w:bidi w:val="0"/>
        <w:jc w:val="both"/>
        <w:rPr>
          <w:caps w:val="false"/>
          <w:smallCaps w:val="false"/>
          <w:color w:val="212529"/>
        </w:rPr>
      </w:pPr>
      <w:r>
        <w:rPr>
          <w:caps w:val="false"/>
          <w:smallCaps w:val="false"/>
          <w:color w:val="212529"/>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breakdown of our information technology systems, or a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pStyle w:val="TextBody"/>
        <w:shd w:fill="FFFFFF" w:val="clear"/>
        <w:bidi w:val="0"/>
        <w:ind w:left="0" w:right="0" w:firstLine="360"/>
        <w:jc w:val="both"/>
        <w:rPr>
          <w:caps w:val="false"/>
          <w:smallCaps w:val="false"/>
          <w:color w:val="212529"/>
        </w:rPr>
      </w:pPr>
      <w:r>
        <w:rPr>
          <w:caps w:val="false"/>
          <w:smallCaps w:val="false"/>
          <w:color w:val="212529"/>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our business objectives, we rely on sophisticated information technology systems, including hardware, software, technology infrastructure, online sites and networks for both internal and external operations, mobile applications, cloud services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pStyle w:val="TextBody"/>
        <w:shd w:fill="FFFFFF" w:val="clear"/>
        <w:bidi w:val="0"/>
        <w:ind w:left="0" w:right="0" w:firstLine="446"/>
        <w:jc w:val="both"/>
        <w:rPr>
          <w:caps w:val="false"/>
          <w:smallCaps w:val="false"/>
          <w:color w:val="212529"/>
        </w:rPr>
      </w:pPr>
      <w:r>
        <w:rPr>
          <w:caps w:val="false"/>
          <w:smallCaps w:val="false"/>
          <w:color w:val="212529"/>
        </w:rPr>
        <w:t> </w:t>
      </w:r>
    </w:p>
    <w:p>
      <w:pPr>
        <w:pStyle w:val="TextBody"/>
        <w:shd w:fill="FFFFFF" w:val="clear"/>
        <w:bidi w:val="0"/>
        <w:ind w:left="0" w:right="0" w:firstLine="72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Our information technology systems are highly integrated into our business, including our customer service infrastructure, R&amp;D efforts, clinical and commercial manufacturing processes and product sales and distribution processes. Further, as the large part of our employees work remotely for some portion of their jobs, our reliance on our third-party information technology systems has increased substantially and is expected to continue to increase. Remote and hybrid working arrangements can increase cybersecurity risks due to the challenges associated with managing remote computing assets and security vulnerabilities that are present in many non-corporate and home networks. The complexity and interconnected nature of software, hardware and our systems make them vulnerable to breakdown or other service interruptions, and to software errors or defects, misconfiguration and other security vulnerabilities. Upgrades or changes to our systems or the software that we use have resulted and we expect, in the future, will result in the introduction of new cybersecurity vulnerabilities and risks. Our systems are also subject to frequent perimeter network reconnaissance and scanning, phishing and other cyberattacks. As the cyber-threat landscape evolves, these attacks are growing in frequency, sophistication, and intensity, and are becoming increasingly difficult to detect and increasingly sophisticated in using techniques and tools—including artificial intelligence—that circumvent security controls, evade detection and remove forensic evidence. Such attacks could include the use of harmful and virulent malware, including ransomware or other denials of service, which can be deployed through various means, including the software supply chain, e-mail, malicious websites and/or the use of social engineering/phishing.</w:t>
      </w:r>
    </w:p>
    <w:p>
      <w:pPr>
        <w:pStyle w:val="TextBody"/>
        <w:shd w:fill="FFFFFF" w:val="clear"/>
        <w:bidi w:val="0"/>
        <w:ind w:left="0" w:right="0" w:firstLine="446"/>
        <w:jc w:val="both"/>
        <w:rPr>
          <w:caps w:val="false"/>
          <w:smallCaps w:val="false"/>
          <w:color w:val="212529"/>
        </w:rPr>
      </w:pPr>
      <w:r>
        <w:rPr>
          <w:caps w:val="false"/>
          <w:smallCaps w:val="false"/>
          <w:color w:val="212529"/>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We have experienced attacks against our network, although none that have had a material adverse impact to our business. Recently, in November 2024, we became aware of a cybersecurity incident that involved unauthorized access of</w:t>
      </w:r>
      <w:r>
        <w:rPr>
          <w:rFonts w:ascii="Times New Roman;Times;Serif" w:hAnsi="Times New Roman;Times;Serif"/>
          <w:b w:val="false"/>
          <w:i w:val="false"/>
          <w:caps w:val="false"/>
          <w:smallCaps w:val="false"/>
          <w:sz w:val="20"/>
        </w:rPr>
        <w:t xml:space="preserve"> an employee’s email account. Through this unauthorized access the threat actor was able to fraudulently divert Company funds to its bank account. We detected the incident in a time that management believes minimized the financial, operational or reputational risk to the Company, and at no point was our ability to generate revenues disrupted. However, we, along with our external cybersecurity experts, are continuing to work diligently to fully investigate and assess the impact of the incident and have notified, and are cooperating with, federal law enforcement. As the investigation of the incident is ongoing, the full scope, nature and impact of the incident are not yet fully known.</w:t>
      </w:r>
    </w:p>
    <w:p>
      <w:pPr>
        <w:pStyle w:val="TextBody"/>
        <w:shd w:fill="FFFFFF" w:val="clear"/>
        <w:bidi w:val="0"/>
        <w:jc w:val="center"/>
        <w:rPr>
          <w:caps w:val="false"/>
          <w:smallCaps w:val="false"/>
          <w:color w:val="212529"/>
        </w:rPr>
      </w:pPr>
      <w:r>
        <w:rPr>
          <w:caps w:val="false"/>
          <w:smallCaps w:val="false"/>
          <w:color w:val="212529"/>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shd w:fill="FFFFFF" w:val="clear"/>
        <w:bidi w:val="0"/>
        <w:jc w:val="center"/>
        <w:rPr>
          <w:caps w:val="false"/>
          <w:smallCaps w:val="false"/>
          <w:color w:val="212529"/>
        </w:rPr>
      </w:pPr>
      <w:r>
        <w:rPr>
          <w:caps w:val="false"/>
          <w:smallCaps w:val="false"/>
          <w:color w:val="212529"/>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There can be no assurance that our efforts to guard against the wide and growing variety of potential attack techniques will be successful. Attacks such as those experienced by government entities (including those that approve and/or regulate our products)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were negatively affected. In late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In 2022, Okta, Inc., a provider of software that helps companies manage user authentication, disclosed that several hundred of its corporate customers were vulnerable to a security breach that allowed attackers to access Okta’s internal network. Although this breach did not have a significant effect on our business, there can be no assurance that a similar future breach would not result in a material adverse effect on our business or results of operations</w:t>
      </w:r>
      <w:r>
        <w:rPr>
          <w:rFonts w:ascii="Times New Roman;Times;Serif" w:hAnsi="Times New Roman;Times;Serif"/>
          <w:b w:val="false"/>
          <w:i w:val="false"/>
          <w:caps w:val="false"/>
          <w:smallCaps w:val="false"/>
          <w:sz w:val="20"/>
        </w:rPr>
        <w:t>.</w:t>
      </w:r>
    </w:p>
    <w:p>
      <w:pPr>
        <w:pStyle w:val="TextBody"/>
        <w:shd w:fill="FFFFFF" w:val="clear"/>
        <w:bidi w:val="0"/>
        <w:ind w:left="0" w:right="0" w:firstLine="720"/>
        <w:jc w:val="both"/>
        <w:rPr>
          <w:caps w:val="false"/>
          <w:smallCaps w:val="false"/>
          <w:color w:val="212529"/>
        </w:rPr>
      </w:pPr>
      <w:r>
        <w:rPr>
          <w:caps w:val="false"/>
          <w:smallCaps w:val="false"/>
          <w:color w:val="212529"/>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systems contain and use a high volume of sensitive data, including intellectual property, trade secrets and other proprietary business information, financial information, regulatory information, strategic plans, sales trends and forecasts, litigation materials and/or personal identifiable information belonging to us, our staff, our patients, customers and/or other parties. In some cases, we utilize third-party service providers to collect, process, store, manage or transmit such data, which have increased our risk. Intentional or inadvertent data privacy or security breaches (including cyberattacks) resulting from attacks or lapses by employees, service providers (including providers of information technology-specific services), business partners, nation states (including groups associated with or supported by foreign intelligence agencies), organized crime organizations, “hacktivists” or others, create risks that our sensitive data may be exposed to unauthorized persons, our competitors or the public. System vulnerabilities and/or cybersecurity breaches experienced by our third-party service providers constitute a substantial share of the information security risks to our business. There can be no assurance that a cybersecurity incident would not result in a material adverse effect on our business or results of operations. Further, the timeliness of our awareness of a cybersecurity incident affects our ability to respond to and work to mitigate the severity of such events.</w:t>
      </w:r>
    </w:p>
    <w:p>
      <w:pPr>
        <w:pStyle w:val="TextBody"/>
        <w:shd w:fill="FFFFFF" w:val="clear"/>
        <w:bidi w:val="0"/>
        <w:ind w:left="0" w:right="0" w:firstLine="446"/>
        <w:jc w:val="both"/>
        <w:rPr>
          <w:caps w:val="false"/>
          <w:smallCaps w:val="false"/>
          <w:color w:val="212529"/>
        </w:rPr>
      </w:pPr>
      <w:r>
        <w:rPr>
          <w:caps w:val="false"/>
          <w:smallCaps w:val="false"/>
          <w:color w:val="212529"/>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Cyberattackers are also increasingly exploiting vulnerabilities in commercially available software from shared or open-source code. We rely on third party commercial software that have had and may have such vulnerabilities, but as use of open-source code is frequently not disclosed, our ability to fully assess this risk to our systems is limited. There can be no assurances that a vulnerability in the software and services that we use would not result in a material adverse effect on our business or results of operations.</w:t>
      </w:r>
    </w:p>
    <w:p>
      <w:pPr>
        <w:pStyle w:val="TextBody"/>
        <w:shd w:fill="FFFFFF" w:val="clear"/>
        <w:bidi w:val="0"/>
        <w:ind w:left="0" w:right="0" w:firstLine="446"/>
        <w:jc w:val="both"/>
        <w:rPr>
          <w:caps w:val="false"/>
          <w:smallCaps w:val="false"/>
          <w:color w:val="212529"/>
        </w:rPr>
      </w:pPr>
      <w:r>
        <w:rPr>
          <w:caps w:val="false"/>
          <w:smallCaps w:val="false"/>
          <w:color w:val="212529"/>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and global government regulators, our business partners, suppliers with whom we do business, companies that provide us or our partners with business services and companies we have acquired or may acquire face similar risks. Security breaches of their systems or service outages have adversely affected systems and could, in the future, affect our systems and security, leave us without access to important systems, products, raw materials, components, services or information, or expose our confidential data or sensitive personal information. An extended service outage affecting these or other vendors, particularly where such vendor is the single source from which we obtain the services, could have a material adverse effect on our business or results of operations. For example, in February 2024, UnitedHealth Group announced that a suspected nation-state associated cyber security threat actor had gained access to some of the Change Healthcare (“Change”) information technology systems. Change is the largest clearinghouse for medical claims in the U.S. While Harrow was not directly impacted by this cybersecurity incident, it was reported that as a reaction to the cybersecurity incident, Change temporarily disconnected over 100 related payment systems and Change was unable to process medical claims through its primary platforms. This resulted in the delays to the revenue and cash collection cycle for several ASCs and physician offices, putting a strain on their cash resources. While temporary, the cash constraints for these ASCs and physician offices, we believe, impacted sales of some of our products, such as IHEEZO, during this disrupted period of time. In addition, we distribute our products in the United States primarily through three pharmaceutical wholesalers, and a security breach that impairs the distribution operations of our wholesalers could significantly impair our ability to deliver our products to healthcare providers and patients. There can be no assurance that our cybersecurity risk management program and processes, including our policies, controls, or procedures, will be effective in protecting our information technology systems and sensitive data.</w:t>
      </w:r>
    </w:p>
    <w:p>
      <w:pPr>
        <w:pStyle w:val="TextBody"/>
        <w:shd w:fill="FFFFFF" w:val="clear"/>
        <w:bidi w:val="0"/>
        <w:ind w:left="0" w:right="0" w:firstLine="446"/>
        <w:jc w:val="both"/>
        <w:rPr>
          <w:caps w:val="false"/>
          <w:smallCaps w:val="false"/>
          <w:color w:val="212529"/>
        </w:rPr>
      </w:pPr>
      <w:r>
        <w:rPr>
          <w:caps w:val="false"/>
          <w:smallCaps w:val="false"/>
          <w:color w:val="212529"/>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experience varying degrees of cyberattacks and other incidents in the future. Even though we continue to invest in the monitoring, protection and resilience of our critical and/or sensitive data and systems, there can be no assurances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pStyle w:val="TextBody"/>
        <w:shd w:fill="FFFFFF" w:val="clear"/>
        <w:bidi w:val="0"/>
        <w:ind w:left="0" w:right="0" w:firstLine="720"/>
        <w:jc w:val="both"/>
        <w:rPr>
          <w:caps w:val="false"/>
          <w:smallCaps w:val="false"/>
          <w:color w:val="212529"/>
        </w:rPr>
      </w:pPr>
      <w:r>
        <w:rPr>
          <w:caps w:val="false"/>
          <w:smallCaps w:val="false"/>
          <w:color w:val="212529"/>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also subject to various laws and regulations globally regarding privacy and data protection, including laws and regulations relating to the collection, storage, handling, use, disclosure, transfer and security of personal data. The legislative and regulatory environment regarding privacy and data protection is continuously evolving and developing and the subject of significant attention globally. For example, we are subject to the CCPA, which became effective in January 2020, which can result in substantial penalties for noncompliance. The CCPA was amended in late 2020, to create the California Privacy Rights Act to create opt in requirements for the use of sensitive personal data and the formation of a new dedicated agency for the enforcement of the law, the California Privacy Protection Agency. Similar consumer privacy laws went into effect in Virginia, Colorado, Utah, Connecticut and Florida in 2023. Consumer privacy laws were also passed in 11 other states, with the earliest effective dates later this year, and proposed in three additional states. Failure to comply with these current and future laws could result in significant penalties and reputational harm and could have a material adverse effect on our business and results of operations.</w:t>
      </w:r>
    </w:p>
    <w:p>
      <w:pPr>
        <w:pStyle w:val="TextBody"/>
        <w:shd w:fill="FFFFFF" w:val="clear"/>
        <w:bidi w:val="0"/>
        <w:ind w:left="0" w:right="0" w:firstLine="720"/>
        <w:jc w:val="both"/>
        <w:rPr>
          <w:caps w:val="false"/>
          <w:smallCaps w:val="false"/>
          <w:color w:val="212529"/>
        </w:rPr>
      </w:pPr>
      <w:r>
        <w:rPr>
          <w:caps w:val="false"/>
          <w:smallCaps w:val="false"/>
          <w:color w:val="212529"/>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shd w:fill="FFFFFF" w:val="clear"/>
        <w:bidi w:val="0"/>
        <w:ind w:left="0" w:right="0" w:firstLine="720"/>
        <w:jc w:val="both"/>
        <w:rPr>
          <w:caps w:val="false"/>
          <w:smallCaps w:val="false"/>
          <w:color w:val="212529"/>
        </w:rPr>
      </w:pPr>
      <w:r>
        <w:rPr>
          <w:caps w:val="false"/>
          <w:smallCaps w:val="false"/>
          <w:color w:val="212529"/>
        </w:rPr>
        <w:t> </w:t>
      </w:r>
    </w:p>
    <w:p>
      <w:pPr>
        <w:pStyle w:val="TextBody"/>
        <w:bidi w:val="0"/>
        <w:ind w:left="0" w:right="0" w:firstLine="720"/>
        <w:jc w:val="both"/>
        <w:rPr>
          <w:rFonts w:ascii="Times New Roman;Times;Serif" w:hAnsi="Times New Roman;Times;Serif"/>
          <w:b/>
          <w:i w:val="false"/>
          <w:caps w:val="false"/>
          <w:smallCaps w:val="false"/>
          <w:sz w:val="20"/>
        </w:rPr>
      </w:pPr>
      <w:bookmarkStart w:id="1042" w:name="a_007"/>
      <w:bookmarkEnd w:id="1042"/>
      <w:r>
        <w:rPr>
          <w:rFonts w:ascii="Times New Roman;Times;Serif" w:hAnsi="Times New Roman;Times;Serif"/>
          <w:b/>
          <w:i w:val="false"/>
          <w:caps w:val="false"/>
          <w:smallCaps w:val="false"/>
          <w:sz w:val="20"/>
        </w:rPr>
        <w:t>Item 2. Unregistered Sales of Equity Securities and Use of Proceeds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43" w:name="a_008"/>
      <w:bookmarkEnd w:id="1043"/>
      <w:r>
        <w:rPr>
          <w:rFonts w:ascii="Times New Roman;Times;Serif" w:hAnsi="Times New Roman;Times;Serif"/>
          <w:b/>
          <w:i w:val="false"/>
          <w:caps w:val="false"/>
          <w:smallCaps w:val="false"/>
          <w:sz w:val="20"/>
        </w:rPr>
        <w:t>Item 3. Defaults Upon Senior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44" w:name="a_009"/>
      <w:bookmarkEnd w:id="1044"/>
      <w:r>
        <w:rPr>
          <w:rFonts w:ascii="Times New Roman;Times;Serif" w:hAnsi="Times New Roman;Times;Serif"/>
          <w:b/>
          <w:i w:val="false"/>
          <w:caps w:val="false"/>
          <w:smallCaps w:val="false"/>
          <w:sz w:val="20"/>
        </w:rPr>
        <w:t>Item 4. Mine Safety Disclosures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45" w:name="a_010"/>
      <w:bookmarkEnd w:id="1045"/>
      <w:r>
        <w:rPr>
          <w:rFonts w:ascii="Times New Roman;Times;Serif" w:hAnsi="Times New Roman;Times;Serif"/>
          <w:b/>
          <w:i w:val="false"/>
          <w:caps w:val="false"/>
          <w:smallCaps w:val="false"/>
          <w:sz w:val="20"/>
        </w:rPr>
        <w:t>Item 5. Other Information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046" w:name="a_011"/>
      <w:bookmarkEnd w:id="1046"/>
      <w:r>
        <w:rPr>
          <w:rFonts w:ascii="Times New Roman;Times;Serif" w:hAnsi="Times New Roman;Times;Serif"/>
          <w:b/>
          <w:i w:val="false"/>
          <w:caps w:val="false"/>
          <w:smallCaps w:val="false"/>
          <w:sz w:val="20"/>
        </w:rPr>
        <w:t>Item 6. Exhibits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4"/>
        <w:gridCol w:w="60"/>
        <w:gridCol w:w="9341"/>
      </w:tblGrid>
      <w:tr>
        <w:trPr/>
        <w:tc>
          <w:tcPr>
            <w:tcW w:w="804" w:type="dxa"/>
            <w:tcBorders>
              <w:bottom w:val="single" w:sz="8" w:space="0" w:color="000000"/>
            </w:tcBorders>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bottom w:val="single" w:sz="8" w:space="0" w:color="000000"/>
            </w:tcBorders>
            <w:vAlign w:val="center"/>
          </w:tcPr>
          <w:p>
            <w:pPr>
              <w:pStyle w:val="TableContents"/>
              <w:bidi w:val="0"/>
              <w:ind w:left="0" w:right="0" w:firstLine="72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Second Amendment dated October 25, 2024 to the Credit Agreement and Guaranty dated March 27, 2023 between the Company and Oaktree Fund Administration, LLC.</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Mark L. Baum, principal executive officer, pursuant to Rule 13a-14(a) or 15d-14(a) of the Securities and Exchange Act of 1934, as adopted pursuant to Section 302 of the Sarbanes-Oxley Act of 2002.</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Andrew R. Boll, principal financial and accounting officer, pursuant to Rule 13a-14(a) or 15d-14(a) of the Securities and Exchange Act of 1934, as adopted pursuant to Section 302 of the Sarbanes-Oxley Act of 2002.</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executed by Mark L. Baum, principal executive officer, and Andrew R. Boll, principal financial and accounting officer.</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Company’s Quarterly Report on Form 10-Q for the quarter ended September 30, 2024, has been formatted in Inline XBRL.</w:t>
            </w:r>
          </w:p>
        </w:tc>
      </w:tr>
    </w:tbl>
    <w:p>
      <w:pPr>
        <w:pStyle w:val="TextBody"/>
        <w:bidi w:val="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47" w:name="a_012"/>
      <w:bookmarkEnd w:id="1047"/>
      <w:r>
        <w:rPr>
          <w:rFonts w:ascii="Times New Roman;Times;Serif" w:hAnsi="Times New Roman;Times;Serif"/>
          <w:b/>
          <w:i w:val="false"/>
          <w:caps w:val="false"/>
          <w:smallCaps w:val="false"/>
          <w:sz w:val="20"/>
        </w:rPr>
        <w:t>SIGNATURES</w:t>
      </w:r>
    </w:p>
    <w:p>
      <w:pPr>
        <w:pStyle w:val="TextBody"/>
        <w:bidi w:val="0"/>
        <w:ind w:left="0" w:right="0" w:firstLine="72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ind w:left="0" w:right="0" w:firstLine="720"/>
        <w:jc w:val="both"/>
        <w:rPr>
          <w:caps w:val="false"/>
          <w:smallCaps w:val="false"/>
        </w:rPr>
      </w:pPr>
      <w:r>
        <w:rPr>
          <w:caps w:val="false"/>
          <w:smallCaps w:val="false"/>
        </w:rPr>
        <w:t> </w:t>
      </w:r>
    </w:p>
    <w:tbl>
      <w:tblPr>
        <w:tblW w:w="8100" w:type="dxa"/>
        <w:jc w:val="left"/>
        <w:tblInd w:w="0" w:type="dxa"/>
        <w:tblLayout w:type="fixed"/>
        <w:tblCellMar>
          <w:top w:w="0" w:type="dxa"/>
          <w:left w:w="0" w:type="dxa"/>
          <w:bottom w:w="0" w:type="dxa"/>
          <w:right w:w="0" w:type="dxa"/>
        </w:tblCellMar>
      </w:tblPr>
      <w:tblGrid>
        <w:gridCol w:w="2225"/>
        <w:gridCol w:w="320"/>
        <w:gridCol w:w="5555"/>
      </w:tblGrid>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58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14, 2024</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both"/>
        <w:rPr>
          <w:caps w:val="false"/>
          <w:smallCaps w:val="false"/>
        </w:rPr>
      </w:pPr>
      <w:bookmarkStart w:id="1048" w:name="ex10-1.htm"/>
      <w:bookmarkStart w:id="1049" w:name="ksex101"/>
      <w:bookmarkEnd w:id="1048"/>
      <w:bookmarkEnd w:id="104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AMENDMENT TO CREDIT AGREEMENT AND GUARANTY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SECOND AMENDMENT TO CREDIT AGREEMENT AND GUARANTY </w:t>
      </w:r>
      <w:r>
        <w:rPr>
          <w:rFonts w:ascii="Times New Roman;Times;Serif" w:hAnsi="Times New Roman;Times;Serif"/>
          <w:b w:val="false"/>
          <w:i w:val="false"/>
          <w:caps w:val="false"/>
          <w:smallCaps w:val="false"/>
          <w:sz w:val="20"/>
        </w:rPr>
        <w:t>(this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dated as of October 25, 2024 (the “</w:t>
      </w:r>
      <w:r>
        <w:rPr>
          <w:rFonts w:ascii="Times New Roman;Times;Serif" w:hAnsi="Times New Roman;Times;Serif"/>
          <w:b/>
          <w:i/>
          <w:caps w:val="false"/>
          <w:smallCaps w:val="false"/>
          <w:sz w:val="20"/>
        </w:rPr>
        <w:t>Second Amendment Effective Date</w:t>
      </w:r>
      <w:r>
        <w:rPr>
          <w:rFonts w:ascii="Times New Roman;Times;Serif" w:hAnsi="Times New Roman;Times;Serif"/>
          <w:b w:val="false"/>
          <w:i w:val="false"/>
          <w:caps w:val="false"/>
          <w:smallCaps w:val="false"/>
          <w:sz w:val="20"/>
        </w:rPr>
        <w:t>”), is entered into by and among HARROW, INC. (formerly known as Harrow Health, Inc.),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the Guarantors (as defined in the Credit Agreement referred to below) identified on the signature pages hereof, the Lenders (as defined in the Credit Agreement referred to below) identified on the signature pages hereof (each individually,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and OAKTREE FUND ADMINISTRATION, LLC, as administrative agent for the Lenders (in such capacity,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the Guarantors from time to time party thereto, the Lenders from time to time party thereto and the Administrative Agent are parties to that certain Credit Agreement and Guaranty, dated as of March 27, 2023 (as amended by that certain First Amendment to Credit Agreement and Guaranty and Consent, dated as of July 18, 2023, and as further amended, restated, supplemented or otherwise modified from time to time immediately prior to this Amendment) (the “</w:t>
      </w:r>
      <w:r>
        <w:rPr>
          <w:rFonts w:ascii="Times New Roman;Times;Serif" w:hAnsi="Times New Roman;Times;Serif"/>
          <w:b/>
          <w:i/>
          <w:caps w:val="false"/>
          <w:smallCaps w:val="false"/>
          <w:sz w:val="20"/>
        </w:rPr>
        <w:t>Existing Credit Agreement</w:t>
      </w:r>
      <w:r>
        <w:rPr>
          <w:rFonts w:ascii="Times New Roman;Times;Serif" w:hAnsi="Times New Roman;Times;Serif"/>
          <w:b w:val="false"/>
          <w:i w:val="false"/>
          <w:caps w:val="false"/>
          <w:smallCaps w:val="false"/>
          <w:sz w:val="20"/>
        </w:rPr>
        <w:t>,” and the Existing Credit Agreement as amended hereby,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has requested that the Administrative Agent and the Lenders agree to certain amendments to the Existing Credit Agreement, as more fully set forth in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the terms and conditions set forth herein, the Administrative Agent and the Lenders are willing to amend the Existing Credit Agreement subject to the terms and conditions set forth in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mutual covenants herein contained, and for other good and valuable consideration, the receipt and sufficiency of which are hereby acknowledged, the parties hereby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All initially capitalized terms used herein (including the preamble and recitals hereof) without definition shall have the meanings ascribed thereto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Amendments to Existing Credit Agreement</w:t>
      </w:r>
      <w:r>
        <w:rPr>
          <w:rFonts w:ascii="Times New Roman;Times;Serif" w:hAnsi="Times New Roman;Times;Serif"/>
          <w:b w:val="false"/>
          <w:i w:val="false"/>
          <w:caps w:val="false"/>
          <w:smallCaps w:val="false"/>
          <w:sz w:val="20"/>
        </w:rPr>
        <w:t xml:space="preserve">. Subject to the satisfaction (or waiver in writing by the Administrative Agent and the Lenders) of the conditions precedent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hereof, the Existing Credit Agreement (including Schedule 1 thereto, but not the other schedules and exhibits attached thereto) shall be amended to delete the stricken text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to add the bold and double-underlined text (indicated textually in the same manner as the following example: </w:t>
      </w:r>
      <w:r>
        <w:rPr>
          <w:rFonts w:ascii="Times New Roman;Times;Serif" w:hAnsi="Times New Roman;Times;Serif"/>
          <w:b/>
          <w:i w:val="false"/>
          <w:caps w:val="false"/>
          <w:smallCaps w:val="false"/>
          <w:color w:val="3366FF"/>
          <w:sz w:val="20"/>
          <w:u w:val="single"/>
        </w:rPr>
        <w:t>bold and double-underlined text</w:t>
      </w:r>
      <w:r>
        <w:rPr>
          <w:rFonts w:ascii="Times New Roman;Times;Serif" w:hAnsi="Times New Roman;Times;Serif"/>
          <w:b w:val="false"/>
          <w:i w:val="false"/>
          <w:caps w:val="false"/>
          <w:smallCaps w:val="false"/>
          <w:sz w:val="20"/>
        </w:rPr>
        <w:t xml:space="preserve">) as set forth on the pages of the Credit Agreement attached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Conditions Precedent to Amendment</w:t>
      </w:r>
      <w:r>
        <w:rPr>
          <w:rFonts w:ascii="Times New Roman;Times;Serif" w:hAnsi="Times New Roman;Times;Serif"/>
          <w:b w:val="false"/>
          <w:i w:val="false"/>
          <w:caps w:val="false"/>
          <w:smallCaps w:val="false"/>
          <w:sz w:val="20"/>
        </w:rPr>
        <w:t>. The effectiveness of this Amendment is conditioned on the satisfaction in full, or waiver, of each of the following conditions precedent: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executed counterparts of this Amendment, duly executed by the appropriate Obligor on the Second Amendment Effective Date, and delivered by each applicable Obligor in such number as reasonably requested by the Administrative Agent (which may be delivered by electronic means for the purposes of satisfying this clause (a) on the Second Amendment Effective Date);</w:t>
      </w:r>
    </w:p>
    <w:p>
      <w:pPr>
        <w:pStyle w:val="TextBody"/>
        <w:bidi w:val="0"/>
        <w:spacing w:before="0" w:after="0"/>
        <w:ind w:left="0" w:right="0" w:firstLine="108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shall have received a certificate, dated as of the Second Amendment Effective Date, duly executed and delivered by a Responsible Officer of each Obligor (i) attaching (A) resolutions of each Obligor’s Board then in full force and effect authorizing the execution, delivery and performance of this Amendment and the transactions contemplated hereby (including, in the case of the Borrower, the borrowing of the Tranche B Loans), (B) each Organic Document of such Obligor (or a certification that there have been no modifications thereof since the delivery thereof to Administrative Agent on the Closing Date), and certifying as to the full force and validity thereof, (C) the incumbency and signatures of Responsible Officers authorized to execute and deliver each Loan Document to be executed by such Obligor (or a certification that there have been no changes thereto since the delivery to Administrative Agent of the incumbency on the Closing Date) and (D) a copy of a good standing certificate, dated a date reasonably close to the Second Amendment Effective Date, for each such Obligor and (ii) certifying as to clauses (c) and (d)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representations and warranties contained in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4 of this Amendment shall be true and correct as of the date hereof;</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both before and after giving effect to this Amendment, no event shall have occurred and be continuing that would constitute a Default or Event of Default;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the Administrative Agent and each Lender shall have received for its own account all fees, costs and expenses due and payable to it pursuant to </w:t>
      </w:r>
      <w:r>
        <w:rPr>
          <w:rFonts w:ascii="Times New Roman;Times;Serif" w:hAnsi="Times New Roman;Times;Serif"/>
          <w:b w:val="false"/>
          <w:i w:val="false"/>
          <w:caps w:val="false"/>
          <w:smallCaps w:val="false"/>
          <w:sz w:val="20"/>
          <w:u w:val="single"/>
        </w:rPr>
        <w:t>Section 14.03</w:t>
      </w:r>
      <w:r>
        <w:rPr>
          <w:rFonts w:ascii="Times New Roman;Times;Serif" w:hAnsi="Times New Roman;Times;Serif"/>
          <w:b w:val="false"/>
          <w:i w:val="false"/>
          <w:caps w:val="false"/>
          <w:smallCaps w:val="false"/>
          <w:sz w:val="20"/>
        </w:rPr>
        <w:t xml:space="preserve"> of the Credit Agreement, including all reasonable closing costs and fees and all unpaid reasonable and documented expenses of the Administrative Agent incurred in connection with this Amendment (including the Administrative Agent’s reasonable and documented legal fees and expenses), plus fees and expenses of any local counsel, plus all collateral filing fees and security fees, in each case, to the extent invoiced (or as to which a good faith estimate has been provided to the Borrower) at least two (2) Business Days prior to the Second Amendment Effective Date.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Borrower and each Guarantor hereby represents and warrants to the Administrative Agent and the Lenders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of this Amendment and such Obligor’s obligations hereunder and thereunder are within such Obligor’s corporate or other organizational powers and have been duly authorized by all necessary corporate or other organizational action including, if required, approval by all necessary holders of its Equity Interests. This Amendment has been duly executed and delivered by each Obligor that is a party thereto and constitutes, a legal, valid and binding obligation of such Obligor, enforceable against such Obligor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contained in the Credit Agreement and in the other Loan Documents are true and correct in all material respects (unless such representations are already qualified by reference to materiality, Material Adverse Effect or similar language, in which case such representations and warranties are be true and correct in all respects) on and as of the Second Amendment Effective Date, except to the extent such representations and warranties specifically relate to an earlier date, in which case such representations and warranties were been true and correct in all material respects on and as of such earlier date.</w:t>
      </w:r>
    </w:p>
    <w:p>
      <w:pPr>
        <w:pStyle w:val="TextBody"/>
        <w:bidi w:val="0"/>
        <w:spacing w:before="0" w:after="0"/>
        <w:ind w:left="0" w:right="0" w:firstLine="108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ind w:left="0" w:right="0" w:firstLine="108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GOVERNING LAW; JURISDICTION; ETC.; WAIVER OF RIGHT TO TRIAL BY JURY; AND JUDGMENT CURRENCY</w:t>
      </w:r>
      <w:r>
        <w:rPr>
          <w:rFonts w:ascii="Times New Roman;Times;Serif" w:hAnsi="Times New Roman;Times;Serif"/>
          <w:b/>
          <w:i w:val="false"/>
          <w:caps w:val="false"/>
          <w:smallCaps w:val="false"/>
          <w:sz w:val="20"/>
        </w:rPr>
        <w:t xml:space="preserve">. THIS AMENDMENT SHALL BE SUBJECT TO THE PROVISIONS REGARDING GOVERNING LAW; JURISDICTION; ETC.; WAIVER OF RIGHT TO TRIAL BY JURY; AND JUDGMENT CURRENCY SET FORTH IN </w:t>
      </w:r>
      <w:r>
        <w:rPr>
          <w:rFonts w:ascii="Times New Roman;Times;Serif" w:hAnsi="Times New Roman;Times;Serif"/>
          <w:b/>
          <w:i w:val="false"/>
          <w:caps w:val="false"/>
          <w:smallCaps w:val="false"/>
          <w:sz w:val="20"/>
          <w:u w:val="single"/>
        </w:rPr>
        <w:t>SECTIONS 14.09</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14.10</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14.11</w:t>
      </w:r>
      <w:r>
        <w:rPr>
          <w:rFonts w:ascii="Times New Roman;Times;Serif" w:hAnsi="Times New Roman;Times;Serif"/>
          <w:b/>
          <w:i w:val="false"/>
          <w:caps w:val="false"/>
          <w:smallCaps w:val="false"/>
          <w:sz w:val="20"/>
        </w:rPr>
        <w:t xml:space="preserve"> AND </w:t>
      </w:r>
      <w:r>
        <w:rPr>
          <w:rFonts w:ascii="Times New Roman;Times;Serif" w:hAnsi="Times New Roman;Times;Serif"/>
          <w:b/>
          <w:i w:val="false"/>
          <w:caps w:val="false"/>
          <w:smallCaps w:val="false"/>
          <w:sz w:val="20"/>
          <w:u w:val="single"/>
        </w:rPr>
        <w:t>14.18</w:t>
      </w:r>
      <w:r>
        <w:rPr>
          <w:rFonts w:ascii="Times New Roman;Times;Serif" w:hAnsi="Times New Roman;Times;Serif"/>
          <w:b/>
          <w:i w:val="false"/>
          <w:caps w:val="false"/>
          <w:smallCaps w:val="false"/>
          <w:sz w:val="20"/>
        </w:rPr>
        <w:t xml:space="preserve"> OF THE CREDIT AGREEMENT, AND SUCH PROVISIONS ARE INCORPORATED HEREIN BY THIS REFERENCE, </w:t>
      </w:r>
      <w:r>
        <w:rPr>
          <w:rFonts w:ascii="Times New Roman;Times;Serif" w:hAnsi="Times New Roman;Times;Serif"/>
          <w:b/>
          <w:i/>
          <w:caps w:val="false"/>
          <w:smallCaps w:val="false"/>
          <w:sz w:val="20"/>
        </w:rPr>
        <w:t>MUTATIS MUTANDIS</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Counterpart Execution</w:t>
      </w:r>
      <w:r>
        <w:rPr>
          <w:rFonts w:ascii="Times New Roman;Times;Serif" w:hAnsi="Times New Roman;Times;Serif"/>
          <w:b w:val="false"/>
          <w:i w:val="false"/>
          <w:caps w:val="false"/>
          <w:smallCaps w:val="false"/>
          <w:sz w:val="20"/>
        </w:rPr>
        <w:t>. This Amendment may be executed in any number of counterparts (including electronic imaging means), all of which taken together shall constitute one and the same instrument and any of the parties hereto may execute this Amendment by signing any such counterpart. Delivery of an executed signature page of this Amendment by electronic transmission (e.g. “pdf” or “tif” format) shall be effective as delivery of a manually executed counterpart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Limited Effect</w:t>
      </w:r>
      <w:r>
        <w:rPr>
          <w:rFonts w:ascii="Times New Roman;Times;Serif" w:hAnsi="Times New Roman;Times;Serif"/>
          <w:b w:val="false"/>
          <w:i w:val="false"/>
          <w:caps w:val="false"/>
          <w:smallCaps w:val="false"/>
          <w:sz w:val="20"/>
        </w:rPr>
        <w:t>. Except as expressly provided herein, the Existing Credit Agreement and the other Loan Documents shall remain unmodified and in full force and effect. This Amendment shall not be deemed (a) to be a waiver of, consent to, or a modification or amendment of any other term or condition of the Existing Credit Agreement or any other Loan Document,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(c) to be a commitment or any other undertaking or expression of any willingness to engage in any further discussion with the Borrower or any of its Subsidiaries or any other Person with respect to any other waiver, amendment, modification or any other change to the Credit Agreement or the other Loan Documents or any rights or remedies arising in favor of the Lenders or the Administrative Agent, or any of them, under or with respect to any such documents or (d) to be a waiver of, or consent to, or a modification or amendment of, any other term or condition of any other agreement by and among the Loan Parties, on the one hand, and the Administrative Agent or any Lender, on the other hand. Without limiting the generality of the foregoing, the execution and delivery of this Amendment shall not constitute a novation of any indebtedness or other obligations owing to the Lenders or the Administrative Agent under the Credit Agreement based on facts or events occurring or existing prior to the execution and delivery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Each of the Loan Parties hereby releases and forever discharges the Administrative Agent, the Lenders, and their respective predecessors, successors, assigns, officers, managers, directors, employees, agents, attorneys, representatives, and affiliates (hereinafter all of the above collectively referred to as, the “</w:t>
      </w:r>
      <w:r>
        <w:rPr>
          <w:rFonts w:ascii="Times New Roman;Times;Serif" w:hAnsi="Times New Roman;Times;Serif"/>
          <w:b w:val="false"/>
          <w:i w:val="false"/>
          <w:caps w:val="false"/>
          <w:smallCaps w:val="false"/>
          <w:sz w:val="20"/>
          <w:u w:val="single"/>
        </w:rPr>
        <w:t>Lender Group</w:t>
      </w:r>
      <w:r>
        <w:rPr>
          <w:rFonts w:ascii="Times New Roman;Times;Serif" w:hAnsi="Times New Roman;Times;Serif"/>
          <w:b w:val="false"/>
          <w:i w:val="false"/>
          <w:caps w:val="false"/>
          <w:smallCaps w:val="false"/>
          <w:sz w:val="20"/>
        </w:rPr>
        <w:t>”), from any and all claims, counterclaims, demands, damages, debts, suits, liabilities, actions and causes of action of any nature whatsoever, in each case to the extent arising in connection with the Loan Documents or any of the negotiations, activities, events or circumstances arising out of or related to the Loan Documents on or prior to the effectiveness of this Amendment, whether arising at law or in equity, whether known or unknown, whether liability be direct or indirect, liquidated or unliquidated, whether absolute or contingent, foreseen or unforeseen, and whether or not heretofore asserted, which any of the Loan Parties may have or claim to have against any entity within the Lender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Acknowledgment and Reaffirmation</w:t>
      </w:r>
      <w:r>
        <w:rPr>
          <w:rFonts w:ascii="Times New Roman;Times;Serif" w:hAnsi="Times New Roman;Times;Serif"/>
          <w:b w:val="false"/>
          <w:i w:val="false"/>
          <w:caps w:val="false"/>
          <w:smallCaps w:val="false"/>
          <w:sz w:val="20"/>
        </w:rPr>
        <w:t>. By its execution hereof, each of the Loan Parties hereby expressly (a) acknowledges and agrees to the terms and conditions of this Amendment, (b) except as otherwise amended hereby, reaffirms all of its respective covenants and other obligations set forth in the Credit Agreement and the other Loan Documents to which it is a party, (c) ratifies and confirms all security interests previously granted by it to the Administrative Agent for the benefit of the Secured Parties under the Loan Documents, as amended hereby, and (d) acknowledges that its respective covenants and other obligations set forth in the Credit Agreement and the other Loan Documents to which it is a party remain in full force and effect as amended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Amendment, and the terms and provisions hereof, the Credit Agreement and the other Loan Documents constitute the entire agreement among the parties with respect to the subject matter hereof and thereof and supersede any and all previous agreements and understandings, oral or written, relating to the subject matter hereof, including any confidentiality (or similar)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hereof is found by a court to be invalid or unenforceable, to the fullest extent permitted by any Law the parties agree that such invalidity or unenforceability shall not impair the validity or enforceability of any other provision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This Amendment shall constitute a Loan Document for all purposes of the Credit Agreement and the other Loan Documents. Each reference in the Credit Agreement to “this Agreement”, “hereunder”, “hereof”, “herein”, or words of like import, and each reference to the Credit Agreement in any other Loan Document shall be deemed a reference to the Credit Agreement as amended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entered into this Amendment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590"/>
        <w:gridCol w:w="3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INC.</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Boll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Boll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Corporate Secretary</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9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IP, LLC</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VISIONOLOGY EQUITY, LLC</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VISIONOLOGY, INC.</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VISIONOLOGY MSO, INC.</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Corporate Secretary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HARRPOW IP,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IMPRIMISRX,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 NJOF,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Jersey limited liability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IMPRIMISRX NJ,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Jersey limited liability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IMPIRMISRX NASHVILLE,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9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Saharek</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Saharek</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0"/>
        <w:ind w:left="0" w:right="0" w:hanging="0"/>
        <w:jc w:val="left"/>
        <w:rPr>
          <w:caps w:val="false"/>
          <w:smallCaps w:val="false"/>
        </w:rPr>
      </w:pPr>
      <w:r>
        <w:rPr>
          <w:caps w:val="false"/>
          <w:smallCaps w:val="false"/>
        </w:rPr>
        <w:t> </w:t>
      </w:r>
    </w:p>
    <w:tbl>
      <w:tblPr>
        <w:tblW w:w="3934" w:type="dxa"/>
        <w:jc w:val="left"/>
        <w:tblInd w:w="0" w:type="dxa"/>
        <w:tblLayout w:type="fixed"/>
        <w:tblCellMar>
          <w:top w:w="0" w:type="dxa"/>
          <w:left w:w="0" w:type="dxa"/>
          <w:bottom w:w="0" w:type="dxa"/>
          <w:right w:w="0" w:type="dxa"/>
        </w:tblCellMar>
      </w:tblPr>
      <w:tblGrid>
        <w:gridCol w:w="75"/>
        <w:gridCol w:w="666"/>
        <w:gridCol w:w="31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FUND ADMINISTRATION,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tcBorders/>
            <w:vAlign w:val="center"/>
          </w:tcPr>
          <w:p>
            <w:pPr>
              <w:pStyle w:val="TableContents"/>
              <w:bidi w:val="0"/>
              <w:spacing w:before="0" w:after="283"/>
              <w:jc w:val="left"/>
              <w:rPr>
                <w:caps w:val="false"/>
                <w:smallCaps w:val="false"/>
              </w:rPr>
            </w:pPr>
            <w:r>
              <w:rPr>
                <w:caps w:val="false"/>
                <w:smallCaps w:val="false"/>
              </w:rPr>
              <w:t> </w:t>
            </w:r>
          </w:p>
        </w:tc>
        <w:tc>
          <w:tcPr>
            <w:tcW w:w="319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3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tcBorders/>
            <w:vAlign w:val="center"/>
          </w:tcPr>
          <w:p>
            <w:pPr>
              <w:pStyle w:val="TableContents"/>
              <w:bidi w:val="0"/>
              <w:spacing w:before="0" w:after="283"/>
              <w:jc w:val="left"/>
              <w:rPr>
                <w:caps w:val="false"/>
                <w:smallCaps w:val="false"/>
              </w:rPr>
            </w:pPr>
            <w:r>
              <w:rPr>
                <w:caps w:val="false"/>
                <w:smallCaps w:val="false"/>
              </w:rPr>
              <w:t> </w:t>
            </w:r>
          </w:p>
        </w:tc>
        <w:tc>
          <w:tcPr>
            <w:tcW w:w="319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9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tcBorders/>
            <w:vAlign w:val="center"/>
          </w:tcPr>
          <w:p>
            <w:pPr>
              <w:pStyle w:val="TableContents"/>
              <w:bidi w:val="0"/>
              <w:spacing w:before="0" w:after="283"/>
              <w:jc w:val="left"/>
              <w:rPr>
                <w:caps w:val="false"/>
                <w:smallCaps w:val="false"/>
              </w:rPr>
            </w:pPr>
            <w:r>
              <w:rPr>
                <w:caps w:val="false"/>
                <w:smallCaps w:val="false"/>
              </w:rPr>
              <w:t> </w:t>
            </w:r>
          </w:p>
        </w:tc>
        <w:tc>
          <w:tcPr>
            <w:tcW w:w="319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9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Jessic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84" w:type="dxa"/>
        <w:jc w:val="left"/>
        <w:tblInd w:w="0" w:type="dxa"/>
        <w:tblLayout w:type="fixed"/>
        <w:tblCellMar>
          <w:top w:w="0" w:type="dxa"/>
          <w:left w:w="0" w:type="dxa"/>
          <w:bottom w:w="0" w:type="dxa"/>
          <w:right w:w="0" w:type="dxa"/>
        </w:tblCellMar>
      </w:tblPr>
      <w:tblGrid>
        <w:gridCol w:w="75"/>
        <w:gridCol w:w="795"/>
        <w:gridCol w:w="381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09" w:type="dxa"/>
            <w:gridSpan w:val="2"/>
            <w:tcBorders/>
            <w:vAlign w:val="center"/>
          </w:tcPr>
          <w:p>
            <w:pPr>
              <w:pStyle w:val="TableContents"/>
              <w:bidi w:val="0"/>
              <w:spacing w:before="0" w:after="283"/>
              <w:ind w:left="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LENDERS: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INPRS STRATEGIC CREDIT HOLDINGS,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Jessic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SPECIALTY LENDING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Advisors,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Advisor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Jessic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STRATEGIC CREDIT FUND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Advisors,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Advisor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caps w:val="false"/>
                <w:smallCaps w:val="false"/>
              </w:rPr>
            </w:pPr>
            <w:r>
              <w:rPr>
                <w:caps w:val="false"/>
                <w:smallCaps w:val="false"/>
              </w:rPr>
              <w:t> </w:t>
            </w:r>
          </w:p>
        </w:tc>
        <w:tc>
          <w:tcPr>
            <w:tcW w:w="38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Jessic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75"/>
        <w:gridCol w:w="638"/>
        <w:gridCol w:w="41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ROUTE 66 MULTI-STRATEGY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1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Route 66 Multi-Strategy Fund GP,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1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Route 66 Multi-Strategy Fund GP,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1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1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1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Jessic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1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AZ STRATEGIC LENDING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1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AZ Strategic Lending Fund GP,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1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GP IIA,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1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GP II,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1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1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Jessica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494" w:type="dxa"/>
        <w:jc w:val="left"/>
        <w:tblInd w:w="0" w:type="dxa"/>
        <w:tblLayout w:type="fixed"/>
        <w:tblCellMar>
          <w:top w:w="0" w:type="dxa"/>
          <w:left w:w="0" w:type="dxa"/>
          <w:bottom w:w="0" w:type="dxa"/>
          <w:right w:w="0" w:type="dxa"/>
        </w:tblCellMar>
      </w:tblPr>
      <w:tblGrid>
        <w:gridCol w:w="75"/>
        <w:gridCol w:w="748"/>
        <w:gridCol w:w="467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LSL FUND HOLDINGS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EURRC S.À R.L.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caps w:val="false"/>
                <w:smallCaps w:val="false"/>
              </w:rPr>
            </w:pPr>
            <w:r>
              <w:rPr>
                <w:caps w:val="false"/>
                <w:smallCaps w:val="false"/>
              </w:rPr>
              <w:t> </w:t>
            </w:r>
          </w:p>
        </w:tc>
        <w:tc>
          <w:tcPr>
            <w:tcW w:w="46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Martin Eckel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Eckel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caps w:val="false"/>
                <w:smallCaps w:val="false"/>
              </w:rPr>
            </w:pPr>
            <w:r>
              <w:rPr>
                <w:caps w:val="false"/>
                <w:smallCaps w:val="false"/>
              </w:rPr>
              <w:t> </w:t>
            </w:r>
          </w:p>
        </w:tc>
        <w:tc>
          <w:tcPr>
            <w:tcW w:w="46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Hugo Froment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Hugo Froment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caps w:val="false"/>
                <w:smallCaps w:val="false"/>
              </w:rPr>
            </w:pPr>
            <w:r>
              <w:rPr>
                <w:caps w:val="false"/>
                <w:smallCaps w:val="false"/>
              </w:rPr>
              <w:t> </w:t>
            </w:r>
          </w:p>
        </w:tc>
        <w:tc>
          <w:tcPr>
            <w:tcW w:w="46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LSL FUND DELAWARE HOLDINGS EURRC,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caps w:val="false"/>
                <w:smallCaps w:val="false"/>
              </w:rPr>
            </w:pPr>
            <w:r>
              <w:rPr>
                <w:caps w:val="false"/>
                <w:smallCaps w:val="false"/>
              </w:rPr>
              <w:t> </w:t>
            </w:r>
          </w:p>
        </w:tc>
        <w:tc>
          <w:tcPr>
            <w:tcW w:w="46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Life Sciences Lending Fund GP,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caps w:val="false"/>
                <w:smallCaps w:val="false"/>
              </w:rPr>
            </w:pPr>
            <w:r>
              <w:rPr>
                <w:caps w:val="false"/>
                <w:smallCaps w:val="false"/>
              </w:rPr>
              <w:t> </w:t>
            </w:r>
          </w:p>
        </w:tc>
        <w:tc>
          <w:tcPr>
            <w:tcW w:w="46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Life Sciences Lending Fund GP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caps w:val="false"/>
                <w:smallCaps w:val="false"/>
              </w:rPr>
            </w:pPr>
            <w:r>
              <w:rPr>
                <w:caps w:val="false"/>
                <w:smallCaps w:val="false"/>
              </w:rPr>
              <w:t> </w:t>
            </w:r>
          </w:p>
        </w:tc>
        <w:tc>
          <w:tcPr>
            <w:tcW w:w="46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caps w:val="false"/>
                <w:smallCaps w:val="false"/>
              </w:rPr>
            </w:pPr>
            <w:r>
              <w:rPr>
                <w:caps w:val="false"/>
                <w:smallCaps w:val="false"/>
              </w:rPr>
              <w:t> </w:t>
            </w:r>
          </w:p>
        </w:tc>
        <w:tc>
          <w:tcPr>
            <w:tcW w:w="46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Gallegly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caps w:val="false"/>
                <w:smallCaps w:val="false"/>
              </w:rPr>
            </w:pPr>
            <w:r>
              <w:rPr>
                <w:caps w:val="false"/>
                <w:smallCaps w:val="false"/>
              </w:rPr>
              <w:t> </w:t>
            </w:r>
          </w:p>
        </w:tc>
        <w:tc>
          <w:tcPr>
            <w:tcW w:w="46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6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Jessica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Dombroff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11" w:right="0" w:hanging="11"/>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2880" w:right="0" w:hanging="2880"/>
        <w:jc w:val="both"/>
        <w:rPr>
          <w:caps w:val="false"/>
          <w:smallCaps w:val="false"/>
        </w:rPr>
      </w:pPr>
      <w:r>
        <w:rPr>
          <w:caps w:val="false"/>
          <w:smallCaps w:val="false"/>
        </w:rPr>
        <w:t> </w:t>
      </w:r>
    </w:p>
    <w:p>
      <w:pPr>
        <w:pStyle w:val="TextBody"/>
        <w:bidi w:val="0"/>
        <w:spacing w:before="0" w:after="0"/>
        <w:ind w:left="2880" w:right="0" w:hanging="28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Conformed through Second Amendment, dated as of October 25, 2024</w:t>
      </w:r>
    </w:p>
    <w:p>
      <w:pPr>
        <w:pStyle w:val="TextBody"/>
        <w:bidi w:val="0"/>
        <w:spacing w:before="0" w:after="0"/>
        <w:ind w:left="2880" w:right="0" w:hanging="2880"/>
        <w:jc w:val="center"/>
        <w:rPr>
          <w:caps w:val="false"/>
          <w:smallCaps w:val="false"/>
        </w:rPr>
      </w:pPr>
      <w:r>
        <w:rPr>
          <w:caps w:val="false"/>
          <w:smallCaps w:val="false"/>
        </w:rPr>
        <w:t> </w:t>
      </w:r>
    </w:p>
    <w:p>
      <w:pPr>
        <w:pStyle w:val="TextBody"/>
        <w:bidi w:val="0"/>
        <w:spacing w:before="0" w:after="0"/>
        <w:ind w:left="2880" w:right="0" w:hanging="288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CREDIT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 AND GUARANTY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March 27, 2023,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amended by that certain First Amendment to Credit Agreement and Guaranty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dated as of July 18, 2023 and as amended by that certain Second Amendment to Credit </w:t>
        <w:br/>
        <w:t>Agreement and Guaranty dated as of October 25,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Borrower,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SUBSIDIARY GUARANTORS FROM TIME TO TIME PARTY HERETO,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Guarantors,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LENDERS FROM TIME TO TIME PARTY HERETO,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Lenders,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FUND ADMINISTRATION, LLC,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Administrative Agent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$107,500,000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75"/>
        <w:gridCol w:w="380"/>
        <w:gridCol w:w="5465"/>
        <w:gridCol w:w="45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920"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DEFINITIONS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Defined Terms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Terms and Principles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Generally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920"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THE COMMITMENT AND THE LOANS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Procedures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of Borrowings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Fees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Defaulting Lenders.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920"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PAYMENTS OF PRINCIPAL AND INTEREST, ETC.</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Scheduled Repayments and Prepayments Generally; Application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Termination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Exit Fee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Issue Discount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920"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PAYMENTS, ETC.</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Computations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Set-Off</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920"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YIELD PROTECTION, TAXES, ETC.</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Costs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Mitigation Obligations; Replacement of Lenders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Determine Rates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920"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CONDITIONS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Closing Date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Borrowing of Tranche B Term Loans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Borrowing of Incremental Tranche A Term Loans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920"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REPRESENTATIONS AND WARRANTIES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and Authority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Enforceability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and Other Approvals; No Conflicts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Material Adverse 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Actions or Proceedings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and Agreements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bl>
    <w:p>
      <w:pPr>
        <w:pStyle w:val="TextBody"/>
        <w:bidi w:val="0"/>
        <w:spacing w:before="0" w:after="283"/>
        <w:jc w:val="left"/>
        <w:rPr/>
      </w:pPr>
      <w:r>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jc w:val="left"/>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75"/>
        <w:gridCol w:w="380"/>
        <w:gridCol w:w="6170"/>
        <w:gridCol w:w="350"/>
      </w:tblGrid>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Company Act and Margin Stock Regulation</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Solvency</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Subsidiaries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Agreements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Agreements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Matters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Approvals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OFAC; Anti-Terrorism Laws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Anti-Corruption</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of Obligations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and Other Payments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from Medical Reimbursement Programs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625"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AFFIRMATIVE COVENANTS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and Other Information</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Material Events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Existence</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Obligations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Books and Records; Inspection Rights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and Other Obligations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Properties, Etc.</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Licenses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Obligations Respecting Subsidiaries; Further Assurances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Non-Permitted Liens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Materials; Lender Calls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Regulatory Approvals, Contracts, Intellectual Property, Etc.</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Compliance and Pension Plans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Management</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Obligations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Additional Rights of Lender (VCOC)</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25"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NEGATIVE COVENANTS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Fundamental Changes and Acquisitions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Lines of Business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Payments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283"/>
        <w:jc w:val="left"/>
        <w:rPr/>
      </w:pPr>
      <w:r>
        <w:rPr/>
        <w:t> </w:t>
      </w:r>
    </w:p>
    <w:tbl>
      <w:tblPr>
        <w:tblW w:w="7500" w:type="dxa"/>
        <w:jc w:val="left"/>
        <w:tblInd w:w="0" w:type="dxa"/>
        <w:tblLayout w:type="fixed"/>
        <w:tblCellMar>
          <w:top w:w="0" w:type="dxa"/>
          <w:left w:w="0" w:type="dxa"/>
          <w:bottom w:w="0" w:type="dxa"/>
          <w:right w:w="0" w:type="dxa"/>
        </w:tblCellMar>
      </w:tblPr>
      <w:tblGrid>
        <w:gridCol w:w="75"/>
        <w:gridCol w:w="485"/>
        <w:gridCol w:w="6590"/>
        <w:gridCol w:w="350"/>
      </w:tblGrid>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Indebtedness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Fiscal Year</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Assets, Etc.</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Agreements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Modifications and Terminations of Material Agreements and Organic Documents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Outbound Licenses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Leasebacks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Hazardous Material</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Changes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ERISA</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Sanctions; Anti-Corruption Use of Proceeds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5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50"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FINANCIAL COVENANTS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Liquidity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Net Revenues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5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50"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EVENTS OF DEFAULT</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Remedies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Net Revenues Covenant Cure</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Yield Protection Premium and Exit Fee</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5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50"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THE ADMINISTRATIVE AGENT</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and Duties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Binding Effect</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Discretion</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Delegation of Rights and Duties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and Liability</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Individually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Credit Decision</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Indemnities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the Administrative Agent</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Collateral or Guarantors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Secured Parties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May File Proofs of Claim</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Acknowledgements of Lenders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5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50"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GUARANTY</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Unconditional</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Discharge Only Upon Payment in Full.</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Waivers; General Waivers.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Reinstatement</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Subrogation</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13.07</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w:t>
            </w:r>
          </w:p>
        </w:tc>
        <w:tc>
          <w:tcPr>
            <w:tcW w:w="6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 for the Payment of Money</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w:t>
            </w:r>
          </w:p>
        </w:tc>
        <w:tc>
          <w:tcPr>
            <w:tcW w:w="6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Guarantee</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283"/>
        <w:jc w:val="left"/>
        <w:rPr/>
      </w:pPr>
      <w:r>
        <w:rPr/>
        <w:t> </w:t>
      </w:r>
    </w:p>
    <w:tbl>
      <w:tblPr>
        <w:tblW w:w="7080" w:type="dxa"/>
        <w:jc w:val="left"/>
        <w:tblInd w:w="0" w:type="dxa"/>
        <w:tblLayout w:type="fixed"/>
        <w:tblCellMar>
          <w:top w:w="0" w:type="dxa"/>
          <w:left w:w="0" w:type="dxa"/>
          <w:bottom w:w="0" w:type="dxa"/>
          <w:right w:w="0" w:type="dxa"/>
        </w:tblCellMar>
      </w:tblPr>
      <w:tblGrid>
        <w:gridCol w:w="75"/>
        <w:gridCol w:w="485"/>
        <w:gridCol w:w="6170"/>
        <w:gridCol w:w="350"/>
      </w:tblGrid>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Limitations on Guarantee Obligations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730"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MISCELLANEOUS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Indemnification, Etc.</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Etc.</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Captions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Effectiveness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Service of Process and Venue</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Immunity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Fiduciary Relationship</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Limitation</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Currency</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PATRIOT Act</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r>
      <w:tr>
        <w:trPr/>
        <w:tc>
          <w:tcPr>
            <w:tcW w:w="75" w:type="dxa"/>
            <w:tcBorders/>
            <w:shd w:fill="CCEE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w:t>
            </w:r>
          </w:p>
        </w:tc>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Acknowledgement and Consent to Bail-In of Affected Financial Institutions</w:t>
            </w:r>
          </w:p>
        </w:tc>
        <w:tc>
          <w:tcPr>
            <w:tcW w:w="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w:t>
            </w:r>
          </w:p>
        </w:tc>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ERISA Matters</w:t>
            </w:r>
          </w:p>
        </w:tc>
        <w:tc>
          <w:tcPr>
            <w:tcW w:w="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 AND EXHIBITS</w:t>
      </w:r>
    </w:p>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1"/>
        <w:gridCol w:w="80"/>
        <w:gridCol w:w="8834"/>
      </w:tblGrid>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Schedule</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Net Revenues</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Refinanced Facility</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7.05(b)</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Intellectual Property</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7.06(a)</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7.06(c)</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 Bargaining Agreements</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7.08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Subsidiaries</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Agreements</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7.15</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Agreements</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 Owned or Leased by Obligors</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Matters</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7.18(c)</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Findings</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7.23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and Other Payments</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9.01(b)</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Indebtedness</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9.02(b)</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Liens</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9.05(a)</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Investments</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9.09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Assets</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9.10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9.14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Sales and Leasebacks</w:t>
            </w:r>
          </w:p>
        </w:tc>
      </w:tr>
      <w:tr>
        <w:trPr/>
        <w:tc>
          <w:tcPr>
            <w:tcW w:w="1291"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8834"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Assumption</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Borrowing Notice</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Funding Date Certificate</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Guarantee Assumption Agreement</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Intercompany Subordination Agreement</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H</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Lenders That Are Not Partnerships For U.S. Federal Income Tax Purposes)</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Participants That Are Not Partnerships For U.S. Federal Income Tax Purposes)</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Participants That Are Partnerships For U.S. Federal Income Tax Purposes)</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Lenders That Are Partnerships For U.S. Federal Income Tax Purposes)</w:t>
            </w:r>
          </w:p>
        </w:tc>
      </w:tr>
      <w:tr>
        <w:trPr/>
        <w:tc>
          <w:tcPr>
            <w:tcW w:w="1291"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K</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Solvency Certificate</w:t>
            </w:r>
          </w:p>
        </w:tc>
      </w:tr>
      <w:tr>
        <w:trPr/>
        <w:tc>
          <w:tcPr>
            <w:tcW w:w="1291"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Compliance Certificate</w:t>
            </w:r>
          </w:p>
        </w:tc>
      </w:tr>
    </w:tbl>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2863"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 AND GUARANTY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AND GUARANTY, dated as of March 27, 2023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among </w:t>
      </w:r>
      <w:r>
        <w:rPr>
          <w:rFonts w:ascii="Times New Roman;Times;Serif" w:hAnsi="Times New Roman;Times;Serif"/>
          <w:b/>
          <w:i w:val="false"/>
          <w:caps w:val="false"/>
          <w:smallCaps w:val="false"/>
          <w:sz w:val="20"/>
        </w:rPr>
        <w:t xml:space="preserve">HARROW, INC. </w:t>
      </w:r>
      <w:r>
        <w:rPr>
          <w:rFonts w:ascii="Times New Roman;Times;Serif" w:hAnsi="Times New Roman;Times;Serif"/>
          <w:b w:val="false"/>
          <w:i w:val="false"/>
          <w:caps w:val="false"/>
          <w:smallCaps w:val="false"/>
          <w:sz w:val="20"/>
        </w:rPr>
        <w:t>(formerly known as Harrow Health, Inc.),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certain Subsidiaries of the Borrower required to provide Guarantees from time to time hereunder, the lenders from time to time party hereto (each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OAKTREE FUND ADMINISTRATION, LLC</w:t>
      </w:r>
      <w:r>
        <w:rPr>
          <w:rFonts w:ascii="Times New Roman;Times;Serif" w:hAnsi="Times New Roman;Times;Serif"/>
          <w:b w:val="false"/>
          <w:i w:val="false"/>
          <w:caps w:val="false"/>
          <w:smallCaps w:val="false"/>
          <w:sz w:val="20"/>
        </w:rPr>
        <w:t>, as administrative agent for the Lenders (in such capacity,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that the Lenders provide a senior secured term loan facility to the Borrower in an aggregate principal amount of $100,000,000, consisting of (a) a $65,000,000 Closing Date Tranche A Term Loan to be extended on the Closing Date and (b) an up to $35,000,000 Tranche B Term Loan to be extended on the Tranche B Funding Date, which was reduced to $30,000,000 under the Tranche B Commitment as of March 28, 2024, to be extended as of the Second Amendment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First Amendment Effective Date, the Borrower has requested that the Lenders provide a $12,500,000 Incremental Tranche A Term Loan to be extended on the Incremental Tranche A Funding Date, which Incremental Tranche A Term Loan will form a single tranche of Tranche A Term Loans with the Closing Date Tranche A Term Loan extended on the Closing Date;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Lenders are willing, on the terms and subject to the conditions set forth herein, to provide such senior secured term loan facility.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 xml:space="preserve">Section 1.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DEFINITIONS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Certain Defined Terms</w:t>
      </w:r>
      <w:r>
        <w:rPr>
          <w:rFonts w:ascii="Times New Roman;Times;Serif" w:hAnsi="Times New Roman;Times;Serif"/>
          <w:b w:val="false"/>
          <w:i w:val="false"/>
          <w:caps w:val="false"/>
          <w:smallCaps w:val="false"/>
          <w:sz w:val="20"/>
        </w:rPr>
        <w:t>. As used herein, the following terms have the following respective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Acquisition</w:t>
      </w:r>
      <w:r>
        <w:rPr>
          <w:rFonts w:ascii="Times New Roman;Times;Serif" w:hAnsi="Times New Roman;Times;Serif"/>
          <w:b w:val="false"/>
          <w:i w:val="false"/>
          <w:caps w:val="false"/>
          <w:smallCaps w:val="false"/>
          <w:sz w:val="20"/>
        </w:rPr>
        <w:t>” means any transaction, or any series of related transactions, by which any Person, directly or indirectly, by means of amalgamation, merger, purchase of assets, purchase of Equity Interests, exclusive licensing of Intellectual Property or otherwise, (i) acquires all or substantially all of the assets of any other Person, (ii) acquires an entire business line or unit or division of any other Person, (iii) with respect to any other Person that is managed or governed by a Board, acquires control of Equity Interests of such other Person representing more than fifty percent (50%) of the ordinary voting power (determined on a fully-diluted basis) for the election of directors of such Person’s Board, or (iv) acquires control of more than fifty percent (50%) of the Equity Interests in any other Person (determined on a fully-diluted basis) that is not managed by a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ANDA</w:t>
      </w:r>
      <w:r>
        <w:rPr>
          <w:rFonts w:ascii="Times New Roman;Times;Serif" w:hAnsi="Times New Roman;Times;Serif"/>
          <w:b w:val="false"/>
          <w:i w:val="false"/>
          <w:caps w:val="false"/>
          <w:smallCaps w:val="false"/>
          <w:sz w:val="20"/>
        </w:rPr>
        <w:t>” means (i) (x) an abbreviated new drug application (as defined in the FD&amp;C Act) and (y) any similar application or functional equivalent relating to any new drug application applicable to or required by any non-U.S. Governmental Authority, and (ii) all supplements and amendments that may be filed with respect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Anti-Terrorism Laws</w:t>
      </w:r>
      <w:r>
        <w:rPr>
          <w:rFonts w:ascii="Times New Roman;Times;Serif" w:hAnsi="Times New Roman;Times;Serif"/>
          <w:b w:val="false"/>
          <w:i w:val="false"/>
          <w:caps w:val="false"/>
          <w:smallCaps w:val="false"/>
          <w:sz w:val="20"/>
        </w:rPr>
        <w:t>” means any laws relating to terrorism or money laundering, including, without limitation, (i) the Money Laundering Control Act of 1986 (e.g., 18 U.S.C. §§ 1956 and 1957), (ii) the Bank Secrecy Act of 1970 (e.g., 31 U.S.C. §§ 5311 – 5330), as amended by the Patriot Act, (iii) the laws, regulations and Executive Orders administered by the United States Department of the Treasury’s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(iv) the Comprehensive Iran Sanctions, Accountability, and Divestment Act of 2010 and implementing regulations by the United States Department of the Treasury, (v) any law prohibiting or directed against terrorist activities or the financing of terrorist activities (e.g., 18 U.S.C. §§ 2339A and 2339B), or (vi) any similar laws enacted in the United States or any other jurisdictions in which the parties to this agreement operate, and all other present and future legal requirements of any Governmental Authority governing, addressing, relating to, or attempting to eliminate, terrorist acts and acts of war.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Applicable Commitment</w:t>
      </w:r>
      <w:r>
        <w:rPr>
          <w:rFonts w:ascii="Times New Roman;Times;Serif" w:hAnsi="Times New Roman;Times;Serif"/>
          <w:b w:val="false"/>
          <w:i w:val="false"/>
          <w:caps w:val="false"/>
          <w:smallCaps w:val="false"/>
          <w:sz w:val="20"/>
        </w:rPr>
        <w:t>” means the Closing Date Tranche A Commitment, the Incremental Tranche A Commitment or the Tranche B Commitment,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Applicable Funding Date</w:t>
      </w:r>
      <w:r>
        <w:rPr>
          <w:rFonts w:ascii="Times New Roman;Times;Serif" w:hAnsi="Times New Roman;Times;Serif"/>
          <w:b w:val="false"/>
          <w:i w:val="false"/>
          <w:caps w:val="false"/>
          <w:smallCaps w:val="false"/>
          <w:sz w:val="20"/>
        </w:rPr>
        <w:t>” means the Closing Date, the Incremental Tranche A Funding Date or the Tranche B Funding Date,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Applicable Margin</w:t>
      </w:r>
      <w:r>
        <w:rPr>
          <w:rFonts w:ascii="Times New Roman;Times;Serif" w:hAnsi="Times New Roman;Times;Serif"/>
          <w:b w:val="false"/>
          <w:i w:val="false"/>
          <w:caps w:val="false"/>
          <w:smallCaps w:val="false"/>
          <w:sz w:val="20"/>
        </w:rPr>
        <w:t>” means a percentage equal to 6.50%.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Arm’s Length Transaction</w:t>
      </w:r>
      <w:r>
        <w:rPr>
          <w:rFonts w:ascii="Times New Roman;Times;Serif" w:hAnsi="Times New Roman;Times;Serif"/>
          <w:b w:val="false"/>
          <w:i w:val="false"/>
          <w:caps w:val="false"/>
          <w:smallCaps w:val="false"/>
          <w:sz w:val="20"/>
        </w:rPr>
        <w:t>” means, with respect to any transaction, the terms of such transaction shall not be less favorable to the Borrower or any of its Subsidiaries than commercially reasonable terms that would be obtained in a transaction with a Person that is an unrelated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Asset 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assignee of such Lender substantially in the form of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or such other form as agreed by the Administrative Agent.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EEA Resolution Authority or U.K. Resolution Authority in respect of any liability of an Affected Financial Institution.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Bailee Letter</w:t>
      </w:r>
      <w:r>
        <w:rPr>
          <w:rFonts w:ascii="Times New Roman;Times;Serif" w:hAnsi="Times New Roman;Times;Serif"/>
          <w:b w:val="false"/>
          <w:i w:val="false"/>
          <w:caps w:val="false"/>
          <w:smallCaps w:val="false"/>
          <w:sz w:val="20"/>
        </w:rPr>
        <w:t>” means a bailee letter substantially in the form of Exhibit F to the Security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entitled “Bankruptcy.”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Benefit Plan</w:t>
      </w:r>
      <w:r>
        <w:rPr>
          <w:rFonts w:ascii="Times New Roman;Times;Serif" w:hAnsi="Times New Roman;Times;Serif"/>
          <w:b w:val="false"/>
          <w:i w:val="false"/>
          <w:caps w:val="false"/>
          <w:smallCaps w:val="false"/>
          <w:sz w:val="20"/>
        </w:rPr>
        <w:t>” means any employee benefit plan as defined in Section 3(3) of ERISA (whether governed by the laws of the United States or otherwise) to which any Obligor or Subsidiary thereof incurs or otherwise has any obligation or liability, contingent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as required by the Beneficial Ownership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BLA</w:t>
      </w:r>
      <w:r>
        <w:rPr>
          <w:rFonts w:ascii="Times New Roman;Times;Serif" w:hAnsi="Times New Roman;Times;Serif"/>
          <w:b w:val="false"/>
          <w:i w:val="false"/>
          <w:caps w:val="false"/>
          <w:smallCaps w:val="false"/>
          <w:sz w:val="20"/>
        </w:rPr>
        <w:t>” means (i) (x) a biologics license application (as defined in the Public Health Service Act) to introduce, or deliver for introduction, a biologic product, including vaccines into commerce in the U.S., or any successor application or procedure and (y) any similar application or functional equivalent relating to biologics licensing applicable to or required by any non-U.S. Governmental Authority, and (ii) all supplements and amendments that may be filed with respect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with respect to any Person, the board of directors or equivalent management or oversight body of such Person or any committee thereof authorized to act on behalf of such board (or equivalent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Borrowing</w:t>
      </w:r>
      <w:r>
        <w:rPr>
          <w:rFonts w:ascii="Times New Roman;Times;Serif" w:hAnsi="Times New Roman;Times;Serif"/>
          <w:b w:val="false"/>
          <w:i w:val="false"/>
          <w:caps w:val="false"/>
          <w:smallCaps w:val="false"/>
          <w:sz w:val="20"/>
        </w:rPr>
        <w:t>” means the borrowing of the Loans on each Applicable Funding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Borrowing Notice</w:t>
      </w:r>
      <w:r>
        <w:rPr>
          <w:rFonts w:ascii="Times New Roman;Times;Serif" w:hAnsi="Times New Roman;Times;Serif"/>
          <w:b w:val="false"/>
          <w:i w:val="false"/>
          <w:caps w:val="false"/>
          <w:smallCaps w:val="false"/>
          <w:sz w:val="20"/>
        </w:rPr>
        <w:t xml:space="preserve">” means a written notice substantially in the form of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Bringdown Date</w:t>
      </w:r>
      <w:r>
        <w:rPr>
          <w:rFonts w:ascii="Times New Roman;Times;Serif" w:hAnsi="Times New Roman;Times;Serif"/>
          <w:b w:val="false"/>
          <w:i w:val="false"/>
          <w:caps w:val="false"/>
          <w:smallCaps w:val="false"/>
          <w:sz w:val="20"/>
        </w:rPr>
        <w:t xml:space="preserve">” means each date on which a Loan is advanced pursuant to </w:t>
      </w:r>
      <w:r>
        <w:rPr>
          <w:rFonts w:ascii="Times New Roman;Times;Serif" w:hAnsi="Times New Roman;Times;Serif"/>
          <w:b/>
          <w:i w:val="false"/>
          <w:caps w:val="false"/>
          <w:smallCaps w:val="false"/>
          <w:sz w:val="20"/>
        </w:rPr>
        <w:t>Section 2.01</w:t>
      </w:r>
      <w:r>
        <w:rPr>
          <w:rFonts w:ascii="Times New Roman;Times;Serif" w:hAnsi="Times New Roman;Times;Serif"/>
          <w:b w:val="false"/>
          <w:i w:val="false"/>
          <w:caps w:val="false"/>
          <w:smallCaps w:val="false"/>
          <w:sz w:val="20"/>
        </w:rPr>
        <w:t xml:space="preserve"> and any other date the representations and warranties under the Loan Documents are required to be made (other than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 day (other than a Saturday or Sunday) on which commercial banks are not authorized or required to close in New York City.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Capital Lease Obligations</w:t>
      </w:r>
      <w:r>
        <w:rPr>
          <w:rFonts w:ascii="Times New Roman;Times;Serif" w:hAnsi="Times New Roman;Times;Serif"/>
          <w:b w:val="false"/>
          <w:i w:val="false"/>
          <w:caps w:val="false"/>
          <w:smallCaps w:val="false"/>
          <w:sz w:val="20"/>
        </w:rPr>
        <w:t>” means, as to any Person, the obligations of such Person to pay rent or other amounts under a lease of (or other agreement conveying the right to use) real and/or personal property, which obligations are required to be classified and accounted for as a capital lease or finance lease on a balance sheet of such Person under GAAP, and for the purposes of this Agreement, the amount of such obligations shall be the capitalized amount thereof, determined in accordance with GAAP. “Capital Lease Obligations” shall not include any obligations under a straight-line or operating lease (including any lease that would not have been a capital lease under GAAP prior to giving effect to Accounting Standards Codification 842, Leases).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CATIONORM PLUS</w:t>
      </w:r>
      <w:r>
        <w:rPr>
          <w:rFonts w:ascii="Times New Roman;Times;Serif" w:hAnsi="Times New Roman;Times;Serif"/>
          <w:b w:val="false"/>
          <w:i w:val="false"/>
          <w:caps w:val="false"/>
          <w:smallCaps w:val="false"/>
          <w:sz w:val="20"/>
        </w:rPr>
        <w:t>” (0.4ml x 30 Vials) is a hydrating and lubricating emulsion which protects the ocular surface and relieves the discomfort and irritation due to dry eye caused by prolonged use of contact lenses or environmental condition.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Casualty Event</w:t>
      </w:r>
      <w:r>
        <w:rPr>
          <w:rFonts w:ascii="Times New Roman;Times;Serif" w:hAnsi="Times New Roman;Times;Serif"/>
          <w:b w:val="false"/>
          <w:i w:val="false"/>
          <w:caps w:val="false"/>
          <w:smallCaps w:val="false"/>
          <w:sz w:val="20"/>
        </w:rPr>
        <w:t>” means the damage, destruction or condemnation, as the case may be, of property of the Borrower or any of its Subsidiaries in excess of $2,000,000.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or series of events (i) as a result of which any “person” or “group” (as such terms are used in Sections 13(d) and 14(d) of the Securities Act, but excluding any of such person or its Subsidiaries, and any Person acting in its capacity as trustee, agent or other fiduciary or administrator of any Plan) becomes the “beneficial owner”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w:t>
            </w:r>
            <w:r>
              <w:rPr>
                <w:rFonts w:ascii="Times New Roman;Times;Serif" w:hAnsi="Times New Roman;Times;Serif"/>
                <w:b/>
                <w:i/>
                <w:caps w:val="false"/>
                <w:smallCaps w:val="false"/>
                <w:sz w:val="20"/>
              </w:rPr>
              <w:t>option right</w:t>
            </w:r>
            <w:r>
              <w:rPr>
                <w:rFonts w:ascii="Times New Roman;Times;Serif" w:hAnsi="Times New Roman;Times;Serif"/>
                <w:b w:val="false"/>
                <w:i w:val="false"/>
                <w:caps w:val="false"/>
                <w:smallCaps w:val="false"/>
                <w:sz w:val="20"/>
              </w:rPr>
              <w:t>”)), directly or indirectly, of thirty-five percent (35%) or more of the Equity Interests of the Borrower entitled to vote for members of the Board of the Borrower on a fully-diluted basis (and taking into account all such Equity Interests that such person or group has the right to acquire pursuant to any option right) or (ii) as a result of which, during any period of twelve (12) consecutive months, a majority of the members of the Board of the Borrower cease to be composed of individuals (A) who were members of such Board on the first day of such period, (B) who were elected, appointed or nominated to such Board, or whose election, appointment or nomination to such Board was approved, by individuals referred to in clause (A) above constituting at the time of such election, appointment, nomination or approval at least a majority of such Board or equivalent governing body or (C) who were elected, appointed or nominated to such Board, or whose election, appointment or nomination to such Board was approved, by individuals referred to in clauses (A) and (B) above constituting at the time of such election, appointment, nomination or approval at least a majority of such Board;</w:t>
            </w:r>
          </w:p>
        </w:tc>
      </w:tr>
    </w:tbl>
    <w:p>
      <w:pPr>
        <w:pStyle w:val="TextBody"/>
        <w:bidi w:val="0"/>
        <w:spacing w:before="0" w:after="0"/>
        <w:ind w:left="504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permitted by this Agreement, an event or series of events that results in the Borrower’s failure to own, directly or indirectly, beneficially and of record, one hundred percent (100%) of all issued and outstanding Equity Interests of each Subsidiary Guarantor (other than Visionology, Inc. and Visionology MSO, Inc.);</w:t>
            </w:r>
          </w:p>
        </w:tc>
      </w:tr>
    </w:tbl>
    <w:p>
      <w:pPr>
        <w:pStyle w:val="TextBody"/>
        <w:bidi w:val="0"/>
        <w:spacing w:before="0" w:after="0"/>
        <w:ind w:left="50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permitted by this Agreement, an event or series of events that results in the Borrower’s failure to own, directly or indirectly, beneficially and of record, at least fifty-one percent (51%) of all issued and outstanding Equity Interests of each of Visionology, Inc. and Visionology MSO, Inc.; or</w:t>
            </w:r>
          </w:p>
        </w:tc>
      </w:tr>
    </w:tbl>
    <w:p>
      <w:pPr>
        <w:pStyle w:val="TextBody"/>
        <w:bidi w:val="0"/>
        <w:spacing w:before="0" w:after="0"/>
        <w:ind w:left="50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or series of events that results in the sale of all or substantially all of the assets of the Borrower and its Subsidiaries, taken as a whole.</w:t>
            </w:r>
          </w:p>
        </w:tc>
      </w:tr>
    </w:tbl>
    <w:p>
      <w:pPr>
        <w:pStyle w:val="TextBody"/>
        <w:bidi w:val="0"/>
        <w:spacing w:before="0" w:after="0"/>
        <w:ind w:left="5040" w:right="0" w:hanging="36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means (and includes) any claim, demand, complaint, grievance, action, application, suit, cause of action, order, charge, indictment, prosecution, judgement or other similar process, whether in respect of assessments or reassessments,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and all costs incurred in investigating or pursuing any of the foregoing or any proceeding relating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means the date on which the conditions precedent specified in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i w:val="false"/>
          <w:caps w:val="false"/>
          <w:smallCaps w:val="false"/>
          <w:sz w:val="20"/>
        </w:rPr>
        <w:t>Section 14.04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Closing Date Fee Letter</w:t>
      </w:r>
      <w:r>
        <w:rPr>
          <w:rFonts w:ascii="Times New Roman;Times;Serif" w:hAnsi="Times New Roman;Times;Serif"/>
          <w:b w:val="false"/>
          <w:i w:val="false"/>
          <w:caps w:val="false"/>
          <w:smallCaps w:val="false"/>
          <w:sz w:val="20"/>
        </w:rPr>
        <w:t>” means the Fee Letter, dated the date of this Agreement, among the Borrower, Oaktree Capital Management, L.P. and the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Closing Date Tranche A Commitment</w:t>
      </w:r>
      <w:r>
        <w:rPr>
          <w:rFonts w:ascii="Times New Roman;Times;Serif" w:hAnsi="Times New Roman;Times;Serif"/>
          <w:b w:val="false"/>
          <w:i w:val="false"/>
          <w:caps w:val="false"/>
          <w:smallCaps w:val="false"/>
          <w:sz w:val="20"/>
        </w:rPr>
        <w:t xml:space="preserve">” means, with respect to each Lender, the obligation of such Lender to make Closing Date Tranche A Term Loans to the Borrower on the Closing Date in accordance with the terms and conditions of this Agreement, which commitment is in the amount set forth opposite such Lender’s name on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under the caption “Closing Date Tranche A Commitment”, as such Schedule may be amended from time to time pursuant to an Assignment and Assumption or otherwise. The aggregate amount of Closing Date Tranche A Commitments on the date of this Agreement equals $65,000,000.</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Closing Date Tranche A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CME</w:t>
      </w:r>
      <w:r>
        <w:rPr>
          <w:rFonts w:ascii="Times New Roman;Times;Serif" w:hAnsi="Times New Roman;Times;Serif"/>
          <w:b w:val="false"/>
          <w:i w:val="false"/>
          <w:caps w:val="false"/>
          <w:smallCaps w:val="false"/>
          <w:sz w:val="20"/>
        </w:rPr>
        <w:t>” means CME Group Benchmark Administration Limited.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from time to time, and the rules and regulations promulgated thereunder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Collateral</w:t>
      </w:r>
      <w:r>
        <w:rPr>
          <w:rFonts w:ascii="Times New Roman;Times;Serif" w:hAnsi="Times New Roman;Times;Serif"/>
          <w:b w:val="false"/>
          <w:i w:val="false"/>
          <w:caps w:val="false"/>
          <w:smallCaps w:val="false"/>
          <w:sz w:val="20"/>
        </w:rPr>
        <w:t xml:space="preserve">” means any real, personal and mixed property (including Equity Interests), whether tangible or intangible, in which Liens are granted or purported to be granted to the Administrative Agent as security for the Obligations under any Loan Document on or after the Closing Date, including future acquired or created assets or property (or collectively, all such real, personal and mixed property, as the context may require);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for the avoidance of doubt, “Collateral” shall not include any Excluded Assets (as defined in the Security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Commitment</w:t>
      </w:r>
      <w:r>
        <w:rPr>
          <w:rFonts w:ascii="Times New Roman;Times;Serif" w:hAnsi="Times New Roman;Times;Serif"/>
          <w:b w:val="false"/>
          <w:i w:val="false"/>
          <w:caps w:val="false"/>
          <w:smallCaps w:val="false"/>
          <w:sz w:val="20"/>
        </w:rPr>
        <w:t xml:space="preserve">” means, with respect to each Lender, the obligation of such Lender to make Loans to the Borrower on the Closing Date, the Incremental Tranche A Funding Date or the Tranche B Funding Date, as applicable, in accordance with the terms and conditions of this Agreement, which commitment is in the amount set forth opposite such Lender’s name on </w:t>
      </w:r>
      <w:r>
        <w:rPr>
          <w:rFonts w:ascii="Times New Roman;Times;Serif" w:hAnsi="Times New Roman;Times;Serif"/>
          <w:b/>
          <w:i w:val="false"/>
          <w:caps w:val="false"/>
          <w:smallCaps w:val="false"/>
          <w:sz w:val="20"/>
        </w:rPr>
        <w:t>Schedule 1</w:t>
      </w:r>
      <w:r>
        <w:rPr>
          <w:rFonts w:ascii="Times New Roman;Times;Serif" w:hAnsi="Times New Roman;Times;Serif"/>
          <w:b w:val="false"/>
          <w:i w:val="false"/>
          <w:caps w:val="false"/>
          <w:smallCaps w:val="false"/>
          <w:sz w:val="20"/>
        </w:rPr>
        <w:t xml:space="preserve"> under the caption “Applicable Commitment”, as such Schedule may be amended from time to time pursuant to an Assignment and Assumption or otherwise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Commitment Fee</w:t>
      </w:r>
      <w:r>
        <w:rPr>
          <w:rFonts w:ascii="Times New Roman;Times;Serif" w:hAnsi="Times New Roman;Times;Serif"/>
          <w:b w:val="false"/>
          <w:i w:val="false"/>
          <w:caps w:val="false"/>
          <w:smallCaps w:val="false"/>
          <w:sz w:val="20"/>
        </w:rPr>
        <w:t>” has the meaning set forth in the Fee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Commitment Termination Date</w:t>
      </w:r>
      <w:r>
        <w:rPr>
          <w:rFonts w:ascii="Times New Roman;Times;Serif" w:hAnsi="Times New Roman;Times;Serif"/>
          <w:b w:val="false"/>
          <w:i w:val="false"/>
          <w:caps w:val="false"/>
          <w:smallCaps w:val="false"/>
          <w:sz w:val="20"/>
        </w:rPr>
        <w:t xml:space="preserve">” means (i) with respect to the Closing Date Tranche A Commitment, the Closing Date, (ii) with respect to the Incremental Tranche A Commitment, the earlier to occur of (x) the date the Incremental Tranche A Commitment is terminated pursuant to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 xml:space="preserve">, (y) the termination of the Eyevance APA without the consummation of the Eyevance Acquisition and (z) August 8, 2023 and (iii) with respect to the Tranche B Commitment, the earlier to occur of (x) the date the Tranche B Commitment is terminated pursuant to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 xml:space="preserve"> and (y) January 31, 2025.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Company Competitor</w:t>
      </w:r>
      <w:r>
        <w:rPr>
          <w:rFonts w:ascii="Times New Roman;Times;Serif" w:hAnsi="Times New Roman;Times;Serif"/>
          <w:b w:val="false"/>
          <w:i w:val="false"/>
          <w:caps w:val="false"/>
          <w:smallCaps w:val="false"/>
          <w:sz w:val="20"/>
        </w:rPr>
        <w:t>” means (i) any competitor of the Borrower or any of its Subsidiaries primarily operating in the same line of business as the Borrower or any of its Subsidiaries and (ii) any of such competitor’s Affiliates (other than any Person that is a bona fide debt fund primarily engaged in the making, purchasing, holding or other investing in commercial loans, notes, bonds or similar extensions of credit or securities in the Ordinary Course) that are either (x) identified by name in writing by the Borrower to the Administrative Agent from time to time or (y) clearly identifiable as an Affiliate of a competitor on the basis of such Affiliate’s name. Notwithstanding anything to the contrary contained in this Agreement, Administrative Agent shall not have any duty or obligation to carry out due diligence in order to identify or determine whether a Person would be a Company Competitor, and the Administrative Agent shall have no liability with respect to any assignment or participation made to a Company Competitor.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8.01(c)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Conforming Changes</w:t>
      </w:r>
      <w:r>
        <w:rPr>
          <w:rFonts w:ascii="Times New Roman;Times;Serif" w:hAnsi="Times New Roman;Times;Serif"/>
          <w:b w:val="false"/>
          <w:i w:val="false"/>
          <w:caps w:val="false"/>
          <w:smallCaps w:val="false"/>
          <w:sz w:val="20"/>
        </w:rPr>
        <w:t>” means, with respect to the use, administration of or any conventions associated with Term SOFR or any proposed Successor Rate, as applicable, any conforming changes to the definitions of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and other technical, administrative or operational matters)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Contracts</w:t>
      </w:r>
      <w:r>
        <w:rPr>
          <w:rFonts w:ascii="Times New Roman;Times;Serif" w:hAnsi="Times New Roman;Times;Serif"/>
          <w:b w:val="false"/>
          <w:i w:val="false"/>
          <w:caps w:val="false"/>
          <w:smallCaps w:val="false"/>
          <w:sz w:val="20"/>
        </w:rPr>
        <w:t>” means any contract, license,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means, in respect of a particular Person, the possession by one or more other Persons, directly or indirectly, of the power to direct or cause the direction of the management or policies of such particular Person, whether through the ability to exercise voting power, by contract or otherwise. “Controlling” and “Controlled” have meanings correlative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Control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Controlled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Copyright</w:t>
      </w:r>
      <w:r>
        <w:rPr>
          <w:rFonts w:ascii="Times New Roman;Times;Serif" w:hAnsi="Times New Roman;Times;Serif"/>
          <w:b w:val="false"/>
          <w:i w:val="false"/>
          <w:caps w:val="false"/>
          <w:smallCaps w:val="false"/>
          <w:sz w:val="20"/>
        </w:rPr>
        <w:t>” means all copyrights (including with respect to published and unpublished works of authorship, software, website and mobile content, data, databases and other compilations of information), copyright registrations and applications for copyright registrations, including all renewals, restorations, reversions and extensions thereof and all other rights whatsoever accruing thereunder or pertaining thereto throughout the world.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Credit Spread Adjustment</w:t>
      </w:r>
      <w:r>
        <w:rPr>
          <w:rFonts w:ascii="Times New Roman;Times;Serif" w:hAnsi="Times New Roman;Times;Serif"/>
          <w:b w:val="false"/>
          <w:i w:val="false"/>
          <w:caps w:val="false"/>
          <w:smallCaps w:val="false"/>
          <w:sz w:val="20"/>
        </w:rPr>
        <w:t>” means 0.15% per annum.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Cure Expiration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11.04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Daily Simple SOFR</w:t>
      </w:r>
      <w:r>
        <w:rPr>
          <w:rFonts w:ascii="Times New Roman;Times;Serif" w:hAnsi="Times New Roman;Times;Serif"/>
          <w:b w:val="false"/>
          <w:i w:val="false"/>
          <w:caps w:val="false"/>
          <w:smallCaps w:val="false"/>
          <w:sz w:val="20"/>
        </w:rPr>
        <w:t>” means with respect to any applicable determination date means the SOFR published on such date on the Federal Reserve Bank of New York’s website (or any successor source).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means any Event of Default and any event that, upon the giving of notice, the lapse of time or both, would constitute an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Defaulting Lender</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i w:val="false"/>
          <w:caps w:val="false"/>
          <w:smallCaps w:val="false"/>
          <w:sz w:val="20"/>
        </w:rPr>
        <w:t>Section 2.07(b)</w:t>
      </w:r>
      <w:r>
        <w:rPr>
          <w:rFonts w:ascii="Times New Roman;Times;Serif" w:hAnsi="Times New Roman;Times;Serif"/>
          <w:b w:val="false"/>
          <w:i w:val="false"/>
          <w:caps w:val="false"/>
          <w:smallCaps w:val="false"/>
          <w:sz w:val="20"/>
        </w:rPr>
        <w:t xml:space="preserve">, any Lender, as determined by the Administrative Agent, that (a) has failed to perform any of its funding obligations hereunder, including with respect to any Closing Date Tranche A Commitments, Incremental Tranche A Commitments or any Tranche B Commitments, within three (3) Business Days of the date required to be funded by it hereunder, (b) has notified the Borrower or the Administrative Agent that it does not intend to comply with its funding obligations hereunder, or (c) has (i) become the subject of an Insolvency Proceeding,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Interests in that Lender or any direct or indirect parent company thereof by a Governmental Authority. Any determination by the Administrative Agent that a Lender is a Defaulting Lender under any one or more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 xml:space="preserve">(c) </w:t>
      </w:r>
      <w:r>
        <w:rPr>
          <w:rFonts w:ascii="Times New Roman;Times;Serif" w:hAnsi="Times New Roman;Times;Serif"/>
          <w:b w:val="false"/>
          <w:i w:val="false"/>
          <w:caps w:val="false"/>
          <w:smallCaps w:val="false"/>
          <w:sz w:val="20"/>
        </w:rPr>
        <w:t xml:space="preserve">above, and of the effective date of such status, shall be conclusive and binding absent manifest error, and such Lender shall be deemed to be a Defaulting Lender (subject to </w:t>
      </w:r>
      <w:r>
        <w:rPr>
          <w:rFonts w:ascii="Times New Roman;Times;Serif" w:hAnsi="Times New Roman;Times;Serif"/>
          <w:b/>
          <w:i w:val="false"/>
          <w:caps w:val="false"/>
          <w:smallCaps w:val="false"/>
          <w:sz w:val="20"/>
        </w:rPr>
        <w:t>Section 2.07(b)</w:t>
      </w:r>
      <w:r>
        <w:rPr>
          <w:rFonts w:ascii="Times New Roman;Times;Serif" w:hAnsi="Times New Roman;Times;Serif"/>
          <w:b w:val="false"/>
          <w:i w:val="false"/>
          <w:caps w:val="false"/>
          <w:smallCaps w:val="false"/>
          <w:sz w:val="20"/>
        </w:rPr>
        <w:t>) as of the date established therefor by the Administrative Agent in a written notice of such determination, which shall be delivered by the Administrative Agent to the Borrower and each Lender promptly following such determination.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Deferred Acquisition Consideration</w:t>
      </w:r>
      <w:r>
        <w:rPr>
          <w:rFonts w:ascii="Times New Roman;Times;Serif" w:hAnsi="Times New Roman;Times;Serif"/>
          <w:b w:val="false"/>
          <w:i w:val="false"/>
          <w:caps w:val="false"/>
          <w:smallCaps w:val="false"/>
          <w:sz w:val="20"/>
        </w:rPr>
        <w:t>” means any purchase price adjustments, royalty, earn-out, milestone payments, contingent or other deferred payments of a similar nature (including any non-compete payments and consulting payments) made in connection with any Permitted Acquisition, the Eyevance Acquisition or other acquisition or investment permitted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Designated Jurisdiction</w:t>
      </w:r>
      <w:r>
        <w:rPr>
          <w:rFonts w:ascii="Times New Roman;Times;Serif" w:hAnsi="Times New Roman;Times;Serif"/>
          <w:b w:val="false"/>
          <w:i w:val="false"/>
          <w:caps w:val="false"/>
          <w:smallCaps w:val="false"/>
          <w:sz w:val="20"/>
        </w:rPr>
        <w:t>” means any country or territory to the extent that such country or territory is the subject of country- or territory-wide Sanctions.</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Disqualified Equity Interests</w:t>
      </w:r>
      <w:r>
        <w:rPr>
          <w:rFonts w:ascii="Times New Roman;Times;Serif" w:hAnsi="Times New Roman;Times;Serif"/>
          <w:b w:val="false"/>
          <w:i w:val="false"/>
          <w:caps w:val="false"/>
          <w:smallCaps w:val="false"/>
          <w:sz w:val="20"/>
        </w:rPr>
        <w:t xml:space="preserve">” means, with respect to any Person, any Equity Interest of such Person that, by its terms (or by the terms of any security or other Equity Interest into which it is convertible or for which it is exchangeable), or upon the happening of any event or condition (a) matures </w:t>
      </w:r>
      <w:r>
        <w:rPr>
          <w:rFonts w:ascii="Times New Roman;Times;Serif" w:hAnsi="Times New Roman;Times;Serif"/>
          <w:b w:val="false"/>
          <w:i w:val="false"/>
          <w:caps w:val="false"/>
          <w:smallCaps w:val="false"/>
          <w:sz w:val="20"/>
          <w:shd w:fill="FFFFFF" w:val="clear"/>
        </w:rPr>
        <w:t xml:space="preserve">(excluding any maturity as the result of an optional redemption by the issuer thereof) </w:t>
      </w:r>
      <w:r>
        <w:rPr>
          <w:rFonts w:ascii="Times New Roman;Times;Serif" w:hAnsi="Times New Roman;Times;Serif"/>
          <w:b w:val="false"/>
          <w:i w:val="false"/>
          <w:caps w:val="false"/>
          <w:smallCaps w:val="false"/>
          <w:sz w:val="20"/>
        </w:rPr>
        <w:t xml:space="preserve">or is mandatorily redeemable (other than solely for (i) Qualified Equity Interests </w:t>
      </w:r>
      <w:r>
        <w:rPr>
          <w:rFonts w:ascii="Times New Roman;Times;Serif" w:hAnsi="Times New Roman;Times;Serif"/>
          <w:b w:val="false"/>
          <w:i w:val="false"/>
          <w:caps w:val="false"/>
          <w:smallCaps w:val="false"/>
          <w:sz w:val="20"/>
          <w:shd w:fill="FFFFFF" w:val="clear"/>
        </w:rPr>
        <w:t>and (ii) cash in lieu of fractional shares</w:t>
      </w:r>
      <w:r>
        <w:rPr>
          <w:rFonts w:ascii="Times New Roman;Times;Serif" w:hAnsi="Times New Roman;Times;Serif"/>
          <w:b w:val="false"/>
          <w:i w:val="false"/>
          <w:caps w:val="false"/>
          <w:smallCaps w:val="false"/>
          <w:sz w:val="20"/>
        </w:rPr>
        <w:t xml:space="preserve">), including pursuant to a sinking fund obligation or otherwise, (b) is redeemable at the option of the holder thereof (other than solely for (i) Qualified Equity Interests </w:t>
      </w:r>
      <w:r>
        <w:rPr>
          <w:rFonts w:ascii="Times New Roman;Times;Serif" w:hAnsi="Times New Roman;Times;Serif"/>
          <w:b w:val="false"/>
          <w:i w:val="false"/>
          <w:caps w:val="false"/>
          <w:smallCaps w:val="false"/>
          <w:sz w:val="20"/>
          <w:shd w:fill="FFFFFF" w:val="clear"/>
        </w:rPr>
        <w:t>and (ii) cash in lieu of fractional shares</w:t>
      </w:r>
      <w:r>
        <w:rPr>
          <w:rFonts w:ascii="Times New Roman;Times;Serif" w:hAnsi="Times New Roman;Times;Serif"/>
          <w:b w:val="false"/>
          <w:i w:val="false"/>
          <w:caps w:val="false"/>
          <w:smallCaps w:val="false"/>
          <w:sz w:val="20"/>
        </w:rPr>
        <w:t xml:space="preserve">), in whole or in part, (c) provides for the scheduled payments of dividends or other distributions in cash </w:t>
      </w:r>
      <w:r>
        <w:rPr>
          <w:rFonts w:ascii="Times New Roman;Times;Serif" w:hAnsi="Times New Roman;Times;Serif"/>
          <w:b w:val="false"/>
          <w:i w:val="false"/>
          <w:caps w:val="false"/>
          <w:smallCaps w:val="false"/>
          <w:sz w:val="20"/>
          <w:shd w:fill="FFFFFF" w:val="clear"/>
        </w:rPr>
        <w:t>(other than the payment of cash in lieu of redemption of fractional shares)</w:t>
      </w:r>
      <w:r>
        <w:rPr>
          <w:rFonts w:ascii="Times New Roman;Times;Serif" w:hAnsi="Times New Roman;Times;Serif"/>
          <w:b w:val="false"/>
          <w:i w:val="false"/>
          <w:caps w:val="false"/>
          <w:smallCaps w:val="false"/>
          <w:sz w:val="20"/>
        </w:rPr>
        <w:t xml:space="preserve"> or other securities that would constitute Disqualified Equity Interests, or (d) is or becomes convertible into or exchangeable for </w:t>
      </w:r>
      <w:r>
        <w:rPr>
          <w:rFonts w:ascii="Times New Roman;Times;Serif" w:hAnsi="Times New Roman;Times;Serif"/>
          <w:b w:val="false"/>
          <w:i w:val="false"/>
          <w:caps w:val="false"/>
          <w:smallCaps w:val="false"/>
          <w:sz w:val="20"/>
          <w:shd w:fill="FFFFFF" w:val="clear"/>
        </w:rPr>
        <w:t>(unless at the sole option of the issuer thereof)</w:t>
      </w:r>
      <w:r>
        <w:rPr>
          <w:rFonts w:ascii="Times New Roman;Times;Serif" w:hAnsi="Times New Roman;Times;Serif"/>
          <w:b w:val="false"/>
          <w:i w:val="false"/>
          <w:caps w:val="false"/>
          <w:smallCaps w:val="false"/>
          <w:sz w:val="20"/>
        </w:rPr>
        <w:t xml:space="preserve"> Indebtedness or any other Equity Interests that would constitute Disqualified Equity Interests, in each case, prior to the date that is ninety-one (91) days after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any Disqualified Equity Interests that would not constitute Disqualified Equity Interests but for provisions thereof giving holders thereof (or the holders of any security into or for which such Equity Interests are convertible, exchangeable or exercisable) the right to require the issuer thereof to redeem or repurchase such Equity Interests upon the occurrence of a change in control (including for this purpose an asset sale that would require prepayment in full of the Obligations) occurring prior to the 91st day after the Maturity Date shall not constitute Disqualified Equity Interests if such right to redemption or repurchase is subject, to the satisfaction of the Administrative Agent in its reasonable discretion, to the prior payment in full of all Obligations (other than contingent indemnification obligations for which no claim has been asserted) under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if such Equity Interests are issued pursuant to a plan for the benefit of employees of the Borrower or any Subsidiary or by any such plan to such employees, such Equity Interests shall not constitute Disqualified Equity Interests solely because (i) such employee may deliver such Equity Interests to the Borrower and its Subsidiaries (or the Borrower or such Subsidiary withholds such Equity Interests) in satisfaction of any exercise price or tax withholding obligations with respect to such Equity Interests, or (ii) they may be required to be repurchased by Borrower or its Subsidiaries as a result of any such employee’s termination, death or disability.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Distressed Debt Investor</w:t>
      </w:r>
      <w:r>
        <w:rPr>
          <w:rFonts w:ascii="Times New Roman;Times;Serif" w:hAnsi="Times New Roman;Times;Serif"/>
          <w:b w:val="false"/>
          <w:i w:val="false"/>
          <w:caps w:val="false"/>
          <w:smallCaps w:val="false"/>
          <w:sz w:val="20"/>
        </w:rPr>
        <w:t>” means any investor or investment fund specializing in distressed debt and a majority of whose investment portfolio at all times consists of distressed debt. In no event shall any Oaktree Lender be deemed to be a Distressed Debt Investor. Notwithstanding anything to the contrary contained in this Agreement, Administrative Agent shall not have any duty or obligation to carry out due diligence in order to identify or determine whether a Person would be a Distressed Debt Investor, and the Administrative Agent shall have no liability with respect to any assignment or participation made to a Distressed Debt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Division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means lawful money of the United States of America.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Domestic Subsidiary</w:t>
      </w:r>
      <w:r>
        <w:rPr>
          <w:rFonts w:ascii="Times New Roman;Times;Serif" w:hAnsi="Times New Roman;Times;Serif"/>
          <w:b w:val="false"/>
          <w:i w:val="false"/>
          <w:caps w:val="false"/>
          <w:smallCaps w:val="false"/>
          <w:sz w:val="20"/>
        </w:rPr>
        <w:t>” means any Subsidiary that is a corporation, limited liability company, partnership or similar business entity incorporated, formed or organized under the laws of the United States, any state of the United States or the District of Columbia.</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EBITDA</w:t>
      </w:r>
      <w:r>
        <w:rPr>
          <w:rFonts w:ascii="Times New Roman;Times;Serif" w:hAnsi="Times New Roman;Times;Serif"/>
          <w:b w:val="false"/>
          <w:i w:val="false"/>
          <w:caps w:val="false"/>
          <w:smallCaps w:val="false"/>
          <w:sz w:val="20"/>
        </w:rPr>
        <w:t xml:space="preserve">” means the consolidated net income (or loss) of the Borrower and its Subsidiaries for such period, as determined in accordance with GAAP (a) increased, without duplication, by the following, in each case only to the extent deducted (and not added back or excluded) in determining consolidated net income (or loss) for such period: (i) stock-based compensation and expenses for such period, (ii) interest expense, net (for such period), (iii) taxes for such period, (iv) depreciation for such period, (v) amortization of intangible assets for such period, (vi) non-cash impairments of intangible assets for such period, (vii) investment losses for such period, solely to the extent such losses are limited to the Permitted Minority Investments, (viii) non-cash expenses for such period, (ix) cash expenses (other than cash expenses recorded in respect of acquired in-process research and development) for such period, not to exceed $2,000,000 in the aggregate during such period, and (x) cash expenses recorded in respect of acquired in-process research and development, not to exceed $3,000,000 in the aggregate during such period; and (b) decreased, without duplication, and to the extent included in arriving at consolidated net income (or loss): (i) investment gains for such period, to the extent such gains are from the Permitted Minority Investments, and (ii) non-cash gains for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calculation of EBITDA and all of the addbacks and components thereof shall be substantially consistent with how Adjusted EBITDA and such addbacks and components thereof were reported in the letter to stockholders dated November 14, 2022 from the Borrower to its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Eligible Transferee</w:t>
      </w:r>
      <w:r>
        <w:rPr>
          <w:rFonts w:ascii="Times New Roman;Times;Serif" w:hAnsi="Times New Roman;Times;Serif"/>
          <w:b w:val="false"/>
          <w:i w:val="false"/>
          <w:caps w:val="false"/>
          <w:smallCaps w:val="false"/>
          <w:sz w:val="20"/>
        </w:rPr>
        <w:t xml:space="preserve">” means and includes (a) any commercial bank or other institutional lender, (b) any insurance company, (c) any finance company, (d) any financial institution, (e) any Person that is a bona fide debt fund primarily engaged in the making, purchasing, holding or other investing in commercial loans, notes, bonds or similar extensions of credit or securities in the Ordinary Course, (f) with respect to any Lender, any of its Affiliates or such Lender’s or Affiliate’s managed funds or accounts, and (g) any other “accredited investor” (as defined in Regulation D of the Securities Act) that is principally in the business of managing investments or holding assets for investment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Eligible Transferee shall not include any Defaulting Lender, Company Competitor or Distressed Debt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 the preceding proviso shall not apply retroactively to any Person that previously acquired an assignment or participation interest hereunder to the extent such Person was not a Defaulting Lender, Company Lender or a Distressed Debt Investor at the time of the applicable assignment or participation and (ii) the Administrative Agent shall not have any duty or obligation to carry out due diligence in order to identify or determine whether a Person would be excluded as an Eligible Transferee as a result of the application of the preceding proviso.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Claims</w:t>
      </w:r>
      <w:r>
        <w:rPr>
          <w:rFonts w:ascii="Times New Roman;Times;Serif" w:hAnsi="Times New Roman;Times;Serif"/>
          <w:b w:val="false"/>
          <w:i w:val="false"/>
          <w:caps w:val="false"/>
          <w:smallCaps w:val="false"/>
          <w:sz w:val="20"/>
        </w:rPr>
        <w:t>” means any investigation, notice, notice of violation, claim, action, suit, proceeding, demand, information request, abatement order or other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health, safety, natural resources or the environment, arising out of a violation of Environmental Law or any Hazardous Materials Activity.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w:t>
      </w:r>
      <w:r>
        <w:rPr>
          <w:rFonts w:ascii="Times New Roman;Times;Serif" w:hAnsi="Times New Roman;Times;Serif"/>
          <w:b w:val="false"/>
          <w:i w:val="false"/>
          <w:caps w:val="false"/>
          <w:smallCaps w:val="false"/>
          <w:sz w:val="20"/>
        </w:rPr>
        <w:t>” means all laws (including common law and any federal, state, provincial or local governmental law), rule, regulation, order, writ, judgment, notice, requirement, binding agreement, injunction or decree, whether U.S., or non-U.S. relating in any way to (a) environmental matters, including those relating to any Hazardous Materials Activity; (b) the generation, use, storage, transportation or disposal of Hazardous Materials; or (c) to the extent related to Hazardous Materials Activity, occupational safety and health, industrial hygiene, land use, natural resources or the protection of human, plant or animal health or welfare, in any manner applicable to the Borrower or any of its Subsidiaries or any Facility.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of any Obligor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Interests</w:t>
      </w:r>
      <w:r>
        <w:rPr>
          <w:rFonts w:ascii="Times New Roman;Times;Serif" w:hAnsi="Times New Roman;Times;Serif"/>
          <w:b w:val="false"/>
          <w:i w:val="false"/>
          <w:caps w:val="false"/>
          <w:smallCaps w:val="false"/>
          <w:sz w:val="20"/>
        </w:rPr>
        <w:t>” means, with respect to any Person (for purposes of this defined term, an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all shares of, interests or participations in, or other equivalents in respect of such issuer’s capital stock, including all membership interests, partnership interests or equivalent, whether now outstanding or issued after the Closing Date, and in each case, however designated and whether voting or non-voting. Notwithstanding the foregoing, in no event shall any Indebtedness convertible or exchangeable into Equity Interests constitute “Equity Interests”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United States Employee Retirement Income Security Act of 1974,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means, collectively, any Obligor, Subsidiary thereof, and any Person under common control, or treated as a single employer, with any Obligor or Subsidiary thereof, within the meaning of Section 414(b) or (c) of the Code.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ERISA Event</w:t>
      </w:r>
      <w:r>
        <w:rPr>
          <w:rFonts w:ascii="Times New Roman;Times;Serif" w:hAnsi="Times New Roman;Times;Serif"/>
          <w:b w:val="false"/>
          <w:i w:val="false"/>
          <w:caps w:val="false"/>
          <w:smallCaps w:val="false"/>
          <w:sz w:val="20"/>
        </w:rPr>
        <w:t>” means (a)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(b) the applicability of the requirements of Section 4043(b) of ERISA with respect to a contributing sponsor, as defined in Section 4001(a)(13) of ERISA, to any Title IV Plan where an event described in paragraph (9), (10), (11), (12) or (13) of Section 4043(c) of ERISA is reasonably expected to occur with respect to such plan within the following thirty (30) days; (c) a withdrawal by any Obligor or any ERISA Affiliate thereof from a Title IV Plan or the termination of any Title IV Plan resulting in liability under Sections 4063 or 4064 of ERISA; (d) the withdrawal of any Obligor or any ERISA Affiliate thereof in a complete or partial withdrawal (within the meaning of Section 4203 and 4205 of ERISA) from any Multiemployer Plan if there is any potential liability therefore, or the receipt by any Obligor or any ERISA Affiliate thereof of notice from any Multiemployer Plan that it is insolvent pursuant to Section 4245 of ERISA; (e) the filing of a notice of intent to terminate, the treatment of a plan amendment as a termination under Section 4041 or 4041A of ERISA, or the commencement of proceedings by the PBGC to terminate a Title IV Plan or Multiemployer Plan, but in the case of a multiple-employer plan or a Multiemployer Plan, only once notice has been received from the plan administrator; (f) the imposition of liability on any Obligor or any ERISA Affiliate thereof pursuant to Sections 4062(e) or 4069 of ERISA or by reason of the application of Section 4212(c) of ERISA; (g) the failure by any Obligor or any ERISA Affiliate thereof to make any required contribution to a Title IV Plan, or the failure to meet the minimum funding standard of Section 412 of the Code with respect to any Title IV Plan (whether or not waived in accordance with Section 412(c) of the Code) or the failure to make by its due date a required installment under Section 430 of the Code with respect to any Title IV Plan or the failure to make any required contribution to a Multiemployer Plan; (h) the determination that any Title IV Plan is considered an at-risk plan or a plan in endangered to critical status within the meaning of Sections 430, 431 and 432 of the Code or Sections 303, 304 and 305 of ERISA, but in the case of a multiple-employer plan or a Multiemployer Plan, only once notice has been received from the plan administrator; (i) an event or condition which might reasonably be expected to constitute grounds under Section 4042 of ERISA for the termination of, or the appointment of a trustee to administer, any Title IV Plan or Multiemployer Plan; (j) the imposition of any liability under Title I or Title IV of ERISA, other than PBGC premiums due but not delinquent under Section 4007 of ERISA, upon any Obligor or any ERISA Affiliate thereof; (k) an application for a funding waiver under Section 303 of ERISA or an extension of any amortization period pursuant to Section 412 of the Code with respect to any Title IV Plan, but in the case of a multiple-employer plan, only once notice has been received from the plan administrator; (l) the occurrence of a non-exempt prohibited transaction under Sections 406 or 407 of ERISA for which any Obligor or any Subsidiary thereof would reasonably be expected to be directly or indirectly liable; (m) a violation of the applicable requirements of Section 404 or 405 of ERISA or the exclusive benefit rule under Section 401(a) of the Code by any fiduciary or disqualified person for which any Obligor or any ERISA Affiliate thereof may be directly or indirectly liable; (n) the occurrence of an act or omission which would reasonably be expected to give rise to the imposition on any Obligor or any ERISA Affiliate thereof of fines, penalties, taxes or related charges under Chapter 43 of the Code or under Sections 409, 502(c), (i) or (1) or 4071 of ERISA; (o) the assertion of a material claim (other than routine claims for benefits) against any Plan or the assets thereof, but in the case of a multiple-employer plan, only once notice has been received from the plan administrator, or against any Obligor or any Subsidiary thereof in connection with any such plan; (p) receipt from the IRS of notice of the failure of any Qualified Plan to qualify under Section 401(a) of the Code, or the failure of any trust forming part of any Qualified Plan to fail to qualify for exemption from taxation under Section 501(a) of the Code that is not corrected under the IRS’s Employee Plans Compliance Resolution System (EPCRS), but in the case of a multiple-employer plan, only once notice has been received from the plan administrator; (q) the imposition of any lien (or the fulfillment of the conditions for the imposition of any lien) on any of the rights, properties or assets of any Obligor or any ERISA Affiliate thereof, in either case pursuant to Title I or IV, including Section 302(f) or 303(k) of ERISA or to Section 401(a)(29) or 430(k) of the Code; or (r) the establishment or amendment by any Obligor or any Subsidiary thereof of any “welfare plan”, as such term is defined in Section 3(1) of ERISA, that provides post-employment welfare benefits in a manner that would increase the liability of any Obligor, other than payment of premiums otherwise required by section 4980B of the Code.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ERISA Funding Rules</w:t>
      </w:r>
      <w:r>
        <w:rPr>
          <w:rFonts w:ascii="Times New Roman;Times;Serif" w:hAnsi="Times New Roman;Times;Serif"/>
          <w:b w:val="false"/>
          <w:i w:val="false"/>
          <w:caps w:val="false"/>
          <w:smallCaps w:val="false"/>
          <w:sz w:val="20"/>
        </w:rPr>
        <w:t>” means the rules regarding minimum required contributions (including any installment payment thereof) to Title IV Plans, as set forth in Sections 412, 430, 431, 432 and 436 of the Code and Sections 302, 303, 304 and 305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 Deficiency Assignment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12.14(d)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 Impacted Class</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12.14(d)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 Return Deficiency</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12.14(d)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Erroneous Payment Subrogation Rights</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12.14(d)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Excluded Accounts</w:t>
      </w:r>
      <w:r>
        <w:rPr>
          <w:rFonts w:ascii="Times New Roman;Times;Serif" w:hAnsi="Times New Roman;Times;Serif"/>
          <w:b w:val="false"/>
          <w:i w:val="false"/>
          <w:caps w:val="false"/>
          <w:smallCaps w:val="false"/>
          <w:sz w:val="20"/>
        </w:rPr>
        <w:t xml:space="preserve">” means (a) deposit accounts exclusively used for payroll, payroll Taxes and other employee wage and benefit payments to or for the benefit of any Obligor’s employees;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balance maintained in such deposit accounts does not exceed the amount necessary to make the next two immediate succeeding payrolls, payroll tax or benefit payments (and such minimum account as may be required by any applicable Law or the applicable financial institution with respect to such account), (b) zero balance accounts swept no less frequently than weekly to a Controlled Account (including any such account where payments pursuant to Medicaid, Medicare, TRICARE or other state or federal healthcare payor programs are deposited), (c) accounts (including trust accounts) used exclusively for bona fide escrow purposes, insurance or fiduciary purposes, (d) cash collateral for Permitted Liens and (e) any other deposit accounts only for so long as, in the case of this clause (e), the amounts of deposit therein do not exceed $500,000 in the aggregate.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Excluded Prepayment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Excluded Subsidiaries</w:t>
      </w:r>
      <w:r>
        <w:rPr>
          <w:rFonts w:ascii="Times New Roman;Times;Serif" w:hAnsi="Times New Roman;Times;Serif"/>
          <w:b w:val="false"/>
          <w:i w:val="false"/>
          <w:caps w:val="false"/>
          <w:smallCaps w:val="false"/>
          <w:sz w:val="20"/>
        </w:rPr>
        <w:t>” means any Immaterial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(x) imposed as a result of such Recipient being organized under the laws of, or having its principal office or, in the case of any Lender, its applicable lending office located in, the jurisdiction imposing such Tax (or any political subdivisions thereof) or (y) that are Other Connection Taxes, (ii) in the case of a Lender, U.S. federal withholding Taxes imposed on amounts payable to or for the account of such Lender with respect to an applicable interest in a Loan or Commitment pursuant to a law in effect on the date on which (1) such Lender acquires such interest in the Loan or Commitment or (2) such Lender changes its lending office (in either case, other than pursuant to an assignment request by the Borrower under </w:t>
      </w:r>
      <w:r>
        <w:rPr>
          <w:rFonts w:ascii="Times New Roman;Times;Serif" w:hAnsi="Times New Roman;Times;Serif"/>
          <w:b/>
          <w:i w:val="false"/>
          <w:caps w:val="false"/>
          <w:smallCaps w:val="false"/>
          <w:sz w:val="20"/>
        </w:rPr>
        <w:t>Section 5.04)</w:t>
      </w:r>
      <w:r>
        <w:rPr>
          <w:rFonts w:ascii="Times New Roman;Times;Serif" w:hAnsi="Times New Roman;Times;Serif"/>
          <w:b w:val="false"/>
          <w:i w:val="false"/>
          <w:caps w:val="false"/>
          <w:smallCaps w:val="false"/>
          <w:sz w:val="20"/>
        </w:rPr>
        <w:t xml:space="preserve">, except in each case to the extent that, pursuant to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Times New Roman;Times;Serif" w:hAnsi="Times New Roman;Times;Serif"/>
          <w:b/>
          <w:i w:val="false"/>
          <w:caps w:val="false"/>
          <w:smallCaps w:val="false"/>
          <w:sz w:val="20"/>
        </w:rPr>
        <w:t>Section 5.03(f)</w:t>
      </w:r>
      <w:r>
        <w:rPr>
          <w:rFonts w:ascii="Times New Roman;Times;Serif" w:hAnsi="Times New Roman;Times;Serif"/>
          <w:b w:val="false"/>
          <w:i w:val="false"/>
          <w:caps w:val="false"/>
          <w:smallCaps w:val="false"/>
          <w:sz w:val="20"/>
        </w:rPr>
        <w:t>, and (iv) any withholding Taxes imposed under FATCA.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Exit Fee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Existing Notes</w:t>
      </w:r>
      <w:r>
        <w:rPr>
          <w:rFonts w:ascii="Times New Roman;Times;Serif" w:hAnsi="Times New Roman;Times;Serif"/>
          <w:b w:val="false"/>
          <w:i w:val="false"/>
          <w:caps w:val="false"/>
          <w:smallCaps w:val="false"/>
          <w:sz w:val="20"/>
        </w:rPr>
        <w:t>” means, collectively (a) the Borrower’s 8.625% senior unsecured notes due 2026 and (b) the Borrower’s 11.875% senior unsecured notes due 2027.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Existing Notes Indenture</w:t>
      </w:r>
      <w:r>
        <w:rPr>
          <w:rFonts w:ascii="Times New Roman;Times;Serif" w:hAnsi="Times New Roman;Times;Serif"/>
          <w:b w:val="false"/>
          <w:i w:val="false"/>
          <w:caps w:val="false"/>
          <w:smallCaps w:val="false"/>
          <w:sz w:val="20"/>
        </w:rPr>
        <w:t>” means, collectively, (a) the Indenture, dated as of April 20, 2021, by and between the Borrower and U.S. Bank, National Association, as trustee, (b) the First Supplemental Indenture, dated as of April 20, 2021, by and between the Borrower and U.S. Bank, National Association, as trustee and (c) the Second Supplemental Indenture, dated as of December 20, 2022, by and between the Borrower and U.S. Bank, National Association, as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Eyevance</w:t>
      </w:r>
      <w:r>
        <w:rPr>
          <w:rFonts w:ascii="Times New Roman;Times;Serif" w:hAnsi="Times New Roman;Times;Serif"/>
          <w:b w:val="false"/>
          <w:i w:val="false"/>
          <w:caps w:val="false"/>
          <w:smallCaps w:val="false"/>
          <w:sz w:val="20"/>
        </w:rPr>
        <w:t>” means, collectively, Eyevance Pharmaceuticals, LLC, a Delaware limited liability company, and Santen S.A.S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 corporation organized and existing under the laws of France.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Eyevance Acquired Assets</w:t>
      </w:r>
      <w:r>
        <w:rPr>
          <w:rFonts w:ascii="Times New Roman;Times;Serif" w:hAnsi="Times New Roman;Times;Serif"/>
          <w:b w:val="false"/>
          <w:i w:val="false"/>
          <w:caps w:val="false"/>
          <w:smallCaps w:val="false"/>
          <w:sz w:val="20"/>
        </w:rPr>
        <w:t>” means, collectively, the Transferred Assets (as defined in the Eyevance APA), the License (as defined in the Eyevance License Agreement) and the Products (as defined in the Eyevance License Agreement).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Eyevance Acquisition</w:t>
      </w:r>
      <w:r>
        <w:rPr>
          <w:rFonts w:ascii="Times New Roman;Times;Serif" w:hAnsi="Times New Roman;Times;Serif"/>
          <w:b w:val="false"/>
          <w:i w:val="false"/>
          <w:caps w:val="false"/>
          <w:smallCaps w:val="false"/>
          <w:sz w:val="20"/>
        </w:rPr>
        <w:t xml:space="preserve">” means the Acquisition of the Eyevance Acquired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immediately prior to, and immediately after giving effect thereto, no Event of Default under any of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shall exist, or would reasonably be expected to result therefrom;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Acquisition shall comply in all material respects with all applicable Laws and all applicable Governmental Approvals, on the terms and conditions set forth in the Eyevance Acquisition Agreements;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a Pro Forma Basis after giving effect to such Acquisition, the Borrower and its Subsidiaries shall be in compliance with the financial covenants set forth in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Deferred Acquisition Consideration for such Acquisition shall consist solely of (i) the Eyevance Milestone Payments in an aggregate amount not to exceed the sum of the amounts set forth in Sections 1.3(a)(ii) and (iii) of the Eyevance APA and Section 9.2 of the Eyevance License Agreement, (ii) a royalty in respect of VERKAZIA in the amount set forth in Section 9.3 of the Eyevance License Agreement and (iii) a royalty in respect of CATIONORM PLUS in the amount set forth in Section 9.3 of the Eyevance License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that all or any portion of the purchase price for any such Acquisition (including any Deferred Acquisition Consideration) is paid in Equity Interests, all such Equity Interests shall be Qualified Equity Interests;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than assets with respect to which the book value of such assets does not exceed $100,000 in the aggregate for such Acquisition, all of the assets acquired in such Acquisition (whether directly or through the Acquisition of any Person) shall be located in the U.S.;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Borrower shall provide to the Administrative Agent (i) at least three (3) Business Day’s prior written notice of the closing of such Acquisition, together with summaries, prepared in reasonable detail, of all due diligence conducted by or on behalf of the Borrower prior to such Acquisition, in each case subject to customary confidentiality restrictions, (ii) true, correct and complete copies of any amendments, supplements or other modifications to the Eyevance Acquisition Agreements, together with any related documents reasonably requested by the Administrative Agent, (iii) pro forma financial statements of the Borrower and its Subsidiaries (as of the last day of the most recently ended fiscal quarter prior to the date of consummation of such Acquisition for which financial statements are required to be delivered pursuant to </w:t>
      </w:r>
      <w:r>
        <w:rPr>
          <w:rFonts w:ascii="Times New Roman;Times;Serif" w:hAnsi="Times New Roman;Times;Serif"/>
          <w:b/>
          <w:i w:val="false"/>
          <w:caps w:val="false"/>
          <w:smallCaps w:val="false"/>
          <w:sz w:val="20"/>
        </w:rPr>
        <w:t xml:space="preserve">Section 8.01(a)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after giving effect to such Acquisition (iv) subject to customary confidentiality restrictions, any other information reasonably requested (to the extent available), by the Administrative Agent and available to the Obligors and (v) a certificate of a Responsible Officer of the Borrower certifying as to the satisfaction of the requirements in clauses (a) through (g) of this definition of “Eyevance Acquisition” and attaching the items described in clause (g)(ii) and (g)(iii);</w:t>
      </w:r>
    </w:p>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 Obligor or any of its Subsidiaries (including any acquired Person) shall, in connection with the Eyevance Acquisition, assume or remain liable with respect to (x) any Indebtedness of the related seller or the business, Person or assets acquired, except (i) to the extent permitted pursuant to </w:t>
      </w:r>
      <w:r>
        <w:rPr>
          <w:rFonts w:ascii="Times New Roman;Times;Serif" w:hAnsi="Times New Roman;Times;Serif"/>
          <w:b/>
          <w:i w:val="false"/>
          <w:caps w:val="false"/>
          <w:smallCaps w:val="false"/>
          <w:sz w:val="20"/>
        </w:rPr>
        <w:t>Section 9.01(i)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9.01(k)</w:t>
      </w:r>
      <w:r>
        <w:rPr>
          <w:rFonts w:ascii="Times New Roman;Times;Serif" w:hAnsi="Times New Roman;Times;Serif"/>
          <w:b w:val="false"/>
          <w:i w:val="false"/>
          <w:caps w:val="false"/>
          <w:smallCaps w:val="false"/>
          <w:sz w:val="20"/>
        </w:rPr>
        <w:t xml:space="preserve">, (ii) the Freshkote Royalty and (iii) the Zerivate License Obligations, (y) any Lien on any business, Person or assets acquired, except to the extent permitted pursuant to </w:t>
      </w:r>
      <w:r>
        <w:rPr>
          <w:rFonts w:ascii="Times New Roman;Times;Serif" w:hAnsi="Times New Roman;Times;Serif"/>
          <w:b/>
          <w:i w:val="false"/>
          <w:caps w:val="false"/>
          <w:smallCaps w:val="false"/>
          <w:sz w:val="20"/>
        </w:rPr>
        <w:t>Section 9.02</w:t>
      </w:r>
      <w:r>
        <w:rPr>
          <w:rFonts w:ascii="Times New Roman;Times;Serif" w:hAnsi="Times New Roman;Times;Serif"/>
          <w:b w:val="false"/>
          <w:i w:val="false"/>
          <w:caps w:val="false"/>
          <w:smallCaps w:val="false"/>
          <w:sz w:val="20"/>
        </w:rPr>
        <w:t xml:space="preserve">, (z) any other liabilities that are not Indebtedness (including Tax, ERISA and environmental liabilities) and that are not otherwise prohibited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assumed liabilities exceed $5,000,000 in the aggregate (together with assumed liabilities described in clause (i) of the definition of “Permitted Acquisitions”), the Administrative Agent shall have consented in writing to the Eyevance Acquisition (such consent not to be unreasonably delayed, withheld, or conditioned). Any other such Indebtedness, liabilities or Liens not permitted to be assumed, continued or otherwise supported by any Obligor or Subsidiary thereof hereunder shall be paid in full or released within sixty (60) days of the acquisition date (or such longer period of time as agreed by the Administrative Agent in its reasonable discretion) as to the business, Persons or properties being so acquired on or before the consummation of the Eyevance Acquisition;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Obligors shall promptly take all actions (including, without limitation, the delivery of shares of stock together with undated transfer powers executed in blank and the delivery of control agreements and other instruments, as applicable) as shall be required by the terms of the Security Documents or reasonably requested by the Administrative Agent to create, in favor of the Administrative Agent for the benefit of the Secured Parties, perfected security interests and Liens in such assets and other property (other than Excluded Assets (as defined in the Security Agreement)) of such Obligor as collateral security for the Obligations.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Eyevance Acquisition Agreements</w:t>
      </w:r>
      <w:r>
        <w:rPr>
          <w:rFonts w:ascii="Times New Roman;Times;Serif" w:hAnsi="Times New Roman;Times;Serif"/>
          <w:b w:val="false"/>
          <w:i w:val="false"/>
          <w:caps w:val="false"/>
          <w:smallCaps w:val="false"/>
          <w:sz w:val="20"/>
        </w:rPr>
        <w:t>” means, collectively, the Eyevance APA, the Eyevance License Agreement, and all other material related documents, in each case, as in effect on the First Amendment Effective Date, or as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provided, that any increase in the consideration paid, whether in the form of Upfront Payment (as defined in the Eyevance APA), Lumpsum Payment (as defined in the Eyevance License Agreement), Deferred Acquisition Consideration or otherwise shall be deemed materially adverse to the Administrative Agent and the Lenders, in their respective capacities as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Eyevance APA</w:t>
      </w:r>
      <w:r>
        <w:rPr>
          <w:rFonts w:ascii="Times New Roman;Times;Serif" w:hAnsi="Times New Roman;Times;Serif"/>
          <w:b w:val="false"/>
          <w:i w:val="false"/>
          <w:caps w:val="false"/>
          <w:smallCaps w:val="false"/>
          <w:sz w:val="20"/>
        </w:rPr>
        <w:t>” means the Asset Purchase Agreement, dated as of the First Amendment Effective Date, by and between the Borrower, Harrow Eye, LLC, Harrow IP, LLC and Eyevance Pharmaceuticals LLC, a Delaware limited liability company, (including all schedules, annexes, exhibits and other attachments thereto), as in effect on the First Amendment Effective Date, or as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provided, that any increase in the consideration paid, whether in the form of Upfront Payment (as defined in the Eyevance APA), Deferred Acquisition Consideration or otherwise shall be deemed materially adverse to the Administrative Agent and the Lenders, in their respective capacities as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Eyevance License Agreement</w:t>
      </w:r>
      <w:r>
        <w:rPr>
          <w:rFonts w:ascii="Times New Roman;Times;Serif" w:hAnsi="Times New Roman;Times;Serif"/>
          <w:b w:val="false"/>
          <w:i w:val="false"/>
          <w:caps w:val="false"/>
          <w:smallCaps w:val="false"/>
          <w:sz w:val="20"/>
        </w:rPr>
        <w:t>” means the License Agreement, dated as of the First Amendment Effective Date, by and between the Borrower, Harrow Eye, LLC, Harrow IP, LLC and Santen S.A.S., a corporation organized and existing under the laws of France, (including all schedules, annexes, exhibits and other attachments thereto), as in effect on the First Amendment Effective Date, or as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provided, that any increase in the consideration paid, whether in the form of Lumpsum Payment (as defined in the Eyevance License Agreement), Deferred Acquisition Consideration or otherwise shall be deemed materially adverse to the Administrative Agent and the Lenders, in their respective capacities as such.</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Eyevance Milestone Payments</w:t>
      </w:r>
      <w:r>
        <w:rPr>
          <w:rFonts w:ascii="Times New Roman;Times;Serif" w:hAnsi="Times New Roman;Times;Serif"/>
          <w:b w:val="false"/>
          <w:i w:val="false"/>
          <w:caps w:val="false"/>
          <w:smallCaps w:val="false"/>
          <w:sz w:val="20"/>
        </w:rPr>
        <w:t>” means, collectively (a) the milestone payments described in Section 1.3(a)(ii) and (iii) of the Eyevance APA and (b) the Milestone Payments (as defined in the Eyevance License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Eyevance Specified Acquisition Agreement Representations</w:t>
      </w:r>
      <w:r>
        <w:rPr>
          <w:rFonts w:ascii="Times New Roman;Times;Serif" w:hAnsi="Times New Roman;Times;Serif"/>
          <w:b w:val="false"/>
          <w:i w:val="false"/>
          <w:caps w:val="false"/>
          <w:smallCaps w:val="false"/>
          <w:sz w:val="20"/>
        </w:rPr>
        <w:t>” means each of the representations and warranties made by or with respect to Eyevance and the Eyevance Acquired Assets in the Eyevance Acquisition Agreements as are material to the interests of the Lenders, but only to the extent that the Borrower or any of its Subsidiaries has the right to terminate its or their respective obligations under the Eyevance Acquisition Agreements or otherwise decline to close the Eyevance Acquisition as a result of a breach of any such representation and warranty or any such representation and warranty not being accurate.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Facility</w:t>
      </w:r>
      <w:r>
        <w:rPr>
          <w:rFonts w:ascii="Times New Roman;Times;Serif" w:hAnsi="Times New Roman;Times;Serif"/>
          <w:b w:val="false"/>
          <w:i w:val="false"/>
          <w:caps w:val="false"/>
          <w:smallCaps w:val="false"/>
          <w:sz w:val="20"/>
        </w:rPr>
        <w:t>” means any real property (including all buildings, fixtures or other improvements located thereon) now, hereafter or heretofore owned, leased or operated by any Obligor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FD&amp;C Act</w:t>
      </w:r>
      <w:r>
        <w:rPr>
          <w:rFonts w:ascii="Times New Roman;Times;Serif" w:hAnsi="Times New Roman;Times;Serif"/>
          <w:b w:val="false"/>
          <w:i w:val="false"/>
          <w:caps w:val="false"/>
          <w:smallCaps w:val="false"/>
          <w:sz w:val="20"/>
        </w:rPr>
        <w:t>” means the U.S. Food, Drug and Cosmetic Act, 21 U.S.C. §§ 301 et seq. (or any successor thereto), as amended from time to time, and the rules, regulations and guidelines issued or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means the U.S. Food and Drug Administration and any successor entity.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Federal Funds Effective Rate</w:t>
      </w:r>
      <w:r>
        <w:rPr>
          <w:rFonts w:ascii="Times New Roman;Times;Serif" w:hAnsi="Times New Roman;Times;Serif"/>
          <w:b w:val="false"/>
          <w:i w:val="false"/>
          <w:caps w:val="false"/>
          <w:smallCaps w:val="false"/>
          <w:sz w:val="20"/>
        </w:rPr>
        <w:t xml:space="preserve">” means,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charged to three (3) major banks on such day on such transactions as determined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Federal Funds Effective Rate as so determined would be less than zero, such rate shall be deemed to be zero for the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Fee Letter</w:t>
      </w:r>
      <w:r>
        <w:rPr>
          <w:rFonts w:ascii="Times New Roman;Times;Serif" w:hAnsi="Times New Roman;Times;Serif"/>
          <w:b w:val="false"/>
          <w:i w:val="false"/>
          <w:caps w:val="false"/>
          <w:smallCaps w:val="false"/>
          <w:sz w:val="20"/>
        </w:rPr>
        <w:t>” means the collective reference to the Closing Date Fee Letter and the First Amendment Fee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First Amendment</w:t>
      </w:r>
      <w:r>
        <w:rPr>
          <w:rFonts w:ascii="Times New Roman;Times;Serif" w:hAnsi="Times New Roman;Times;Serif"/>
          <w:b w:val="false"/>
          <w:i w:val="false"/>
          <w:caps w:val="false"/>
          <w:smallCaps w:val="false"/>
          <w:sz w:val="20"/>
        </w:rPr>
        <w:t>” means the First Amendment to Credit Agreement and Guaranty, dated as of the First Amendment Effective Date, by and among the Borrower, the Guarantors party thereto, the Lenders Party thereto and the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First Amendment Effective Date</w:t>
      </w:r>
      <w:r>
        <w:rPr>
          <w:rFonts w:ascii="Times New Roman;Times;Serif" w:hAnsi="Times New Roman;Times;Serif"/>
          <w:b w:val="false"/>
          <w:i w:val="false"/>
          <w:caps w:val="false"/>
          <w:smallCaps w:val="false"/>
          <w:sz w:val="20"/>
        </w:rPr>
        <w:t>” means July 18, 2023.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First Amendment Fee Letter</w:t>
      </w:r>
      <w:r>
        <w:rPr>
          <w:rFonts w:ascii="Times New Roman;Times;Serif" w:hAnsi="Times New Roman;Times;Serif"/>
          <w:b w:val="false"/>
          <w:i w:val="false"/>
          <w:caps w:val="false"/>
          <w:smallCaps w:val="false"/>
          <w:sz w:val="20"/>
        </w:rPr>
        <w:t>” means the Fee Letter, dated the First Amendment Effective Date, between the Borrower and the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FLAREX</w:t>
      </w:r>
      <w:r>
        <w:rPr>
          <w:rFonts w:ascii="Times New Roman;Times;Serif" w:hAnsi="Times New Roman;Times;Serif"/>
          <w:b w:val="false"/>
          <w:i w:val="false"/>
          <w:caps w:val="false"/>
          <w:smallCaps w:val="false"/>
          <w:sz w:val="20"/>
        </w:rPr>
        <w:t>” (0.1% fluorometholone acetate ophthalmic suspension) is used to treat certain eye conditions due to inflammation or injury.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Foreign Lender</w:t>
      </w:r>
      <w:r>
        <w:rPr>
          <w:rFonts w:ascii="Times New Roman;Times;Serif" w:hAnsi="Times New Roman;Times;Serif"/>
          <w:b w:val="false"/>
          <w:i w:val="false"/>
          <w:caps w:val="false"/>
          <w:smallCaps w:val="false"/>
          <w:sz w:val="20"/>
        </w:rPr>
        <w:t>” means a Lender that is not a U.S.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Foreign Subsidiary</w:t>
      </w:r>
      <w:r>
        <w:rPr>
          <w:rFonts w:ascii="Times New Roman;Times;Serif" w:hAnsi="Times New Roman;Times;Serif"/>
          <w:b w:val="false"/>
          <w:i w:val="false"/>
          <w:caps w:val="false"/>
          <w:smallCaps w:val="false"/>
          <w:sz w:val="20"/>
        </w:rPr>
        <w:t>” means any Subsidiary that is not a Domestic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Freshkote Royalty</w:t>
      </w:r>
      <w:r>
        <w:rPr>
          <w:rFonts w:ascii="Times New Roman;Times;Serif" w:hAnsi="Times New Roman;Times;Serif"/>
          <w:b w:val="false"/>
          <w:i w:val="false"/>
          <w:caps w:val="false"/>
          <w:smallCaps w:val="false"/>
          <w:sz w:val="20"/>
        </w:rPr>
        <w:t xml:space="preserve">” means the royalty described in Section 3.1.4(c) of that certain Asset Purchase Agreement, dated as of September 7, 2018, by and between the Borrower, Harrow Eye, LLC, and Harrow IP, LLC, as successors-by-assignment to Eyevance Pharmaceuticals LLC, a Delaware limited liability company, and Focus Laboratories, Inc., an Arkansas corporation, (including all schedules, annexes, exhibits and other attachments thereto), as in effect on the First Amendment Effective Date, or as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increase in the amount of such royalty shall be deemed materially adverse to the interests of the Administrative Agent and the Lenders in their respective capacities as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Funding Date Certificate</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All references to “GAAP” shall be to GAAP applied consistently with the principles used in the preparation of the financial statements delivered pursuant to </w:t>
      </w:r>
      <w:r>
        <w:rPr>
          <w:rFonts w:ascii="Times New Roman;Times;Serif" w:hAnsi="Times New Roman;Times;Serif"/>
          <w:b/>
          <w:i w:val="false"/>
          <w:caps w:val="false"/>
          <w:smallCaps w:val="false"/>
          <w:sz w:val="20"/>
        </w:rPr>
        <w:t>Section 6.01(f)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Approval</w:t>
      </w:r>
      <w:r>
        <w:rPr>
          <w:rFonts w:ascii="Times New Roman;Times;Serif" w:hAnsi="Times New Roman;Times;Serif"/>
          <w:b w:val="false"/>
          <w:i w:val="false"/>
          <w:caps w:val="false"/>
          <w:smallCaps w:val="false"/>
          <w:sz w:val="20"/>
        </w:rPr>
        <w:t>” means any consent, authorization, approval, order, license, franchise, permit, certification, accreditation, registration, provider or supplier number, HCPCS code, payment status, clearance or exemption that is issued or granted by or from (or pursuant to any act of) any Governmental Authority, including any application or submission related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any country, in each case whether U.S., or non-U.S.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(the “</w:t>
      </w:r>
      <w:r>
        <w:rPr>
          <w:rFonts w:ascii="Times New Roman;Times;Serif" w:hAnsi="Times New Roman;Times;Serif"/>
          <w:b/>
          <w:i/>
          <w:caps w:val="false"/>
          <w:smallCaps w:val="false"/>
          <w:sz w:val="20"/>
        </w:rPr>
        <w:t>primary obligations</w:t>
      </w:r>
      <w:r>
        <w:rPr>
          <w:rFonts w:ascii="Times New Roman;Times;Serif" w:hAnsi="Times New Roman;Times;Serif"/>
          <w:b w:val="false"/>
          <w:i w:val="false"/>
          <w:caps w:val="false"/>
          <w:smallCaps w:val="false"/>
          <w:sz w:val="20"/>
        </w:rPr>
        <w:t>”) of any other Person (the “</w:t>
      </w:r>
      <w:r>
        <w:rPr>
          <w:rFonts w:ascii="Times New Roman;Times;Serif" w:hAnsi="Times New Roman;Times;Serif"/>
          <w:b/>
          <w:i/>
          <w:caps w:val="false"/>
          <w:smallCaps w:val="false"/>
          <w:sz w:val="20"/>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(i) to purchase or pay (or advance or supply funds for the purchase or payment of) such primary obligations or to purchase (or to advance or supply funds for the purchase of) any security for the payment thereof, (ii) to purchase or lease property, securities or services for the purpose of assuring the owner of such primary obligations of the payment thereof, (iii) to maintain working capital, equity capital or any other financial statement condition or liquidity of the primary obligor so as to enable the primary obligor to pay such primary obligations or (iv) as an account party in respect of any letter of credit or letter of guaranty (including any bank guarantee) issued to support such primary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 Guarantee shall not include (x) endorsements for collection or deposit and (y) guarantees of operating leases, in each case, in the Ordinary Course.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Guarantee Assumption Agreement</w:t>
      </w:r>
      <w:r>
        <w:rPr>
          <w:rFonts w:ascii="Times New Roman;Times;Serif" w:hAnsi="Times New Roman;Times;Serif"/>
          <w:b w:val="false"/>
          <w:i w:val="false"/>
          <w:caps w:val="false"/>
          <w:smallCaps w:val="false"/>
          <w:sz w:val="20"/>
        </w:rPr>
        <w:t xml:space="preserve">” means a Guarantee Assumption Agreement substantially in the form of </w:t>
      </w:r>
      <w:r>
        <w:rPr>
          <w:rFonts w:ascii="Times New Roman;Times;Serif" w:hAnsi="Times New Roman;Times;Serif"/>
          <w:b/>
          <w:i w:val="false"/>
          <w:caps w:val="false"/>
          <w:smallCaps w:val="false"/>
          <w:sz w:val="20"/>
        </w:rPr>
        <w:t xml:space="preserve">Exhibit E </w:t>
      </w:r>
      <w:r>
        <w:rPr>
          <w:rFonts w:ascii="Times New Roman;Times;Serif" w:hAnsi="Times New Roman;Times;Serif"/>
          <w:b w:val="false"/>
          <w:i w:val="false"/>
          <w:caps w:val="false"/>
          <w:smallCaps w:val="false"/>
          <w:sz w:val="20"/>
        </w:rPr>
        <w:t xml:space="preserve">by an entity that, pursuant to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 is required to become a “Subsidiary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Guaranteed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Guarantor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each Subsidiary Guarantor.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Guaranty</w:t>
      </w:r>
      <w:r>
        <w:rPr>
          <w:rFonts w:ascii="Times New Roman;Times;Serif" w:hAnsi="Times New Roman;Times;Serif"/>
          <w:b w:val="false"/>
          <w:i w:val="false"/>
          <w:caps w:val="false"/>
          <w:smallCaps w:val="false"/>
          <w:sz w:val="20"/>
        </w:rPr>
        <w:t xml:space="preserve">” means the Guaranty made by the Guarantors under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in favor of the Secured Parties (including any Guaranty assumed by an entity that is required to become a “Subsidiary Guarantor” pursuant to a Guarantee Assumption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Hazardous Material</w:t>
      </w:r>
      <w:r>
        <w:rPr>
          <w:rFonts w:ascii="Times New Roman;Times;Serif" w:hAnsi="Times New Roman;Times;Serif"/>
          <w:b w:val="false"/>
          <w:i w:val="false"/>
          <w:caps w:val="false"/>
          <w:smallCaps w:val="false"/>
          <w:sz w:val="20"/>
        </w:rPr>
        <w:t>” means any chemical, material or substance, exposure to which is prohibited, limited or regulated by any Governmental Authority or which may or would reasonably be expected to pose a hazard to the health and safety of the owners, occupants or any Persons in the vicinity of any Facility or to the indoor or outdoor environment.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Hazardous Materials Activity</w:t>
      </w:r>
      <w:r>
        <w:rPr>
          <w:rFonts w:ascii="Times New Roman;Times;Serif" w:hAnsi="Times New Roman;Times;Serif"/>
          <w:b w:val="false"/>
          <w:i w:val="false"/>
          <w:caps w:val="false"/>
          <w:smallCaps w:val="false"/>
          <w:sz w:val="20"/>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recycling, disposition or handling of any Hazardous Materials, and any investigation, monitoring, corrective action or response action with respect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Healthcare Laws</w:t>
      </w:r>
      <w:r>
        <w:rPr>
          <w:rFonts w:ascii="Times New Roman;Times;Serif" w:hAnsi="Times New Roman;Times;Serif"/>
          <w:b w:val="false"/>
          <w:i w:val="false"/>
          <w:caps w:val="false"/>
          <w:smallCaps w:val="false"/>
          <w:sz w:val="20"/>
        </w:rPr>
        <w:t>” means, collectively, all Laws and Product Authorizations applicable to the business, any Product or the Product Commercialization and Development Activities of any Obligor, whether U.S. or non-U.S., regulating the distribution, dispensing, compounding, importation, exportation, quality, manufacturing, sales, marketing, labeling, promotion and provision of and payment for drugs, biological products, or healthcare products, items and services, including, without limitation, the FD&amp;C Act, the Social Security Act, the Federal Anti-Kickback Statute, the federal False Claims Act, the Stark Law, the PDMA, the Physician Payments Sunshine Act, the Civil Monetary Penalties Law, the exclusion laws, the Health Insurance Portability and Accountability Act of 1996 and all rules, regulations and guidance pertaining to or governing the Medicare and Medicaid programs, the TRICARE Program, federal employee health benefit plans and any other government healthcare programs; and all rules, regulations and guidance promulgated under or pursuant to any of the foregoing, including any state and non-U.S. equivalents.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Hedging Agreement</w:t>
      </w:r>
      <w:r>
        <w:rPr>
          <w:rFonts w:ascii="Times New Roman;Times;Serif" w:hAnsi="Times New Roman;Times;Serif"/>
          <w:b w:val="false"/>
          <w:i w:val="false"/>
          <w:caps w:val="false"/>
          <w:smallCaps w:val="false"/>
          <w:sz w:val="20"/>
        </w:rPr>
        <w:t>” means any interest rate exchange agreement, foreign currency exchange agreement, commodity price protection agreement or other interest or currency exchange rate or commodity price hedging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IHEEZO</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ILEVRO</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Immaterial Subsidiary</w:t>
      </w:r>
      <w:r>
        <w:rPr>
          <w:rFonts w:ascii="Times New Roman;Times;Serif" w:hAnsi="Times New Roman;Times;Serif"/>
          <w:b w:val="false"/>
          <w:i w:val="false"/>
          <w:caps w:val="false"/>
          <w:smallCaps w:val="false"/>
          <w:sz w:val="20"/>
        </w:rPr>
        <w:t xml:space="preserve">” means any Subsidiary of the Borrower that (i) individually constitutes or holds less than two and one half percent (2.5%) of the Borrower’s consolidated total assets and generates less than two and one half percent (2.5%) of the Borrower’s consolidated total revenue, and (ii) when taken together with all then existing Immaterial Subsidiaries, such Subsidiary and such Immaterial Subsidiaries, in the aggregate, would constitute or hold less than three percent (3%) of the Borrower’s consolidated total assets and generate less than three percent (3%) of the Borrower’s consolidated total revenue, in each case of the foregoing clauses as of the last day of, or for, the most recently ended fiscal period for which financial statements were required to have been delivered pursuant to Section </w:t>
      </w:r>
      <w:r>
        <w:rPr>
          <w:rFonts w:ascii="Times New Roman;Times;Serif" w:hAnsi="Times New Roman;Times;Serif"/>
          <w:b/>
          <w:i w:val="false"/>
          <w:caps w:val="false"/>
          <w:smallCaps w:val="false"/>
          <w:sz w:val="20"/>
        </w:rPr>
        <w:t>8.01(a) or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no Subsidiary that owns any Material Intellectual Property shall be an Immaterial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IND</w:t>
      </w:r>
      <w:r>
        <w:rPr>
          <w:rFonts w:ascii="Times New Roman;Times;Serif" w:hAnsi="Times New Roman;Times;Serif"/>
          <w:b w:val="false"/>
          <w:i w:val="false"/>
          <w:caps w:val="false"/>
          <w:smallCaps w:val="false"/>
          <w:sz w:val="20"/>
        </w:rPr>
        <w:t>” means (i) (x) an investigational new drug application (as defined in the FD&amp;C Act) that is required to be filed with the FDA before beginning clinical testing in human subjects, or any successor application or procedure and (y) any similar application or functional equivalent relating to any investigational new drug application applicable to or required by any non-U.S. Governmental Authority, and (ii) all supplements and amendments that may be filed with respect to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Incremental Tranche A Availability Period</w:t>
      </w:r>
      <w:r>
        <w:rPr>
          <w:rFonts w:ascii="Times New Roman;Times;Serif" w:hAnsi="Times New Roman;Times;Serif"/>
          <w:b w:val="false"/>
          <w:i w:val="false"/>
          <w:caps w:val="false"/>
          <w:smallCaps w:val="false"/>
          <w:sz w:val="20"/>
        </w:rPr>
        <w:t>” has the meaning set forth in the Loans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Incremental Tranche A Commitment</w:t>
      </w:r>
      <w:r>
        <w:rPr>
          <w:rFonts w:ascii="Times New Roman;Times;Serif" w:hAnsi="Times New Roman;Times;Serif"/>
          <w:b w:val="false"/>
          <w:i w:val="false"/>
          <w:caps w:val="false"/>
          <w:smallCaps w:val="false"/>
          <w:sz w:val="20"/>
        </w:rPr>
        <w:t xml:space="preserve">” means with respect to each Lender, the obligation of such Lender to make Incremental Tranche A Term Loans to the Borrower on the Incremental Tranche A Funding Date in accordance with the terms and conditions of this Agreement, which commitment is in the amount set forth opposite such Lender’s name on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under the caption “Incremental Tranche A Commitment”, as such Schedule may be amended from time to time pursuant to an Assignment and Assumption or otherwise. The aggregate amount of Incremental Tranche A Commitments on the First Amendment Effective Date equals $12,500,000.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Incremental Tranche A Funding Condition</w:t>
      </w:r>
      <w:r>
        <w:rPr>
          <w:rFonts w:ascii="Times New Roman;Times;Serif" w:hAnsi="Times New Roman;Times;Serif"/>
          <w:b w:val="false"/>
          <w:i w:val="false"/>
          <w:caps w:val="false"/>
          <w:smallCaps w:val="false"/>
          <w:sz w:val="20"/>
        </w:rPr>
        <w:t>” has the meaning set forth in the Loans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Incremental Tranche A Funding Date</w:t>
      </w:r>
      <w:r>
        <w:rPr>
          <w:rFonts w:ascii="Times New Roman;Times;Serif" w:hAnsi="Times New Roman;Times;Serif"/>
          <w:b w:val="false"/>
          <w:i w:val="false"/>
          <w:caps w:val="false"/>
          <w:smallCaps w:val="false"/>
          <w:sz w:val="20"/>
        </w:rPr>
        <w:t xml:space="preserve">” means the date on or prior to the expiration of the Incremental Tranche A Availability Period on which all conditions precedent set forth in </w:t>
      </w:r>
      <w:r>
        <w:rPr>
          <w:rFonts w:ascii="Times New Roman;Times;Serif" w:hAnsi="Times New Roman;Times;Serif"/>
          <w:b/>
          <w:i w:val="false"/>
          <w:caps w:val="false"/>
          <w:smallCaps w:val="false"/>
          <w:sz w:val="20"/>
        </w:rPr>
        <w:t>Section 6.03</w:t>
      </w:r>
      <w:r>
        <w:rPr>
          <w:rFonts w:ascii="Times New Roman;Times;Serif" w:hAnsi="Times New Roman;Times;Serif"/>
          <w:b w:val="false"/>
          <w:i w:val="false"/>
          <w:caps w:val="false"/>
          <w:smallCaps w:val="false"/>
          <w:sz w:val="20"/>
        </w:rPr>
        <w:t xml:space="preserve"> for the borrowing of Incremental Tranche A Term Loans are satisfied or waived in accordance with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Incremental Tranche A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xml:space="preserve">” of any Person means, without duplication, (i) all obligations of such Person for borrowed money, (ii) all obligations of such Person evidenced by bonds, debentures, notes, loan agreements or similar instruments, (iii) all obligations of such Person upon which interest charges are customarily paid (excluding interest penalties for late payments under commercial contracts entered into in the Ordinary Course and, for the avoidance of doubt, which commercial contracts do not relate to obligations for borrowed money or purchase money indebtedness), (iv) all obligations of such Person under conditional sale or other title retention agreements relating to property acquired by such Person, (v) all obligations of such Person in respect of the deferred purchase price of property or services (excluding (A) any royalty payments or similar payments based on a percentage of sales under any such license or other agreement, (B) deferred compensation and accounts payable incurred in the Ordinary Course and not overdue by more than sixty (60) days or otherwise being disputed in good faith, and (C) any earn-out obligation until such earn-out obligation appears on such Person’s balance sheet in accordance with GAAP), (vi) all Indebtedness of others secured by (or for which the holder of such Indebtedness has an existing right, contingent or otherwise, to be secured by) any Lien on property owned or acquired by such Person, whether or not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(x) obligations under any Hedging Agreement, currency swaps, forwards, futures or derivatives transactions, (xi) all obligations, contingent or otherwise, of such Person in respect of bankers’ acceptances, (xii) all milestone and similar payments of such Person under any license or other agreements appearing on such Person’s balance sheet in accordance with GAAP (but excluding any such payments based on a percentage of sales under any such license or other agreement), (xiii) any Disqualified Equity Interests of such Person, and (xiv) all other obligations required to be classified as indebtedness of such Person under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Indebtedness shall not include (A) accrued expenses, deferred rent, deferred taxes, deferred compensation or customary obligations under employment agreements, or (B) any accounts payable existing as of the Closing Date that are classified as indebtedness in accordance with GAAP but have been overdue for more than two (2) years prior to the Closing Date and are not subject to collection attempts by the applicable payee, in an amount not to exceed $500,000 in the aggregate.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14.03(b)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means (i) Taxes, other than Excluded Taxes, imposed on or with respect to any payment made by or on account of any Obligation and (ii) to the extent not otherwise described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Other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Insolvency Proceeding</w:t>
      </w:r>
      <w:r>
        <w:rPr>
          <w:rFonts w:ascii="Times New Roman;Times;Serif" w:hAnsi="Times New Roman;Times;Serif"/>
          <w:b w:val="false"/>
          <w:i w:val="false"/>
          <w:caps w:val="false"/>
          <w:smallCaps w:val="false"/>
          <w:sz w:val="20"/>
        </w:rPr>
        <w:t>” means (i) any case, action or proceeding before any court or other Governmental Authority relating to bankruptcy, reorganization, insolvency, administration, re-arrangement, moratorium, liquidation, receivership, examinership, dissolution, winding-up or relief of debtors, or (ii) any general assignment for the benefit of creditors, composition, marshaling of assets for creditors, or other, similar arrangement in respect of any Person’s creditors generally or any substantial portion of such Person’s creditors, in each case undertaken under U.S. federal or state, or foreign law, including the Bankruptcy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means all intellectual property or proprietary rights anywhere in the world, including all rights in or to Patents, Trademarks, Copyrights, and Technical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Intercompany Subordination Agreement</w:t>
      </w:r>
      <w:r>
        <w:rPr>
          <w:rFonts w:ascii="Times New Roman;Times;Serif" w:hAnsi="Times New Roman;Times;Serif"/>
          <w:b w:val="false"/>
          <w:i w:val="false"/>
          <w:caps w:val="false"/>
          <w:smallCaps w:val="false"/>
          <w:sz w:val="20"/>
        </w:rPr>
        <w:t xml:space="preserve">” means a subordination agreement to be executed and delivered by each Obligor and each of its Subsidiaries, pursuant to which all obligations in respect of any Indebtedness owing to any such Person by an Obligor shall be subordinated to the prior payment in full in cash of all Obligations, such agreement to be in substantially the form attached hereto as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Interest Period</w:t>
      </w:r>
      <w:r>
        <w:rPr>
          <w:rFonts w:ascii="Times New Roman;Times;Serif" w:hAnsi="Times New Roman;Times;Serif"/>
          <w:b w:val="false"/>
          <w:i w:val="false"/>
          <w:caps w:val="false"/>
          <w:smallCaps w:val="false"/>
          <w:sz w:val="20"/>
        </w:rPr>
        <w:t>” means (a) the period commencing on and including the Closing Date and ending on and including the immediately subsequent Payment Date and (b) subsequently, each period commencing on and excluding the last day of the previous Interest Period for such Loan and ending on and including the immediately subsequent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Interest Rate</w:t>
      </w:r>
      <w:r>
        <w:rPr>
          <w:rFonts w:ascii="Times New Roman;Times;Serif" w:hAnsi="Times New Roman;Times;Serif"/>
          <w:b w:val="false"/>
          <w:i w:val="false"/>
          <w:caps w:val="false"/>
          <w:smallCaps w:val="false"/>
          <w:sz w:val="20"/>
        </w:rPr>
        <w:t xml:space="preserve">” means, for any Interest Period, a rate per annum equal to the sum of (a) the Applicable Margin plus (b) Three-Month Term SOFR, as may be increased pursuant to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Invention</w:t>
      </w:r>
      <w:r>
        <w:rPr>
          <w:rFonts w:ascii="Times New Roman;Times;Serif" w:hAnsi="Times New Roman;Times;Serif"/>
          <w:b w:val="false"/>
          <w:i w:val="false"/>
          <w:caps w:val="false"/>
          <w:smallCaps w:val="false"/>
          <w:sz w:val="20"/>
        </w:rPr>
        <w:t>” means any novel, inventive or useful art, apparatus, method, process, machine (including any article or device), manufacture or composition of matter, or any novel, inventive and useful improvement in any art, method, process, machine (including article or device), manufacture or composition of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Investment</w:t>
      </w:r>
      <w:r>
        <w:rPr>
          <w:rFonts w:ascii="Times New Roman;Times;Serif" w:hAnsi="Times New Roman;Times;Serif"/>
          <w:b w:val="false"/>
          <w:i w:val="false"/>
          <w:caps w:val="false"/>
          <w:smallCaps w:val="false"/>
          <w:sz w:val="20"/>
        </w:rPr>
        <w:t xml:space="preserve">” means, for any Person: (i) the acquisition (whether for cash, property, services or securities or otherwise) of any debt or Equity Interests, bonds, notes, debentures, partnership or other ownership interests or other securities of any other Person (including any “short sale” or any sale of any securities at a time when such securities are not owned by the Person entering into such sale); (ii) the making of any deposit with, or advance, loan, assumption of debt or other extension of credit to, or capital contribution in any other Person (including the purchase of property from another Person subject to an understanding or agreement, contingent or otherwise, to resell such property to such Person), but excluding any such advance, loan or extension of credit having a term not exceeding ninety (90) days arising in connection with the sale of inventory or supplies by such Person in the Ordinary Course; or (iii) the entering into of any Guarantee of, or other contingent obligation with respect to, Indebtedness or other liability of any other Person and (without duplication) any amount committed to be advanced, lent or extended to such Person. The amount of an Investment shall be the amount actually invested (which, in the case of any Investment constituting the contribution of an asset or property, shall be based on such Person’s good faith estimate of the fair market value of such asset or property at the time such Investment is made), less the amount of cash received or returned for such Investment, without adjustment for subsequent increases or decreases in the value of such Investment or write-ups, write-downs or write-offs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such amount be less than zero or increase any basket or amount pursuant to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above the fixed amount set forth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IOPIDINE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U.S. Internal Revenue Service or any successor agency, and to the extent relevant, the U.S. Department of the Treasury.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 joint venture, partnership or other similar arrangement, in corporate, partnership or similar legal form with a Person other than Borrower or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Key Person</w:t>
      </w:r>
      <w:r>
        <w:rPr>
          <w:rFonts w:ascii="Times New Roman;Times;Serif" w:hAnsi="Times New Roman;Times;Serif"/>
          <w:b w:val="false"/>
          <w:i w:val="false"/>
          <w:caps w:val="false"/>
          <w:smallCaps w:val="false"/>
          <w:sz w:val="20"/>
        </w:rPr>
        <w:t>” means each of the Chief Financial Officer of Borrower, the Chief Executive Officer of Borrower and the Chief Commercial Officer of Borrower, which as of the Closing Date are Andrew Boll, Mark Baum, and John Saharek, respectively.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Key Person Event</w:t>
      </w:r>
      <w:r>
        <w:rPr>
          <w:rFonts w:ascii="Times New Roman;Times;Serif" w:hAnsi="Times New Roman;Times;Serif"/>
          <w:b w:val="false"/>
          <w:i w:val="false"/>
          <w:caps w:val="false"/>
          <w:smallCaps w:val="false"/>
          <w:sz w:val="20"/>
        </w:rPr>
        <w:t>” means, at any time, two (2) or more Key Persons cease to be employed by the Borrower, and Borrower shall fail, within one hundred eighty (180) days (or such longer period as the Administrative Agent may accept in its sole discretion) of the date that each such Person ceases to serve in such capacity, to appoint a replacement for such Person reasonably acceptable to the Administrative Agent. A Key Person shall be deemed not employed if they have resigned or provided notice of resignation or any period they are subject to any “gardening” or similar leave.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Landlord Consent</w:t>
      </w:r>
      <w:r>
        <w:rPr>
          <w:rFonts w:ascii="Times New Roman;Times;Serif" w:hAnsi="Times New Roman;Times;Serif"/>
          <w:b w:val="false"/>
          <w:i w:val="false"/>
          <w:caps w:val="false"/>
          <w:smallCaps w:val="false"/>
          <w:sz w:val="20"/>
        </w:rPr>
        <w:t>” means, with respect to locations in the United States, a Landlord Consent substantially in the form attached to the Security Agreement, or with respect to locations in and outside of the United States, a landlord consent or similar document in form and substance satisfactory to the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collectively, all U.S. and non-U.S. federal, state, provincial, territorial, municipal or local statute, treaty, rule, guideline, regulation, ordinance, code or administrative or judicial precedent or authority, including any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 any mortgage, lien, license, pledge, hypothecation, charge, security interest, or other encumbrance of any kind or character whatsoever, whether or not filed, recorded or otherwise perfected under applicable Law, or any lease, title retention agreement, mortgage, restriction, easement, right-of-way, option or adverse claim (of ownership or possession) (including any conditional sale or other title retention agreement, any lease in the nature thereof, and any other encumbrance on title to real property, any option or other agreement to sell, or give a security interest in, such asset and any filing of or agreement to give any financing statement under the Uniform Commercial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Loan</w:t>
      </w:r>
      <w:r>
        <w:rPr>
          <w:rFonts w:ascii="Times New Roman;Times;Serif" w:hAnsi="Times New Roman;Times;Serif"/>
          <w:b w:val="false"/>
          <w:i w:val="false"/>
          <w:caps w:val="false"/>
          <w:smallCaps w:val="false"/>
          <w:sz w:val="20"/>
        </w:rPr>
        <w:t xml:space="preserve">” means each loan advanced by a Lender pursuant to </w:t>
      </w:r>
      <w:r>
        <w:rPr>
          <w:rFonts w:ascii="Times New Roman;Times;Serif" w:hAnsi="Times New Roman;Times;Serif"/>
          <w:b/>
          <w:i w:val="false"/>
          <w:caps w:val="false"/>
          <w:smallCaps w:val="false"/>
          <w:sz w:val="20"/>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Loan Documents</w:t>
      </w:r>
      <w:r>
        <w:rPr>
          <w:rFonts w:ascii="Times New Roman;Times;Serif" w:hAnsi="Times New Roman;Times;Serif"/>
          <w:b w:val="false"/>
          <w:i w:val="false"/>
          <w:caps w:val="false"/>
          <w:smallCaps w:val="false"/>
          <w:sz w:val="20"/>
        </w:rPr>
        <w:t>” means, collectively, this Agreement, the Notes, the First Amendment, the Second Amendment, the Security Documents, the Perfection Certificate, the Closing Date Fee Letter, the First Amendment Fee Letter, any Guarantee Assumption Agreement, the Intercompany Subordination Agreement, and any subordination agreement, intercreditor agreement or other present or future document, instrument, agreement or certificate delivered to the Administrative Agent (for itself or for the benefit of any other Secured Party) in connection with this Agreement or any of the other Loan Documents, in each case, as amended or otherwise modified.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Loans Schedule</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Schedule 1</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Loss</w:t>
      </w:r>
      <w:r>
        <w:rPr>
          <w:rFonts w:ascii="Times New Roman;Times;Serif" w:hAnsi="Times New Roman;Times;Serif"/>
          <w:b w:val="false"/>
          <w:i w:val="false"/>
          <w:caps w:val="false"/>
          <w:smallCaps w:val="false"/>
          <w:sz w:val="20"/>
        </w:rPr>
        <w:t>” 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Majority Lenders</w:t>
      </w:r>
      <w:r>
        <w:rPr>
          <w:rFonts w:ascii="Times New Roman;Times;Serif" w:hAnsi="Times New Roman;Times;Serif"/>
          <w:b w:val="false"/>
          <w:i w:val="false"/>
          <w:caps w:val="false"/>
          <w:smallCaps w:val="false"/>
          <w:sz w:val="20"/>
        </w:rPr>
        <w:t xml:space="preserve">” means, at any time, Lenders having at such time in excess of fifty percent (50%) of the aggregate unused Commitments then in effect and the outstanding principal amount of the Loans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so long as the Oaktree Lenders own at least twenty-five percent (25%) of the aggregate unused Commitments then in effect and the outstanding principal amount of the Loans at such time, the consent of the Oaktree Lenders shall be required to constitute the Majority Lenders. The Commitments of any Defaulting Lender shall be disregarded in determining Majority Lenders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Make-Whole Discounted Value</w:t>
      </w:r>
      <w:r>
        <w:rPr>
          <w:rFonts w:ascii="Times New Roman;Times;Serif" w:hAnsi="Times New Roman;Times;Serif"/>
          <w:b w:val="false"/>
          <w:i w:val="false"/>
          <w:caps w:val="false"/>
          <w:smallCaps w:val="false"/>
          <w:sz w:val="20"/>
        </w:rPr>
        <w:t>” means the amount obtained by discounting all Make-Whole Remaining Scheduled Payments with respect to the principal amount of such Loan being paid or prepaid to the Maturity Date, as determined by the Administrative Agent at a discount factor equal to the Make-Whole Reinvestment Yield.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Make-Whole Remaining Scheduled Payments</w:t>
      </w:r>
      <w:r>
        <w:rPr>
          <w:rFonts w:ascii="Times New Roman;Times;Serif" w:hAnsi="Times New Roman;Times;Serif"/>
          <w:b w:val="false"/>
          <w:i w:val="false"/>
          <w:caps w:val="false"/>
          <w:smallCaps w:val="false"/>
          <w:sz w:val="20"/>
        </w:rPr>
        <w:t>” means all interest payments on the principal amount of the Loan being paid or prepaid that would be due on or prior to the Maturity Date with respect to such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Make-Whole Reinvestment Yield</w:t>
      </w:r>
      <w:r>
        <w:rPr>
          <w:rFonts w:ascii="Times New Roman;Times;Serif" w:hAnsi="Times New Roman;Times;Serif"/>
          <w:b w:val="false"/>
          <w:i w:val="false"/>
          <w:caps w:val="false"/>
          <w:smallCaps w:val="false"/>
          <w:sz w:val="20"/>
        </w:rPr>
        <w:t xml:space="preserve">” means, as determined by the Administrative Agent, 0.50% over the yield to maturity of the most recently issued United States Treasury securities with a constant maturity (as compiled and published in the most recent Federal Reserve Statistical Release H.15 (or is obtainable from the Federal Reserve System’s Data Download Program as of the date of such H.15) that has become publicly available at least two Business Days prior to such date (or, if such Statistical Release is no longer published, any publicly available source of similar market data)) most nearly equal to the period from such date of payment or prepayment to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period from such date payment or prepayment to the Maturity Date is less than one year, the weekly average yield on actually traded United States Treasury securities adjusted to a constant maturity of one year will be used.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Mandatory Prepayment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3.03(b)(i)(A)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Margin Stock</w:t>
      </w:r>
      <w:r>
        <w:rPr>
          <w:rFonts w:ascii="Times New Roman;Times;Serif" w:hAnsi="Times New Roman;Times;Serif"/>
          <w:b w:val="false"/>
          <w:i w:val="false"/>
          <w:caps w:val="false"/>
          <w:smallCaps w:val="false"/>
          <w:sz w:val="20"/>
        </w:rPr>
        <w:t>” means “margin stock” within the meaning of Regulations U and 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Change</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mean a material adverse change in or effect on (i) the business, financial performance, operations, financial condition, assets or liabilities of the Borrower and its Subsidiaries taken as a whole, (ii) the ability of the Obligors, taken as a whole, to perform their payment obligations under the Loan Documents, as and when due, (iii) the legality, validity, binding effect or enforceability of any Loan Document or (iv) the rights, remedies and benefits available to, or conferred upon, the Administrative Agent or the Secured Parties under any Loan Document.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Material Agreement</w:t>
      </w:r>
      <w:r>
        <w:rPr>
          <w:rFonts w:ascii="Times New Roman;Times;Serif" w:hAnsi="Times New Roman;Times;Serif"/>
          <w:b w:val="false"/>
          <w:i w:val="false"/>
          <w:caps w:val="false"/>
          <w:smallCaps w:val="false"/>
          <w:sz w:val="20"/>
        </w:rPr>
        <w:t>” means any Contract required to be disclosed (including amendments thereto) under regulations promulgated under the Securities Act of 1933 or Securities Exchange Act of 1934, as may be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Material Environmental Liability</w:t>
      </w:r>
      <w:r>
        <w:rPr>
          <w:rFonts w:ascii="Times New Roman;Times;Serif" w:hAnsi="Times New Roman;Times;Serif"/>
          <w:b w:val="false"/>
          <w:i w:val="false"/>
          <w:caps w:val="false"/>
          <w:smallCaps w:val="false"/>
          <w:sz w:val="20"/>
        </w:rPr>
        <w:t>” means any Environmental Liability that has had or would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Material Indebtedness</w:t>
      </w:r>
      <w:r>
        <w:rPr>
          <w:rFonts w:ascii="Times New Roman;Times;Serif" w:hAnsi="Times New Roman;Times;Serif"/>
          <w:b w:val="false"/>
          <w:i w:val="false"/>
          <w:caps w:val="false"/>
          <w:smallCaps w:val="false"/>
          <w:sz w:val="20"/>
        </w:rPr>
        <w:t>” means, at any time (a) the Existing Notes and (b) any other Indebtedness of any Obligor or Subsidiary thereof, the outstanding principal amount of which, individually or in the aggregate, exceeds $5,000,000.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Material Intellectual Property</w:t>
      </w:r>
      <w:r>
        <w:rPr>
          <w:rFonts w:ascii="Times New Roman;Times;Serif" w:hAnsi="Times New Roman;Times;Serif"/>
          <w:b w:val="false"/>
          <w:i w:val="false"/>
          <w:caps w:val="false"/>
          <w:smallCaps w:val="false"/>
          <w:sz w:val="20"/>
        </w:rPr>
        <w:t>” means all Intellectual Property, whether currently owned by (or purported to be owned by), or subject to a license, covenant not to sue or similar right or immunity to (or purported to be subject to a license, covenant not to sue or similar right or immunity to) the Borrower or any of its Subsidiaries, or acquired, developed, obtained by, or otherwise subject to a license, covenant not to sue or similar right or immunity to the Borrower or any of its Subsidiaries after the date hereof that is, in each case, material to the current, planned, or anticipated business of the Borrower or any of its Subsidiaries. As of the Closing Date, Material Intellectual Property includes all Intellectual Property material to any Product (including Product Commercialization and Development Activities with respect to such Products).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Material Product Authorizations</w:t>
      </w:r>
      <w:r>
        <w:rPr>
          <w:rFonts w:ascii="Times New Roman;Times;Serif" w:hAnsi="Times New Roman;Times;Serif"/>
          <w:b w:val="false"/>
          <w:i w:val="false"/>
          <w:caps w:val="false"/>
          <w:smallCaps w:val="false"/>
          <w:sz w:val="20"/>
        </w:rPr>
        <w:t>” means any and all Product Authorizations, in each case, necessary to be held or maintained by, or for the benefit of, any Obligor or any of its Subsidiaries for any Product Commercialization and Development Activities that is, in each case, material to the current, planned, or anticipated business of the Borrower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Material Subsidiary</w:t>
      </w:r>
      <w:r>
        <w:rPr>
          <w:rFonts w:ascii="Times New Roman;Times;Serif" w:hAnsi="Times New Roman;Times;Serif"/>
          <w:b w:val="false"/>
          <w:i w:val="false"/>
          <w:caps w:val="false"/>
          <w:smallCaps w:val="false"/>
          <w:sz w:val="20"/>
        </w:rPr>
        <w:t>” means any Subsidiary of the Borrower that is not an Immaterial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Maturity Date</w:t>
      </w:r>
      <w:r>
        <w:rPr>
          <w:rFonts w:ascii="Times New Roman;Times;Serif" w:hAnsi="Times New Roman;Times;Serif"/>
          <w:b w:val="false"/>
          <w:i w:val="false"/>
          <w:caps w:val="false"/>
          <w:smallCaps w:val="false"/>
          <w:sz w:val="20"/>
        </w:rPr>
        <w:t>” means January 19,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MAXIDEX</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MAXITROL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Medicaid</w:t>
      </w:r>
      <w:r>
        <w:rPr>
          <w:rFonts w:ascii="Times New Roman;Times;Serif" w:hAnsi="Times New Roman;Times;Serif"/>
          <w:b w:val="false"/>
          <w:i w:val="false"/>
          <w:caps w:val="false"/>
          <w:smallCaps w:val="false"/>
          <w:sz w:val="20"/>
        </w:rPr>
        <w:t>” means that government-sponsored entitlement program under Title XIX, P.L. 89-97 of the Social Security Act, which provides federal grants to states for medical assistance based on specific eligibility criteria, as set forth on Section 1396, et seq. of Title 42 of the United States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Medicare</w:t>
      </w:r>
      <w:r>
        <w:rPr>
          <w:rFonts w:ascii="Times New Roman;Times;Serif" w:hAnsi="Times New Roman;Times;Serif"/>
          <w:b w:val="false"/>
          <w:i w:val="false"/>
          <w:caps w:val="false"/>
          <w:smallCaps w:val="false"/>
          <w:sz w:val="20"/>
        </w:rPr>
        <w:t>” means that government-sponsored insurance program under Title XVIII, P.L. 89-97, of the Social Security Act, which provides for a health insurance system for eligible elderly and disabled individuals, as set forth at Section 1395, et seq. of Title 42 of the United States Code.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Melt Note</w:t>
      </w:r>
      <w:r>
        <w:rPr>
          <w:rFonts w:ascii="Times New Roman;Times;Serif" w:hAnsi="Times New Roman;Times;Serif"/>
          <w:b w:val="false"/>
          <w:i w:val="false"/>
          <w:caps w:val="false"/>
          <w:smallCaps w:val="false"/>
          <w:sz w:val="20"/>
        </w:rPr>
        <w:t>” means that certain Secured Term Note dated September 1, 2021 in the original principal amount of $13,500,000 (as has been and may be further increased by PIK interest) by Melt Pharmaceuticals, Inc. in favor of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Minimum Liquidity Amount</w:t>
      </w:r>
      <w:r>
        <w:rPr>
          <w:rFonts w:ascii="Times New Roman;Times;Serif" w:hAnsi="Times New Roman;Times;Serif"/>
          <w:b w:val="false"/>
          <w:i w:val="false"/>
          <w:caps w:val="false"/>
          <w:smallCaps w:val="false"/>
          <w:sz w:val="20"/>
        </w:rPr>
        <w:t>” means $15,000,000.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Minimum Net Revenues</w:t>
      </w:r>
      <w:r>
        <w:rPr>
          <w:rFonts w:ascii="Times New Roman;Times;Serif" w:hAnsi="Times New Roman;Times;Serif"/>
          <w:b w:val="false"/>
          <w:i w:val="false"/>
          <w:caps w:val="false"/>
          <w:smallCaps w:val="false"/>
          <w:sz w:val="20"/>
        </w:rPr>
        <w:t xml:space="preserve">” means, with respect to each date that the Minimum Net Revenues Covenant is tested, (i) if the first TRIESENCE Commercial Batch Release (as defined in the Novartis Purchase Agreement) has not occurred prior to such date for sales and marketing in the United States, the amount set forth on </w:t>
      </w:r>
      <w:r>
        <w:rPr>
          <w:rFonts w:ascii="Times New Roman;Times;Serif" w:hAnsi="Times New Roman;Times;Serif"/>
          <w:b/>
          <w:i w:val="false"/>
          <w:caps w:val="false"/>
          <w:smallCaps w:val="false"/>
          <w:sz w:val="20"/>
        </w:rPr>
        <w:t>Schedule 2</w:t>
      </w:r>
      <w:r>
        <w:rPr>
          <w:rFonts w:ascii="Times New Roman;Times;Serif" w:hAnsi="Times New Roman;Times;Serif"/>
          <w:b w:val="false"/>
          <w:i w:val="false"/>
          <w:caps w:val="false"/>
          <w:smallCaps w:val="false"/>
          <w:sz w:val="20"/>
        </w:rPr>
        <w:t xml:space="preserve"> under the caption “Minimum Net Revenues (Excluding TRIESENCE)” and (ii) if the first TRIESENCE Commercial Batch Release (as defined in the Novartis Purchase Agreement) has occurred prior to such date for sales and marketing in the United States, the amount set forth on </w:t>
      </w:r>
      <w:r>
        <w:rPr>
          <w:rFonts w:ascii="Times New Roman;Times;Serif" w:hAnsi="Times New Roman;Times;Serif"/>
          <w:b/>
          <w:i w:val="false"/>
          <w:caps w:val="false"/>
          <w:smallCaps w:val="false"/>
          <w:sz w:val="20"/>
        </w:rPr>
        <w:t>Schedule 2</w:t>
      </w:r>
      <w:r>
        <w:rPr>
          <w:rFonts w:ascii="Times New Roman;Times;Serif" w:hAnsi="Times New Roman;Times;Serif"/>
          <w:b w:val="false"/>
          <w:i w:val="false"/>
          <w:caps w:val="false"/>
          <w:smallCaps w:val="false"/>
          <w:sz w:val="20"/>
        </w:rPr>
        <w:t xml:space="preserve"> under the caption “Minimum Net Revenues (Including TRIESENCE)”.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Minimum Net Revenues Covenant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Minimum Net Revenues Cure Right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11.04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MOXEZA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Multiemployer Plan</w:t>
      </w:r>
      <w:r>
        <w:rPr>
          <w:rFonts w:ascii="Times New Roman;Times;Serif" w:hAnsi="Times New Roman;Times;Serif"/>
          <w:b w:val="false"/>
          <w:i w:val="false"/>
          <w:caps w:val="false"/>
          <w:smallCaps w:val="false"/>
          <w:sz w:val="20"/>
        </w:rPr>
        <w:t>” means any multiemployer plan, as defined in Section 400l(a)(3) of ERISA, to which any ERISA Affiliate incurs or otherwise has any obligation or liability, contingent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NATACYN</w:t>
      </w:r>
      <w:r>
        <w:rPr>
          <w:rFonts w:ascii="Times New Roman;Times;Serif" w:hAnsi="Times New Roman;Times;Serif"/>
          <w:b w:val="false"/>
          <w:i w:val="false"/>
          <w:caps w:val="false"/>
          <w:smallCaps w:val="false"/>
          <w:sz w:val="20"/>
        </w:rPr>
        <w:t>” (5% natamycin) is indicated for the treatment of fungal blepharitis, conjunctivitis, and keratitis caused by susceptible organisms including Fusarium solani keratitis 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NDA</w:t>
      </w:r>
      <w:r>
        <w:rPr>
          <w:rFonts w:ascii="Times New Roman;Times;Serif" w:hAnsi="Times New Roman;Times;Serif"/>
          <w:b w:val="false"/>
          <w:i w:val="false"/>
          <w:caps w:val="false"/>
          <w:smallCaps w:val="false"/>
          <w:sz w:val="20"/>
        </w:rPr>
        <w:t>” means (i) (x) a new drug application (as defined in the FD&amp;C Act) and (y) any similar application or functional equivalent relating to any new drug application applicable to or required by any non-U.S. country, jurisdiction or Governmental Authority, and (ii) all supplements and amendments that may be filed with respect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NEVANAC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Net Cash Proceeds</w:t>
      </w:r>
      <w:r>
        <w:rPr>
          <w:rFonts w:ascii="Times New Roman;Times;Serif" w:hAnsi="Times New Roman;Times;Serif"/>
          <w:b w:val="false"/>
          <w:i w:val="false"/>
          <w:caps w:val="false"/>
          <w:smallCaps w:val="false"/>
          <w:sz w:val="20"/>
        </w:rPr>
        <w:t xml:space="preserve">” means, (i) with respect to any Casualty Event experienced or suffered by any Obligor or any of its Subsidiaries, the amount of cash proceeds received from time to time by or on behalf of such Person in respect thereof after deducting therefrom only (w) reasonable costs and expenses related thereto incurred by such Obligor or such Subsidiary in connection therewith, (x) Taxes (including transfer Taxes or net income Taxes) paid or reasonably estimated to be payable in connection therewith, (y) reasonable reserves established for liabilities estimated to be payable in respect of such Casualty Event and deposited into escrow with a third party escrow agent on terms reasonably acceptable to the Administrative Agent or set aside in a separate deposit account that is subject to a Control Agreement in favor of the Administrative Agent and (z) any amounts required to be used to prepay Permitted Indebtedness pursuant to </w:t>
      </w:r>
      <w:r>
        <w:rPr>
          <w:rFonts w:ascii="Times New Roman;Times;Serif" w:hAnsi="Times New Roman;Times;Serif"/>
          <w:b/>
          <w:i w:val="false"/>
          <w:caps w:val="false"/>
          <w:smallCaps w:val="false"/>
          <w:sz w:val="20"/>
        </w:rPr>
        <w:t>Sections 9.01(i) and 9.01(k)</w:t>
      </w:r>
      <w:r>
        <w:rPr>
          <w:rFonts w:ascii="Times New Roman;Times;Serif" w:hAnsi="Times New Roman;Times;Serif"/>
          <w:b w:val="false"/>
          <w:i w:val="false"/>
          <w:caps w:val="false"/>
          <w:smallCaps w:val="false"/>
          <w:sz w:val="20"/>
        </w:rPr>
        <w:t xml:space="preserve"> secured by the assets subject to such Casualty Event (other than (A) Indebtedness owing to the Administrative Agent or any Lender under this Agreement or the other Loan Documents and (B) Indebtedness assumed by the purchaser of such asset); and (ii) with respect to any Asset Sale by any Obligor or any of its Subsidiaries, the amount of cash proceeds received from time to time by or on behalf of such Person in respect thereof after deducting therefrom only (w) reasonable costs and expenses related thereto incurred by such Obligor or such Subsidiary in connection therewith, (x) Taxes (including transfer Taxes or net income Taxes) paid or reasonably expected to be payable in connection therewith, (y) reasonable reserves established for liabilities estimated to be payable in respect of such Asset Sale and deposited into escrow with a third party escrow agent on terms reasonably acceptable to the Administrative Agent or set aside in a separate deposit account that is subject to a Control Agreement in favor of the Administrative Agent and (z) any amounts required to be used to prepay Permitted Indebtedness pursuant to </w:t>
      </w:r>
      <w:r>
        <w:rPr>
          <w:rFonts w:ascii="Times New Roman;Times;Serif" w:hAnsi="Times New Roman;Times;Serif"/>
          <w:b/>
          <w:i w:val="false"/>
          <w:caps w:val="false"/>
          <w:smallCaps w:val="false"/>
          <w:sz w:val="20"/>
        </w:rPr>
        <w:t>Sections 9.01(i) and 9.01(k)</w:t>
      </w:r>
      <w:r>
        <w:rPr>
          <w:rFonts w:ascii="Times New Roman;Times;Serif" w:hAnsi="Times New Roman;Times;Serif"/>
          <w:b w:val="false"/>
          <w:i w:val="false"/>
          <w:caps w:val="false"/>
          <w:smallCaps w:val="false"/>
          <w:sz w:val="20"/>
        </w:rPr>
        <w:t xml:space="preserve"> secured by the assets subject to such Asset Sale (other than (A) Indebtedness owing to the Administrative Agent or any Lender under this Agreement or the other Loan Documents and (B) Indebtedness assumed by the purchaser of such asset);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of </w:t>
      </w:r>
      <w:r>
        <w:rPr>
          <w:rFonts w:ascii="Times New Roman;Times;Serif" w:hAnsi="Times New Roman;Times;Serif"/>
          <w:b/>
          <w:i w:val="false"/>
          <w:caps w:val="false"/>
          <w:smallCaps w:val="false"/>
          <w:sz w:val="20"/>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costs and expenses shall only be deducted to the extent, that the amounts so deducted are (x) actually paid or payable to a Person that is not an Affiliate of any Obligor or any of its Subsidiaries and (y) properly attributable to such Casualty Event or Asset Sale,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Net Revenues</w:t>
      </w:r>
      <w:r>
        <w:rPr>
          <w:rFonts w:ascii="Times New Roman;Times;Serif" w:hAnsi="Times New Roman;Times;Serif"/>
          <w:b w:val="false"/>
          <w:i w:val="false"/>
          <w:caps w:val="false"/>
          <w:smallCaps w:val="false"/>
          <w:sz w:val="20"/>
        </w:rPr>
        <w:t xml:space="preserve">” means, for any period, the consolidated net revenue of Borrower and its Subsidiaries derived from pharmaceutical and device products, as determined in accordance with GAAP (as the same is in effect on the Closing Date and without giving effect to any subsequent amendments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Net Revenues include any upfront and milestone payments or similar non-recurring payment made in connection with any commercial contract received by such Borrower or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Net Revenues Cure Payment</w:t>
      </w:r>
      <w:r>
        <w:rPr>
          <w:rFonts w:ascii="Times New Roman;Times;Serif" w:hAnsi="Times New Roman;Times;Serif"/>
          <w:b w:val="false"/>
          <w:i w:val="false"/>
          <w:caps w:val="false"/>
          <w:smallCaps w:val="false"/>
          <w:sz w:val="20"/>
        </w:rPr>
        <w:t>” means, with respect to any fiscal quarter of the Borrower to which the Minimum Net Revenues Covenant applies, the greatest of (i) the Net Revenues Shortfall Amount, (ii) 10.0% of the outstanding principal amount of the Obligations and (iii) $10,000,000.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Net Revenues Shortfall Amount</w:t>
      </w:r>
      <w:r>
        <w:rPr>
          <w:rFonts w:ascii="Times New Roman;Times;Serif" w:hAnsi="Times New Roman;Times;Serif"/>
          <w:b w:val="false"/>
          <w:i w:val="false"/>
          <w:caps w:val="false"/>
          <w:smallCaps w:val="false"/>
          <w:sz w:val="20"/>
        </w:rPr>
        <w:t>” means, with respect to any fiscal quarter of the Borrower to which the Minimum Net Revenues Covenant applies, the amount (if any) by which the Minimum Net Revenues for such fiscal quarter exceed the Net Revenues for such fiscal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NJ Reinvestment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3.03(b)(i)(C)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 xml:space="preserve">” means a promissory note, in substantially the form of </w:t>
      </w:r>
      <w:r>
        <w:rPr>
          <w:rFonts w:ascii="Times New Roman;Times;Serif" w:hAnsi="Times New Roman;Times;Serif"/>
          <w:b/>
          <w:i w:val="false"/>
          <w:caps w:val="false"/>
          <w:smallCaps w:val="false"/>
          <w:sz w:val="20"/>
        </w:rPr>
        <w:t xml:space="preserve">Exhibit H </w:t>
      </w:r>
      <w:r>
        <w:rPr>
          <w:rFonts w:ascii="Times New Roman;Times;Serif" w:hAnsi="Times New Roman;Times;Serif"/>
          <w:b w:val="false"/>
          <w:i w:val="false"/>
          <w:caps w:val="false"/>
          <w:smallCaps w:val="false"/>
          <w:sz w:val="20"/>
        </w:rPr>
        <w:t xml:space="preserve">hereto, executed and delivered by the Borrower to any Lender in accordance with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Notice of Intent to Cure Net Revenues Covenant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11.04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Novartis Milestone Payment</w:t>
      </w:r>
      <w:r>
        <w:rPr>
          <w:rFonts w:ascii="Times New Roman;Times;Serif" w:hAnsi="Times New Roman;Times;Serif"/>
          <w:b w:val="false"/>
          <w:i w:val="false"/>
          <w:caps w:val="false"/>
          <w:smallCaps w:val="false"/>
          <w:sz w:val="20"/>
        </w:rPr>
        <w:t>” means the “Additional Consideration” as defined in the Novartis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Novartis Purchase Agreement</w:t>
      </w:r>
      <w:r>
        <w:rPr>
          <w:rFonts w:ascii="Times New Roman;Times;Serif" w:hAnsi="Times New Roman;Times;Serif"/>
          <w:b w:val="false"/>
          <w:i w:val="false"/>
          <w:caps w:val="false"/>
          <w:smallCaps w:val="false"/>
          <w:sz w:val="20"/>
        </w:rPr>
        <w:t>” means the Asset Purchase Agreement, dated as of December 13, 2022, among the Borrower, Harrow Eye, LLC, Harrow IP, LLC, Novartis Technology, LLC and Novartis Innovative Therapies AG, as in effect on the Closing Date, or as amended, restated, amended and restated, supplemented or otherwise modified in any manner not adverse in any material respect to the Administrative Agent and the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NY UCC</w:t>
      </w:r>
      <w:r>
        <w:rPr>
          <w:rFonts w:ascii="Times New Roman;Times;Serif" w:hAnsi="Times New Roman;Times;Serif"/>
          <w:b w:val="false"/>
          <w:i w:val="false"/>
          <w:caps w:val="false"/>
          <w:smallCaps w:val="false"/>
          <w:sz w:val="20"/>
        </w:rPr>
        <w:t>” means the UCC as in effect from time to time in the State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Oaktree Lender</w:t>
      </w:r>
      <w:r>
        <w:rPr>
          <w:rFonts w:ascii="Times New Roman;Times;Serif" w:hAnsi="Times New Roman;Times;Serif"/>
          <w:b w:val="false"/>
          <w:i w:val="false"/>
          <w:caps w:val="false"/>
          <w:smallCaps w:val="false"/>
          <w:sz w:val="20"/>
        </w:rPr>
        <w:t>” means any Lender that is an Affiliate or managed fund or account of Oaktree Capital Management, L.P.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means, with respect to any Obligor, all amounts, obligations, liabilities, covenants and duties of every type and description owing by such Obligor to any Secured Party (including all Guaranteed Obligations) or any other indemnitee hereunder or any participant, in each case,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(i) if such Obligor is the Borrower, all Loans, (ii) all interest, whether or not accruing after the filing of any petition in bankruptcy or after the commencement of any insolvency, reorganization or similar proceeding, and whether or not a claim for post-filing or post-petition interest is allowed in any such proceeding, and (iii) all other fees, expenses (including fees, charges and disbursement of counsel), interest, Commitment Fees, Yield Protection Premium, Exit Fee, commissions, charges, costs, disbursements, indemnities and reimbursement of amounts paid and other sums chargeable to such Obligor under any Loan Document. Notwithstanding the foregoing, amounts, obligations and liabilities under the Warrants or any other right to invest in the Equity Interests of the Borrower shall not be included in the defined term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Obligors</w:t>
      </w:r>
      <w:r>
        <w:rPr>
          <w:rFonts w:ascii="Times New Roman;Times;Serif" w:hAnsi="Times New Roman;Times;Serif"/>
          <w:b w:val="false"/>
          <w:i w:val="false"/>
          <w:caps w:val="false"/>
          <w:smallCaps w:val="false"/>
          <w:sz w:val="20"/>
        </w:rPr>
        <w:t>” means, collectively, the Borrower and the Subsidiary Guarantors and their respective successors and permitted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has the meaning assigned to such term in the definition of “Anti-Terrorism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Ordinary Course</w:t>
      </w:r>
      <w:r>
        <w:rPr>
          <w:rFonts w:ascii="Times New Roman;Times;Serif" w:hAnsi="Times New Roman;Times;Serif"/>
          <w:b w:val="false"/>
          <w:i w:val="false"/>
          <w:caps w:val="false"/>
          <w:smallCaps w:val="false"/>
          <w:sz w:val="20"/>
        </w:rPr>
        <w:t>” means ordinary course of business or ordinary trade activities that are customary for similar businesses in the normal course of their ordinary operations and not while in financial distress.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Organic Document</w:t>
      </w:r>
      <w:r>
        <w:rPr>
          <w:rFonts w:ascii="Times New Roman;Times;Serif" w:hAnsi="Times New Roman;Times;Serif"/>
          <w:b w:val="false"/>
          <w:i w:val="false"/>
          <w:caps w:val="false"/>
          <w:smallCaps w:val="false"/>
          <w:sz w:val="20"/>
        </w:rPr>
        <w:t>” means, for any Person, such Person’s formation documents, including, as applicable, its certificate of incorporation, by-laws, certificate of partnership, partnership agreement, certificate of formation, limited liability agreement, operating agreement and all shareholder agreements, voting trusts and similar arrangements applicable to such Person’s Equity Interests, or any equivalent document of any of the foregoing.</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Other Taxes</w:t>
      </w:r>
      <w:r>
        <w:rPr>
          <w:rFonts w:ascii="Times New Roman;Times;Serif" w:hAnsi="Times New Roman;Times;Serif"/>
          <w:b w:val="false"/>
          <w:i w:val="false"/>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i w:val="false"/>
          <w:caps w:val="false"/>
          <w:smallCaps w:val="false"/>
          <w:sz w:val="20"/>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Patents</w:t>
      </w:r>
      <w:r>
        <w:rPr>
          <w:rFonts w:ascii="Times New Roman;Times;Serif" w:hAnsi="Times New Roman;Times;Serif"/>
          <w:b w:val="false"/>
          <w:i w:val="false"/>
          <w:caps w:val="false"/>
          <w:smallCaps w:val="false"/>
          <w:sz w:val="20"/>
        </w:rPr>
        <w:t>” means all patents and patent applications, including the Inventions and improvements described and claimed therein, the reissues, divisionals, continuations, renewals, extensions, and continuations in part thereof, and all rights whatsoever accruing thereunder or pertaining to the foregoing throughout the world.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Patriot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14.19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Payment Date</w:t>
      </w:r>
      <w:r>
        <w:rPr>
          <w:rFonts w:ascii="Times New Roman;Times;Serif" w:hAnsi="Times New Roman;Times;Serif"/>
          <w:b w:val="false"/>
          <w:i w:val="false"/>
          <w:caps w:val="false"/>
          <w:smallCaps w:val="false"/>
          <w:sz w:val="20"/>
        </w:rPr>
        <w:t>” means (i) the last Business Day of each March, June, September and December of each year, commencing on the first such date to occur after the Closing Date; and (ii) the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Payment Recipient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i w:val="false"/>
          <w:caps w:val="false"/>
          <w:smallCaps w:val="false"/>
          <w:sz w:val="20"/>
        </w:rPr>
        <w:t>Section 12.13(a)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Payor</w:t>
      </w:r>
      <w:r>
        <w:rPr>
          <w:rFonts w:ascii="Times New Roman;Times;Serif" w:hAnsi="Times New Roman;Times;Serif"/>
          <w:b w:val="false"/>
          <w:i w:val="false"/>
          <w:caps w:val="false"/>
          <w:smallCaps w:val="false"/>
          <w:sz w:val="20"/>
        </w:rPr>
        <w:t>” means any health care insurance and other similar programs under which the Obligor or any of its Subsidiaries are directly or indirectly receiving payments, including any federal or state healthcare program, Medicare, Medicaid, the TRICARE program, the Veterans Health Administration, private or commercial insurance programs, third-party administrators, preferred provider organizations, managed care organizations, health maintenance organizations, health plans, self-insured health plans, or any fiscal intermediary or contractor of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PBGC</w:t>
      </w:r>
      <w:r>
        <w:rPr>
          <w:rFonts w:ascii="Times New Roman;Times;Serif" w:hAnsi="Times New Roman;Times;Serif"/>
          <w:b w:val="false"/>
          <w:i w:val="false"/>
          <w:caps w:val="false"/>
          <w:smallCaps w:val="false"/>
          <w:sz w:val="20"/>
        </w:rPr>
        <w:t>” means the United States Pension Benefit Guaranty Corporation referred to and defined in ERISA and any successor entity performing similar functions.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PDMA</w:t>
      </w:r>
      <w:r>
        <w:rPr>
          <w:rFonts w:ascii="Times New Roman;Times;Serif" w:hAnsi="Times New Roman;Times;Serif"/>
          <w:b w:val="false"/>
          <w:i w:val="false"/>
          <w:caps w:val="false"/>
          <w:smallCaps w:val="false"/>
          <w:sz w:val="20"/>
        </w:rPr>
        <w:t>” means the Prescription Drug Marketing Act of 1987, 21 U.S.C. §§ 321 et seq. (or any successor thereto), as amended from time to time, and the rules, regulations, guidelines, guidance documents and compliance policy guides issued or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Perfection Certificate</w:t>
      </w:r>
      <w:r>
        <w:rPr>
          <w:rFonts w:ascii="Times New Roman;Times;Serif" w:hAnsi="Times New Roman;Times;Serif"/>
          <w:b w:val="false"/>
          <w:i w:val="false"/>
          <w:caps w:val="false"/>
          <w:smallCaps w:val="false"/>
          <w:sz w:val="20"/>
        </w:rPr>
        <w:t xml:space="preserve">” means the Perfection Certificate, delivered pursuant to </w:t>
      </w:r>
      <w:r>
        <w:rPr>
          <w:rFonts w:ascii="Times New Roman;Times;Serif" w:hAnsi="Times New Roman;Times;Serif"/>
          <w:b/>
          <w:i w:val="false"/>
          <w:caps w:val="false"/>
          <w:smallCaps w:val="false"/>
          <w:sz w:val="20"/>
        </w:rPr>
        <w:t>Section 6.01(h)</w:t>
      </w:r>
      <w:r>
        <w:rPr>
          <w:rFonts w:ascii="Times New Roman;Times;Serif" w:hAnsi="Times New Roman;Times;Serif"/>
          <w:b w:val="false"/>
          <w:i w:val="false"/>
          <w:caps w:val="false"/>
          <w:smallCaps w:val="false"/>
          <w:sz w:val="20"/>
        </w:rPr>
        <w:t xml:space="preserve"> to the Administrative Agent, as amended, restated, supplemented or otherwise modified from time to time.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Permitted Acquisition</w:t>
      </w:r>
      <w:r>
        <w:rPr>
          <w:rFonts w:ascii="Times New Roman;Times;Serif" w:hAnsi="Times New Roman;Times;Serif"/>
          <w:b w:val="false"/>
          <w:i w:val="false"/>
          <w:caps w:val="false"/>
          <w:smallCaps w:val="false"/>
          <w:sz w:val="20"/>
        </w:rPr>
        <w:t xml:space="preserve">” means any Acquisition by the Borrower or any of its Subsidiaries, whether by purchase, merger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prior to, and immediately after giving effect thereto, no Default or Event of Default shall have occurred and be continuing or would reasonably be expected to result therefrom;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Acquisition shall comply in all material respects with all applicable Laws and all applicable Governmental Approvals;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case of any Acquisition of Equity Interests of another Person, after giving effect to such Acquisition, all Equity Interests of such other Person acquired by any Subsidiary of the Borrower shall be owned, directly or indirectly, beneficially and of record, by the Borrower or any of its Subsidiaries, and the Borrower shall cause such acquired Person to satisfy each of the actions set forth in </w:t>
      </w:r>
      <w:r>
        <w:rPr>
          <w:rFonts w:ascii="Times New Roman;Times;Serif" w:hAnsi="Times New Roman;Times;Serif"/>
          <w:b/>
          <w:i w:val="false"/>
          <w:caps w:val="false"/>
          <w:smallCaps w:val="false"/>
          <w:sz w:val="20"/>
        </w:rPr>
        <w:t>Section 8.11</w:t>
      </w:r>
      <w:r>
        <w:rPr>
          <w:rFonts w:ascii="Times New Roman;Times;Serif" w:hAnsi="Times New Roman;Times;Serif"/>
          <w:b w:val="false"/>
          <w:i w:val="false"/>
          <w:caps w:val="false"/>
          <w:smallCaps w:val="false"/>
          <w:sz w:val="20"/>
        </w:rPr>
        <w:t xml:space="preserve"> as and when required by such Section;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on a Pro Forma Basis after giving effect to such Acquisition, the Borrower and its Subsidiaries shall be in compliance with the financial covenants set forth in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extent that all or any portion of the purchase price (including reasonable estimates of any Deferred Acquisition Consideration) for any such Acquisition is paid in cash, the amount thereof shall not exceed (x) $5,000,000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the amount of any substantially concurrent contributions to the common equity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such contribution must be used within thirty (30) days of such contribution to pay the acquisition costs of such Permitted Acquisition, (ii) the Administrative Agent’s prior written consent (which shall not be unreasonably delayed, withheld, or conditioned) shall be required if the amount of any such common equity contribution exceeds $20,000,000 in the aggregate with any other such Acquisitions in any fiscal year;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that all or any portion of the purchase price for any such Acquisition is paid in Equity Interests, all such Equity Interests shall be Qualified Equity Interests;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any Person acquired in such Acquisition shall be formed or organized, as applicable, in the U.S. or any state thereof, and (ii) other than assets with respect to which the book value of such assets does not exceed $100,000 in the aggregate for such Acquisition, all of the assets acquired in such Acquisition (whether directly or through the Acquisition of any Person) shall be located in the U.S.;</w:t>
      </w:r>
    </w:p>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the case of any such Acquisition that has a purchase price (including reasonable estimates of any Deferred Acquisition Consideration) in excess of $5,000,000, (A) the Borrower shall provide to the Administrative Agent (i) at least ten (10) Business Day’s prior written notice of any such Acquisition, together with summaries, prepared in reasonable detail, of all due diligence conducted by or on behalf of the Borrower or the applicable Subsidiary, as applicable, prior to such Acquisition, in each case subject to customary confidentiality restrictions, (ii) subject to customary confidentiality restrictions, a copy of the draft purchase agreement related to the proposed Acquisition (and any related documents reasonably requested by the Administrative Agent), (iii) pro forma financial statements of the Borrower and its Subsidiaries (as of the last day of the most recently ended fiscal quarter prior to the date of consummation of such Acquisition for which financial statements are required to be delivered pursuant to </w:t>
      </w:r>
      <w:r>
        <w:rPr>
          <w:rFonts w:ascii="Times New Roman;Times;Serif" w:hAnsi="Times New Roman;Times;Serif"/>
          <w:b/>
          <w:i w:val="false"/>
          <w:caps w:val="false"/>
          <w:smallCaps w:val="false"/>
          <w:sz w:val="20"/>
        </w:rPr>
        <w:t xml:space="preserve">Section 8.01(a)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after giving effect to such Acquisition, and (iv) subject to customary confidentiality restrictions, any other information reasonably requested (to the extent available), by the Administrative Agent and available to the Obligors and (B) to the extent the cash purchase price exceeds $5,000,000, the Administrative Agent shall have consented in writing to such Acquisition (such consent not to be unreasonably delayed, withheld, or conditioned);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 Obligor or any of its Subsidiaries (including any acquired Person) shall, in connection with any such Acquisition, assume or remain liable with respect to (x) any Indebtedness of the related seller or the business, Person or assets acquired, except to the extent permitted pursuant to </w:t>
      </w:r>
      <w:r>
        <w:rPr>
          <w:rFonts w:ascii="Times New Roman;Times;Serif" w:hAnsi="Times New Roman;Times;Serif"/>
          <w:b/>
          <w:i w:val="false"/>
          <w:caps w:val="false"/>
          <w:smallCaps w:val="false"/>
          <w:sz w:val="20"/>
        </w:rPr>
        <w:t>Section 9.01(i)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9.01(k)</w:t>
      </w:r>
      <w:r>
        <w:rPr>
          <w:rFonts w:ascii="Times New Roman;Times;Serif" w:hAnsi="Times New Roman;Times;Serif"/>
          <w:b w:val="false"/>
          <w:i w:val="false"/>
          <w:caps w:val="false"/>
          <w:smallCaps w:val="false"/>
          <w:sz w:val="20"/>
        </w:rPr>
        <w:t xml:space="preserve">, (y) any Lien on any business, Person or assets acquired, except to the extent permitted pursuant to </w:t>
      </w:r>
      <w:r>
        <w:rPr>
          <w:rFonts w:ascii="Times New Roman;Times;Serif" w:hAnsi="Times New Roman;Times;Serif"/>
          <w:b/>
          <w:i w:val="false"/>
          <w:caps w:val="false"/>
          <w:smallCaps w:val="false"/>
          <w:sz w:val="20"/>
        </w:rPr>
        <w:t>Section 9.02</w:t>
      </w:r>
      <w:r>
        <w:rPr>
          <w:rFonts w:ascii="Times New Roman;Times;Serif" w:hAnsi="Times New Roman;Times;Serif"/>
          <w:b w:val="false"/>
          <w:i w:val="false"/>
          <w:caps w:val="false"/>
          <w:smallCaps w:val="false"/>
          <w:sz w:val="20"/>
        </w:rPr>
        <w:t xml:space="preserve">, (z) any other liabilities that are not Indebtedness (including Tax, ERISA and environmental liabilities) and that are not otherwise prohibited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assumed liabilities exceed $5,000,000 in the aggregate (together with assumed liabilities described in clause (h) of the definition of “Eyevance Acquisition”), the Administrative Agent shall have consented in writing to such Acquisition (such consent not to be unreasonably delayed, withheld, or conditioned). Any other such Indebtedness, liabilities or Liens not permitted to be assumed, continued or otherwise supported by any Obligor or Subsidiary thereof hereunder shall be paid in full or released within sixty (60) days of the acquisition date (or such longer period of time as agreed by the Administrative Agent in its reasonable discretion) as to the business, Persons or properties being so acquired on or before the consummation of such Acquisition.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Permitted Cash Equivalent Investments</w:t>
      </w:r>
      <w:r>
        <w:rPr>
          <w:rFonts w:ascii="Times New Roman;Times;Serif" w:hAnsi="Times New Roman;Times;Serif"/>
          <w:b w:val="false"/>
          <w:i w:val="false"/>
          <w:caps w:val="false"/>
          <w:smallCaps w:val="false"/>
          <w:sz w:val="20"/>
        </w:rPr>
        <w:t>” means (i) marketable direct obligations issued or unconditionally guaranteed by the United States or any member states of the European Union or any agency or any state thereof having maturities of not more than two (2) years from the date of acquisition, (ii) commercial paper maturing no more than three-hundred sixty-five (365) days after the date of acquisition thereof and having the highest rating from either Standard &amp; Poor’s Ratings Group or Moody’s Investors Service, Inc., (iii) certificates of deposit maturing no more than one (1) year after issue that are issued by any bank organized under the Laws of the United States, or any state thereof, or the District of Columbia, or any U.S. branch of a foreign bank having, at the date of acquisition thereof, combined capital and surplus of not less than $500,000,000, (iv) any money market or similar funds that exclusively hold any of the foregoing, and (v) any other short term liquid investments approved in writing by the Administrative Agent in its sole discretion.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Permitted Hedging Agreement</w:t>
      </w:r>
      <w:r>
        <w:rPr>
          <w:rFonts w:ascii="Times New Roman;Times;Serif" w:hAnsi="Times New Roman;Times;Serif"/>
          <w:b w:val="false"/>
          <w:i w:val="false"/>
          <w:caps w:val="false"/>
          <w:smallCaps w:val="false"/>
          <w:sz w:val="20"/>
        </w:rPr>
        <w:t>” means a Hedging Agreement entered into by any Obligor in such Obligor’s Ordinary Course for the purpose of hedging currency risks or interest rate risks (and not for speculative purposes) and (x) with respect to hedging currency risks, in an aggregate notional amount for all such Hedging Agreements not in excess of $10,000,000 and (y) with respect to hedging interest rate risks, in an aggregate notional amount for all such Hedging Agreements not in excess of 100% of the aggregate principal amount of Loans outstanding at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Permitted Indebtedness</w:t>
      </w:r>
      <w:r>
        <w:rPr>
          <w:rFonts w:ascii="Times New Roman;Times;Serif" w:hAnsi="Times New Roman;Times;Serif"/>
          <w:b w:val="false"/>
          <w:i w:val="false"/>
          <w:caps w:val="false"/>
          <w:smallCaps w:val="false"/>
          <w:sz w:val="20"/>
        </w:rPr>
        <w:t xml:space="preserve">” means any Indebtedness permitted under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Permitted Licenses</w:t>
      </w:r>
      <w:r>
        <w:rPr>
          <w:rFonts w:ascii="Times New Roman;Times;Serif" w:hAnsi="Times New Roman;Times;Serif"/>
          <w:b w:val="false"/>
          <w:i w:val="false"/>
          <w:caps w:val="false"/>
          <w:smallCaps w:val="false"/>
          <w:sz w:val="20"/>
        </w:rPr>
        <w:t xml:space="preserve">” means: (i) licenses of off-the-shelf software that is commercially available to the public, (ii) non-exclusive intercompany licenses or grants of rights for development, manufacture, production, commercialization (including commercial sales to end users), marketing, promotion, co-promotion, sales or distribution among the Obligors, (iii) any outbound non-exclusive license for the use of Intellectual Property of any Obligor for development, manufacture, production, commercialization (including commercial sales to end users), marketing, promotion, co-promotion, sales or distribution of any Product, in each case, entered into in the Ordinary Course;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each such license or grant described in this clause (iii), (A) no Event of Default has occurred or is continuing at the time such license or grant, or the agreement governing such license or grant is entered into and (B) such license or grant constitutes an Arm’s Length Transaction, the terms of which do not provide for a sale or assignment of Intellectual Property, (iv) any non-exclusive or exclusive license of Intellectual Property or technology or a grant of rights for development, manufacture, production, commercialization (including commercial sales to end users), marketing, co-promotion, sales, or distribution;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with respect to each such license described in this clause (iv), (A) no Event of Default has occurred or is continuing at the time such license or grant, or the agreement governing such license or grant is entered into, (B) such license or grant constitutes an Arm’s Length Transaction, the terms of which do not provide for a sale or assignment of Intellectual Property, and (C) in the case of any exclusive license, any such license could not result in a legal transfer of the title of the licensed property but may be exclusive in respects other than territory and may be exclusive as to territory only as to discrete geographic areas and/or regions outside of the United States, and (v) other licenses to which the Administrative Agent shall have consented to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xml:space="preserve">” means any Liens permitted under </w:t>
      </w:r>
      <w:r>
        <w:rPr>
          <w:rFonts w:ascii="Times New Roman;Times;Serif" w:hAnsi="Times New Roman;Times;Serif"/>
          <w:b/>
          <w:i w:val="false"/>
          <w:caps w:val="false"/>
          <w:smallCaps w:val="false"/>
          <w:sz w:val="20"/>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Permitted Minority Investments</w:t>
      </w:r>
      <w:r>
        <w:rPr>
          <w:rFonts w:ascii="Times New Roman;Times;Serif" w:hAnsi="Times New Roman;Times;Serif"/>
          <w:b w:val="false"/>
          <w:i w:val="false"/>
          <w:caps w:val="false"/>
          <w:smallCaps w:val="false"/>
          <w:sz w:val="20"/>
        </w:rPr>
        <w:t>” means the Borrower’s minority Investments in the Equity Interests of each of Eton Pharmaceuticals, Inc., Surface Pharmaceuticals, Inc., and Melt Pharmaceuticals, Inc. in existence as of the Closing Date and, with respect to the Equity Interests of Melt Pharmaceuticals, Inc., any additional Investments received in full or partial satisfaction of the Indebtedness evidenced by the Melt Note (as in existence on the Closing Date).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Permitted Refinancing</w:t>
      </w:r>
      <w:r>
        <w:rPr>
          <w:rFonts w:ascii="Times New Roman;Times;Serif" w:hAnsi="Times New Roman;Times;Serif"/>
          <w:b w:val="false"/>
          <w:i w:val="false"/>
          <w:caps w:val="false"/>
          <w:smallCaps w:val="false"/>
          <w:sz w:val="20"/>
        </w:rPr>
        <w:t xml:space="preserve">” means, with respect to any Indebtedness permitted to be refinanced, extended, renewed or replaced hereunder, any refinancings, extensions, renewals and replacements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refinancing, extension, renewal or replacement shall not (i) increase the outstanding principal amount of the Indebtedness being refinanced, extended, renewed or replaced, except by an amount equal to accrued interest, any required prepayment premium, and customary fees and expenses reasonably incurred in connection therewith, (ii) contain terms relating to outstanding principal amount, amortization, maturity, collateral security (if any) or subordination (if any), or other material terms that, taken as a whole, are materially less favorable to the Obligors and their respective Subsidiaries or the Secured Parties than the terms of any agreement or instrument governing such existing Indebtedness, (iii) have an applicable interest rate which does not exceed the greater of (A) the rate of interest of the Indebtedness being replaced and (B) the then applicable market interest rate, (iv) contain any new requirement to grant any Lien or to give any Guarantee that was not an existing requirement of such Indebtedness and (v) after giving effect to such refinancing, extension, renewal or replacement, no Default or Event of Default shall have occurred or would reasonably be expected to occur as a result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company, voluntary association, partnership, limited liability company, joint venture, trust, unincorporated organization or Governmental Authority or other entity of whatever 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any employee pension benefit plan (as defined in Section 3(2) of ERISA)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Prepayment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3.03(a)(i)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Pro Forma Basis</w:t>
      </w:r>
      <w:r>
        <w:rPr>
          <w:rFonts w:ascii="Times New Roman;Times;Serif" w:hAnsi="Times New Roman;Times;Serif"/>
          <w:b w:val="false"/>
          <w:i w:val="false"/>
          <w:caps w:val="false"/>
          <w:smallCaps w:val="false"/>
          <w:sz w:val="20"/>
        </w:rPr>
        <w:t xml:space="preserve">” shall mean, with respect to the calculation of any financial ratio, as of any date, that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will be given to the Transactions, any Acquisition, any issuance, incurrence, assumption or permanent repayment of Indebtedness (including Indebtedness issued, incurred or assumed as a result of, or to finance, any relevant transaction and for which any such financial ratio is being calculated), all sales, transfers and other dispositions or discontinuance of any Subsidiary, line of business or division, or any conversion of a Subsidiary Guarantor to a non-Guarantor Subsidiary or of a non-Guarantor Subsidiary to a Subsidiary Guarantor, in each case that have occurred during the four consecutive fiscal quarter period of the Borrower being used to calculate such financial ratio (the “</w:t>
      </w:r>
      <w:r>
        <w:rPr>
          <w:rFonts w:ascii="Times New Roman;Times;Serif" w:hAnsi="Times New Roman;Times;Serif"/>
          <w:b/>
          <w:i/>
          <w:caps w:val="false"/>
          <w:smallCaps w:val="false"/>
          <w:sz w:val="20"/>
        </w:rPr>
        <w:t>Reference Period</w:t>
      </w:r>
      <w:r>
        <w:rPr>
          <w:rFonts w:ascii="Times New Roman;Times;Serif" w:hAnsi="Times New Roman;Times;Serif"/>
          <w:b w:val="false"/>
          <w:i w:val="false"/>
          <w:caps w:val="false"/>
          <w:smallCaps w:val="false"/>
          <w:sz w:val="20"/>
        </w:rPr>
        <w:t>”), or subsequent to the end of the Reference Period but prior to such date or prior to or simultaneously with the event for which a determination under this definition is made (including any such event occurring at an entity that became a Subsidiary after the commencement of the Reference Period), as if each such event occurred on the first day of the Reference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Product</w:t>
      </w:r>
      <w:r>
        <w:rPr>
          <w:rFonts w:ascii="Times New Roman;Times;Serif" w:hAnsi="Times New Roman;Times;Serif"/>
          <w:b w:val="false"/>
          <w:i w:val="false"/>
          <w:caps w:val="false"/>
          <w:smallCaps w:val="false"/>
          <w:sz w:val="20"/>
        </w:rPr>
        <w:t xml:space="preserve">” means (i) those pharmaceutical or biological products (and described in reasonable detail) on </w:t>
      </w:r>
      <w:r>
        <w:rPr>
          <w:rFonts w:ascii="Times New Roman;Times;Serif" w:hAnsi="Times New Roman;Times;Serif"/>
          <w:b/>
          <w:i w:val="false"/>
          <w:caps w:val="false"/>
          <w:smallCaps w:val="false"/>
          <w:sz w:val="20"/>
        </w:rPr>
        <w:t xml:space="preserve">Schedule 4 </w:t>
      </w:r>
      <w:r>
        <w:rPr>
          <w:rFonts w:ascii="Times New Roman;Times;Serif" w:hAnsi="Times New Roman;Times;Serif"/>
          <w:b w:val="false"/>
          <w:i w:val="false"/>
          <w:caps w:val="false"/>
          <w:smallCaps w:val="false"/>
          <w:sz w:val="20"/>
        </w:rPr>
        <w:t>attached hereto as of the Closing Date, and updated as of the Incremental Tranche A Funding Date, and (ii) any material current or future pharmaceutical or biological product developed, compounded, distributed, dispensed, imported, exported, labeled, promoted, manufactured, licensed, marketed, sold or otherwise commercialized by any Obligor or any of its Subsidiaries, including any such product in development or which may be developed.</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Product Authorizations</w:t>
      </w:r>
      <w:r>
        <w:rPr>
          <w:rFonts w:ascii="Times New Roman;Times;Serif" w:hAnsi="Times New Roman;Times;Serif"/>
          <w:b w:val="false"/>
          <w:i w:val="false"/>
          <w:caps w:val="false"/>
          <w:smallCaps w:val="false"/>
          <w:sz w:val="20"/>
        </w:rPr>
        <w:t>” means any and all Governmental Approvals, whether U.S. or non-U.S. (including all applicable ANDAs, NDAs, BLAs, INDs, Product Standards, supplements, amendments, pre- and post- approvals, governmental price and reimbursement approvals and approvals of applications for regulatory exclusivity) of any Regulatory Authority, in each case, necessary to be held or maintained by, or for the benefit of, any Obligor or any of its Subsidiaries for the ownership, use or commercialization of any Product or for any Product Commercialization and Development Activities with respect thereto in any country or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Product Commercialization and Development Activities</w:t>
      </w:r>
      <w:r>
        <w:rPr>
          <w:rFonts w:ascii="Times New Roman;Times;Serif" w:hAnsi="Times New Roman;Times;Serif"/>
          <w:b w:val="false"/>
          <w:i w:val="false"/>
          <w:caps w:val="false"/>
          <w:smallCaps w:val="false"/>
          <w:sz w:val="20"/>
        </w:rPr>
        <w:t>” means, with respect to any Product, any combination of research, development, testing, manufacture, formulation, import, use, sale, licensing, importation, exportation, shipping, storage, handling, design, labeling, marketing, promotion, supply, distribution,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Product Related Information</w:t>
      </w:r>
      <w:r>
        <w:rPr>
          <w:rFonts w:ascii="Times New Roman;Times;Serif" w:hAnsi="Times New Roman;Times;Serif"/>
          <w:b w:val="false"/>
          <w:i w:val="false"/>
          <w:caps w:val="false"/>
          <w:smallCaps w:val="false"/>
          <w:sz w:val="20"/>
        </w:rPr>
        <w:t>” means, with respect to any Product, all books, records, lists, ledgers, files, manuals, correspondence, reports, plans, drawings, data and other information of every kind (in any form or medium), and all techniques and other know-how, owned or possessed by the Obligors or any of their respective Subsidiaries that are necessary or useful for any Product Commercialization and Development Activities relating to such Product, including (i) brand materials and packaging,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and (ii) clinical data, information included or supporting any Product Authorization, any regulatory filings, updates, notices and correspondence (including adverse event and other pharmacovigilance and other post-marketing reports and information, etc.), technical information, product development and operational data and records, and all other documents, records, files, data and other information, used in connection with the Product Commercialization and Development Activities for such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Product Standards</w:t>
      </w:r>
      <w:r>
        <w:rPr>
          <w:rFonts w:ascii="Times New Roman;Times;Serif" w:hAnsi="Times New Roman;Times;Serif"/>
          <w:b w:val="false"/>
          <w:i w:val="false"/>
          <w:caps w:val="false"/>
          <w:smallCaps w:val="false"/>
          <w:sz w:val="20"/>
        </w:rPr>
        <w:t>” means all safety, quality and other specifications and standards applicable to any Product, including all pharmaceutical, biological and other standards promulgated by Standards Bodies.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Prohibited Payment</w:t>
      </w:r>
      <w:r>
        <w:rPr>
          <w:rFonts w:ascii="Times New Roman;Times;Serif" w:hAnsi="Times New Roman;Times;Serif"/>
          <w:b w:val="false"/>
          <w:i w:val="false"/>
          <w:caps w:val="false"/>
          <w:smallCaps w:val="false"/>
          <w:sz w:val="20"/>
        </w:rPr>
        <w:t>” 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Law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Proportionate Share</w:t>
      </w:r>
      <w:r>
        <w:rPr>
          <w:rFonts w:ascii="Times New Roman;Times;Serif" w:hAnsi="Times New Roman;Times;Serif"/>
          <w:b w:val="false"/>
          <w:i w:val="false"/>
          <w:caps w:val="false"/>
          <w:smallCaps w:val="false"/>
          <w:sz w:val="20"/>
        </w:rPr>
        <w:t>” means, with respect to any Lender, the percentage obtained by dividing (i) the sum of the Commitments (or, if the Commitments are terminated, the outstanding principal amount of the Loans) of such Lender then in effect by (ii) the sum of the Commitments (or, if the Commitments are terminated, the outstanding principal amount of the Loans) of all Lenders then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Qualified Equity Interest</w:t>
      </w:r>
      <w:r>
        <w:rPr>
          <w:rFonts w:ascii="Times New Roman;Times;Serif" w:hAnsi="Times New Roman;Times;Serif"/>
          <w:b w:val="false"/>
          <w:i w:val="false"/>
          <w:caps w:val="false"/>
          <w:smallCaps w:val="false"/>
          <w:sz w:val="20"/>
        </w:rPr>
        <w:t>” means, with respect to any Person, any Equity Interest of such Person that is not a Disqualified Equity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Qualified Plan</w:t>
      </w:r>
      <w:r>
        <w:rPr>
          <w:rFonts w:ascii="Times New Roman;Times;Serif" w:hAnsi="Times New Roman;Times;Serif"/>
          <w:b w:val="false"/>
          <w:i w:val="false"/>
          <w:caps w:val="false"/>
          <w:smallCaps w:val="false"/>
          <w:sz w:val="20"/>
        </w:rPr>
        <w:t>” means an employee pension benefit plan (as defined in Section 3(2) of ERISA) other than a Multiemployer Plan (i) that is or was at any time within the preceding five years maintained or sponsored by any Obligor or any ERISA Affiliate thereof or to which any Obligor or any ERISA Affiliate thereof has within the preceding five years ever made, or was within the preceding five years ever obligated to make, contributions, and (ii) that is intended to be tax qualified under Section 401(a)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Real Property Security Documents</w:t>
      </w:r>
      <w:r>
        <w:rPr>
          <w:rFonts w:ascii="Times New Roman;Times;Serif" w:hAnsi="Times New Roman;Times;Serif"/>
          <w:b w:val="false"/>
          <w:i w:val="false"/>
          <w:caps w:val="false"/>
          <w:smallCaps w:val="false"/>
          <w:sz w:val="20"/>
        </w:rPr>
        <w:t>” means any Landlord Consents or Bailee Letters.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Recipient</w:t>
      </w:r>
      <w:r>
        <w:rPr>
          <w:rFonts w:ascii="Times New Roman;Times;Serif" w:hAnsi="Times New Roman;Times;Serif"/>
          <w:b w:val="false"/>
          <w:i w:val="false"/>
          <w:caps w:val="false"/>
          <w:smallCaps w:val="false"/>
          <w:sz w:val="20"/>
        </w:rPr>
        <w:t>” means any Lender or any other recipient of any payment to be made by or on account of any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Referral Source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7.07(b)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Refinanced Facility</w:t>
      </w:r>
      <w:r>
        <w:rPr>
          <w:rFonts w:ascii="Times New Roman;Times;Serif" w:hAnsi="Times New Roman;Times;Serif"/>
          <w:b w:val="false"/>
          <w:i w:val="false"/>
          <w:caps w:val="false"/>
          <w:smallCaps w:val="false"/>
          <w:sz w:val="20"/>
        </w:rPr>
        <w:t xml:space="preserve">” means, collectively, the Indebtedness of the Obligors as set forth on </w:t>
      </w:r>
      <w:r>
        <w:rPr>
          <w:rFonts w:ascii="Times New Roman;Times;Serif" w:hAnsi="Times New Roman;Times;Serif"/>
          <w:b/>
          <w:i w:val="false"/>
          <w:caps w:val="false"/>
          <w:smallCaps w:val="false"/>
          <w:sz w:val="20"/>
        </w:rPr>
        <w:t>Schedule 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Regulation T</w:t>
      </w:r>
      <w:r>
        <w:rPr>
          <w:rFonts w:ascii="Times New Roman;Times;Serif" w:hAnsi="Times New Roman;Times;Serif"/>
          <w:b w:val="false"/>
          <w:i w:val="false"/>
          <w:caps w:val="false"/>
          <w:smallCaps w:val="false"/>
          <w:sz w:val="20"/>
        </w:rPr>
        <w:t>” means Regulation T of the Board of Governors of the Federal Reserve System,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Regulation U</w:t>
      </w:r>
      <w:r>
        <w:rPr>
          <w:rFonts w:ascii="Times New Roman;Times;Serif" w:hAnsi="Times New Roman;Times;Serif"/>
          <w:b w:val="false"/>
          <w:i w:val="false"/>
          <w:caps w:val="false"/>
          <w:smallCaps w:val="false"/>
          <w:sz w:val="20"/>
        </w:rPr>
        <w:t>” means Regulation U of the Board of Governors of the Federal Reserve System,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Regulation X</w:t>
      </w:r>
      <w:r>
        <w:rPr>
          <w:rFonts w:ascii="Times New Roman;Times;Serif" w:hAnsi="Times New Roman;Times;Serif"/>
          <w:b w:val="false"/>
          <w:i w:val="false"/>
          <w:caps w:val="false"/>
          <w:smallCaps w:val="false"/>
          <w:sz w:val="20"/>
        </w:rPr>
        <w:t>” means Regulation X of the Board of Governors of the Federal Reserve System,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Regulatory Authority</w:t>
      </w:r>
      <w:r>
        <w:rPr>
          <w:rFonts w:ascii="Times New Roman;Times;Serif" w:hAnsi="Times New Roman;Times;Serif"/>
          <w:b w:val="false"/>
          <w:i w:val="false"/>
          <w:caps w:val="false"/>
          <w:smallCaps w:val="false"/>
          <w:sz w:val="20"/>
        </w:rPr>
        <w:t>” means any Governmental Authority, whether U.S. or non-U.S., that is concerned with or has regulatory or supervisory oversight with respect to any Product or any Product Commercialization and Development Activities relating to any Product, including the FDA and all equivalent Governmental Authorities, whether U.S. or non-U.S.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Reinvestment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3.03(b)(i)(C)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Reinvestment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3.03(b)(i)(B)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14.16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of any Person means each of the president, chief executive officer, chief financial officer, general counsel and similar officer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Restricted Payment</w:t>
      </w:r>
      <w:r>
        <w:rPr>
          <w:rFonts w:ascii="Times New Roman;Times;Serif" w:hAnsi="Times New Roman;Times;Serif"/>
          <w:b w:val="false"/>
          <w:i w:val="false"/>
          <w:caps w:val="false"/>
          <w:smallCaps w:val="false"/>
          <w:sz w:val="20"/>
        </w:rPr>
        <w:t>” means (i) any dividend or other distribution (whether in cash, Equity Interests or other property) with respect to any Equity Interests of any Obligor or any of its Subsidiaries, (ii) any payment (whether in cash, Equity Interests or other property), including any sinking fund or similar deposit, on account of the purchase, redemption, retirement, defeasance, acquisition, cancellation or termination of any such Equity Interests of any Obligor or any of its Subsidiaries, or on account of any return of capital to any Obligor’s stockholders, partners or members (or the equivalent of any thereof), or any option, warrant or other right to acquire any such dividend or other distribution or payment, or (iii) any payment of interest, principal or fees in respect of any Indebtedness owed by any Obligor or any of its Subsidiaries to an Affiliate of any Obligor or to a holder of more than ten percent (10%) of the Equity Interests of any Obligor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Restrictive Agreement</w:t>
      </w:r>
      <w:r>
        <w:rPr>
          <w:rFonts w:ascii="Times New Roman;Times;Serif" w:hAnsi="Times New Roman;Times;Serif"/>
          <w:b w:val="false"/>
          <w:i w:val="false"/>
          <w:caps w:val="false"/>
          <w:smallCaps w:val="false"/>
          <w:sz w:val="20"/>
        </w:rPr>
        <w:t xml:space="preserve">” means any Contract or other arrangement that prohibits, restricts or imposes any condition upon (i) the ability of any Obligor or any of its Subsidiaries to create, incur or permit to exist any Lien upon any of its properties or assets (other than (x) customary provisions in Contracts restricting the assignment thereof (including, without limitation, any leases and in-bound licenses of Intellectual Property) and (y) restrictions or conditions imposed by any Contract governing secured Permitted Indebtedness permitted under </w:t>
      </w:r>
      <w:r>
        <w:rPr>
          <w:rFonts w:ascii="Times New Roman;Times;Serif" w:hAnsi="Times New Roman;Times;Serif"/>
          <w:b/>
          <w:i w:val="false"/>
          <w:caps w:val="false"/>
          <w:smallCaps w:val="false"/>
          <w:sz w:val="20"/>
        </w:rPr>
        <w:t>Section 9.01(i)</w:t>
      </w:r>
      <w:r>
        <w:rPr>
          <w:rFonts w:ascii="Times New Roman;Times;Serif" w:hAnsi="Times New Roman;Times;Serif"/>
          <w:b w:val="false"/>
          <w:i w:val="false"/>
          <w:caps w:val="false"/>
          <w:smallCaps w:val="false"/>
          <w:sz w:val="20"/>
        </w:rPr>
        <w:t>, to the extent that such restrictions or conditions apply only to the property or assets securing such Indebtedness), or (ii) the ability of any Subsidiary of an Obligor to make Restricted Payments to such Obligor or of any Obligor or any of its Subsidiaries to make or repay loans or advances to any other Obligor or to Guarantee Indebtedness of any other Obligor.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Sanction</w:t>
      </w:r>
      <w:r>
        <w:rPr>
          <w:rFonts w:ascii="Times New Roman;Times;Serif" w:hAnsi="Times New Roman;Times;Serif"/>
          <w:b w:val="false"/>
          <w:i w:val="false"/>
          <w:caps w:val="false"/>
          <w:smallCaps w:val="false"/>
          <w:sz w:val="20"/>
        </w:rPr>
        <w:t>” means any international economic or financial sanction or trade embargo imposed, administered or enforced from time to time by the United States Government (including, without limitation, OFAC), the United Nations Security Council, the European Union or its Member States, His Majesty’s Treasury or other relevant sanctions authority where the Borrower or any of its Subsidiaries is located or conducts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Sanctioned Person</w:t>
      </w:r>
      <w:r>
        <w:rPr>
          <w:rFonts w:ascii="Times New Roman;Times;Serif" w:hAnsi="Times New Roman;Times;Serif"/>
          <w:b w:val="false"/>
          <w:i w:val="false"/>
          <w:caps w:val="false"/>
          <w:smallCaps w:val="false"/>
          <w:sz w:val="20"/>
        </w:rPr>
        <w:t>” means, at any time, (i) any Person listed in any Sanctions-related list of designated Persons maintained by the United States Government (including, without limitation, OFAC), the United Nations Security Council, the European Union or its Member States, His Majesty’s Treasury or other relevant sanctions authority, (ii) any Person organized or resident in a Designated Jurisdiction or (iii) any Person fifty percent (50%) or more owned or is controlled by any such Person or Persons described in the foregoing clauses (i) or (ii).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Scheduled Unavailability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5.05(a)(ii)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w:t>
      </w:r>
      <w:r>
        <w:rPr>
          <w:rFonts w:ascii="Times New Roman;Times;Serif" w:hAnsi="Times New Roman;Times;Serif"/>
          <w:b w:val="false"/>
          <w:i w:val="false"/>
          <w:caps w:val="false"/>
          <w:smallCaps w:val="false"/>
          <w:sz w:val="20"/>
        </w:rPr>
        <w:t>” means the Second Amendment to Credit Agreement and Guaranty, dated as of the Second Amendment Effective Date, by and among the Borrower, the Guarantors party thereto, the Lenders party thereto and the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 Effective Date</w:t>
      </w:r>
      <w:r>
        <w:rPr>
          <w:rFonts w:ascii="Times New Roman;Times;Serif" w:hAnsi="Times New Roman;Times;Serif"/>
          <w:b w:val="false"/>
          <w:i w:val="false"/>
          <w:caps w:val="false"/>
          <w:smallCaps w:val="false"/>
          <w:sz w:val="20"/>
        </w:rPr>
        <w:t>” means October 25, 2024.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Secured Parties</w:t>
      </w:r>
      <w:r>
        <w:rPr>
          <w:rFonts w:ascii="Times New Roman;Times;Serif" w:hAnsi="Times New Roman;Times;Serif"/>
          <w:b w:val="false"/>
          <w:i w:val="false"/>
          <w:caps w:val="false"/>
          <w:smallCaps w:val="false"/>
          <w:sz w:val="20"/>
        </w:rPr>
        <w:t>” means the Lenders, the Administrative Agent and any of their respective permitted transferees or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Security Agreement</w:t>
      </w:r>
      <w:r>
        <w:rPr>
          <w:rFonts w:ascii="Times New Roman;Times;Serif" w:hAnsi="Times New Roman;Times;Serif"/>
          <w:b w:val="false"/>
          <w:i w:val="false"/>
          <w:caps w:val="false"/>
          <w:smallCaps w:val="false"/>
          <w:sz w:val="20"/>
        </w:rPr>
        <w:t xml:space="preserve">” means the Security Agreement, delivered pursuant to </w:t>
      </w:r>
      <w:r>
        <w:rPr>
          <w:rFonts w:ascii="Times New Roman;Times;Serif" w:hAnsi="Times New Roman;Times;Serif"/>
          <w:b/>
          <w:i w:val="false"/>
          <w:caps w:val="false"/>
          <w:smallCaps w:val="false"/>
          <w:sz w:val="20"/>
        </w:rPr>
        <w:t>Section 6.01(h)</w:t>
      </w:r>
      <w:r>
        <w:rPr>
          <w:rFonts w:ascii="Times New Roman;Times;Serif" w:hAnsi="Times New Roman;Times;Serif"/>
          <w:b w:val="false"/>
          <w:i w:val="false"/>
          <w:caps w:val="false"/>
          <w:smallCaps w:val="false"/>
          <w:sz w:val="20"/>
        </w:rPr>
        <w:t>, among the Obligors and the Administrative Agent, granting a security interest in the Obligors’ Collateral in favor of the Administrative Agent, for the benefit of the Secured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Security Documents</w:t>
      </w:r>
      <w:r>
        <w:rPr>
          <w:rFonts w:ascii="Times New Roman;Times;Serif" w:hAnsi="Times New Roman;Times;Serif"/>
          <w:b w:val="false"/>
          <w:i w:val="false"/>
          <w:caps w:val="false"/>
          <w:smallCaps w:val="false"/>
          <w:sz w:val="20"/>
        </w:rPr>
        <w:t>” means, collectively, the Security Agreement, each Short-Form IP Security Agreement, each Real Property Security Document, and each other security document, control agreement or financing statement required or recommended to perfect Liens in favor of the Secured Parties for purposes of securing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Short-Form IP Security Agreements</w:t>
      </w:r>
      <w:r>
        <w:rPr>
          <w:rFonts w:ascii="Times New Roman;Times;Serif" w:hAnsi="Times New Roman;Times;Serif"/>
          <w:b w:val="false"/>
          <w:i w:val="false"/>
          <w:caps w:val="false"/>
          <w:smallCaps w:val="false"/>
          <w:sz w:val="20"/>
        </w:rPr>
        <w:t>” means short-form Copyright, Patent or Trademark (as the case may be) security agreements, substantially in the form of Exhibit C, D and E to the Security Agreement, entered into by one or more Obligors in favor of the Secured Parties, each in form and substance reasonably satisfactory to the Administrative Agent (and as amended, modified or replaced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Solvent</w:t>
      </w:r>
      <w:r>
        <w:rPr>
          <w:rFonts w:ascii="Times New Roman;Times;Serif" w:hAnsi="Times New Roman;Times;Serif"/>
          <w:b w:val="false"/>
          <w:i w:val="false"/>
          <w:caps w:val="false"/>
          <w:smallCaps w:val="false"/>
          <w:sz w:val="20"/>
        </w:rPr>
        <w:t>” means, as to any Person as of any date of determination, that on such date (i) the fair value of the property of such Person is greater than the total amount of liabilities, including contingent liabilities, of such Person, (ii) the present fair saleable value of such Person is not less than the amount that will be required to pay the probable liability of such Person on its debts as they become absolute and matured in the Ordinary Course, (iii) such Person does not intend to, and does not believe that it will, incur debts or liabilities beyond such Person’s ability to pay such debts and liabilities as they mature in the ordinary course and (iv) such Person is not engaged in a business or transaction, and is not about to engage in a business or transaction, for which such Person’s property would constitute an unreasonably small capital after giving due consideration to the prevailing practice in the industry in which such Person is engaged or is to engage.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Specified Representations</w:t>
      </w:r>
      <w:r>
        <w:rPr>
          <w:rFonts w:ascii="Times New Roman;Times;Serif" w:hAnsi="Times New Roman;Times;Serif"/>
          <w:b w:val="false"/>
          <w:i w:val="false"/>
          <w:caps w:val="false"/>
          <w:smallCaps w:val="false"/>
          <w:sz w:val="20"/>
        </w:rPr>
        <w:t>” means the representations and warranties set forth in Sections 7.01(i) and (iv), 7.02, 7.03, 7.10, 7.11, 7.20, 7.21 and 7.22.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Standards Bodies</w:t>
      </w:r>
      <w:r>
        <w:rPr>
          <w:rFonts w:ascii="Times New Roman;Times;Serif" w:hAnsi="Times New Roman;Times;Serif"/>
          <w:b w:val="false"/>
          <w:i w:val="false"/>
          <w:caps w:val="false"/>
          <w:smallCaps w:val="false"/>
          <w:sz w:val="20"/>
        </w:rPr>
        <w:t>” means any of the organizations that create, sponsor or maintain safety, quality or other standards, including FDA, USP, ISO, ANSI, CEN and SCC and the like.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(i)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directly or indirectly, or (ii) that is, as of such date, otherwise Controlled, by the parent or one or more direct or indirect subsidiaries of the parent or by the parent and one or more direct or indirect subsidiaries of the parent. Unless otherwise specified, all references herein to a “Subsidiary” or to “Subsidiaries” shall refer to a Subsidiary or Subsidiaries of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Subsidiary Guarantors</w:t>
      </w:r>
      <w:r>
        <w:rPr>
          <w:rFonts w:ascii="Times New Roman;Times;Serif" w:hAnsi="Times New Roman;Times;Serif"/>
          <w:b w:val="false"/>
          <w:i w:val="false"/>
          <w:caps w:val="false"/>
          <w:smallCaps w:val="false"/>
          <w:sz w:val="20"/>
        </w:rPr>
        <w:t xml:space="preserve">” means each Subsidiary of the Borrower identified under the caption “SUBSIDIARY GUARANTORS” on the signature pages hereto and each Subsidiary of the Borrower that becomes, or is required to become, a “Subsidiary Guarantor” after the date hereof pursuant to </w:t>
      </w:r>
      <w:r>
        <w:rPr>
          <w:rFonts w:ascii="Times New Roman;Times;Serif" w:hAnsi="Times New Roman;Times;Serif"/>
          <w:b/>
          <w:i w:val="false"/>
          <w:caps w:val="false"/>
          <w:smallCaps w:val="false"/>
          <w:sz w:val="20"/>
        </w:rPr>
        <w:t>Section 8.11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Successor Rate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5.05(a)(ii)(B)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Technical Information</w:t>
      </w:r>
      <w:r>
        <w:rPr>
          <w:rFonts w:ascii="Times New Roman;Times;Serif" w:hAnsi="Times New Roman;Times;Serif"/>
          <w:b w:val="false"/>
          <w:i w:val="false"/>
          <w:caps w:val="false"/>
          <w:smallCaps w:val="false"/>
          <w:sz w:val="20"/>
        </w:rPr>
        <w:t>” means all (i) Product Related Information and (ii) all other know-how, information of a scientific, technical, or business nature in any form or medium, Invention disclosures, documented research, developmental, demonstration or engineering work, in each case that is proprietary, confidential, or that constitutes trade secrets under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Term SOFR</w:t>
      </w:r>
      <w:r>
        <w:rPr>
          <w:rFonts w:ascii="Times New Roman;Times;Serif" w:hAnsi="Times New Roman;Times;Serif"/>
          <w:b w:val="false"/>
          <w:i w:val="false"/>
          <w:caps w:val="false"/>
          <w:smallCaps w:val="false"/>
          <w:sz w:val="20"/>
        </w:rPr>
        <w:t xml:space="preserve">” means for any Interest Period the rate per annum equal to the Term SOFR Screen Rate two U.S. Government Securities Business Days prior to the commencement of such Interest Period with a term equivalent to such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Credit Spread Adjustment for such Interest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Term SOFR Replacement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5.05(a)(ii)(A)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Term SOFR Screen Rate</w:t>
      </w:r>
      <w:r>
        <w:rPr>
          <w:rFonts w:ascii="Times New Roman;Times;Serif" w:hAnsi="Times New Roman;Times;Serif"/>
          <w:b w:val="false"/>
          <w:i w:val="false"/>
          <w:caps w:val="false"/>
          <w:smallCaps w:val="false"/>
          <w:sz w:val="20"/>
        </w:rPr>
        <w:t>” means the forward-looking SOFR term rate administered by CME (or any successor administrator satisfactory to the Administrative Agent) and published on the applicable Bloomberg screen page (or such other commercially available source providing such quotations as may be designated by the Administrative Agent from time to time).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Termination Conditions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13.03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Three-Month Term SOFR</w:t>
      </w:r>
      <w:r>
        <w:rPr>
          <w:rFonts w:ascii="Times New Roman;Times;Serif" w:hAnsi="Times New Roman;Times;Serif"/>
          <w:b w:val="false"/>
          <w:i w:val="false"/>
          <w:caps w:val="false"/>
          <w:smallCaps w:val="false"/>
          <w:sz w:val="20"/>
        </w:rPr>
        <w:t xml:space="preserve">” means a rate per annum equal to the greater of (i) two and three quarters percent (2.75%) per annum and (ii) the Term SOFR for a three-month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Three-Month Term SOFR as so determined would be greater than six percent (6.00%) per annum, Three-Month Term SOFR shall be deemed to equal six percent (6.00%) per annum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Title IV Plan</w:t>
      </w:r>
      <w:r>
        <w:rPr>
          <w:rFonts w:ascii="Times New Roman;Times;Serif" w:hAnsi="Times New Roman;Times;Serif"/>
          <w:b w:val="false"/>
          <w:i w:val="false"/>
          <w:caps w:val="false"/>
          <w:smallCaps w:val="false"/>
          <w:sz w:val="20"/>
        </w:rPr>
        <w:t>” means an employee benefit plan (as defined in Section 3(3) of ERISA) other than a Multiemployer Plan (i) that is or was at any time within the preceding five years maintained or sponsored by any Obligor or any ERISA Affiliate thereof or to which any Obligor or any ERISA Affiliate thereof has within the preceding five years ever made, or was within the preceding five years obligated to make, contributions, and (ii) that is or was subject to Section 412 of the Code, Section 302 of ERISA or Title IV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TOBRADEX ST</w:t>
      </w:r>
      <w:r>
        <w:rPr>
          <w:rFonts w:ascii="Times New Roman;Times;Serif" w:hAnsi="Times New Roman;Times;Serif"/>
          <w:b w:val="false"/>
          <w:i w:val="false"/>
          <w:caps w:val="false"/>
          <w:smallCaps w:val="false"/>
          <w:sz w:val="20"/>
        </w:rPr>
        <w:t>” (0.3% tobramycin and 0.05% dexamethasone) is a topical antibiotic and corticosteroid combination for steroid-responsive inflammatory ocular conditions for which a corticosteroid is indicated and where superficial bacterial ocular infection or a risk of bacterial ocular infection exists.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Total Debt</w:t>
      </w:r>
      <w:r>
        <w:rPr>
          <w:rFonts w:ascii="Times New Roman;Times;Serif" w:hAnsi="Times New Roman;Times;Serif"/>
          <w:b w:val="false"/>
          <w:i w:val="false"/>
          <w:caps w:val="false"/>
          <w:smallCaps w:val="false"/>
          <w:sz w:val="20"/>
        </w:rPr>
        <w:t xml:space="preserve">” means, as of any date of determination, the aggregate principal amount of Indebtedness of the Borrower and its Subsidiaries outstanding on such date, determined on a consolidated basis in accordance with GAAP (but excluding the effects of any discounting of Indebtedness resulting from the application of purchase accounting in connection with the Transactions, any Permitted Acquisition or the Eyevance Acquisition), consisting of Indebtedness for borrowed money, Capital Lease Obligations and debt obligations evidenced by bonds, debentures, notes, loan agreements or other similar instruments;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Total Debt shall not include (x) obligations under Hedging Agreements entered into in the Ordinary Course and not for speculative purposes, (y) undrawn letters of credit or (z) any outstanding Tranche B Term Loans.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Total Leverage Ratio</w:t>
      </w:r>
      <w:r>
        <w:rPr>
          <w:rFonts w:ascii="Times New Roman;Times;Serif" w:hAnsi="Times New Roman;Times;Serif"/>
          <w:b w:val="false"/>
          <w:i w:val="false"/>
          <w:caps w:val="false"/>
          <w:smallCaps w:val="false"/>
          <w:sz w:val="20"/>
        </w:rPr>
        <w:t>” means, at any time of determination, the ratio of (a) Total Debt at such time to (b) EBITDA of the Borrower and its Subsidiaries for the four consecutive fiscal quarter period ended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Trademarks</w:t>
      </w:r>
      <w:r>
        <w:rPr>
          <w:rFonts w:ascii="Times New Roman;Times;Serif" w:hAnsi="Times New Roman;Times;Serif"/>
          <w:b w:val="false"/>
          <w:i w:val="false"/>
          <w:caps w:val="false"/>
          <w:smallCaps w:val="false"/>
          <w:sz w:val="20"/>
        </w:rPr>
        <w:t>” means all trade names, trademarks and service marks, corporate names, logos, Internet domain names and other indicia of origin, in each case, whether or not registered, trademark and service mark registrations, and applications for trademark and service mark registrations, including (i) all renewals of trademark and service mark registrations and (ii) all rights whatsoever accruing thereunder or pertaining thereto throughout the world (including common law rights), together, in each case, with the goodwill associated therewith or symbolized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Tranche A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Tranche B Availability Period</w:t>
      </w:r>
      <w:r>
        <w:rPr>
          <w:rFonts w:ascii="Times New Roman;Times;Serif" w:hAnsi="Times New Roman;Times;Serif"/>
          <w:b w:val="false"/>
          <w:i w:val="false"/>
          <w:caps w:val="false"/>
          <w:smallCaps w:val="false"/>
          <w:sz w:val="20"/>
        </w:rPr>
        <w:t>” has the meaning set forth in the Loans Schedule.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Tranche B Commitment</w:t>
      </w:r>
      <w:r>
        <w:rPr>
          <w:rFonts w:ascii="Times New Roman;Times;Serif" w:hAnsi="Times New Roman;Times;Serif"/>
          <w:b w:val="false"/>
          <w:i w:val="false"/>
          <w:caps w:val="false"/>
          <w:smallCaps w:val="false"/>
          <w:sz w:val="20"/>
        </w:rPr>
        <w:t xml:space="preserve">” means, with respect to each Lender, the obligation of such Lender to make Tranche B Term Loans to the Borrower on the Tranche B Funding Date for Tranche B Term Loans in accordance with the terms and conditions of this Agreement, which commitment is in the amount set forth opposite such Lender’s name on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 xml:space="preserve">under the caption “Applicable Commitment” for Tranche B Term Loans, as such Schedule may be amended from time to time pursuant to an Assignment and Assumption, pursuant to the following sentence, or otherwise. The aggregate amount of Tranche B Commitments on the date of this Agreement equals $35,000,000;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the Tranche B Funding Date does not occur on or prior to March 27, 2024, the Tranche B Commitment shall automatically, and without any further action of any Person, be reduced to $30,000,000, and </w:t>
      </w:r>
      <w:r>
        <w:rPr>
          <w:rFonts w:ascii="Times New Roman;Times;Serif" w:hAnsi="Times New Roman;Times;Serif"/>
          <w:b/>
          <w:i w:val="false"/>
          <w:caps w:val="false"/>
          <w:smallCaps w:val="false"/>
          <w:sz w:val="20"/>
        </w:rPr>
        <w:t>Schedule 1</w:t>
      </w:r>
      <w:r>
        <w:rPr>
          <w:rFonts w:ascii="Times New Roman;Times;Serif" w:hAnsi="Times New Roman;Times;Serif"/>
          <w:b w:val="false"/>
          <w:i w:val="false"/>
          <w:caps w:val="false"/>
          <w:smallCaps w:val="false"/>
          <w:sz w:val="20"/>
        </w:rPr>
        <w:t xml:space="preserve"> shall be deemed amended to reflect such reduction, and to reduce each Lender’s Tranche B Commitment set forth in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on a pro rata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Tranche B Funding Condition</w:t>
      </w:r>
      <w:r>
        <w:rPr>
          <w:rFonts w:ascii="Times New Roman;Times;Serif" w:hAnsi="Times New Roman;Times;Serif"/>
          <w:b w:val="false"/>
          <w:i w:val="false"/>
          <w:caps w:val="false"/>
          <w:smallCaps w:val="false"/>
          <w:sz w:val="20"/>
        </w:rPr>
        <w:t>” has the meaning set forth in the Loans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Tranche B Funding Date</w:t>
      </w:r>
      <w:r>
        <w:rPr>
          <w:rFonts w:ascii="Times New Roman;Times;Serif" w:hAnsi="Times New Roman;Times;Serif"/>
          <w:b w:val="false"/>
          <w:i w:val="false"/>
          <w:caps w:val="false"/>
          <w:smallCaps w:val="false"/>
          <w:sz w:val="20"/>
        </w:rPr>
        <w:t xml:space="preserve">” means the date on or prior to the expiration of the Tranche B Availability Period on which all conditions precedent set forth in </w:t>
      </w:r>
      <w:r>
        <w:rPr>
          <w:rFonts w:ascii="Times New Roman;Times;Serif" w:hAnsi="Times New Roman;Times;Serif"/>
          <w:b/>
          <w:i w:val="false"/>
          <w:caps w:val="false"/>
          <w:smallCaps w:val="false"/>
          <w:sz w:val="20"/>
        </w:rPr>
        <w:t>Section 6.02</w:t>
      </w:r>
      <w:r>
        <w:rPr>
          <w:rFonts w:ascii="Times New Roman;Times;Serif" w:hAnsi="Times New Roman;Times;Serif"/>
          <w:b w:val="false"/>
          <w:i w:val="false"/>
          <w:caps w:val="false"/>
          <w:smallCaps w:val="false"/>
          <w:sz w:val="20"/>
        </w:rPr>
        <w:t xml:space="preserve"> for the borrowing of Tranche B Term Loans are satisfied or waived in accordance with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Tranche B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Transactions</w:t>
      </w:r>
      <w:r>
        <w:rPr>
          <w:rFonts w:ascii="Times New Roman;Times;Serif" w:hAnsi="Times New Roman;Times;Serif"/>
          <w:b w:val="false"/>
          <w:i w:val="false"/>
          <w:caps w:val="false"/>
          <w:smallCaps w:val="false"/>
          <w:sz w:val="20"/>
        </w:rPr>
        <w:t>” means (a) the negotiation, preparation, execution, delivery and performance by each Obligor of this Agreement and the other Loan Documents to which such Obligor is (or is intended to be) a party, the making of the Loans hereunder, and all other transactions contemplated pursuant to this Agreement and the other Loan Documents, including the creation of the Liens pursuant to the Security Documents and (b) the payment of all fees and expenses incurred or paid by the Obligors in connection with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UCC</w:t>
      </w:r>
      <w:r>
        <w:rPr>
          <w:rFonts w:ascii="Times New Roman;Times;Serif" w:hAnsi="Times New Roman;Times;Serif"/>
          <w:b w:val="false"/>
          <w:i w:val="false"/>
          <w:caps w:val="false"/>
          <w:smallCaps w:val="false"/>
          <w:sz w:val="20"/>
        </w:rPr>
        <w:t>” means, with respect to any applicable jurisdictions, the Uniform Commercial Code as in effect in such jurisdiction, as may be modified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TRIESENCE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United States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means the United States of America, its fifty states and the District of Columbia.</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U.S. Person</w:t>
      </w:r>
      <w:r>
        <w:rPr>
          <w:rFonts w:ascii="Times New Roman;Times;Serif" w:hAnsi="Times New Roman;Times;Serif"/>
          <w:b w:val="false"/>
          <w:i w:val="false"/>
          <w:caps w:val="false"/>
          <w:smallCaps w:val="false"/>
          <w:sz w:val="20"/>
        </w:rPr>
        <w:t>” means a “United States Person” within the meaning of Section 7701(a)(30)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5.03(f)(ii)(B)(3)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VCOC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8.19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VERKAZIA</w:t>
      </w:r>
      <w:r>
        <w:rPr>
          <w:rFonts w:ascii="Times New Roman;Times;Serif" w:hAnsi="Times New Roman;Times;Serif"/>
          <w:b w:val="false"/>
          <w:i w:val="false"/>
          <w:caps w:val="false"/>
          <w:smallCaps w:val="false"/>
          <w:sz w:val="20"/>
        </w:rPr>
        <w:t>” (0.1% cyclosporine ophthalmic emulsion) is an eye drop that helps control the ongoing inflammation of vernal keratoconjunctivitis.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VIGAMOX</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Schedule 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xml:space="preserve">” means each Warrant (if any) delivered pursuant to </w:t>
      </w:r>
      <w:r>
        <w:rPr>
          <w:rFonts w:ascii="Times New Roman;Times;Serif" w:hAnsi="Times New Roman;Times;Serif"/>
          <w:b/>
          <w:i w:val="false"/>
          <w:caps w:val="false"/>
          <w:smallCaps w:val="false"/>
          <w:sz w:val="20"/>
        </w:rPr>
        <w:t>Section 8.18</w:t>
      </w:r>
      <w:r>
        <w:rPr>
          <w:rFonts w:ascii="Times New Roman;Times;Serif" w:hAnsi="Times New Roman;Times;Serif"/>
          <w:b w:val="false"/>
          <w:i w:val="false"/>
          <w:caps w:val="false"/>
          <w:smallCaps w:val="false"/>
          <w:sz w:val="20"/>
        </w:rPr>
        <w:t xml:space="preserve"> in substantially the form attached hereto as </w:t>
      </w:r>
      <w:r>
        <w:rPr>
          <w:rFonts w:ascii="Times New Roman;Times;Serif" w:hAnsi="Times New Roman;Times;Serif"/>
          <w:b/>
          <w:i w:val="false"/>
          <w:caps w:val="false"/>
          <w:smallCaps w:val="false"/>
          <w:sz w:val="20"/>
        </w:rPr>
        <w:t>Exhibit I</w:t>
      </w:r>
      <w:r>
        <w:rPr>
          <w:rFonts w:ascii="Times New Roman;Times;Serif" w:hAnsi="Times New Roman;Times;Serif"/>
          <w:b w:val="false"/>
          <w:i w:val="false"/>
          <w:caps w:val="false"/>
          <w:smallCaps w:val="false"/>
          <w:sz w:val="20"/>
        </w:rPr>
        <w:t>, as amended, replaced or otherwise modified pursuant to the terms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Withholding Agent</w:t>
      </w:r>
      <w:r>
        <w:rPr>
          <w:rFonts w:ascii="Times New Roman;Times;Serif" w:hAnsi="Times New Roman;Times;Serif"/>
          <w:b w:val="false"/>
          <w:i w:val="false"/>
          <w:caps w:val="false"/>
          <w:smallCaps w:val="false"/>
          <w:sz w:val="20"/>
        </w:rPr>
        <w:t>” means the Borrower and the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Yield Protection Premium</w:t>
      </w:r>
      <w:r>
        <w:rPr>
          <w:rFonts w:ascii="Times New Roman;Times;Serif" w:hAnsi="Times New Roman;Times;Serif"/>
          <w:b w:val="false"/>
          <w:i w:val="false"/>
          <w:caps w:val="false"/>
          <w:smallCaps w:val="false"/>
          <w:sz w:val="20"/>
        </w:rPr>
        <w:t xml:space="preserve">” means with respect to any prepayment of all or any portion of the Loans, whether by optional or mandatory prepayment, acceleration or otherwise, an amount equal to the Make-Whole Discounted Value of the Make-Whole Remaining Scheduled Payments as calculated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 shall in no event be less than zero.</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Zerivate License Obligations</w:t>
      </w:r>
      <w:r>
        <w:rPr>
          <w:rFonts w:ascii="Times New Roman;Times;Serif" w:hAnsi="Times New Roman;Times;Serif"/>
          <w:b w:val="false"/>
          <w:i w:val="false"/>
          <w:caps w:val="false"/>
          <w:smallCaps w:val="false"/>
          <w:sz w:val="20"/>
        </w:rPr>
        <w:t xml:space="preserve">” means the royalty and commercial milestone payment obligations described in Sections 3.2 and 3.3 of that certain Exclusive License Agreement, dated as of September 20, 2017, by and between the Borrower, Harrow Eye, LLC, and Harrow IP, LLC, as successors-by-assignment to Eyevance Pharmaceuticals LLC, a Delaware limited liability company, and Nicox Ophthalmics, Inc., a Delaware corporation, (including all schedules, annexes, exhibits and other attachments thereto), as in effect on the First Amendment Effective Date, as amended by that certain First Amendment to Exclusive License Agreement, dated as of August 2, 2019, that certain Second Amendment to Exclusive License Agreement, dated as of June 16, 2020, and as it may be further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increase in the amount of any of such royalty or commercial milestone payment obligations shall be deemed materially adverse to the Administrative Agent and the Lenders, in their respective capacities as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w:t>
      </w:r>
      <w:r>
        <w:rPr>
          <w:rFonts w:ascii="Times New Roman;Times;Serif" w:hAnsi="Times New Roman;Times;Serif"/>
          <w:b/>
          <w:i/>
          <w:caps w:val="false"/>
          <w:smallCaps w:val="false"/>
          <w:sz w:val="20"/>
        </w:rPr>
        <w:t>Accounting Terms and Principles</w:t>
      </w:r>
      <w:r>
        <w:rPr>
          <w:rFonts w:ascii="Times New Roman;Times;Serif" w:hAnsi="Times New Roman;Times;Serif"/>
          <w:b w:val="false"/>
          <w:i w:val="false"/>
          <w:caps w:val="false"/>
          <w:smallCaps w:val="false"/>
          <w:sz w:val="20"/>
        </w:rPr>
        <w:t xml:space="preserve">. Unless otherwise specified, all accounting terms used in each Loan Document shall be interpreted, and all accounting determinations and computations thereunder (including under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 xml:space="preserve"> and any definitions used in such calculations) shall be made, in accordance with GAAP. Unless otherwise expressly provided, all financial covenants and defined financial terms shall be computed on a consolidated basis for the Borrower and its Subsidiaries, in each case without duplication. If the Borrower requests an amendment to any provision hereof to eliminate the effect of (a) any change in GAAP or the application thereof or (b) the issuance of any new accounting rule or guidance or in the application thereof, in each case, occurring after the date of this Agreement, then the Lenders and Borrower agree that they will negotiate in good faith amendments to the provisions of this Agreement that are directly affected by such change or issuance with the intent of having the respective positions of the Lenders and Borrower after such change or issuance conform as nearly as possible to their respective positions as of the date of this Agreement and, until any such amendments have been agreed upon, (i) the provisions in this Agreement shall be calculated as if no such change or issuance has occurred and (ii) the Borrower shall provide to the Lenders a written reconciliation in form and substance reasonably satisfactory to the Lenders, between calculations of any baskets and other requirements hereunder before and after giving effect to such change or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4. </w:t>
      </w:r>
      <w:r>
        <w:rPr>
          <w:rFonts w:ascii="Times New Roman;Times;Serif" w:hAnsi="Times New Roman;Times;Serif"/>
          <w:b/>
          <w:i/>
          <w:caps w:val="false"/>
          <w:smallCaps w:val="false"/>
          <w:sz w:val="20"/>
        </w:rPr>
        <w:t>Interpretation</w:t>
      </w:r>
      <w:r>
        <w:rPr>
          <w:rFonts w:ascii="Times New Roman;Times;Serif" w:hAnsi="Times New Roman;Times;Serif"/>
          <w:b w:val="false"/>
          <w:i w:val="false"/>
          <w:caps w:val="false"/>
          <w:smallCaps w:val="false"/>
          <w:sz w:val="20"/>
        </w:rPr>
        <w:t>. For all purposes of this Agreement, except as otherwise expressly provided herein or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5. </w:t>
      </w:r>
      <w:r>
        <w:rPr>
          <w:rFonts w:ascii="Times New Roman;Times;Serif" w:hAnsi="Times New Roman;Times;Serif"/>
          <w:b w:val="false"/>
          <w:i w:val="false"/>
          <w:caps w:val="false"/>
          <w:smallCaps w:val="false"/>
          <w:sz w:val="20"/>
        </w:rPr>
        <w:t>the terms defined in this Agreement include the plural as well as the singular and vice versa;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6.</w:t>
      </w:r>
      <w:r>
        <w:rPr>
          <w:rFonts w:ascii="Times New Roman;Times;Serif" w:hAnsi="Times New Roman;Times;Serif"/>
          <w:b w:val="false"/>
          <w:i w:val="false"/>
          <w:caps w:val="false"/>
          <w:smallCaps w:val="false"/>
          <w:sz w:val="20"/>
        </w:rPr>
        <w:t xml:space="preserve"> words importing gender include all genders;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7.</w:t>
      </w:r>
      <w:r>
        <w:rPr>
          <w:rFonts w:ascii="Times New Roman;Times;Serif" w:hAnsi="Times New Roman;Times;Serif"/>
          <w:b w:val="false"/>
          <w:i w:val="false"/>
          <w:caps w:val="false"/>
          <w:smallCaps w:val="false"/>
          <w:sz w:val="20"/>
        </w:rPr>
        <w:t xml:space="preserve"> any reference to a Section, Annex, Schedule or Exhibit refers to a Section of, or Annex, Schedule or Exhibit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8.</w:t>
      </w:r>
      <w:r>
        <w:rPr>
          <w:rFonts w:ascii="Times New Roman;Times;Serif" w:hAnsi="Times New Roman;Times;Serif"/>
          <w:b w:val="false"/>
          <w:i w:val="false"/>
          <w:caps w:val="false"/>
          <w:smallCaps w:val="false"/>
          <w:sz w:val="20"/>
        </w:rPr>
        <w:t xml:space="preserve">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Annex, Schedule, Exhibit or any other subdivision;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9.</w:t>
      </w:r>
      <w:r>
        <w:rPr>
          <w:rFonts w:ascii="Times New Roman;Times;Serif" w:hAnsi="Times New Roman;Times;Serif"/>
          <w:b w:val="false"/>
          <w:i w:val="false"/>
          <w:caps w:val="false"/>
          <w:smallCaps w:val="false"/>
          <w:sz w:val="20"/>
        </w:rPr>
        <w:t xml:space="preserve"> references to days, months and years refer to calendar days, months and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10. </w:t>
      </w:r>
      <w:r>
        <w:rPr>
          <w:rFonts w:ascii="Times New Roman;Times;Serif" w:hAnsi="Times New Roman;Times;Serif"/>
          <w:b w:val="false"/>
          <w:i w:val="false"/>
          <w:caps w:val="false"/>
          <w:smallCaps w:val="false"/>
          <w:sz w:val="20"/>
        </w:rPr>
        <w:t>all references herein to “include” or “including” shall be deemed to be followed by the words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11.</w:t>
      </w:r>
      <w:r>
        <w:rPr>
          <w:rFonts w:ascii="Times New Roman;Times;Serif" w:hAnsi="Times New Roman;Times;Serif"/>
          <w:b w:val="false"/>
          <w:i w:val="false"/>
          <w:caps w:val="false"/>
          <w:smallCaps w:val="false"/>
          <w:sz w:val="20"/>
        </w:rPr>
        <w:t xml:space="preserve"> the word “from” when used in connection with a period of time means “from and including” and the word “until” means “to but not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12.</w:t>
      </w:r>
      <w:r>
        <w:rPr>
          <w:rFonts w:ascii="Times New Roman;Times;Serif" w:hAnsi="Times New Roman;Times;Serif"/>
          <w:b w:val="false"/>
          <w:i w:val="false"/>
          <w:caps w:val="false"/>
          <w:smallCaps w:val="false"/>
          <w:sz w:val="20"/>
        </w:rPr>
        <w:t xml:space="preserve"> the words “asset” and “property” shall be construed to have the same meaning and effect and to refer broadly to any and all assets and properties, whether tangible or intangible, real or personal, including cash, securities, rights under contractual obligations and permits and any right or interest in any such assets or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w:t>
      </w:r>
      <w:r>
        <w:rPr>
          <w:rFonts w:ascii="Times New Roman;Times;Serif" w:hAnsi="Times New Roman;Times;Serif"/>
          <w:b w:val="false"/>
          <w:i w:val="false"/>
          <w:caps w:val="false"/>
          <w:smallCaps w:val="false"/>
          <w:sz w:val="20"/>
        </w:rPr>
        <w:t xml:space="preserve"> accounting terms not specifically defined herein (other than “property” and “asset”) shall be construed in accordance with GAAP, subject to </w:t>
      </w:r>
      <w:r>
        <w:rPr>
          <w:rFonts w:ascii="Times New Roman;Times;Serif" w:hAnsi="Times New Roman;Times;Serif"/>
          <w:b/>
          <w:i w:val="false"/>
          <w:caps w:val="false"/>
          <w:smallCaps w:val="false"/>
          <w:sz w:val="20"/>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14.</w:t>
      </w:r>
      <w:r>
        <w:rPr>
          <w:rFonts w:ascii="Times New Roman;Times;Serif" w:hAnsi="Times New Roman;Times;Serif"/>
          <w:b w:val="false"/>
          <w:i w:val="false"/>
          <w:caps w:val="false"/>
          <w:smallCaps w:val="false"/>
          <w:sz w:val="20"/>
        </w:rPr>
        <w:t xml:space="preserve"> the word “will” shall have the same meaning as the word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15.</w:t>
      </w:r>
      <w:r>
        <w:rPr>
          <w:rFonts w:ascii="Times New Roman;Times;Serif" w:hAnsi="Times New Roman;Times;Serif"/>
          <w:b w:val="false"/>
          <w:i w:val="false"/>
          <w:caps w:val="false"/>
          <w:smallCaps w:val="false"/>
          <w:sz w:val="20"/>
        </w:rPr>
        <w:t xml:space="preserve"> where any provision in this Agreement or any other Loan Document refers to an action to be taken by any Person, or an action which such Person is prohibited from taking, such provision shall be applicable whether such action is taken directly or, to the knowledge of such Person, indirectly;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16.</w:t>
      </w:r>
      <w:r>
        <w:rPr>
          <w:rFonts w:ascii="Times New Roman;Times;Serif" w:hAnsi="Times New Roman;Times;Serif"/>
          <w:b w:val="false"/>
          <w:i w:val="false"/>
          <w:caps w:val="false"/>
          <w:smallCaps w:val="false"/>
          <w:sz w:val="20"/>
        </w:rPr>
        <w:t xml:space="preserve"> references to any Lien granted or created hereunder or pursuant to any other Loan Document securing any Obligations shall deemed to be a Lien for the benefit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herein, references to organizational documents, agreements (including the Loan Documents, including any schedules and exhibits thereto) and other contractual instruments shall be deemed to include all subsequent amendments, restatements, extensions, supplements and other modifications thereto permitted by the Loan Documents. Any definition or reference to any Law shall include all statutory and regulatory provisions consolidating, amending, replacing, supplementing or interpreting such Law.</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payment required to be made pursuant to the terms and conditions of any Loan Document falls due on a day which is not a Business Day, then such required payment date shall be extended to the immediately following Business Day. For purposes of determining compliance with any covenant (including the computation of any financial covenant) contained herein, Indebtedness of the Obligors and their Subsidiaries will be deemed to be equal to 100% of the outstanding principal amount thereof or payment obligations with respect thereto at the time of determination thereof, or with respect to any Hedging Agreements, the amount that would be payable if the agreement governing such Hedging Agreements were terminated on the date of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Division</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w:t>
      </w:r>
      <w:r>
        <w:rPr>
          <w:rFonts w:ascii="Times New Roman;Times;Serif" w:hAnsi="Times New Roman;Times;Serif"/>
          <w:b/>
          <w:i/>
          <w:caps w:val="false"/>
          <w:smallCaps w:val="false"/>
          <w:sz w:val="20"/>
        </w:rPr>
        <w:t>Division</w:t>
      </w:r>
      <w:r>
        <w:rPr>
          <w:rFonts w:ascii="Times New Roman;Times;Serif" w:hAnsi="Times New Roman;Times;Serif"/>
          <w:b w:val="false"/>
          <w:i w:val="false"/>
          <w:caps w:val="false"/>
          <w:smallCaps w:val="false"/>
          <w:sz w:val="20"/>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18. </w:t>
      </w:r>
      <w:r>
        <w:rPr>
          <w:rFonts w:ascii="Times New Roman;Times;Serif" w:hAnsi="Times New Roman;Times;Serif"/>
          <w:b/>
          <w:i/>
          <w:caps w:val="false"/>
          <w:smallCaps w:val="false"/>
          <w:sz w:val="20"/>
        </w:rPr>
        <w:t>Currency Generally</w:t>
      </w:r>
      <w:r>
        <w:rPr>
          <w:rFonts w:ascii="Times New Roman;Times;Serif" w:hAnsi="Times New Roman;Times;Serif"/>
          <w:b w:val="false"/>
          <w:i w:val="false"/>
          <w:caps w:val="false"/>
          <w:smallCaps w:val="false"/>
          <w:sz w:val="20"/>
        </w:rPr>
        <w:t xml:space="preserve">. For purposes of determining compliance with </w:t>
      </w:r>
      <w:r>
        <w:rPr>
          <w:rFonts w:ascii="Times New Roman;Times;Serif" w:hAnsi="Times New Roman;Times;Serif"/>
          <w:b/>
          <w:i w:val="false"/>
          <w:caps w:val="false"/>
          <w:smallCaps w:val="false"/>
          <w:sz w:val="20"/>
        </w:rPr>
        <w:t>Section 9</w:t>
      </w:r>
      <w:r>
        <w:rPr>
          <w:rFonts w:ascii="Times New Roman;Times;Serif" w:hAnsi="Times New Roman;Times;Serif"/>
          <w:b w:val="false"/>
          <w:i w:val="false"/>
          <w:caps w:val="false"/>
          <w:smallCaps w:val="false"/>
          <w:sz w:val="20"/>
        </w:rPr>
        <w:t xml:space="preserve"> with respect to the amount of any Indebtedness or Investment in a currency other than Dollars, no Default or Event of Default shall be deemed to have occurred solely as a result of changes in rates of currency exchange occurring after the time such Indebtedness or Investment is incurred, made or acquired (so long as such Indebtedness or Investment, at the time incurred, made or acquired, was permitted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19.</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THE COMMITMENT AND THE LOANS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21.</w:t>
      </w:r>
      <w:r>
        <w:rPr>
          <w:rFonts w:ascii="Times New Roman;Times;Serif" w:hAnsi="Times New Roman;Times;Serif"/>
          <w:b w:val="false"/>
          <w:i w:val="false"/>
          <w:caps w:val="false"/>
          <w:smallCaps w:val="false"/>
          <w:sz w:val="20"/>
        </w:rPr>
        <w:t xml:space="preserve"> On the terms and subject to the conditions of this Agreement, each Lender agrees: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Loans to the Borrower (A) in a principal amount equal to the amount of such Lender’s Closing Date Tranche A Commitment on the Closing Date and (B) in a principal amount equal to the amount of such Lender’s Incremental Tranche A Commitment on the Incremental Tranche A Funding Date (the “</w:t>
            </w:r>
            <w:r>
              <w:rPr>
                <w:rFonts w:ascii="Times New Roman;Times;Serif" w:hAnsi="Times New Roman;Times;Serif"/>
                <w:b/>
                <w:i/>
                <w:caps w:val="false"/>
                <w:smallCaps w:val="false"/>
                <w:sz w:val="20"/>
              </w:rPr>
              <w:t>Incremental Tranche A Term Loans</w:t>
            </w:r>
            <w:r>
              <w:rPr>
                <w:rFonts w:ascii="Times New Roman;Times;Serif" w:hAnsi="Times New Roman;Times;Serif"/>
                <w:b w:val="false"/>
                <w:i w:val="false"/>
                <w:caps w:val="false"/>
                <w:smallCaps w:val="false"/>
                <w:sz w:val="20"/>
              </w:rPr>
              <w:t>” and, together with the Closing Date Tranche A Term Loans, the “</w:t>
            </w:r>
            <w:r>
              <w:rPr>
                <w:rFonts w:ascii="Times New Roman;Times;Serif" w:hAnsi="Times New Roman;Times;Serif"/>
                <w:b/>
                <w:i/>
                <w:caps w:val="false"/>
                <w:smallCaps w:val="false"/>
                <w:sz w:val="20"/>
              </w:rPr>
              <w:t>Tranche A Term Loans</w:t>
            </w:r>
            <w:r>
              <w:rPr>
                <w:rFonts w:ascii="Times New Roman;Times;Serif" w:hAnsi="Times New Roman;Times;Serif"/>
                <w:b w:val="false"/>
                <w:i w:val="false"/>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Loans to the Borrower in a principal amount equal to the amount of such Lender’s Tranche B Commitment (“</w:t>
            </w:r>
            <w:r>
              <w:rPr>
                <w:rFonts w:ascii="Times New Roman;Times;Serif" w:hAnsi="Times New Roman;Times;Serif"/>
                <w:b/>
                <w:i/>
                <w:caps w:val="false"/>
                <w:smallCaps w:val="false"/>
                <w:sz w:val="20"/>
              </w:rPr>
              <w:t>Tranche B Term Loans</w:t>
            </w:r>
            <w:r>
              <w:rPr>
                <w:rFonts w:ascii="Times New Roman;Times;Serif" w:hAnsi="Times New Roman;Times;Serif"/>
                <w:b w:val="false"/>
                <w:i w:val="false"/>
                <w:caps w:val="false"/>
                <w:smallCaps w:val="false"/>
                <w:sz w:val="20"/>
              </w:rPr>
              <w:t xml:space="preserve">”), on the Second Amendment Effective Date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22. </w:t>
      </w:r>
      <w:r>
        <w:rPr>
          <w:rFonts w:ascii="Times New Roman;Times;Serif" w:hAnsi="Times New Roman;Times;Serif"/>
          <w:b w:val="false"/>
          <w:i w:val="false"/>
          <w:caps w:val="false"/>
          <w:smallCaps w:val="false"/>
          <w:sz w:val="20"/>
        </w:rPr>
        <w:t>No amounts paid or prepaid with respect to any Loan may be reborrowed.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23.</w:t>
      </w:r>
      <w:r>
        <w:rPr>
          <w:rFonts w:ascii="Times New Roman;Times;Serif" w:hAnsi="Times New Roman;Times;Serif"/>
          <w:b w:val="false"/>
          <w:i w:val="false"/>
          <w:caps w:val="false"/>
          <w:smallCaps w:val="false"/>
          <w:sz w:val="20"/>
        </w:rPr>
        <w:t xml:space="preserve"> Any term or provision hereof (or of any other Loan Document) to the contrary notwithstanding, Loans made to the Borrower will be denominated solely in Dollars and will be repayable solely in Dollars and no other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Borrowing Procedures</w:t>
      </w:r>
      <w:r>
        <w:rPr>
          <w:rFonts w:ascii="Times New Roman;Times;Serif" w:hAnsi="Times New Roman;Times;Serif"/>
          <w:b w:val="false"/>
          <w:i w:val="false"/>
          <w:caps w:val="false"/>
          <w:smallCaps w:val="false"/>
          <w:sz w:val="20"/>
        </w:rPr>
        <w:t xml:space="preserve">. At least five (5) Business Days prior any Applicable Funding Date (or such shorter period agreed by the Administrative Agent), the Borrower shall deliver to the Administrative Agent an irrevocable Borrowing Notice in the form of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signed by a duly authorized representative of the Borrower (which notice, if received by the Administrative Agent on a day that is not a Business Day or after 10:00 A.M. (Eastern time) on a Business Day, shall be deemed to have been delivered on the next Business Day). Each Borrowing Notice shall be for the full amount of each of the Applicable Commitments and no Borrowing Notice for less than such full amount shall be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Funding of Borrowings</w:t>
      </w:r>
      <w:r>
        <w:rPr>
          <w:rFonts w:ascii="Times New Roman;Times;Serif" w:hAnsi="Times New Roman;Times;Serif"/>
          <w:b w:val="false"/>
          <w:i w:val="false"/>
          <w:caps w:val="false"/>
          <w:smallCaps w:val="false"/>
          <w:sz w:val="20"/>
        </w:rPr>
        <w:t>. Promptly following receipt of any written Borrowing Notice the Administrative Agent shall advise each Lender of the details thereof and of the amount of such Lender’s Loan to be made as part of the requested Borrowing. Each Lender shall make each Loan to be made by it hereunder on the proposed date thereof solely by wire transfer of immediately available funds, by 2:00 p.m. New York City time, to the account of the Administrative Agent most recently designated by it for such purpose by notice to the Lenders. Upon receipt of all funds the Administrative Agent will make such Loans available to the Borrower promptly by wire transfer of the amounts so received, in like funds, to an account designated by the Borrower in the applicable Borrowing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25.04 Notes</w:t>
      </w:r>
      <w:r>
        <w:rPr>
          <w:rFonts w:ascii="Times New Roman;Times;Serif" w:hAnsi="Times New Roman;Times;Serif"/>
          <w:b w:val="false"/>
          <w:i w:val="false"/>
          <w:caps w:val="false"/>
          <w:smallCaps w:val="false"/>
          <w:sz w:val="20"/>
        </w:rPr>
        <w:t xml:space="preserve">. If requested by any Lender, the Loan of such Lender shall be evidenced by one or more Notes. The Borrower shall prepare, execute and deliver to the Lender such promissory note(s) substantially in the form attached hereto as </w:t>
      </w:r>
      <w:r>
        <w:rPr>
          <w:rFonts w:ascii="Times New Roman;Times;Serif" w:hAnsi="Times New Roman;Times;Serif"/>
          <w:b/>
          <w:i w:val="false"/>
          <w:caps w:val="false"/>
          <w:smallCaps w:val="false"/>
          <w:sz w:val="20"/>
        </w:rPr>
        <w:t>Exhibit 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Use of Proceeds</w:t>
      </w:r>
      <w:r>
        <w:rPr>
          <w:rFonts w:ascii="Times New Roman;Times;Serif" w:hAnsi="Times New Roman;Times;Serif"/>
          <w:b w:val="false"/>
          <w:i w:val="false"/>
          <w:caps w:val="false"/>
          <w:smallCaps w:val="false"/>
          <w:sz w:val="20"/>
        </w:rPr>
        <w:t xml:space="preserve">. The Borrower shall use the proceeds of the Closing Date Tranche A Term Loans to refinance the Refinanced Facility in the aggregate amount set forth on </w:t>
      </w:r>
      <w:r>
        <w:rPr>
          <w:rFonts w:ascii="Times New Roman;Times;Serif" w:hAnsi="Times New Roman;Times;Serif"/>
          <w:b/>
          <w:i w:val="false"/>
          <w:caps w:val="false"/>
          <w:smallCaps w:val="false"/>
          <w:sz w:val="20"/>
        </w:rPr>
        <w:t>Schedule 5</w:t>
      </w:r>
      <w:r>
        <w:rPr>
          <w:rFonts w:ascii="Times New Roman;Times;Serif" w:hAnsi="Times New Roman;Times;Serif"/>
          <w:b w:val="false"/>
          <w:i w:val="false"/>
          <w:caps w:val="false"/>
          <w:smallCaps w:val="false"/>
          <w:sz w:val="20"/>
        </w:rPr>
        <w:t>, and for other working capital and general corporate purposes, including the payment of fees and expenses associated with this Agreement. The Borrower shall use all of the proceeds of the Incremental Tranche A Term Loans to fund (i) the Upfront Payment (as defined in the Eyevance APA), the Lumpsum Payment (as defined in the Eyevance License Agreement) and for the payment of fees and expenses in connection with the Eyevance Acquisition, in each case, substantially concurrently with the funding of the Incremental Tranche A Term Loans on the Incremental Tranche A Funding Date, (ii) the Eyevance Milestone Payments, and (iii) for other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27. </w:t>
      </w:r>
      <w:r>
        <w:rPr>
          <w:rFonts w:ascii="Times New Roman;Times;Serif" w:hAnsi="Times New Roman;Times;Serif"/>
          <w:b/>
          <w:i/>
          <w:caps w:val="false"/>
          <w:smallCaps w:val="false"/>
          <w:sz w:val="20"/>
        </w:rPr>
        <w:t>Commitment Fees</w:t>
      </w:r>
      <w:r>
        <w:rPr>
          <w:rFonts w:ascii="Times New Roman;Times;Serif" w:hAnsi="Times New Roman;Times;Serif"/>
          <w:b w:val="false"/>
          <w:i w:val="false"/>
          <w:caps w:val="false"/>
          <w:smallCaps w:val="false"/>
          <w:sz w:val="20"/>
        </w:rPr>
        <w:t>. The Borrower shall pay to the Administrative Agent for the account of the Lenders the Commitment Fee as set forth in the Fee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Defaulting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Waivers and Amendment. The Defaulting Lender’s right to approve or disapprove any amendment, waiver or consent with respect to this Agreement shall be restricted as set forth in Section 14.04.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31. </w:t>
      </w:r>
      <w:r>
        <w:rPr>
          <w:rFonts w:ascii="Times New Roman;Times;Serif" w:hAnsi="Times New Roman;Times;Serif"/>
          <w:b/>
          <w:i w:val="false"/>
          <w:caps w:val="false"/>
          <w:smallCaps w:val="false"/>
          <w:sz w:val="20"/>
        </w:rPr>
        <w:t>Reallocation of Payments. Any payment of principal, interest, fees or other amounts received by the Administrative Agent for the account of that Defaulting Lender (whether voluntary or mandatory, at maturity, pursuant to Section 11 or otherwise, and including any amounts made available to the Administrative Agent by that Defaulting Lender pursuant to Section 4.03), shall be applied at such time or times as may be determined by the Administrative Agent as follows: first, to the payment of any amounts owing by that Defaulting Lender to the Administrative Agent hereunder; second, as the Borrower may request (so long as no Default or Event of Default exists), to the funding of any Loan in respect of which that Defaulting Lender has failed to fund its portion thereof as required by this Agreement, as determined by the Administrative Agent; third, if so determined by the Administrative Agent and the Borrower, to be held in a non-interest bearing deposit account and released in order to satisfy obligations of that Defaulting Lender to fund Loans under this Agreement; fourth, to the payment of any amounts owing to the Lenders as a result of any judgment of a court of competent jurisdiction obtained by any Lender against that Defaulting Lender as a result of that Defaulting Lender’s breach of its obligations under this Agreement; fifth,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sixth, to that Defaulting Lender or as otherwise directed by a court of competent jurisdiction; provided, that, if (x) such payment is a payment of the principal amount of any Loans in respect of which that Defaulting Lender has not fully funded its appropriate share and (y) such Loans were made at a time when the conditions set forth in Section 6.02 were satisfied or waived, such payment shall be applied solely to pay the Loans of all non-Defaulting Lenders on a pro rata basis prior to being applied to the payment of any Loans of that Defaulting Lender. Any payments, prepayments, repayments or other amounts paid or payable to a Defaulting Lender that are applied (or held) to pay amounts owed by a Defaulting Lender pursuant to this Section 2.07(a)(ii) shall be deemed paid to and redirected by that Defaulting Lender, and each Lender irrevocably consents hereto.</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Defaulting Lender Cure</w:t>
      </w:r>
      <w:r>
        <w:rPr>
          <w:rFonts w:ascii="Times New Roman;Times;Serif" w:hAnsi="Times New Roman;Times;Serif"/>
          <w:b w:val="false"/>
          <w:i w:val="false"/>
          <w:caps w:val="false"/>
          <w:smallCaps w:val="false"/>
          <w:sz w:val="20"/>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no adjustments will be made retroactively with respect to fees accrued or payments made by or on behalf of the Borrower while that Lender was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Certain Fees</w:t>
      </w:r>
      <w:r>
        <w:rPr>
          <w:rFonts w:ascii="Times New Roman;Times;Serif" w:hAnsi="Times New Roman;Times;Serif"/>
          <w:b w:val="false"/>
          <w:i w:val="false"/>
          <w:caps w:val="false"/>
          <w:smallCaps w:val="false"/>
          <w:sz w:val="20"/>
        </w:rPr>
        <w:t xml:space="preserve">. No Defaulting Lender shall be entitled to receive any Commitment Fee payable under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or any upfront fee set forth in the Fee Letter for any period during which that Lender is a Defaulting Lender (and the Borrower shall not be required to pay any such Commitment Fee or upfront fee that otherwise would have been required to have been paid to that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32.</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PAYMENTS OF PRINCIPAL AND INTEREST, ETC.</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Scheduled Repayments and Prepayments Generally; Application</w:t>
      </w:r>
      <w:r>
        <w:rPr>
          <w:rFonts w:ascii="Times New Roman;Times;Serif" w:hAnsi="Times New Roman;Times;Serif"/>
          <w:b w:val="false"/>
          <w:i w:val="false"/>
          <w:caps w:val="false"/>
          <w:smallCaps w:val="false"/>
          <w:sz w:val="20"/>
        </w:rPr>
        <w:t xml:space="preserve">. The Borrower hereby promises to pay to the Administrative Agent for the account of each Lender (as such amounts may in each case be reduced from time to time in accordance with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on the Maturity Date, all outstanding Obligations in full (including, without limitation, the Exit Fee, accrued and unpaid interest, any accrued and unpaid Commitment Fee and any other accrued and unpaid charges thereon and all other obligations due and payable by the Borrower under this Agreement (other than inchoate indemnification obligations for which no claim has been made)). Except as otherwise provided in this Agreement, each payment (including each repayment and prepayment) by the Borrower (other than fees payable pursuant to the Fee Letter) will be deemed to be made ratably in accordance with the Lenders’ Proportionate Shares and applied ratably among each tranche of the Loans. On any date occurring prior to October 21, 2025, that payment or prepayment in full of the Loans hereunder occurs, the Borrower shall pay in full all outstanding Obligations (other than any inchoate indemnification obligations for which no claim has been made), which shall include the Yield Protection Premium, if applicable, any accrued and unpaid Commitment Fee and the Exit Fee. On any date occurring on or after October 21, 2025 to the Maturity Date, that payment or prepayment in full of the Loans hereunder occurs, the Borrower shall pay in full all outstanding Obligations (other than any inchoate indemnification obligations for which no claim has been made), which shall include any accrued and unpaid Commitment Fee and the Exit Fee, but for purposes of clarity, not the Yield Protection Premium.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Interest Generally</w:t>
      </w:r>
      <w:r>
        <w:rPr>
          <w:rFonts w:ascii="Times New Roman;Times;Serif" w:hAnsi="Times New Roman;Times;Serif"/>
          <w:b w:val="false"/>
          <w:i w:val="false"/>
          <w:caps w:val="false"/>
          <w:smallCaps w:val="false"/>
          <w:sz w:val="20"/>
        </w:rPr>
        <w:t>. The outstanding principal amount of the Loans shall accrue interest from the date made until the date of repayment (whether by acceleration or otherwise and whether voluntary or mandatory) at the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Notwithstanding the foregoing, upon the occurrence and during the continuance of any Event of Default, the Interest Rate shall increase (i) automatically, in the case of any Event of Default under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and (ii) upon the request of the Majority Lenders, in the case of any other Event of Default, by two percent (2.0%) </w:t>
      </w:r>
      <w:r>
        <w:rPr>
          <w:rFonts w:ascii="Times New Roman;Times;Serif" w:hAnsi="Times New Roman;Times;Serif"/>
          <w:b w:val="false"/>
          <w:i/>
          <w:caps w:val="false"/>
          <w:smallCaps w:val="false"/>
          <w:sz w:val="20"/>
        </w:rPr>
        <w:t xml:space="preserve">per annum </w:t>
      </w:r>
      <w:r>
        <w:rPr>
          <w:rFonts w:ascii="Times New Roman;Times;Serif" w:hAnsi="Times New Roman;Times;Serif"/>
          <w:b w:val="false"/>
          <w:i w:val="false"/>
          <w:caps w:val="false"/>
          <w:smallCaps w:val="false"/>
          <w:sz w:val="20"/>
        </w:rPr>
        <w:t xml:space="preserve">(the Interest Rate, as increased pursuant to this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 being the “</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If any Obligation (including, without limitation, fees, costs and expenses payable hereunder) is not paid when due (giving effect to any applicable grace period) under any applicable Loan Document, the amount thereof shall accrue interest at the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Interest Payment Dates</w:t>
      </w:r>
      <w:r>
        <w:rPr>
          <w:rFonts w:ascii="Times New Roman;Times;Serif" w:hAnsi="Times New Roman;Times;Serif"/>
          <w:b w:val="false"/>
          <w:i w:val="false"/>
          <w:caps w:val="false"/>
          <w:smallCaps w:val="false"/>
          <w:sz w:val="20"/>
        </w:rPr>
        <w:t xml:space="preserve">. Accrued interest on the Loans shall be payable in arrears on each Payment Date in cash, and upon the payment or prepayment of the Loans (on the principal amount being so paid or prepaid);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interest payable at the Default Rate shall also be payable in cash from time to time on demand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Optional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40. </w:t>
      </w:r>
      <w:r>
        <w:rPr>
          <w:rFonts w:ascii="Times New Roman;Times;Serif" w:hAnsi="Times New Roman;Times;Serif"/>
          <w:b/>
          <w:i w:val="false"/>
          <w:caps w:val="false"/>
          <w:smallCaps w:val="false"/>
          <w:sz w:val="20"/>
        </w:rPr>
        <w:t>Subject to prior written notice pursuant to clause (ii) below, the Borrower shall have the right to optionally prepay in whole or in part the outstanding principal amount of the Loans and/or any tranche thereof (i.e., any of the Tranche A Term Loans and/or the Tranche B Term Loans) on any Business Day for an amount equal to the sum of (A) the aggregate principal amount of the Loans being prepaid, (B) any accrued but unpaid interest on the principal amount of the Loans being prepaid, (C) any applicable Yield Protection Premium, (D) the Exit Fee and (E) any other unpaid amounts then due and owing pursuant to this Agreement and the other Loan Documents (such aggregate amount, the “</w:t>
      </w:r>
      <w:r>
        <w:rPr>
          <w:rFonts w:ascii="Times New Roman;Times;Serif" w:hAnsi="Times New Roman;Times;Serif"/>
          <w:b/>
          <w:i/>
          <w:caps w:val="false"/>
          <w:smallCaps w:val="false"/>
          <w:sz w:val="20"/>
        </w:rPr>
        <w:t>Prepayment Price</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that each partial prepayment of principal of Loans shall be in an aggregate amount at least equal to $5,000,000 and integral multiples of $1,000,000 in excess thereof (or, if less, any remaining outstanding principal amount of the Loans and/or any tranche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A notice of optional prepayment shall be effective only if received by the Administrative Agent not later than 2:00 p.m. (Eastern time) on a date not less than three (3) (nor more than five (5)) Business Days prior to the proposed prepayment date;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Each notice of optional prepayment shall specify the proposed prepayment date, the Prepayment Price, the principal amount to be prepaid, the applicable tranche or tranches to be prepaid (if a partial prepayment) and any conditions to prepayment (if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43. </w:t>
      </w:r>
      <w:r>
        <w:rPr>
          <w:rFonts w:ascii="Times New Roman;Times;Serif" w:hAnsi="Times New Roman;Times;Serif"/>
          <w:b/>
          <w:i w:val="false"/>
          <w:caps w:val="false"/>
          <w:smallCaps w:val="false"/>
          <w:sz w:val="20"/>
        </w:rPr>
        <w:t>Mandatory Prepayments for Casualty Events or Asset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Within five (5) Business Days following the receipt of Net Cash Proceeds from the occurrence of any Casualty Event or Asset Sale (other than pursuant to Section 9.09 (a), (b), (c), (d), (e), (f), (i), (m), or (n) or an Asset Sale of the Permitted Minority Investments) for which the Net Cash Proceeds from such individual Casualty Event or Asset Sale exceeds $2,000,000, or which causes the aggregate total of Net Cash Proceeds that have not been applied as a prepayment pursuant to this Section 3.03(b)(i) from all such Casualty Events or Asset Sales to exceed $5,000,000 in any fiscal year, the Borrower shall make a mandatory prepayment of the Loans, together with any accrued but unpaid interest on any principal amount of the Loans being prepaid and any applicable Yield Protection Premium and Exit Fee (collectively, the “</w:t>
      </w:r>
      <w:r>
        <w:rPr>
          <w:rFonts w:ascii="Times New Roman;Times;Serif" w:hAnsi="Times New Roman;Times;Serif"/>
          <w:b/>
          <w:i/>
          <w:caps w:val="false"/>
          <w:smallCaps w:val="false"/>
          <w:sz w:val="20"/>
        </w:rPr>
        <w:t>Mandatory Prepayment</w:t>
      </w:r>
      <w:r>
        <w:rPr>
          <w:rFonts w:ascii="Times New Roman;Times;Serif" w:hAnsi="Times New Roman;Times;Serif"/>
          <w:b/>
          <w:i w:val="false"/>
          <w:caps w:val="false"/>
          <w:smallCaps w:val="false"/>
          <w:sz w:val="20"/>
        </w:rPr>
        <w:t>”), which Mandatory Prepayment shall be in an amount equal to one hundred percent (100%) of the Net Cash Proceeds received by the Borrower or any of its Subsidiaries with respect to such Asset Sale or insurance proceeds or condemnation awards in respect of such Casualty Event, as the case may be.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Notwithstanding the foregoing Section 3.03(b)(i)(A), so long as no Default has occurred and is continuing or shall immediately result therefrom, if, within five (5) Business Days following the receipt of Net Cash Proceeds from a Casualty Event at or in connection with the Borrower’s manufacturing facility in Ledgewood, New Jersey, a Responsible Officer of the Borrower delivers to the Administrative Agent a written notice to the effect that the Borrower intends to apply the insurance proceeds or condemnation awards in respect of such Casualty Event, to the costs of replacement of the properties or assets that are the subject of such Casualty Event (the “</w:t>
      </w:r>
      <w:r>
        <w:rPr>
          <w:rFonts w:ascii="Times New Roman;Times;Serif" w:hAnsi="Times New Roman;Times;Serif"/>
          <w:b/>
          <w:i/>
          <w:caps w:val="false"/>
          <w:smallCaps w:val="false"/>
          <w:sz w:val="20"/>
        </w:rPr>
        <w:t>NJ Reinvestment</w:t>
      </w:r>
      <w:r>
        <w:rPr>
          <w:rFonts w:ascii="Times New Roman;Times;Serif" w:hAnsi="Times New Roman;Times;Serif"/>
          <w:b/>
          <w:i w:val="false"/>
          <w:caps w:val="false"/>
          <w:smallCaps w:val="false"/>
          <w:sz w:val="20"/>
        </w:rPr>
        <w:t xml:space="preserve">”), then such insurance proceeds or condemnation awards in respect of such Casualty Event may be applied for such purpose in lieu of such mandatory prepayment to the extent such insurance proceeds or condemnation awards in respect of such Casualty Event are actually applied for such purposes;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further</w:t>
      </w:r>
      <w:r>
        <w:rPr>
          <w:rFonts w:ascii="Times New Roman;Times;Serif" w:hAnsi="Times New Roman;Times;Serif"/>
          <w:b/>
          <w:i w:val="false"/>
          <w:caps w:val="false"/>
          <w:smallCaps w:val="false"/>
          <w:sz w:val="20"/>
        </w:rPr>
        <w:t>, that in the event that such insurance proceeds or condemnation awards have not been so applied within three hundred and sixty five (365) days following the receipt of such insurance proceeds or condemnation awards (such applicable period, the “</w:t>
      </w:r>
      <w:r>
        <w:rPr>
          <w:rFonts w:ascii="Times New Roman;Times;Serif" w:hAnsi="Times New Roman;Times;Serif"/>
          <w:b/>
          <w:i/>
          <w:caps w:val="false"/>
          <w:smallCaps w:val="false"/>
          <w:sz w:val="20"/>
        </w:rPr>
        <w:t>Reinvestment Period</w:t>
      </w:r>
      <w:r>
        <w:rPr>
          <w:rFonts w:ascii="Times New Roman;Times;Serif" w:hAnsi="Times New Roman;Times;Serif"/>
          <w:b/>
          <w:i w:val="false"/>
          <w:caps w:val="false"/>
          <w:smallCaps w:val="false"/>
          <w:sz w:val="20"/>
        </w:rPr>
        <w:t>”) (or, if the Borrower has entered into a binding commitment prior to the last day of such Reinvestment Period to reinvest such proceeds no later than ninety five (95) days after the expiry of the Reinvestment Period), the Borrower shall no later than the end of such period make a Mandatory Prepayment (which, for the avoidance of doubt, shall include any accrued but unpaid interest on any principal amount of the Loans being prepaid and any applicable Yield Protection Premium and Exit Fee) in an aggregate amount equal to one hundred percent (100%) of the unused balance of such Net Cash Proceeds received by any Obligor or any of its Subsidiaries with respect to such insurance proceeds or condemnation awards in respect of such Casualty Event.</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Notwithstanding the foregoing Section 3.03(b)(i)(A), so long as no Default has occurred and is continuing or shall immediately result therefrom, if, within five (5) Business Days following the receipt of Net Cash Proceeds from a Casualty Event (other than at or in connection with the Borrower’s manufacturing facility in Ledgewood, New Jersey), a Responsible Officer of the Borrower delivers to the Administrative Agent a written notice to the effect that the Borrower or the applicable Subsidiary intends to apply the insurance proceeds or condemnation awards in respect of such Casualty Event, to the costs of replacement of the properties or assets that are the subject of such Casualty Event (a “</w:t>
      </w:r>
      <w:r>
        <w:rPr>
          <w:rFonts w:ascii="Times New Roman;Times;Serif" w:hAnsi="Times New Roman;Times;Serif"/>
          <w:b/>
          <w:i/>
          <w:caps w:val="false"/>
          <w:smallCaps w:val="false"/>
          <w:sz w:val="20"/>
        </w:rPr>
        <w:t>Reinvestment</w:t>
      </w:r>
      <w:r>
        <w:rPr>
          <w:rFonts w:ascii="Times New Roman;Times;Serif" w:hAnsi="Times New Roman;Times;Serif"/>
          <w:b/>
          <w:i w:val="false"/>
          <w:caps w:val="false"/>
          <w:smallCaps w:val="false"/>
          <w:sz w:val="20"/>
        </w:rPr>
        <w:t xml:space="preserve">”), then such insurance proceeds or condemnation awards in respect of such Casualty Event in an aggregate amount not to exceed $1,500,000 in any fiscal year may be applied for such purpose in lieu of such mandatory prepayment to the extent such insurance proceeds or condemnation awards in respect of such Casualty Event are actually applied for such purposes;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further</w:t>
      </w:r>
      <w:r>
        <w:rPr>
          <w:rFonts w:ascii="Times New Roman;Times;Serif" w:hAnsi="Times New Roman;Times;Serif"/>
          <w:b/>
          <w:i w:val="false"/>
          <w:caps w:val="false"/>
          <w:smallCaps w:val="false"/>
          <w:sz w:val="20"/>
        </w:rPr>
        <w:t xml:space="preserve">, that if such Casualty Event occurs with respect to any Obligor, such Reinvestment shall be made in the business of an Obligor;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further, that in the event that such insurance proceeds or condemnation awards have not been so applied within the Reinvestment Period (or, if the Borrower or any of its Subsidiaries has entered into a binding commitment prior to the last day of such Reinvestment Period to reinvest such proceeds no later than ninety five (95) days after the expiry of the Reinvestment Period), the Borrower shall no later than the end of such period make a Mandatory Prepayment (which, for the avoidance of doubt, shall include any accrued but unpaid interest on any principal amount of the Loans being prepaid and any applicable Yield Protection Premium and Exit Fee) in an aggregate amount equal to one hundred percent (100%) of the unused balance of such Net Cash Proceeds received by any Obligor or any of its Subsidiaries with respect to such insurance proceeds or condemnation awards in respect of such Casualty Event.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Mandatory Prepayments for Debt Issuances. Immediately upon receipt by any Obligor or any of its Subsidiaries of proceeds from any issuance, incurrence or assumption of Indebtedness other than Indebtedness permitted by Section 9.01, on or after the Closing Date, the Borrower shall prepay the Loans and other Obligations in an amount equal to 100% of the cash proceeds received, </w:t>
      </w:r>
      <w:r>
        <w:rPr>
          <w:rFonts w:ascii="Times New Roman;Times;Serif" w:hAnsi="Times New Roman;Times;Serif"/>
          <w:b/>
          <w:i/>
          <w:caps w:val="false"/>
          <w:smallCaps w:val="false"/>
          <w:sz w:val="20"/>
        </w:rPr>
        <w:t>plus</w:t>
      </w:r>
      <w:r>
        <w:rPr>
          <w:rFonts w:ascii="Times New Roman;Times;Serif" w:hAnsi="Times New Roman;Times;Serif"/>
          <w:b/>
          <w:i w:val="false"/>
          <w:caps w:val="false"/>
          <w:smallCaps w:val="false"/>
          <w:sz w:val="20"/>
        </w:rPr>
        <w:t xml:space="preserve"> any accrued but unpaid interest on the principal amount of the Loans being prepaid, the Yield Protection Premium, if applicable, any accrued and unpaid Commitment Fee, and the Exit Fee.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Mandatory Prepayment for Change of Control. Upon the occurrence of any Change of Control, the Borrower shall prepay all of the Loans and the other Obligations, including any accrued but unpaid interest on the principal amount of the Loans being prepaid, any applicable Yield Protection Premium, any accrued and unpaid Commitment Fee and the Exit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Mandatory Prepayment for Net Revenues Cure Payment. Any Net Revenues Cure Payment shall be applied to the prepayment of all outstanding Obligations, including any accrued but unpaid interest on any principal amount of the Loans being prepaid, any applicable Yield Protection Premium, any accrued and unpaid Commitment Fee and the Exit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Notice. A notice of mandatory prepayment shall be effective only if received by the Administrative Agent not later than 2:00 p.m. (New York City time) on a date not less than one (1) Business Day (or such shorter period agreed by the Administrative Agent) prior to the proposed prepayment date. Each notice of mandatory prepayment shall specify the proposed prepayment date, the amount of the mandatory prepayment, the principal amount to be prepaid and the subsection under which the prepayment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Application</w:t>
      </w:r>
      <w:r>
        <w:rPr>
          <w:rFonts w:ascii="Times New Roman;Times;Serif" w:hAnsi="Times New Roman;Times;Serif"/>
          <w:b w:val="false"/>
          <w:i w:val="false"/>
          <w:caps w:val="false"/>
          <w:smallCaps w:val="false"/>
          <w:sz w:val="20"/>
        </w:rPr>
        <w:t xml:space="preserve">. So long as no Event of Default has occurred and is continuing, any mandatory prepayment made in accordance with </w:t>
      </w:r>
      <w:r>
        <w:rPr>
          <w:rFonts w:ascii="Times New Roman;Times;Serif" w:hAnsi="Times New Roman;Times;Serif"/>
          <w:b/>
          <w:i w:val="false"/>
          <w:caps w:val="false"/>
          <w:smallCaps w:val="false"/>
          <w:sz w:val="20"/>
        </w:rPr>
        <w:t>Section 3.03(b)</w:t>
      </w:r>
      <w:r>
        <w:rPr>
          <w:rFonts w:ascii="Times New Roman;Times;Serif" w:hAnsi="Times New Roman;Times;Serif"/>
          <w:b w:val="false"/>
          <w:i w:val="false"/>
          <w:caps w:val="false"/>
          <w:smallCaps w:val="false"/>
          <w:sz w:val="20"/>
        </w:rPr>
        <w:t xml:space="preserve"> shall be applied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any accrued and unpaid interest, accrued and unpaid Commitment Fee, any applicable Yield Protection Premium and the Exit Fee; and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prepay the outstanding principal balance of the Loans on a pro rata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Yield Protection Premium</w:t>
      </w:r>
      <w:r>
        <w:rPr>
          <w:rFonts w:ascii="Times New Roman;Times;Serif" w:hAnsi="Times New Roman;Times;Serif"/>
          <w:b w:val="false"/>
          <w:i w:val="false"/>
          <w:caps w:val="false"/>
          <w:smallCaps w:val="false"/>
          <w:sz w:val="20"/>
        </w:rPr>
        <w:t xml:space="preserve">. Without limiting the foregoing, whenever the Yield Protection Premium is in effect and payable pursuant to the terms hereof or any other Loan Document, such Yield Protection Premium shall be payable on each prepayment of all or any portion of the Loans, whether by optional or mandatory prepayment, acceleration or otherwise (other than any prepayment pursuant to any scheduled amortization payment);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from the Second Amendment Effective Date until March 31, 2025, no Yield Protection Premium shall be payable on any optional or mandatory prepayment of Tranche B Term Loans. Notwithstanding the foregoing, no Yield Protection Premium shall be due and payable in connection with a Mandatory Prepayment required hereunder as a result of a Casualty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Partial Prepayments</w:t>
      </w:r>
      <w:r>
        <w:rPr>
          <w:rFonts w:ascii="Times New Roman;Times;Serif" w:hAnsi="Times New Roman;Times;Serif"/>
          <w:b w:val="false"/>
          <w:i w:val="false"/>
          <w:caps w:val="false"/>
          <w:smallCaps w:val="false"/>
          <w:sz w:val="20"/>
        </w:rPr>
        <w:t>. Prepayments shall be accompanied by accrued and unpaid interest and the Exit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Declined Payment</w:t>
      </w:r>
      <w:r>
        <w:rPr>
          <w:rFonts w:ascii="Times New Roman;Times;Serif" w:hAnsi="Times New Roman;Times;Serif"/>
          <w:b w:val="false"/>
          <w:i w:val="false"/>
          <w:caps w:val="false"/>
          <w:smallCaps w:val="false"/>
          <w:sz w:val="20"/>
        </w:rPr>
        <w:t xml:space="preserve">. Notwithstanding anything in this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xml:space="preserve"> to the contrary, the Oaktree Lender may elect, by notice to the Administrative Agent prior to 12:00 p.m. (Eastern Time) at least one (1) Business Day prior to the required prepayment date, to decline all or any portion of any mandatory prepayment of its Loans pursuant to this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in which case the aggregate amount of the prepayment that would have been applied to prepay Loans but was so declined may be retained by the Borrower and used for any purpose not prohibited by this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52. </w:t>
      </w:r>
      <w:r>
        <w:rPr>
          <w:rFonts w:ascii="Times New Roman;Times;Serif" w:hAnsi="Times New Roman;Times;Serif"/>
          <w:b/>
          <w:i/>
          <w:caps w:val="false"/>
          <w:smallCaps w:val="false"/>
          <w:sz w:val="20"/>
        </w:rPr>
        <w:t>Commitment Termination</w:t>
      </w:r>
      <w:r>
        <w:rPr>
          <w:rFonts w:ascii="Times New Roman;Times;Serif" w:hAnsi="Times New Roman;Times;Serif"/>
          <w:b w:val="false"/>
          <w:i w:val="false"/>
          <w:caps w:val="false"/>
          <w:smallCaps w:val="false"/>
          <w:sz w:val="20"/>
        </w:rPr>
        <w:t xml:space="preserve">. Each Applicable Commitment shall terminate automatically without further action upon the earlier of (i) the making by the Lenders of the Loans to which such Applicable Commitment relates on the Applicable Funding Date, (ii) with respect to the Incremental Tranche A Commitment, the last day of the Incremental Tranche A Availability Period and (iii) with respect to the Tranche B Commitment, the last day of the Tranche B Availability Period. The Borrower shall have the right at any time or from time to time to terminate in full (but not in part) all of the then outstanding Applicable Commitments with respect to the Incremental Tranche A Term Loans or the Tranche B Term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give the Lender and the Administrative Agent at least three (3) Business Days’ prior written notice of each such termination. Any notice of termination delivered pursuant to this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 xml:space="preserve"> may state that such notice is conditional upon the effectiveness of other credit facilities or the receipt of the proceeds from the issuance of other Indebtedness or the occurrence of some other identifiable event or condition, in which case such notice of termination may be revoked by the Borrower (by written notice to the Administrative Agent on or prior to the specified date of termination) if such condition is not satisfied. The termination of the Incremental Tranche A Commitment or the Tranche B Commitment pursuant to this </w:t>
      </w:r>
      <w:r>
        <w:rPr>
          <w:rFonts w:ascii="Times New Roman;Times;Serif" w:hAnsi="Times New Roman;Times;Serif"/>
          <w:b/>
          <w:i w:val="false"/>
          <w:caps w:val="false"/>
          <w:smallCaps w:val="false"/>
          <w:sz w:val="20"/>
        </w:rPr>
        <w:t xml:space="preserve">Section 3.04 </w:t>
      </w:r>
      <w:r>
        <w:rPr>
          <w:rFonts w:ascii="Times New Roman;Times;Serif" w:hAnsi="Times New Roman;Times;Serif"/>
          <w:b w:val="false"/>
          <w:i w:val="false"/>
          <w:caps w:val="false"/>
          <w:smallCaps w:val="false"/>
          <w:sz w:val="20"/>
        </w:rPr>
        <w:t>shall be permanent.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Exit Fee</w:t>
      </w:r>
      <w:r>
        <w:rPr>
          <w:rFonts w:ascii="Times New Roman;Times;Serif" w:hAnsi="Times New Roman;Times;Serif"/>
          <w:b w:val="false"/>
          <w:i w:val="false"/>
          <w:caps w:val="false"/>
          <w:smallCaps w:val="false"/>
          <w:sz w:val="20"/>
        </w:rPr>
        <w:t>. Upon any payment or prepayment in full or in part of the Loans hereunder, whether voluntary or involuntary, prior to, on or after the Maturity Date or following the acceleration of the Obligations hereunder, including as a result of the commencement of any Insolvency Proceeding, the Borrower shall pay to each of the Lenders for its own account a fee equal to 3.50% of the aggregate principal amount of such Loans to be paid or prepaid (the “</w:t>
      </w:r>
      <w:r>
        <w:rPr>
          <w:rFonts w:ascii="Times New Roman;Times;Serif" w:hAnsi="Times New Roman;Times;Serif"/>
          <w:b/>
          <w:i/>
          <w:caps w:val="false"/>
          <w:smallCaps w:val="false"/>
          <w:sz w:val="20"/>
        </w:rPr>
        <w:t>Exit Fee</w:t>
      </w:r>
      <w:r>
        <w:rPr>
          <w:rFonts w:ascii="Times New Roman;Times;Serif" w:hAnsi="Times New Roman;Times;Serif"/>
          <w:b w:val="false"/>
          <w:i w:val="false"/>
          <w:caps w:val="false"/>
          <w:smallCaps w:val="false"/>
          <w:sz w:val="20"/>
        </w:rPr>
        <w:t>”). The Exit Fee shall be earned, due and payable immediately upon any such payment or prepayment, and shall be in addition to any accrued and unpaid interest, reimbursement obligations, Yield Protection Premium or other amounts payable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Original Issue Discount</w:t>
      </w:r>
      <w:r>
        <w:rPr>
          <w:rFonts w:ascii="Times New Roman;Times;Serif" w:hAnsi="Times New Roman;Times;Serif"/>
          <w:b w:val="false"/>
          <w:i w:val="false"/>
          <w:caps w:val="false"/>
          <w:smallCaps w:val="false"/>
          <w:sz w:val="20"/>
        </w:rPr>
        <w:t>. The Borrower and the Lenders acknowledge that the Loans will be treated as issued with original issue discount for U.S. federal tax purposes, within the meaning of section 1273 of the Code. The issue price, amount of original issue discount, issue date and yield to maturity for the Loans may be obtained by submitting a written request for such information to the Borrower care of Andrew Boll at 1A Burton Hills Blvd., Suite 200, Nashville TN, 37215 (which request shall also be sent via email to). The Borrower and the Lenders agree that, for U.S. federal income tax purposes, pursuant to Treasury Regulation section 1.1275-2(c), each tranche will be treated as a single debt instrument with a single issue price, maturity date, yield to maturity and stated redemption price at maturity for purposes of Section 1271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55.</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PAYMENTS, ETC.</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57. </w:t>
      </w:r>
      <w:r>
        <w:rPr>
          <w:rFonts w:ascii="Times New Roman;Times;Serif" w:hAnsi="Times New Roman;Times;Serif"/>
          <w:b/>
          <w:i w:val="false"/>
          <w:caps w:val="false"/>
          <w:smallCaps w:val="false"/>
          <w:sz w:val="20"/>
        </w:rPr>
        <w:t>Payments Generally</w:t>
      </w:r>
      <w:r>
        <w:rPr>
          <w:rFonts w:ascii="Times New Roman;Times;Serif" w:hAnsi="Times New Roman;Times;Serif"/>
          <w:b w:val="false"/>
          <w:i w:val="false"/>
          <w:caps w:val="false"/>
          <w:smallCaps w:val="false"/>
          <w:sz w:val="20"/>
        </w:rPr>
        <w:t>. Each payment of principal, interest and other amounts to be made by the Obligors under this Agreement or any other Loan Document shall be made (i) in Dollars, in immediately available funds, without deduction, set off or counterclaim, to the Administrative Agent, for the account of the respective Lenders to which such payment is owed, to the deposit account of the Administrative Agent designated by the Administrative Agent by notice to the Borrower, and (ii) not later than 2:00 p.m. (Eastern time) on the date on which such payment is due (each such payment made after such time on such due date may, in the Administrative Agent’s discretion, be deemed to have been made on the next succeeding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Application of Payments</w:t>
      </w:r>
      <w:r>
        <w:rPr>
          <w:rFonts w:ascii="Times New Roman;Times;Serif" w:hAnsi="Times New Roman;Times;Serif"/>
          <w:b w:val="false"/>
          <w:i w:val="false"/>
          <w:caps w:val="false"/>
          <w:smallCaps w:val="false"/>
          <w:sz w:val="20"/>
        </w:rPr>
        <w:t>. Notwithstanding anything herein to the contrary, following the occurrence and continuance of an Event of Default, all payments shall be applied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59.</w:t>
      </w:r>
      <w:r>
        <w:rPr>
          <w:rFonts w:ascii="Times New Roman;Times;Serif" w:hAnsi="Times New Roman;Times;Serif"/>
          <w:b w:val="false"/>
          <w:i w:val="false"/>
          <w:caps w:val="false"/>
          <w:smallCaps w:val="false"/>
          <w:sz w:val="20"/>
          <w:u w:val="single"/>
        </w:rPr>
        <w:t xml:space="preserve"> first</w:t>
      </w:r>
      <w:r>
        <w:rPr>
          <w:rFonts w:ascii="Times New Roman;Times;Serif" w:hAnsi="Times New Roman;Times;Serif"/>
          <w:b w:val="false"/>
          <w:i w:val="false"/>
          <w:caps w:val="false"/>
          <w:smallCaps w:val="false"/>
          <w:sz w:val="20"/>
        </w:rPr>
        <w:t xml:space="preserve">, to the payment of that portion of the Obligations constituting unpaid fees, indemnities, expenses or other amounts (including fees and disbursements and other charges of counsel payable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payable to the Administrative Agent in its capacity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60.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payment of that portion of the Obligations constituting unpaid fees, indemnities, costs, expenses and other amounts (other than principal and interest, but including fees and disbursements and other charges of counsel payable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any Commitment Fees, Yield Protection Premium and any Exit Fees) payable to the Lenders arising under the Loan Documents, ratably among them in proportion to the respective amounts described in this clause (B) payable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61.</w:t>
      </w:r>
      <w:r>
        <w:rPr>
          <w:rFonts w:ascii="Times New Roman;Times;Serif" w:hAnsi="Times New Roman;Times;Serif"/>
          <w:b w:val="false"/>
          <w:i w:val="false"/>
          <w:caps w:val="false"/>
          <w:smallCaps w:val="false"/>
          <w:sz w:val="20"/>
          <w:u w:val="single"/>
        </w:rPr>
        <w:t xml:space="preserve"> third</w:t>
      </w:r>
      <w:r>
        <w:rPr>
          <w:rFonts w:ascii="Times New Roman;Times;Serif" w:hAnsi="Times New Roman;Times;Serif"/>
          <w:b w:val="false"/>
          <w:i w:val="false"/>
          <w:caps w:val="false"/>
          <w:smallCaps w:val="false"/>
          <w:sz w:val="20"/>
        </w:rPr>
        <w:t>, to the payment of that portion of the Obligations constituting accrued and unpaid interest on the Loans, ratably among the Lenders in proportion to the respective amounts described in this clause (C) payable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62.</w:t>
      </w:r>
      <w:r>
        <w:rPr>
          <w:rFonts w:ascii="Times New Roman;Times;Serif" w:hAnsi="Times New Roman;Times;Serif"/>
          <w:b w:val="false"/>
          <w:i w:val="false"/>
          <w:caps w:val="false"/>
          <w:smallCaps w:val="false"/>
          <w:sz w:val="20"/>
          <w:u w:val="single"/>
        </w:rPr>
        <w:t xml:space="preserve"> fourth</w:t>
      </w:r>
      <w:r>
        <w:rPr>
          <w:rFonts w:ascii="Times New Roman;Times;Serif" w:hAnsi="Times New Roman;Times;Serif"/>
          <w:b w:val="false"/>
          <w:i w:val="false"/>
          <w:caps w:val="false"/>
          <w:smallCaps w:val="false"/>
          <w:sz w:val="20"/>
        </w:rPr>
        <w:t>, to the payment of that portion of the Obligations constituting unpaid principal of the Loans, ratably among the Lenders in proportion to the respective amounts described in this clause (D) payable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63.</w:t>
      </w:r>
      <w:r>
        <w:rPr>
          <w:rFonts w:ascii="Times New Roman;Times;Serif" w:hAnsi="Times New Roman;Times;Serif"/>
          <w:b w:val="false"/>
          <w:i w:val="false"/>
          <w:caps w:val="false"/>
          <w:smallCaps w:val="false"/>
          <w:sz w:val="20"/>
          <w:u w:val="single"/>
        </w:rPr>
        <w:t xml:space="preserve"> fifth</w:t>
      </w:r>
      <w:r>
        <w:rPr>
          <w:rFonts w:ascii="Times New Roman;Times;Serif" w:hAnsi="Times New Roman;Times;Serif"/>
          <w:b w:val="false"/>
          <w:i w:val="false"/>
          <w:caps w:val="false"/>
          <w:smallCaps w:val="false"/>
          <w:sz w:val="20"/>
        </w:rPr>
        <w:t>, in reduction of any other Obligation then due and owing, ratably among the Administrative Agent and the Lenders based upon the respective aggregate amount of all such Obligations owing to them in accordance with the respective amounts thereof then due and payable;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64.</w:t>
      </w:r>
      <w:r>
        <w:rPr>
          <w:rFonts w:ascii="Times New Roman;Times;Serif" w:hAnsi="Times New Roman;Times;Serif"/>
          <w:b w:val="false"/>
          <w:i w:val="false"/>
          <w:caps w:val="false"/>
          <w:smallCaps w:val="false"/>
          <w:sz w:val="20"/>
          <w:u w:val="single"/>
        </w:rPr>
        <w:t xml:space="preserve"> sixth</w:t>
      </w:r>
      <w:r>
        <w:rPr>
          <w:rFonts w:ascii="Times New Roman;Times;Serif" w:hAnsi="Times New Roman;Times;Serif"/>
          <w:b w:val="false"/>
          <w:i w:val="false"/>
          <w:caps w:val="false"/>
          <w:smallCaps w:val="false"/>
          <w:sz w:val="20"/>
        </w:rPr>
        <w:t>, the balance, if any, after all Obligations have been indefeasibly paid in full, to the Borrower or such other Person as may be lawfully entitled to or directed by the Borrower to receive the remainder.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65. </w:t>
      </w:r>
      <w:r>
        <w:rPr>
          <w:rFonts w:ascii="Times New Roman;Times;Serif" w:hAnsi="Times New Roman;Times;Serif"/>
          <w:b/>
          <w:i w:val="false"/>
          <w:caps w:val="false"/>
          <w:smallCaps w:val="false"/>
          <w:sz w:val="20"/>
        </w:rPr>
        <w:t>Non-Business Days</w:t>
      </w:r>
      <w:r>
        <w:rPr>
          <w:rFonts w:ascii="Times New Roman;Times;Serif" w:hAnsi="Times New Roman;Times;Serif"/>
          <w:b w:val="false"/>
          <w:i w:val="false"/>
          <w:caps w:val="false"/>
          <w:smallCaps w:val="false"/>
          <w:sz w:val="20"/>
        </w:rPr>
        <w:t xml:space="preserve">. If the due date of any payment under this Agreement (whether in respect of principal, interest, fees, costs or otherwise) would otherwise fall on a day that is not a Business Day, such date shall be extended to the next succeeding Business Day, and, in the case of any payment accruing interest, interest thereon shall continue to accrue and be payable for the period of such extension;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next succeeding Business Day would fall after the Maturity Date, payment shall be made on the immediately preceding Business Day.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66.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Computations</w:t>
      </w:r>
      <w:r>
        <w:rPr>
          <w:rFonts w:ascii="Times New Roman;Times;Serif" w:hAnsi="Times New Roman;Times;Serif"/>
          <w:b w:val="false"/>
          <w:i w:val="false"/>
          <w:caps w:val="false"/>
          <w:smallCaps w:val="false"/>
          <w:sz w:val="20"/>
        </w:rPr>
        <w:t>. All computations of interest and fees hereunder shall be computed on the basis of a year of three hundred and sixty (360) days and actual days elapsed during the period for which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Set-Off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68.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Set-Off Generally</w:t>
      </w:r>
      <w:r>
        <w:rPr>
          <w:rFonts w:ascii="Times New Roman;Times;Serif" w:hAnsi="Times New Roman;Times;Serif"/>
          <w:b w:val="false"/>
          <w:i w:val="false"/>
          <w:caps w:val="false"/>
          <w:smallCaps w:val="false"/>
          <w:sz w:val="20"/>
        </w:rPr>
        <w:t xml:space="preserve">. Upon the occurrence and during the continuance of any Event of Default, the Administrative Agent, each of the Lenders and each of their Affiliates is hereby authorized at any time and from time to time, to the fullest extent permitted by law, to set off and apply any and all deposits (general or special, time or demand, provisional or final) at any time held and other indebtedness at any time owing by the Administrative Agent, any Lender and any of their Affiliates to or for the credit or the account of any Obligor against any and all of the Obligations, whether or not such Person shall have made any demand and although such obligations may be unmatured;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Times;Serif" w:hAnsi="Times New Roman;Times;Serif"/>
          <w:b/>
          <w:i w:val="false"/>
          <w:caps w:val="false"/>
          <w:smallCaps w:val="false"/>
          <w:sz w:val="20"/>
        </w:rPr>
        <w:t>Section 2.07</w:t>
      </w:r>
      <w:r>
        <w:rPr>
          <w:rFonts w:ascii="Times New Roman;Times;Serif" w:hAnsi="Times New Roman;Times;Serif"/>
          <w:b w:val="false"/>
          <w:i w:val="false"/>
          <w:caps w:val="false"/>
          <w:smallCaps w:val="false"/>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Any Person exercising rights of set off hereunder agrees promptly to notify the Borrower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 The rights of the Administrative Agent, the Lenders and each of their Affiliates under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are in addition to other rights and remedies (including other rights of set-off) that such Persons may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69.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Exercise of Rights Not Required</w:t>
      </w:r>
      <w:r>
        <w:rPr>
          <w:rFonts w:ascii="Times New Roman;Times;Serif" w:hAnsi="Times New Roman;Times;Serif"/>
          <w:b w:val="false"/>
          <w:i w:val="false"/>
          <w:caps w:val="false"/>
          <w:smallCaps w:val="false"/>
          <w:sz w:val="20"/>
        </w:rPr>
        <w:t xml:space="preserve">. Nothing contained in </w:t>
      </w:r>
      <w:r>
        <w:rPr>
          <w:rFonts w:ascii="Times New Roman;Times;Serif" w:hAnsi="Times New Roman;Times;Serif"/>
          <w:b/>
          <w:i w:val="false"/>
          <w:caps w:val="false"/>
          <w:smallCaps w:val="false"/>
          <w:sz w:val="20"/>
        </w:rPr>
        <w:t>Section 4.03(a)</w:t>
      </w:r>
      <w:r>
        <w:rPr>
          <w:rFonts w:ascii="Times New Roman;Times;Serif" w:hAnsi="Times New Roman;Times;Serif"/>
          <w:b w:val="false"/>
          <w:i w:val="false"/>
          <w:caps w:val="false"/>
          <w:smallCaps w:val="false"/>
          <w:sz w:val="20"/>
        </w:rPr>
        <w:t xml:space="preserve"> shall require the Administrative Agent, any Lender or any of their Affiliates to exercise any such right or shall affect the right of such Persons to exercise, and retain the benefits of exercising, any such right with respect to any other indebtedness or obligation of any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70.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Payments Set Aside. </w:t>
      </w:r>
      <w:r>
        <w:rPr>
          <w:rFonts w:ascii="Times New Roman;Times;Serif" w:hAnsi="Times New Roman;Times;Serif"/>
          <w:b w:val="false"/>
          <w:i w:val="false"/>
          <w:caps w:val="false"/>
          <w:smallCaps w:val="false"/>
          <w:sz w:val="20"/>
        </w:rPr>
        <w:t xml:space="preserve">To the extent that any payment by or on behalf of any Obligor is made to the Administrative Agent or any Lender, or the Administrative Agent, any Lender or any Affiliate of the foregoing exercises its right of setoff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and such payment or the proceeds of such setoff or any part thereof is subsequently invalidated, declared to be fraudulent or preferential, set aside or required (including pursuant to any settlement entered into by the Administrative Agent, such Lender or such Affiliate in its discretion) to be repaid to a trustee, receiver or any other party, in connection with any Insolvency Proceeding or otherwise, then (i) to the extent of such recovery, the obligation or part thereof originally intended to be satisfied shall be revived and continued in full force and effect as if such payment had not been made or such setoff had not occurred, and (ii)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w:t>
      </w:r>
    </w:p>
    <w:p>
      <w:pPr>
        <w:pStyle w:val="TextBody"/>
        <w:bidi w:val="0"/>
        <w:spacing w:before="0" w:after="0"/>
        <w:ind w:left="1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71.</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YIELD PROTECTION, TAXES, ETC.</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72. </w:t>
      </w:r>
      <w:r>
        <w:rPr>
          <w:rFonts w:ascii="Times New Roman;Times;Serif" w:hAnsi="Times New Roman;Times;Serif"/>
          <w:b/>
          <w:i/>
          <w:caps w:val="false"/>
          <w:smallCaps w:val="false"/>
          <w:sz w:val="20"/>
        </w:rPr>
        <w:t>Additional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73.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Change in Law Generally</w:t>
      </w:r>
      <w:r>
        <w:rPr>
          <w:rFonts w:ascii="Times New Roman;Times;Serif" w:hAnsi="Times New Roman;Times;Serif"/>
          <w:b w:val="false"/>
          <w:i w:val="false"/>
          <w:caps w:val="false"/>
          <w:smallCaps w:val="false"/>
          <w:sz w:val="20"/>
        </w:rPr>
        <w:t xml:space="preserve">. If, on or after the date hereof (or, with respect to any Lender, such later date on which such Lender becomes a party to this Agreement), the adoption of any Law, or any change in any Law, or any change in the interpretation or administration thereof by any court or other Governmental Authority charged with the interpretation or administration thereof, or compliance by the Administrative Agent or any of the Lenders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(or, with respect to any Lender, such later date on which such Lender becomes a party to this Agreement), against assets of, deposits with or for the account of, or credit extended by, a Lender (or its lending office) or shall impose on a Lender (or its lending office) any other condition affecting the Loans or the Commitment, and the result of any of the foregoing is to increase the cost to such Lender of making or maintaining the Loans, or to reduce the amount of any sum received or receivable by such Lender under this Agreement or any other Loan Document, or subject any Lender to any Taxes on its Loan, Commitment or other obligations, or its deposits, reserves, other liabilities or capital (if any) attributable thereto by an amount reasonably deemed by such Lender in good faith to be material (other than (i) Indemnified Taxes, (ii) Taxes described in </w:t>
      </w:r>
      <w:r>
        <w:rPr>
          <w:rFonts w:ascii="Times New Roman;Times;Serif" w:hAnsi="Times New Roman;Times;Serif"/>
          <w:b/>
          <w:i w:val="false"/>
          <w:caps w:val="false"/>
          <w:smallCaps w:val="false"/>
          <w:sz w:val="20"/>
        </w:rPr>
        <w:t xml:space="preserve">clauses (ii)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of the definition of Excluded Taxes and (iii) Connection Income Taxes), then the Borrower shall pay to such Lender, within five (5) Business Days of receipt of the certificate contemplated by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such additional amount or amounts as will compensate such Lender for such increased cost or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74.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Change in Capital Requirements</w:t>
      </w:r>
      <w:r>
        <w:rPr>
          <w:rFonts w:ascii="Times New Roman;Times;Serif" w:hAnsi="Times New Roman;Times;Serif"/>
          <w:b w:val="false"/>
          <w:i w:val="false"/>
          <w:caps w:val="false"/>
          <w:smallCaps w:val="false"/>
          <w:sz w:val="20"/>
        </w:rPr>
        <w:t xml:space="preserve">. If a Lender shall have determined that, on or after the date hereof (or, with respect to any Lender, such later date on which such Lender becomes a party to this Agreement), the adoption of any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(or, with respect to any Lender, such later date on which such Lender becomes a party to this Agreement), has or would have the effect of reducing the rate of return on capital of a Lender (or its parent) as a consequence of a Lender’s obligations hereunder or the Loans to a level below that which a Lender (or its parent) could have achieved but for such adoption, change, request or directive by an amount reasonably deemed by it to be material, then the Borrower shall pay to such Lender, within five (5) Business Days of receipt of the certificate contemplated by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such additional amount or amounts as will compensate such Lender (or its parent) for such reduction.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75.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Notification by Lender</w:t>
      </w:r>
      <w:r>
        <w:rPr>
          <w:rFonts w:ascii="Times New Roman;Times;Serif" w:hAnsi="Times New Roman;Times;Serif"/>
          <w:b w:val="false"/>
          <w:i w:val="false"/>
          <w:caps w:val="false"/>
          <w:smallCaps w:val="false"/>
          <w:sz w:val="20"/>
        </w:rPr>
        <w:t xml:space="preserve">. Each Lender promptly will notify the Borrower of any event of which it has knowledge, occurring after the date hereof (or, with respect to any Lender, such later date on which such Lender becomes a party to this Agreement), which will entitle such Lender to compensation pursuant to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Before giving any such notice pursuant to this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xml:space="preserve"> 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such Lender claiming compensation under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setting forth the additional amount or amounts to be paid to it hereunder, shall be conclusive and binding on the Borrower in the absence of manifest error. The Borrower shall not be required to compensate a Lender pursuant to the foregoing provisions of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for any increased costs incurred or reductions suffered more than six (6)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76.</w:t>
      </w:r>
      <w:r>
        <w:rPr>
          <w:rFonts w:ascii="Times New Roman;Times;Serif" w:hAnsi="Times New Roman;Times;Serif"/>
          <w:b w:val="false"/>
          <w:i w:val="false"/>
          <w:caps w:val="false"/>
          <w:smallCaps w:val="false"/>
          <w:sz w:val="20"/>
        </w:rPr>
        <w:t xml:space="preserve">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Law for all purposes of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regardless of the date enacted, adopted or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77.</w:t>
      </w:r>
      <w:r>
        <w:rPr>
          <w:rFonts w:ascii="Times New Roman;Times;Serif" w:hAnsi="Times New Roman;Times;Serif"/>
          <w:b/>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78.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79.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Payments Free of Taxes</w:t>
      </w:r>
      <w:r>
        <w:rPr>
          <w:rFonts w:ascii="Times New Roman;Times;Serif" w:hAnsi="Times New Roman;Times;Serif"/>
          <w:b w:val="false"/>
          <w:i w:val="false"/>
          <w:caps w:val="false"/>
          <w:smallCaps w:val="false"/>
          <w:sz w:val="20"/>
        </w:rPr>
        <w:t xml:space="preserve">. Any and all payments by or on account of any Obligation shall be made without deduction or withholding for any Taxes, except as required by any Law. If any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such Obligor shall be increased as necessary so that after such deduction or withholding has been made (including such deductions and withholdings applicable to additional sums payable under this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the applicable Recipient receives an amount equal to the sum it would have received had no such deduction or withholding been made.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80.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Payment of Other Taxes by the Borrower</w:t>
      </w:r>
      <w:r>
        <w:rPr>
          <w:rFonts w:ascii="Times New Roman;Times;Serif" w:hAnsi="Times New Roman;Times;Serif"/>
          <w:b w:val="false"/>
          <w:i w:val="false"/>
          <w:caps w:val="false"/>
          <w:smallCaps w:val="false"/>
          <w:sz w:val="20"/>
        </w:rPr>
        <w:t>. The Borrower shall timely pay to the relevant Governmental Authority in accordance with applicable Laws, or at the option of the Administrative Agent, timely reimburse it for the payment of any Other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81. </w:t>
      </w:r>
      <w:r>
        <w:rPr>
          <w:rFonts w:ascii="Times New Roman;Times;Serif" w:hAnsi="Times New Roman;Times;Serif"/>
          <w:b/>
          <w:i w:val="false"/>
          <w:caps w:val="false"/>
          <w:smallCaps w:val="false"/>
          <w:sz w:val="20"/>
        </w:rPr>
        <w:t>Evidence of Payments</w:t>
      </w:r>
      <w:r>
        <w:rPr>
          <w:rFonts w:ascii="Times New Roman;Times;Serif" w:hAnsi="Times New Roman;Times;Serif"/>
          <w:b w:val="false"/>
          <w:i w:val="false"/>
          <w:caps w:val="false"/>
          <w:smallCaps w:val="false"/>
          <w:sz w:val="20"/>
        </w:rPr>
        <w:t xml:space="preserve">. As soon as practicable after any payment of Taxes by the Borrower to a Governmental Authority pursuant to this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82. </w:t>
      </w:r>
      <w:r>
        <w:rPr>
          <w:rFonts w:ascii="Times New Roman;Times;Serif" w:hAnsi="Times New Roman;Times;Serif"/>
          <w:b/>
          <w:i w:val="false"/>
          <w:caps w:val="false"/>
          <w:smallCaps w:val="false"/>
          <w:sz w:val="20"/>
        </w:rPr>
        <w:t>Indemnification by the Borrower</w:t>
      </w:r>
      <w:r>
        <w:rPr>
          <w:rFonts w:ascii="Times New Roman;Times;Serif" w:hAnsi="Times New Roman;Times;Serif"/>
          <w:b w:val="false"/>
          <w:i w:val="false"/>
          <w:caps w:val="false"/>
          <w:smallCaps w:val="false"/>
          <w:sz w:val="20"/>
        </w:rPr>
        <w:t xml:space="preserve">. The Borrower shall reimburse and indemnify each Recipient, within ten (10) days after demand therefor, for the full amount of any Indemnified Taxes (including Indemnified Taxes imposed or asserted on or attributable to amounts payable under this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83. </w:t>
      </w:r>
      <w:r>
        <w:rPr>
          <w:rFonts w:ascii="Times New Roman;Times;Serif" w:hAnsi="Times New Roman;Times;Serif"/>
          <w:b/>
          <w:i w:val="false"/>
          <w:caps w:val="false"/>
          <w:smallCaps w:val="false"/>
          <w:sz w:val="20"/>
        </w:rPr>
        <w:t>Indemnification by the Lender</w:t>
      </w:r>
      <w:r>
        <w:rPr>
          <w:rFonts w:ascii="Times New Roman;Times;Serif" w:hAnsi="Times New Roman;Times;Serif"/>
          <w:b w:val="false"/>
          <w:i w:val="false"/>
          <w:caps w:val="false"/>
          <w:smallCaps w:val="false"/>
          <w:sz w:val="20"/>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Times;Serif" w:hAnsi="Times New Roman;Times;Serif"/>
          <w:b/>
          <w:i w:val="false"/>
          <w:caps w:val="false"/>
          <w:smallCaps w:val="false"/>
          <w:sz w:val="20"/>
        </w:rPr>
        <w:t>Section 5.03(e)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84.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85.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Law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Section 5.03(f)(ii)(A), (ii)(B), and (ii)(D)) shall not be required if in such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Without limiting the generality of the foregoing, in the event that the Borrower is a U.S.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(or successor form) certifying that such Lender is exempt from U.S. federal backup withholding tax;</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Loan Document, executed copies of IRS Form W-8BEN or IRS Form W-8BEN-E as applicable (or successor forms) establishing an exemption from, or reduction of, U.S. federal withholding Tax pursuant to the “interest” article of such tax treaty and (y) with respect to any other applicable payments under any Loan Document, IRS Form W-8BEN or IRS Form W-8BEN-E as applicable (or successor forms) establishing an exemption from, or reduction of, U.S. federal withholding Tax pursuant to the “business profits” or “other income” article of such tax treaty;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executed copies of IRS Form W-8ECI (or successor form);</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 the case of a Foreign Lender claiming the benefits of the exemption for portfolio interest under Section 881(c) of the Code, (x) a certificate substantially in the form of </w:t>
      </w:r>
      <w:r>
        <w:rPr>
          <w:rFonts w:ascii="Times New Roman;Times;Serif" w:hAnsi="Times New Roman;Times;Serif"/>
          <w:b/>
          <w:i w:val="false"/>
          <w:caps w:val="false"/>
          <w:smallCaps w:val="false"/>
          <w:sz w:val="20"/>
        </w:rPr>
        <w:t xml:space="preserve">Exhibit J-1 </w:t>
      </w:r>
      <w:r>
        <w:rPr>
          <w:rFonts w:ascii="Times New Roman;Times;Serif" w:hAnsi="Times New Roman;Times;Serif"/>
          <w:b w:val="false"/>
          <w:i w:val="false"/>
          <w:caps w:val="false"/>
          <w:smallCaps w:val="false"/>
          <w:sz w:val="20"/>
        </w:rPr>
        <w:t>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and (y) executed copies of IRS Form W-8BEN or IRS Form W-8BEN-E as applicable (or successor forms); or</w:t>
      </w:r>
    </w:p>
    <w:p>
      <w:pPr>
        <w:pStyle w:val="TextBody"/>
        <w:bidi w:val="0"/>
        <w:spacing w:before="0" w:after="0"/>
        <w:ind w:left="0" w:right="0" w:firstLine="28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010000"/>
        </w:rPr>
      </w:pPr>
      <w:r>
        <w:rPr>
          <w:caps w:val="false"/>
          <w:smallCaps w:val="false"/>
          <w:color w:val="010000"/>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executed copies of IRS Form W-8IMY, accompanied by IRS Form W-8ECI, IRS Form W-8BEN or IRS Form W-8BEN-E (or successor form), a U.S. Tax Compliance Certificate, substantially in the form of </w:t>
      </w:r>
      <w:r>
        <w:rPr>
          <w:rFonts w:ascii="Times New Roman;Times;Serif" w:hAnsi="Times New Roman;Times;Serif"/>
          <w:b/>
          <w:i w:val="false"/>
          <w:caps w:val="false"/>
          <w:smallCaps w:val="false"/>
          <w:sz w:val="20"/>
        </w:rPr>
        <w:t xml:space="preserve">Exhibit J-2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J-3</w:t>
      </w:r>
      <w:r>
        <w:rPr>
          <w:rFonts w:ascii="Times New Roman;Times;Serif" w:hAnsi="Times New Roman;Times;Serif"/>
          <w:b w:val="false"/>
          <w:i w:val="false"/>
          <w:caps w:val="false"/>
          <w:smallCaps w:val="false"/>
          <w:sz w:val="20"/>
        </w:rPr>
        <w:t xml:space="preserve">, IRS Form W-9 (or successor forms), and/or other certification documents from each beneficial owner, as applicable;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i w:val="false"/>
          <w:caps w:val="false"/>
          <w:smallCaps w:val="false"/>
          <w:sz w:val="20"/>
        </w:rPr>
        <w:t xml:space="preserve">Exhibit J-4 </w:t>
      </w:r>
      <w:r>
        <w:rPr>
          <w:rFonts w:ascii="Times New Roman;Times;Serif" w:hAnsi="Times New Roman;Times;Serif"/>
          <w:b w:val="false"/>
          <w:i w:val="false"/>
          <w:caps w:val="false"/>
          <w:smallCaps w:val="false"/>
          <w:sz w:val="20"/>
        </w:rPr>
        <w:t>on behalf of each such direct and indirect partner.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86.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Treatment of Certain Tax Benefits</w:t>
      </w:r>
      <w:r>
        <w:rPr>
          <w:rFonts w:ascii="Times New Roman;Times;Serif" w:hAnsi="Times New Roman;Times;Serif"/>
          <w:b w:val="false"/>
          <w:i w:val="false"/>
          <w:caps w:val="false"/>
          <w:smallCaps w:val="false"/>
          <w:sz w:val="20"/>
        </w:rPr>
        <w:t xml:space="preserve">. If any party to this Agreement determines, in its sole discretion exercised in good faith, that it has received a refund of any Taxes as to which it has been indemnified pursuant to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Times;Serif" w:hAnsi="Times New Roman;Times;Serif"/>
          <w:b/>
          <w:i w:val="false"/>
          <w:caps w:val="false"/>
          <w:smallCaps w:val="false"/>
          <w:sz w:val="20"/>
        </w:rPr>
        <w:t>Section 5.03(g)</w:t>
      </w:r>
      <w:r>
        <w:rPr>
          <w:rFonts w:ascii="Times New Roman;Times;Serif" w:hAnsi="Times New Roman;Times;Serif"/>
          <w:b w:val="false"/>
          <w:i w:val="false"/>
          <w:caps w:val="false"/>
          <w:smallCaps w:val="false"/>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Times;Serif" w:hAnsi="Times New Roman;Times;Serif"/>
          <w:b/>
          <w:i w:val="false"/>
          <w:caps w:val="false"/>
          <w:smallCaps w:val="false"/>
          <w:sz w:val="20"/>
        </w:rPr>
        <w:t>Section 5.03(g)</w:t>
      </w:r>
      <w:r>
        <w:rPr>
          <w:rFonts w:ascii="Times New Roman;Times;Serif" w:hAnsi="Times New Roman;Times;Serif"/>
          <w:b w:val="false"/>
          <w:i w:val="false"/>
          <w:caps w:val="false"/>
          <w:smallCaps w:val="false"/>
          <w:sz w:val="20"/>
        </w:rPr>
        <w:t xml:space="preserve">, in no event will the indemnified party be required to pay any amount to an indemnifying party pursuant to this </w:t>
      </w:r>
      <w:r>
        <w:rPr>
          <w:rFonts w:ascii="Times New Roman;Times;Serif" w:hAnsi="Times New Roman;Times;Serif"/>
          <w:b/>
          <w:i w:val="false"/>
          <w:caps w:val="false"/>
          <w:smallCaps w:val="false"/>
          <w:sz w:val="20"/>
        </w:rPr>
        <w:t>Section 5.03(g)</w:t>
      </w:r>
      <w:r>
        <w:rPr>
          <w:rFonts w:ascii="Times New Roman;Times;Serif" w:hAnsi="Times New Roman;Times;Serif"/>
          <w:b w:val="false"/>
          <w:i w:val="false"/>
          <w:caps w:val="false"/>
          <w:smallCaps w:val="false"/>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Times;Serif" w:hAnsi="Times New Roman;Times;Serif"/>
          <w:b/>
          <w:i w:val="false"/>
          <w:caps w:val="false"/>
          <w:smallCaps w:val="false"/>
          <w:sz w:val="20"/>
        </w:rPr>
        <w:t>Section 5.03(g)</w:t>
      </w:r>
      <w:r>
        <w:rPr>
          <w:rFonts w:ascii="Times New Roman;Times;Serif" w:hAnsi="Times New Roman;Times;Serif"/>
          <w:b w:val="false"/>
          <w:i w:val="false"/>
          <w:caps w:val="false"/>
          <w:smallCaps w:val="false"/>
          <w:sz w:val="20"/>
        </w:rPr>
        <w:t xml:space="preserve">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87. </w:t>
      </w:r>
      <w:r>
        <w:rPr>
          <w:rFonts w:ascii="Times New Roman;Times;Serif" w:hAnsi="Times New Roman;Times;Serif"/>
          <w:b/>
          <w:i/>
          <w:caps w:val="false"/>
          <w:smallCaps w:val="false"/>
          <w:sz w:val="20"/>
        </w:rPr>
        <w:t>Mitigation Obligations;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88.</w:t>
      </w:r>
      <w:r>
        <w:rPr>
          <w:rFonts w:ascii="Times New Roman;Times;Serif" w:hAnsi="Times New Roman;Times;Serif"/>
          <w:b w:val="false"/>
          <w:i w:val="false"/>
          <w:caps w:val="false"/>
          <w:smallCaps w:val="false"/>
          <w:sz w:val="20"/>
        </w:rPr>
        <w:t xml:space="preserve"> If the Borrower is required to pay any Indemnified Taxes or additional amounts to any Lender or to any Governmental Authority for the account of any Lender pursuant to </w:t>
      </w:r>
      <w:r>
        <w:rPr>
          <w:rFonts w:ascii="Times New Roman;Times;Serif" w:hAnsi="Times New Roman;Times;Serif"/>
          <w:b/>
          <w:i w:val="false"/>
          <w:caps w:val="false"/>
          <w:smallCaps w:val="false"/>
          <w:sz w:val="20"/>
        </w:rPr>
        <w:t xml:space="preserve">Section 5.01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xml:space="preserve">, then such Lender shall (at the request of the Borrower) use commercially reasonable efforts to designate a different lending office for funding or booking its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as the case may be, in the future, (ii) not subject such Lender to any unreimbursed cost or expense and (iii) not otherwise be disadvantageous to such Lender. The Borrower hereby agrees to pay all reasonable costs and expenses incurred by any Lender in connection with any such designation or assignment and delegation.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89. </w:t>
      </w:r>
      <w:r>
        <w:rPr>
          <w:rFonts w:ascii="Times New Roman;Times;Serif" w:hAnsi="Times New Roman;Times;Serif"/>
          <w:b w:val="false"/>
          <w:i w:val="false"/>
          <w:caps w:val="false"/>
          <w:smallCaps w:val="false"/>
          <w:sz w:val="20"/>
        </w:rPr>
        <w:t xml:space="preserve">If any Lender requests compensation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if the Borrower is required to pay any Indemnified Taxes or additional amounts to any Lender or to any Governmental Authority for the account of any Lender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xml:space="preserve">, and such Lender has declined or is unable to designate a different lending office in accordance with </w:t>
      </w:r>
      <w:r>
        <w:rPr>
          <w:rFonts w:ascii="Times New Roman;Times;Serif" w:hAnsi="Times New Roman;Times;Serif"/>
          <w:b/>
          <w:i w:val="false"/>
          <w:caps w:val="false"/>
          <w:smallCaps w:val="false"/>
          <w:sz w:val="20"/>
        </w:rPr>
        <w:t>Section 5.04(a)</w:t>
      </w:r>
      <w:r>
        <w:rPr>
          <w:rFonts w:ascii="Times New Roman;Times;Serif" w:hAnsi="Times New Roman;Times;Serif"/>
          <w:b w:val="false"/>
          <w:i w:val="false"/>
          <w:caps w:val="false"/>
          <w:smallCaps w:val="false"/>
          <w:sz w:val="20"/>
        </w:rPr>
        <w:t xml:space="preserve">, or if any Lender is a Defaulting Lender, then the Borrower may, at such Lender’s sole expense and effort, upon notice to such Lender and the Administrative Agent, require such Lender to assign and delegate, without recourse (in accordance with and subject to the restrictions contained in, and consents required by,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(other than such Lender’s consent)), all of its interests, rights (other than its existing rights to payments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xml:space="preserve">) and obligations under this Agreement and the related Loan Documents to an Eligible Transferee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(i) the Borrower shall have provided all of the documentation and information in accordance with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(ii) such Lender shall have received payment of an amount equal to (A) the outstanding principal of its Loans, (B) accrued interest thereon, (C) accrued fees and (D) all other amounts payable to it hereunder and under the other Loan Documents from the assignee (to the extent of such outstanding principal and accrued interest and fees) or the Borrower (in the case of all other amounts); (iii) in the case of any such assignment resulting from a claim for compensation under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such assignment will result in a reduction in such compensation or payments thereafter; and (iv) such assignment does not conflict with applicable Law. 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90. </w:t>
      </w:r>
      <w:r>
        <w:rPr>
          <w:rFonts w:ascii="Times New Roman;Times;Serif" w:hAnsi="Times New Roman;Times;Serif"/>
          <w:b/>
          <w:i/>
          <w:caps w:val="false"/>
          <w:smallCaps w:val="false"/>
          <w:sz w:val="20"/>
        </w:rPr>
        <w:t>Inability to Determine Rates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91.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Replacement of Term SOFR or Successor Rate</w:t>
      </w:r>
      <w:r>
        <w:rPr>
          <w:rFonts w:ascii="Times New Roman;Times;Serif" w:hAnsi="Times New Roman;Times;Serif"/>
          <w:b w:val="false"/>
          <w:i w:val="false"/>
          <w:caps w:val="false"/>
          <w:smallCaps w:val="false"/>
          <w:sz w:val="20"/>
        </w:rPr>
        <w:t>. Notwithstanding anything to the contrary in this Agreement or any other Loan Documents, if the Administrative Agent determines (which determination shall be conclusive absent manifest error), or the Borrower or Majority Lenders notify the Administrative Agent (with, in the case of the Majority Lenders, a copy to the Borrower) that the Borrower or Majority Lenders (as applicable) have determined,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adequate and reasonable means do not exist for ascertaining Term SOFR pursuant to the definition thereof, including because the Term SOFR Screen Rate is not available or published on a current basis and such circumstances are unlikely to be temporary;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93.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three month interest periods of Term SOFR or the Term SOFR Screen Rate shall or will no longer be representative or made available, or permitted to be used for determining the interest rate of U.S. dollar denominated syndicated loans or shall or will otherwise cease,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that, at the time of such statement, there is no successor administrator that is reasonably satisfactory to the Administrative Agent that will continue to provide such interest periods of Term SOFR after such specific date, (the latest date on which such interest periods of Term SOFR or the Term SOFR Screen Rate are no longer representative or available permanently or indefinitely, the “</w:t>
      </w:r>
      <w:r>
        <w:rPr>
          <w:rFonts w:ascii="Times New Roman;Times;Serif" w:hAnsi="Times New Roman;Times;Serif"/>
          <w:b/>
          <w:i/>
          <w:caps w:val="false"/>
          <w:smallCaps w:val="false"/>
          <w:sz w:val="20"/>
        </w:rPr>
        <w:t>Scheduled Unavailability Date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94. </w:t>
      </w:r>
      <w:r>
        <w:rPr>
          <w:rFonts w:ascii="Times New Roman;Times;Serif" w:hAnsi="Times New Roman;Times;Serif"/>
          <w:b w:val="false"/>
          <w:i w:val="false"/>
          <w:caps w:val="false"/>
          <w:smallCaps w:val="false"/>
          <w:sz w:val="20"/>
        </w:rPr>
        <w:t xml:space="preserve">in the case of events or circumstances of the type described in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affecting Term SOFR, on a date and time determined by the Administrative Agent (any such date, the “</w:t>
      </w:r>
      <w:r>
        <w:rPr>
          <w:rFonts w:ascii="Times New Roman;Times;Serif" w:hAnsi="Times New Roman;Times;Serif"/>
          <w:b/>
          <w:i/>
          <w:caps w:val="false"/>
          <w:smallCaps w:val="false"/>
          <w:sz w:val="20"/>
        </w:rPr>
        <w:t>Term SOFR Replacement Date</w:t>
      </w:r>
      <w:r>
        <w:rPr>
          <w:rFonts w:ascii="Times New Roman;Times;Serif" w:hAnsi="Times New Roman;Times;Serif"/>
          <w:b w:val="false"/>
          <w:i w:val="false"/>
          <w:caps w:val="false"/>
          <w:smallCaps w:val="false"/>
          <w:sz w:val="20"/>
        </w:rPr>
        <w:t xml:space="preserve">”), which date shall be at the end of an Interest Period or on the relevant interest payment date, as applicable, for interest calculated and, solely with respect to </w:t>
      </w:r>
      <w:r>
        <w:rPr>
          <w:rFonts w:ascii="Times New Roman;Times;Serif" w:hAnsi="Times New Roman;Times;Serif"/>
          <w:b/>
          <w:i w:val="false"/>
          <w:caps w:val="false"/>
          <w:smallCaps w:val="false"/>
          <w:sz w:val="20"/>
        </w:rPr>
        <w:t>clause (ii)</w:t>
      </w:r>
      <w:r>
        <w:rPr>
          <w:rFonts w:ascii="Times New Roman;Times;Serif" w:hAnsi="Times New Roman;Times;Serif"/>
          <w:b w:val="false"/>
          <w:i w:val="false"/>
          <w:caps w:val="false"/>
          <w:smallCaps w:val="false"/>
          <w:sz w:val="20"/>
        </w:rPr>
        <w:t xml:space="preserve"> above, no later than the Scheduled Unavailability Date, Term SOFR will be replaced hereunder and under any other Loan Document with Daily Simple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Credit Spread Adjustment, in each case, without any amendment to, or further action or consent of any other party to, this Agreement or any other Loan Document, and all interest payments on Loans with a Successor Rate of Daily Simple SOFR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the Credit Spread Adjustment will be payable on the next Payment Date; or</w:t>
      </w:r>
    </w:p>
    <w:p>
      <w:pPr>
        <w:pStyle w:val="TextBody"/>
        <w:bidi w:val="0"/>
        <w:spacing w:before="0" w:after="0"/>
        <w:ind w:left="72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95.</w:t>
      </w:r>
      <w:r>
        <w:rPr>
          <w:rFonts w:ascii="Times New Roman;Times;Serif" w:hAnsi="Times New Roman;Times;Serif"/>
          <w:b w:val="false"/>
          <w:i w:val="false"/>
          <w:caps w:val="false"/>
          <w:smallCaps w:val="false"/>
          <w:sz w:val="20"/>
        </w:rPr>
        <w:t xml:space="preserve">(x) if the Administrative Agent reasonably determines that Daily Simple SOFR is not available on or prior to the Term SOFR Replacement Date, or (y) if the events or circumstances of the type described in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affecting any Successor Rate are then in effect, then, the Administrative Agent and the Borrower may amend this Agreement solely for the purpose of replacing the Interest Rate or any then current Successor Rate in accordance with this </w:t>
      </w:r>
      <w:r>
        <w:rPr>
          <w:rFonts w:ascii="Times New Roman;Times;Serif" w:hAnsi="Times New Roman;Times;Serif"/>
          <w:b/>
          <w:i w:val="false"/>
          <w:caps w:val="false"/>
          <w:smallCaps w:val="false"/>
          <w:sz w:val="20"/>
        </w:rPr>
        <w:t>Section 5.05</w:t>
      </w:r>
      <w:r>
        <w:rPr>
          <w:rFonts w:ascii="Times New Roman;Times;Serif" w:hAnsi="Times New Roman;Times;Serif"/>
          <w:b w:val="false"/>
          <w:i w:val="false"/>
          <w:caps w:val="false"/>
          <w:smallCaps w:val="false"/>
          <w:sz w:val="20"/>
        </w:rPr>
        <w:t xml:space="preserve">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Times;Serif" w:hAnsi="Times New Roman;Times;Serif"/>
          <w:b/>
          <w:i/>
          <w:caps w:val="false"/>
          <w:smallCaps w:val="false"/>
          <w:sz w:val="20"/>
        </w:rPr>
        <w:t>Successor Rate</w:t>
      </w:r>
      <w:r>
        <w:rPr>
          <w:rFonts w:ascii="Times New Roman;Times;Serif" w:hAnsi="Times New Roman;Times;Serif"/>
          <w:b w:val="false"/>
          <w:i w:val="false"/>
          <w:caps w:val="false"/>
          <w:smallCaps w:val="false"/>
          <w:sz w:val="20"/>
        </w:rPr>
        <w:t>”), and any such amendment shall become effective at 5:00 p.m.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Administrative Agent shall have posted such proposed amendment to all Lenders and the Borrower unless, prior to such time, Lenders comprising the Majority Lenders have delivered to the Administrative Agent written notice that such Majority Lenders object to such amendment.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96.</w:t>
      </w:r>
      <w:r>
        <w:rPr>
          <w:rFonts w:ascii="Times New Roman;Times;Serif" w:hAnsi="Times New Roman;Times;Serif"/>
          <w:b w:val="false"/>
          <w:i w:val="false"/>
          <w:caps w:val="false"/>
          <w:smallCaps w:val="false"/>
          <w:sz w:val="20"/>
        </w:rPr>
        <w:t xml:space="preserve"> The Administrative Agent will promptly (in one or more notices) notify the Borrower and each Lender of the implementation of any Successor 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97. </w:t>
      </w:r>
      <w:r>
        <w:rPr>
          <w:rFonts w:ascii="Times New Roman;Times;Serif" w:hAnsi="Times New Roman;Times;Serif"/>
          <w:b w:val="false"/>
          <w:i w:val="false"/>
          <w:caps w:val="false"/>
          <w:smallCaps w:val="false"/>
          <w:sz w:val="20"/>
        </w:rPr>
        <w:t xml:space="preserve">Any Successor Rate shall be applied in a manner consistent with market practice;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market practice is not administratively feasible for the Administrative Agent, such Successor Rate shall be applied in a manner as otherwise reasonably determined by the Administrative Agent (in consultation with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98.</w:t>
      </w:r>
      <w:r>
        <w:rPr>
          <w:rFonts w:ascii="Times New Roman;Times;Serif" w:hAnsi="Times New Roman;Times;Serif"/>
          <w:b w:val="false"/>
          <w:i w:val="false"/>
          <w:caps w:val="false"/>
          <w:smallCaps w:val="false"/>
          <w:sz w:val="20"/>
        </w:rPr>
        <w:t xml:space="preserve"> 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99. </w:t>
      </w:r>
      <w:r>
        <w:rPr>
          <w:rFonts w:ascii="Times New Roman;Times;Serif" w:hAnsi="Times New Roman;Times;Serif"/>
          <w:b w:val="false"/>
          <w:i w:val="false"/>
          <w:caps w:val="false"/>
          <w:smallCaps w:val="false"/>
          <w:sz w:val="20"/>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100. </w:t>
      </w:r>
      <w:r>
        <w:rPr>
          <w:rFonts w:ascii="Times New Roman;Times;Serif" w:hAnsi="Times New Roman;Times;Serif"/>
          <w:b/>
          <w:i/>
          <w:caps w:val="false"/>
          <w:smallCaps w:val="false"/>
          <w:sz w:val="20"/>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101.</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CONDITIONS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102. </w:t>
      </w:r>
      <w:r>
        <w:rPr>
          <w:rFonts w:ascii="Times New Roman;Times;Serif" w:hAnsi="Times New Roman;Times;Serif"/>
          <w:b/>
          <w:i/>
          <w:caps w:val="false"/>
          <w:smallCaps w:val="false"/>
          <w:sz w:val="20"/>
        </w:rPr>
        <w:t>Conditions to the Closing Date</w:t>
      </w:r>
      <w:r>
        <w:rPr>
          <w:rFonts w:ascii="Times New Roman;Times;Serif" w:hAnsi="Times New Roman;Times;Serif"/>
          <w:b w:val="false"/>
          <w:i w:val="false"/>
          <w:caps w:val="false"/>
          <w:smallCaps w:val="false"/>
          <w:sz w:val="20"/>
        </w:rPr>
        <w:t xml:space="preserve">. The obligation of each Lender to make the Closing Date Tranche A Terms Loans shall be subject to the delivery of a Borrowing Notice as required pursuant to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and the prior or concurrent satisfaction or waiver of each of the conditions precedent set forth below in this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The Administrative Agent shall have received each Loan Document required to be executed by the appropriate Obligor on the Closing Date and delivered by each applicable Obligor in such number as reasonably requested by the Administrative Agent (which may be delivered by electronic means for the purposes of satisfying this clause (a) on the Closing Date) and such Loan Documents shall be in form and substance satisfactory to the Administrative Agent and the Lenders and their respective counsels.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104.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Secretary’s Certificate, Etc. </w:t>
      </w:r>
      <w:r>
        <w:rPr>
          <w:rFonts w:ascii="Times New Roman;Times;Serif" w:hAnsi="Times New Roman;Times;Serif"/>
          <w:b w:val="false"/>
          <w:i w:val="false"/>
          <w:caps w:val="false"/>
          <w:smallCaps w:val="false"/>
          <w:sz w:val="20"/>
        </w:rPr>
        <w:t>The Administrative Agent shall have received from each Obligor (x) a copy of a good standing certificate, dated a date reasonably close to the Closing Date, for each such Person (other than Visionology, Inc.) and (y) a certificate, dated as of the Closing Date, duly executed and delivered by such Person’s Responsible Officer, as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105. </w:t>
      </w:r>
      <w:r>
        <w:rPr>
          <w:rFonts w:ascii="Times New Roman;Times;Serif" w:hAnsi="Times New Roman;Times;Serif"/>
          <w:b/>
          <w:i w:val="false"/>
          <w:caps w:val="false"/>
          <w:smallCaps w:val="false"/>
          <w:sz w:val="20"/>
        </w:rPr>
        <w:t>resolutions of each such Person’s Board then in full force and effect authorizing the execution, delivery and performance of each Loan Document to be executed by such Person and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106.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incumbency and signatures of Responsible Officers authorized to execute and deliver each Loan Document to be executed by such Person;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full force and validity of each Organic Document of such Person and copies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which certificates shall be in form and substance reasonably satisfactory to the Administrative Agent and upon which the Administrative Agent and the Lenders may conclusively rely until they shall have received a further certificate of the Responsible Officer of any such Person updating the prior certificate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108.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The Administrative Agent shall have received a fully completed Perfection Certificate in form and substance reasonably satisfactory to the Administrative Agent, dated as of the Closing Date, duly executed and delivered by a Responsible Officer of the Borrower. All documents and agreements required to be appended to the Perfection Certificate, shall be in form and substance reasonably satisfactory to the Administrative Agent, shall have been executed and delivered by the requisite parties and shall be in full force and effect.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109.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Funding Date Certificate</w:t>
      </w:r>
      <w:r>
        <w:rPr>
          <w:rFonts w:ascii="Times New Roman;Times;Serif" w:hAnsi="Times New Roman;Times;Serif"/>
          <w:b w:val="false"/>
          <w:i w:val="false"/>
          <w:caps w:val="false"/>
          <w:smallCaps w:val="false"/>
          <w:sz w:val="20"/>
        </w:rPr>
        <w:t xml:space="preserve">. The Administrative Agent shall have received a Funding Date Certificate, dated as of the Closing Date and substantially in the form of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 duly executed and delivered by a Responsible Officer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Delivery of Notes</w:t>
      </w:r>
      <w:r>
        <w:rPr>
          <w:rFonts w:ascii="Times New Roman;Times;Serif" w:hAnsi="Times New Roman;Times;Serif"/>
          <w:b w:val="false"/>
          <w:i w:val="false"/>
          <w:caps w:val="false"/>
          <w:smallCaps w:val="false"/>
          <w:sz w:val="20"/>
        </w:rPr>
        <w:t xml:space="preserve">. Each Lender shall have received a Note for the Closing Date Tranche A Term Loans to the extent requested by such Lender pursuant to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duly executed and delivered by a Responsible Officer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111. </w:t>
      </w:r>
      <w:r>
        <w:rPr>
          <w:rFonts w:ascii="Times New Roman;Times;Serif" w:hAnsi="Times New Roman;Times;Serif"/>
          <w:b/>
          <w:i w:val="false"/>
          <w:caps w:val="false"/>
          <w:smallCaps w:val="false"/>
          <w:sz w:val="20"/>
        </w:rPr>
        <w:t xml:space="preserve">Financial Information, Etc. </w:t>
      </w:r>
      <w:r>
        <w:rPr>
          <w:rFonts w:ascii="Times New Roman;Times;Serif" w:hAnsi="Times New Roman;Times;Serif"/>
          <w:b w:val="false"/>
          <w:i w:val="false"/>
          <w:caps w:val="false"/>
          <w:smallCaps w:val="false"/>
          <w:sz w:val="20"/>
        </w:rPr>
        <w:t>The Administrative Agent shall have received, or such information shall be publicly available on “EDGAR”, (i) audited consolidated financial statements of the Borrower and its Subsidiaries for the fiscal year ended December 31, 2021 and (ii) unaudited consolidated balance sheets of the Borrower and its Subsidiaries for each fiscal quarter ended after December 31, 2021 through December 31, 2022, together with the related consolidated statement of operations and cash flows for such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xml:space="preserve">. The Administrative Agent shall have received a solvency certificate, substantially in the form of </w:t>
      </w:r>
      <w:r>
        <w:rPr>
          <w:rFonts w:ascii="Times New Roman;Times;Serif" w:hAnsi="Times New Roman;Times;Serif"/>
          <w:b/>
          <w:i w:val="false"/>
          <w:caps w:val="false"/>
          <w:smallCaps w:val="false"/>
          <w:sz w:val="20"/>
        </w:rPr>
        <w:t>Exhibit K</w:t>
      </w:r>
      <w:r>
        <w:rPr>
          <w:rFonts w:ascii="Times New Roman;Times;Serif" w:hAnsi="Times New Roman;Times;Serif"/>
          <w:b w:val="false"/>
          <w:i w:val="false"/>
          <w:caps w:val="false"/>
          <w:smallCaps w:val="false"/>
          <w:sz w:val="20"/>
        </w:rPr>
        <w:t xml:space="preserve"> duly executed and delivered by the chief financial officer of the Borrower, dated as of the Closing Date, in form and substance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Security Documents</w:t>
      </w:r>
      <w:r>
        <w:rPr>
          <w:rFonts w:ascii="Times New Roman;Times;Serif" w:hAnsi="Times New Roman;Times;Serif"/>
          <w:b w:val="false"/>
          <w:i w:val="false"/>
          <w:caps w:val="false"/>
          <w:smallCaps w:val="false"/>
          <w:sz w:val="20"/>
        </w:rPr>
        <w:t>. The Administrative Agent shall have received executed counterparts of a Security Agreement, in form and substance reasonably acceptable to the Administrative Agent, dated as of the Closing Date, duly executed and delivered by each Obligor, together with all documents (including share certificates, transfers and stock transfer forms, notices or any other instruments) required to be delivered or filed under the Security Documents and evidence satisfactory to it that arrangements have been made with respect to all registrations, notices or actions required under the Security Documents to be effected, given or made in order to establish a valid and perfected first priority (subject to Permitted Liens) security interest in the Collateral in accordance with the terms of the Security Documents,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114.</w:t>
      </w:r>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115. </w:t>
      </w:r>
      <w:r>
        <w:rPr>
          <w:rFonts w:ascii="Times New Roman;Times;Serif" w:hAnsi="Times New Roman;Times;Serif"/>
          <w:b/>
          <w:i w:val="false"/>
          <w:caps w:val="false"/>
          <w:smallCaps w:val="false"/>
          <w:sz w:val="20"/>
        </w:rPr>
        <w:t>financing statements naming each Obligor as a debtor and the Administrative Agent as the secured party, or other similar instruments or documents, in each case suitable for filing, filed under the UCC (or equivalent law) of all jurisdictions as may be necessary or, in the opinion of the Administrative Agent, desirable to perfect the Liens of the Secured Parties pursuant to the Security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UCC-3 termination statements, if any, necessary to release all Liens and other rights of any Person in any collateral described in the Security Agreement previously granted by any Person (other than with respect to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all applicable Short-Form IP Security Agreements required to be provided under the Security Agreement, each dated as of the Closing Date, duly executed and delivered by each applicable Obligor;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118. </w:t>
      </w:r>
      <w:r>
        <w:rPr>
          <w:rFonts w:ascii="Times New Roman;Times;Serif" w:hAnsi="Times New Roman;Times;Serif"/>
          <w:b/>
          <w:i w:val="false"/>
          <w:caps w:val="false"/>
          <w:smallCaps w:val="false"/>
          <w:sz w:val="20"/>
        </w:rPr>
        <w:t>the Intercompany Subordination Agreement or such other subordination agreement in form and substance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119. </w:t>
      </w:r>
      <w:r>
        <w:rPr>
          <w:rFonts w:ascii="Times New Roman;Times;Serif" w:hAnsi="Times New Roman;Times;Serif"/>
          <w:b/>
          <w:i w:val="false"/>
          <w:caps w:val="false"/>
          <w:smallCaps w:val="false"/>
          <w:sz w:val="20"/>
        </w:rPr>
        <w:t>Lien Searches</w:t>
      </w:r>
      <w:r>
        <w:rPr>
          <w:rFonts w:ascii="Times New Roman;Times;Serif" w:hAnsi="Times New Roman;Times;Serif"/>
          <w:b w:val="false"/>
          <w:i w:val="false"/>
          <w:caps w:val="false"/>
          <w:smallCaps w:val="false"/>
          <w:sz w:val="20"/>
        </w:rPr>
        <w:t>. The Administrative Agent shall be satisfied with Lien searches regarding the Borrower and the Subsidiary Guarantors made as of a date reasonably close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120. </w:t>
      </w:r>
      <w:r>
        <w:rPr>
          <w:rFonts w:ascii="Times New Roman;Times;Serif" w:hAnsi="Times New Roman;Times;Serif"/>
          <w:b/>
          <w:i w:val="false"/>
          <w:caps w:val="false"/>
          <w:smallCaps w:val="false"/>
          <w:sz w:val="20"/>
        </w:rPr>
        <w:t>Evidence of Insurance</w:t>
      </w:r>
      <w:r>
        <w:rPr>
          <w:rFonts w:ascii="Times New Roman;Times;Serif" w:hAnsi="Times New Roman;Times;Serif"/>
          <w:b w:val="false"/>
          <w:i w:val="false"/>
          <w:caps w:val="false"/>
          <w:smallCaps w:val="false"/>
          <w:sz w:val="20"/>
        </w:rPr>
        <w:t>. Receipt by the Administrative Agent of copies of insurance policies and certificates of insurance of the Obligors evidencing liability and casualty insurance meeting the requirements set forth in the Loan Documents, including, but not limited to, naming the Administrative Agent as additional insured (in the case of liability insurance) or lender loss payee (in the case of hazard insurance) on behalf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121.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Payoff of Existing Credit Facility</w:t>
      </w:r>
      <w:r>
        <w:rPr>
          <w:rFonts w:ascii="Times New Roman;Times;Serif" w:hAnsi="Times New Roman;Times;Serif"/>
          <w:b w:val="false"/>
          <w:i w:val="false"/>
          <w:caps w:val="false"/>
          <w:smallCaps w:val="false"/>
          <w:sz w:val="20"/>
        </w:rPr>
        <w:t>. The Refinanced Facility shall have been (or substantially concurrently with the Closing Date shall be) repaid or satisfied and discharged, and in connection therewith all Guarantees and Liens shall have been released, on or prior to the Closing Date, on terms reasonably acceptable to the Administrative Agent and the Administrative Agent shall have received an executed payoff letter and related Lien release documentation in connection therewith, in each case in form and substance reasonably acceptable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122. </w:t>
      </w:r>
      <w:r>
        <w:rPr>
          <w:rFonts w:ascii="Times New Roman;Times;Serif" w:hAnsi="Times New Roman;Times;Serif"/>
          <w:b/>
          <w:i w:val="false"/>
          <w:caps w:val="false"/>
          <w:smallCaps w:val="false"/>
          <w:sz w:val="20"/>
        </w:rPr>
        <w:t>Due Diligence Review</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and the Lenders shall have completed and be satisfied with all legal due diligence and business due diligence (including, without limitation, due diligence related to third party reports, and completion of any studies and/or consultant projects), and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and the Lenders shall be satisfied with the </w:t>
      </w:r>
      <w:r>
        <w:rPr>
          <w:rFonts w:ascii="Times New Roman;Times;Serif" w:hAnsi="Times New Roman;Times;Serif"/>
          <w:b w:val="false"/>
          <w:i w:val="false"/>
          <w:caps w:val="false"/>
          <w:smallCaps w:val="false"/>
          <w:sz w:val="20"/>
          <w:u w:val="single"/>
        </w:rPr>
        <w:t>Obligors’</w:t>
      </w:r>
      <w:r>
        <w:rPr>
          <w:rFonts w:ascii="Times New Roman;Times;Serif" w:hAnsi="Times New Roman;Times;Serif"/>
          <w:b w:val="false"/>
          <w:i w:val="false"/>
          <w:caps w:val="false"/>
          <w:smallCaps w:val="false"/>
          <w:sz w:val="20"/>
        </w:rPr>
        <w:t xml:space="preserve"> capital, legal and organizational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123.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Opinions of Counsel</w:t>
      </w:r>
      <w:r>
        <w:rPr>
          <w:rFonts w:ascii="Times New Roman;Times;Serif" w:hAnsi="Times New Roman;Times;Serif"/>
          <w:b w:val="false"/>
          <w:i w:val="false"/>
          <w:caps w:val="false"/>
          <w:smallCaps w:val="false"/>
          <w:sz w:val="20"/>
        </w:rPr>
        <w:t>. The Administrative Agent shall have received duly executed legal opinions of counsel to the Obligors (including, as appropriate, local counsel to the Obligors) dated as of the Closing Date, in form and substance reasonably acceptable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124.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The Administrative Agent shall have received an executed counterpart of the Closing Date Fee Letter, duly executed and delivered by the Borrower.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Closing Fees, Expenses, Etc</w:t>
      </w:r>
      <w:r>
        <w:rPr>
          <w:rFonts w:ascii="Times New Roman;Times;Serif" w:hAnsi="Times New Roman;Times;Serif"/>
          <w:b w:val="false"/>
          <w:i w:val="false"/>
          <w:caps w:val="false"/>
          <w:smallCaps w:val="false"/>
          <w:sz w:val="20"/>
        </w:rPr>
        <w:t xml:space="preserve">. Each of the Administrative Agent and each Lender shall have received for its own account, (i) the upfront fee as set forth in the Closing Date Fee Letter, which shall be paid by way of the Administrative Agent retaining such amount from the proceeds of the Loan and (ii) all fees, costs and expenses due and payable to it pursuant to the Closing Date Fee Letter 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including all reasonable closing costs and fees and all unpaid reasonable and documented expenses of the Administrative Agent incurred in connection with the Transactions (including the Administrative Agent’s reasonable and documented legal fees and expenses), plus fees and expenses of any local counsel, plus all collateral filing fees and security fees, in each case, (A) to the extent invoiced (or as to which a good faith estimate has been provided to the Borrower) at least two (2) Business Days prior to the Closing Date and (B) in the case of the fees, costs and expenses pursuant to clause (ii), net of any amounts previously paid by the Borrower to the Administrative Agent as a deposit against such fees,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126.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Since December 31, 2021, no event, circumstance or change shall have occurred that has caused or would reasonably be expected to cause, either individually or in the aggregate, a Material Adverse Change, both before and after giving effect to the Loans to be made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127. </w:t>
      </w:r>
      <w:r>
        <w:rPr>
          <w:rFonts w:ascii="Times New Roman;Times;Serif" w:hAnsi="Times New Roman;Times;Serif"/>
          <w:b/>
          <w:i w:val="false"/>
          <w:caps w:val="false"/>
          <w:smallCaps w:val="false"/>
          <w:sz w:val="20"/>
        </w:rPr>
        <w:t>FDA Enforcement Actions</w:t>
      </w:r>
      <w:r>
        <w:rPr>
          <w:rFonts w:ascii="Times New Roman;Times;Serif" w:hAnsi="Times New Roman;Times;Serif"/>
          <w:b w:val="false"/>
          <w:i w:val="false"/>
          <w:caps w:val="false"/>
          <w:smallCaps w:val="false"/>
          <w:sz w:val="20"/>
        </w:rPr>
        <w:t>. With respect to each warning letter, untitled letter, inspection or investigation by a Governmental Authority directed at the Borrower or any of its Subsidiaries, the Borrower or the applicable Subsidiaries have disclosed all material documentation and materials (including all written communications to and from FDA) with respect to such warning letter, untitled letter, inspection or investigation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128.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 Default</w:t>
      </w:r>
      <w:r>
        <w:rPr>
          <w:rFonts w:ascii="Times New Roman;Times;Serif" w:hAnsi="Times New Roman;Times;Serif"/>
          <w:b w:val="false"/>
          <w:i w:val="false"/>
          <w:caps w:val="false"/>
          <w:smallCaps w:val="false"/>
          <w:sz w:val="20"/>
        </w:rPr>
        <w:t>. No event shall have occurred or be continuing that would constitute a Default or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129.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contained in this Agreement and in the other Loan Documents delivered pursuant to </w:t>
      </w:r>
      <w:r>
        <w:rPr>
          <w:rFonts w:ascii="Times New Roman;Times;Serif" w:hAnsi="Times New Roman;Times;Serif"/>
          <w:b/>
          <w:i w:val="false"/>
          <w:caps w:val="false"/>
          <w:smallCaps w:val="false"/>
          <w:sz w:val="20"/>
        </w:rPr>
        <w:t xml:space="preserve">Section 6.01 </w:t>
      </w:r>
      <w:r>
        <w:rPr>
          <w:rFonts w:ascii="Times New Roman;Times;Serif" w:hAnsi="Times New Roman;Times;Serif"/>
          <w:b w:val="false"/>
          <w:i w:val="false"/>
          <w:caps w:val="false"/>
          <w:smallCaps w:val="false"/>
          <w:sz w:val="20"/>
        </w:rPr>
        <w:t>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Closing Date, except to the extent such representations and warranties specifically relate to an earlier date, in which case such representations and warranties shall have been true and correct in all material respects on and as of such earlier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Minimum Liquidity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 xml:space="preserve">Section 8.17(d)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the Administrative Agent shall have received written evidence reasonably satisfactory to it that, as of the Closing Date, the Borrower is in pro forma compliance with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Beneficial Ownership Certificate; KYC</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To the extent requested by any Lender or the Administrative Agent at least three (3) Business Days prior to the Closing Date, the Borrower shall have provided to such Lender and the Administrative Agent all documentation and other information so requested, including a duly executed IRS Form W-9 of the Borrower (or such other applicable tax form), in connection with applicable “know your customer” and anti-money laundering rules and regulations, including the Patriot Act, and if the Borrower qualifies as a “legal entity customer” under the Beneficial Ownership Regulation, a Beneficial Ownership Certification, in each case prior to the Closing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132.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Conditions to the Borrowing of Tranche B Term Loans</w:t>
      </w:r>
      <w:r>
        <w:rPr>
          <w:rFonts w:ascii="Times New Roman;Times;Serif" w:hAnsi="Times New Roman;Times;Serif"/>
          <w:b w:val="false"/>
          <w:i w:val="false"/>
          <w:caps w:val="false"/>
          <w:smallCaps w:val="false"/>
          <w:sz w:val="20"/>
        </w:rPr>
        <w:t xml:space="preserve">. The obligation of each Lender to make Tranche B Term Loans shall be subject to the delivery of a Borrowing Notice as required pursuant to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and the prior or concurrent satisfaction or waiver of each of the conditions precedent set forth below in this </w:t>
      </w:r>
      <w:r>
        <w:rPr>
          <w:rFonts w:ascii="Times New Roman;Times;Serif" w:hAnsi="Times New Roman;Times;Serif"/>
          <w:b/>
          <w:i w:val="false"/>
          <w:caps w:val="false"/>
          <w:smallCaps w:val="false"/>
          <w:sz w:val="20"/>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Funding Date Certificate</w:t>
      </w:r>
      <w:r>
        <w:rPr>
          <w:rFonts w:ascii="Times New Roman;Times;Serif" w:hAnsi="Times New Roman;Times;Serif"/>
          <w:b w:val="false"/>
          <w:i w:val="false"/>
          <w:caps w:val="false"/>
          <w:smallCaps w:val="false"/>
          <w:sz w:val="20"/>
        </w:rPr>
        <w:t xml:space="preserve">. The Administrative Agent shall have received a Funding Date Certificate substantially in the form of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 xml:space="preserve"> dated as of the Applicable Funding Date, duly executed and delivered by a Responsible Officer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Delivery of Notes</w:t>
      </w:r>
      <w:r>
        <w:rPr>
          <w:rFonts w:ascii="Times New Roman;Times;Serif" w:hAnsi="Times New Roman;Times;Serif"/>
          <w:b w:val="false"/>
          <w:i w:val="false"/>
          <w:caps w:val="false"/>
          <w:smallCaps w:val="false"/>
          <w:sz w:val="20"/>
        </w:rPr>
        <w:t xml:space="preserve">. The Administrative Agent shall have received a Note to the extent requested by any Lender pursuant to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for the Tranche B Term Loans made on the Tranche B Funding Date duly executed and delivered by a Responsible Officer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xml:space="preserve">. The Administrative Agent shall have received a solvency certificate, substantially in the form of </w:t>
      </w:r>
      <w:r>
        <w:rPr>
          <w:rFonts w:ascii="Times New Roman;Times;Serif" w:hAnsi="Times New Roman;Times;Serif"/>
          <w:b/>
          <w:i w:val="false"/>
          <w:caps w:val="false"/>
          <w:smallCaps w:val="false"/>
          <w:sz w:val="20"/>
        </w:rPr>
        <w:t>Exhibit K</w:t>
      </w:r>
      <w:r>
        <w:rPr>
          <w:rFonts w:ascii="Times New Roman;Times;Serif" w:hAnsi="Times New Roman;Times;Serif"/>
          <w:b w:val="false"/>
          <w:i w:val="false"/>
          <w:caps w:val="false"/>
          <w:smallCaps w:val="false"/>
          <w:sz w:val="20"/>
        </w:rPr>
        <w:t>, duly executed and delivered by the chief financial officer of the Borrower, dated as of the Tranche B Funding Date, in form and substance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Fees, Expenses, Etc.</w:t>
      </w:r>
      <w:r>
        <w:rPr>
          <w:rFonts w:ascii="Times New Roman;Times;Serif" w:hAnsi="Times New Roman;Times;Serif"/>
          <w:b w:val="false"/>
          <w:i w:val="false"/>
          <w:caps w:val="false"/>
          <w:smallCaps w:val="false"/>
          <w:sz w:val="20"/>
        </w:rPr>
        <w:t xml:space="preserve"> Each of the Administrative Agent and each Lender shall have received for its own account all Commitment Fees and other fees, costs and expenses due and payable to it on or prior to the Tranche B Funding Date pursuant to the Fee Letter,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including all reasonable and documented closing costs and fees and all unpaid reasonable and documented expenses of the Administrative Agent incurred in connection with the Transactions (including the Administrative Agent’s reasonable and documented legal fees and expenses) in each case, to the extent invoiced (or as to which a good faith estimate has been provided to the Borrower) at least two (2) Business Days prior to the Tranche B Funding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Since December 31, 2021, no event, circumstance or change shall have occurred that has caused or would reasonably be expected to cause, either individually or in the aggregate, a Material Adverse Change, both before and after giving effect to the Tranche B Term Loans to be made on the Tranche B Funding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 Default</w:t>
      </w:r>
      <w:r>
        <w:rPr>
          <w:rFonts w:ascii="Times New Roman;Times;Serif" w:hAnsi="Times New Roman;Times;Serif"/>
          <w:b w:val="false"/>
          <w:i w:val="false"/>
          <w:caps w:val="false"/>
          <w:smallCaps w:val="false"/>
          <w:sz w:val="20"/>
        </w:rPr>
        <w:t>. No event shall have occurred or be continuing or would result from the making of the Tranche B Term Loans on the Tranche B Funding Date that would constitute a Default or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Representations and Warranties; Updated Schedules</w:t>
      </w:r>
      <w:r>
        <w:rPr>
          <w:rFonts w:ascii="Times New Roman;Times;Serif" w:hAnsi="Times New Roman;Times;Serif"/>
          <w:b w:val="false"/>
          <w:i w:val="false"/>
          <w:caps w:val="false"/>
          <w:smallCaps w:val="false"/>
          <w:sz w:val="20"/>
        </w:rPr>
        <w:t xml:space="preserve">. The representations and warranties contained in this Agreement and in the other Loan Documents delivered pursuant to </w:t>
      </w:r>
      <w:r>
        <w:rPr>
          <w:rFonts w:ascii="Times New Roman;Times;Serif" w:hAnsi="Times New Roman;Times;Serif"/>
          <w:b/>
          <w:i w:val="false"/>
          <w:caps w:val="false"/>
          <w:smallCaps w:val="false"/>
          <w:sz w:val="20"/>
        </w:rPr>
        <w:t xml:space="preserve">Section 6.01(a) </w:t>
      </w:r>
      <w:r>
        <w:rPr>
          <w:rFonts w:ascii="Times New Roman;Times;Serif" w:hAnsi="Times New Roman;Times;Serif"/>
          <w:b w:val="false"/>
          <w:i w:val="false"/>
          <w:caps w:val="false"/>
          <w:smallCaps w:val="false"/>
          <w:sz w:val="20"/>
        </w:rPr>
        <w:t xml:space="preserve">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Tranche B Funding Date, except to the extent such representations and warranties specifically relate to an earlier date, in which case such representations and warranties shall have been true and correct in all material respects on and as of such earlier date. The Borrower shall have delivered to the Administrative Agent updated copies of </w:t>
      </w:r>
      <w:r>
        <w:rPr>
          <w:rFonts w:ascii="Times New Roman;Times;Serif" w:hAnsi="Times New Roman;Times;Serif"/>
          <w:b/>
          <w:i w:val="false"/>
          <w:caps w:val="false"/>
          <w:smallCaps w:val="false"/>
          <w:sz w:val="20"/>
        </w:rPr>
        <w:t>Schedules 7.06(c)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7.23</w:t>
      </w:r>
      <w:r>
        <w:rPr>
          <w:rFonts w:ascii="Times New Roman;Times;Serif" w:hAnsi="Times New Roman;Times;Serif"/>
          <w:b w:val="false"/>
          <w:i w:val="false"/>
          <w:caps w:val="false"/>
          <w:smallCaps w:val="false"/>
          <w:sz w:val="20"/>
        </w:rPr>
        <w:t xml:space="preserve">, to the extent required to satisfy the foregoing requirements set forth in this </w:t>
      </w:r>
      <w:r>
        <w:rPr>
          <w:rFonts w:ascii="Times New Roman;Times;Serif" w:hAnsi="Times New Roman;Times;Serif"/>
          <w:b/>
          <w:i w:val="false"/>
          <w:caps w:val="false"/>
          <w:smallCaps w:val="false"/>
          <w:sz w:val="20"/>
        </w:rPr>
        <w:t>Section 6.02(g)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140.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Tranche B Funding Condition</w:t>
      </w:r>
      <w:r>
        <w:rPr>
          <w:rFonts w:ascii="Times New Roman;Times;Serif" w:hAnsi="Times New Roman;Times;Serif"/>
          <w:b w:val="false"/>
          <w:i w:val="false"/>
          <w:caps w:val="false"/>
          <w:smallCaps w:val="false"/>
          <w:sz w:val="20"/>
        </w:rPr>
        <w:t xml:space="preserve">. The Tranche B Funding Condition shall have been satisfied as set forth on the Loans Schedule;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solely with respect to a Borrowing of Tranche B Term Loans on the Second Amendment Effective Date, the Tranche B Funding Condition will be deemed to have been satisfied as of the Second Amendment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141.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Tranche B Availability Period</w:t>
      </w:r>
      <w:r>
        <w:rPr>
          <w:rFonts w:ascii="Times New Roman;Times;Serif" w:hAnsi="Times New Roman;Times;Serif"/>
          <w:b w:val="false"/>
          <w:i w:val="false"/>
          <w:caps w:val="false"/>
          <w:smallCaps w:val="false"/>
          <w:sz w:val="20"/>
        </w:rPr>
        <w:t>. The Tranche B Term Loans shall be borrowed on or prior to the last day of the Tranche B Availability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142.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Conditions to the Borrowing of Incremental Tranche A Term Loans</w:t>
      </w:r>
      <w:r>
        <w:rPr>
          <w:rFonts w:ascii="Times New Roman;Times;Serif" w:hAnsi="Times New Roman;Times;Serif"/>
          <w:b w:val="false"/>
          <w:i w:val="false"/>
          <w:caps w:val="false"/>
          <w:smallCaps w:val="false"/>
          <w:sz w:val="20"/>
        </w:rPr>
        <w:t xml:space="preserve">. The obligation of each Lender to make Incremental Tranche A Term Loans shall be subject to the delivery of a Borrowing Notice as required pursuant to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and the prior or concurrent satisfaction or waiver of each of the conditions precedent set forth below in this </w:t>
      </w:r>
      <w:r>
        <w:rPr>
          <w:rFonts w:ascii="Times New Roman;Times;Serif" w:hAnsi="Times New Roman;Times;Serif"/>
          <w:b/>
          <w:i w:val="false"/>
          <w:caps w:val="false"/>
          <w:smallCaps w:val="false"/>
          <w:sz w:val="20"/>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143.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Funding Date Certificate</w:t>
      </w:r>
      <w:r>
        <w:rPr>
          <w:rFonts w:ascii="Times New Roman;Times;Serif" w:hAnsi="Times New Roman;Times;Serif"/>
          <w:b w:val="false"/>
          <w:i w:val="false"/>
          <w:caps w:val="false"/>
          <w:smallCaps w:val="false"/>
          <w:sz w:val="20"/>
        </w:rPr>
        <w:t xml:space="preserve">. The Administrative Agent shall have received a Funding Date Certificate substantially in the form of </w:t>
      </w:r>
      <w:r>
        <w:rPr>
          <w:rFonts w:ascii="Times New Roman;Times;Serif" w:hAnsi="Times New Roman;Times;Serif"/>
          <w:b/>
          <w:i w:val="false"/>
          <w:caps w:val="false"/>
          <w:smallCaps w:val="false"/>
          <w:sz w:val="20"/>
        </w:rPr>
        <w:t>Exhibit C</w:t>
      </w:r>
      <w:r>
        <w:rPr>
          <w:rFonts w:ascii="Times New Roman;Times;Serif" w:hAnsi="Times New Roman;Times;Serif"/>
          <w:b w:val="false"/>
          <w:i w:val="false"/>
          <w:caps w:val="false"/>
          <w:smallCaps w:val="false"/>
          <w:sz w:val="20"/>
        </w:rPr>
        <w:t xml:space="preserve"> dated as of the Applicable Funding Date, duly executed and delivered by a Responsible Officer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144.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Delivery of Notes</w:t>
      </w:r>
      <w:r>
        <w:rPr>
          <w:rFonts w:ascii="Times New Roman;Times;Serif" w:hAnsi="Times New Roman;Times;Serif"/>
          <w:b w:val="false"/>
          <w:i w:val="false"/>
          <w:caps w:val="false"/>
          <w:smallCaps w:val="false"/>
          <w:sz w:val="20"/>
        </w:rPr>
        <w:t xml:space="preserve">. The Administrative Agent shall have received a Note (or an amendment and restatement of an existing Note) to the extent requested by any Lender pursuant to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for the Tranche A Term Loans of such Lender, duly executed and delivered by a Responsible Officer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145.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xml:space="preserve">. The Administrative Agent shall have received a solvency certificate, substantially in the form of </w:t>
      </w:r>
      <w:r>
        <w:rPr>
          <w:rFonts w:ascii="Times New Roman;Times;Serif" w:hAnsi="Times New Roman;Times;Serif"/>
          <w:b/>
          <w:i w:val="false"/>
          <w:caps w:val="false"/>
          <w:smallCaps w:val="false"/>
          <w:sz w:val="20"/>
        </w:rPr>
        <w:t>Exhibit K</w:t>
      </w:r>
      <w:r>
        <w:rPr>
          <w:rFonts w:ascii="Times New Roman;Times;Serif" w:hAnsi="Times New Roman;Times;Serif"/>
          <w:b w:val="false"/>
          <w:i w:val="false"/>
          <w:caps w:val="false"/>
          <w:smallCaps w:val="false"/>
          <w:sz w:val="20"/>
        </w:rPr>
        <w:t>, duly executed and delivered by the chief financial officer of the Borrower, dated as of the Incremental Tranche A Funding Date, in form and substance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146.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Fees, Expenses, Etc</w:t>
      </w:r>
      <w:r>
        <w:rPr>
          <w:rFonts w:ascii="Times New Roman;Times;Serif" w:hAnsi="Times New Roman;Times;Serif"/>
          <w:b w:val="false"/>
          <w:i w:val="false"/>
          <w:caps w:val="false"/>
          <w:smallCaps w:val="false"/>
          <w:sz w:val="20"/>
        </w:rPr>
        <w:t xml:space="preserve">. Each of the Administrative Agent and each Lender shall have received for its own account all Commitment Fees and other fees, costs and expenses due and payable to it on or prior to the Incremental Tranche A Funding Date pursuant to the Fee Letter,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including all reasonable and documented closing costs and fees and all unpaid reasonable and documented expenses of the Administrative Agent incurred in connection with the Transactions (including the Administrative Agent’s reasonable and documented legal fees and expenses) in each case, to the extent invoiced (or as to which a good faith estimate has been provided to the Borrower) at least two (2) Business Days prior to the Incremental Tranche A Funding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147.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Material Adverse Change. </w:t>
      </w:r>
      <w:r>
        <w:rPr>
          <w:rFonts w:ascii="Times New Roman;Times;Serif" w:hAnsi="Times New Roman;Times;Serif"/>
          <w:b w:val="false"/>
          <w:i w:val="false"/>
          <w:caps w:val="false"/>
          <w:smallCaps w:val="false"/>
          <w:sz w:val="20"/>
        </w:rPr>
        <w:t>Since the First Amendment Effective Date, no event, circumstance or change shall have occurred that has caused or would reasonably be expected to cause, either individually or in the aggregate, a Material Adverse Change, both before and after giving effect to the Incremental Tranche A Term Loans to be made on the Incremental Tranche A Funding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148.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 Payment or Bankruptcy Default</w:t>
      </w:r>
      <w:r>
        <w:rPr>
          <w:rFonts w:ascii="Times New Roman;Times;Serif" w:hAnsi="Times New Roman;Times;Serif"/>
          <w:b w:val="false"/>
          <w:i w:val="false"/>
          <w:caps w:val="false"/>
          <w:smallCaps w:val="false"/>
          <w:sz w:val="20"/>
        </w:rPr>
        <w:t>. No event shall have occurred or be continuing or would result from the making of the Incremental Tranche A Term Loans on the Incremental Tranche A Funding Date that would constitute an Event of Default under any of Section 11.01(a), (b) or (h).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149.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Representations and Warranties; Updated Schedules</w:t>
      </w:r>
      <w:r>
        <w:rPr>
          <w:rFonts w:ascii="Times New Roman;Times;Serif" w:hAnsi="Times New Roman;Times;Serif"/>
          <w:b w:val="false"/>
          <w:i w:val="false"/>
          <w:caps w:val="false"/>
          <w:smallCaps w:val="false"/>
          <w:sz w:val="20"/>
        </w:rPr>
        <w:t xml:space="preserve">. The Specified Representations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Incremental Tranche A Funding Date, except to the extent such representations and warranties specifically relate to an earlier date, in which case such representations and warranties shall have been true and correct in all material respects on and as of such earlier date. The Borrower shall have delivered to the Administrative Agent updated copies of </w:t>
      </w:r>
      <w:r>
        <w:rPr>
          <w:rFonts w:ascii="Times New Roman;Times;Serif" w:hAnsi="Times New Roman;Times;Serif"/>
          <w:b/>
          <w:i w:val="false"/>
          <w:caps w:val="false"/>
          <w:smallCaps w:val="false"/>
          <w:sz w:val="20"/>
        </w:rPr>
        <w:t>Schedules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7.05(b)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7.06(c)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7.23</w:t>
      </w:r>
      <w:r>
        <w:rPr>
          <w:rFonts w:ascii="Times New Roman;Times;Serif" w:hAnsi="Times New Roman;Times;Serif"/>
          <w:b w:val="false"/>
          <w:i w:val="false"/>
          <w:caps w:val="false"/>
          <w:smallCaps w:val="false"/>
          <w:sz w:val="20"/>
        </w:rPr>
        <w:t xml:space="preserve">, to the extent required to satisfy the foregoing requirements set forth in this </w:t>
      </w:r>
      <w:r>
        <w:rPr>
          <w:rFonts w:ascii="Times New Roman;Times;Serif" w:hAnsi="Times New Roman;Times;Serif"/>
          <w:b/>
          <w:i w:val="false"/>
          <w:caps w:val="false"/>
          <w:smallCaps w:val="false"/>
          <w:sz w:val="20"/>
        </w:rPr>
        <w:t>Section 6.03(g)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150. </w:t>
      </w:r>
      <w:r>
        <w:rPr>
          <w:rFonts w:ascii="Times New Roman;Times;Serif" w:hAnsi="Times New Roman;Times;Serif"/>
          <w:b/>
          <w:i w:val="false"/>
          <w:caps w:val="false"/>
          <w:smallCaps w:val="false"/>
          <w:sz w:val="20"/>
        </w:rPr>
        <w:t>Incremental Tranche A Funding Condition</w:t>
      </w:r>
      <w:r>
        <w:rPr>
          <w:rFonts w:ascii="Times New Roman;Times;Serif" w:hAnsi="Times New Roman;Times;Serif"/>
          <w:b w:val="false"/>
          <w:i w:val="false"/>
          <w:caps w:val="false"/>
          <w:smallCaps w:val="false"/>
          <w:sz w:val="20"/>
        </w:rPr>
        <w:t>. The Incremental Tranche A Funding Condition shall have been satisfied as set forth on the Loans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151. </w:t>
      </w:r>
      <w:r>
        <w:rPr>
          <w:rFonts w:ascii="Times New Roman;Times;Serif" w:hAnsi="Times New Roman;Times;Serif"/>
          <w:b/>
          <w:i w:val="false"/>
          <w:caps w:val="false"/>
          <w:smallCaps w:val="false"/>
          <w:sz w:val="20"/>
        </w:rPr>
        <w:t>Incremental Tranche A Availability Period</w:t>
      </w:r>
      <w:r>
        <w:rPr>
          <w:rFonts w:ascii="Times New Roman;Times;Serif" w:hAnsi="Times New Roman;Times;Serif"/>
          <w:b w:val="false"/>
          <w:i w:val="false"/>
          <w:caps w:val="false"/>
          <w:smallCaps w:val="false"/>
          <w:sz w:val="20"/>
        </w:rPr>
        <w:t>. The Incremental Tranche A Term Loans shall be borrowed on or prior to the last day of the Incremental Tranche A Availability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152.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REPRESENTATIONS AND WARRANTIES</w:t>
      </w:r>
    </w:p>
    <w:p>
      <w:pPr>
        <w:pStyle w:val="TextBody"/>
        <w:bidi w:val="0"/>
        <w:spacing w:before="0" w:after="0"/>
        <w:ind w:left="0" w:right="0" w:hanging="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each other Obligor hereby jointly and severally represents and warrants to the Administrative Agent and each Lender on the Closing Date and each Bringdown Date, as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153.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Power and Authority</w:t>
      </w:r>
      <w:r>
        <w:rPr>
          <w:rFonts w:ascii="Times New Roman;Times;Serif" w:hAnsi="Times New Roman;Times;Serif"/>
          <w:b w:val="false"/>
          <w:i w:val="false"/>
          <w:caps w:val="false"/>
          <w:smallCaps w:val="false"/>
          <w:sz w:val="20"/>
        </w:rPr>
        <w:t>. Each Obligor and each of its Subsidiaries (i) is duly incorporated or organized and validly existing under the laws of its jurisdiction of incorporation or organization, (ii) has all requisite corporate or other power, and has all Governmental Approvals necessary to own its assets and carry on its business as now being or as proposed to be conducted, except to the extent that failure to have the same would not, individually or in the aggregate, reasonably be expected to result in a Material Adverse Effect, (iii) is qualified to do business and is in good standing in all jurisdictions in which the nature of the business conducted by it makes such qualification necessary except where failure so to qualify would not, individually or in the aggregate, reasonably be expected to result in a Material Adverse Effect, and (iv) has full power, authority and legal right to enter into and perform its obligations under each of the Loan Documents to which it is a party and, in the case of the Borrower, to borrow the Loans hereunder.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154.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Authorization; Enforceability</w:t>
      </w:r>
      <w:r>
        <w:rPr>
          <w:rFonts w:ascii="Times New Roman;Times;Serif" w:hAnsi="Times New Roman;Times;Serif"/>
          <w:b w:val="false"/>
          <w:i w:val="false"/>
          <w:caps w:val="false"/>
          <w:smallCaps w:val="false"/>
          <w:sz w:val="20"/>
        </w:rPr>
        <w:t>. Each Transaction to which an Obligor is a party (or to which it or any of its assets or properties is subject) are within such Obligor’s corporate or other organizational powers and have been duly authorized by all necessary corporate or other organizational action including, if required, approval by all necessary holders of its Equity Interests. This Agreement has been duly executed and delivered by each Obligor and constitutes, and each of the other Loan Documents to which it is a party when executed and delivered by such Obligor will constitute, a legal, valid and binding obligation of such Obligor, enforceable against such Obligor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155.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Governmental and Other Approvals; No Conflicts</w:t>
      </w:r>
      <w:r>
        <w:rPr>
          <w:rFonts w:ascii="Times New Roman;Times;Serif" w:hAnsi="Times New Roman;Times;Serif"/>
          <w:b w:val="false"/>
          <w:i w:val="false"/>
          <w:caps w:val="false"/>
          <w:smallCaps w:val="false"/>
          <w:sz w:val="20"/>
        </w:rPr>
        <w:t>. None of the execution, delivery and performance by each Obligor of the Loan Documents to which it is a party or the consummation by each Obligor of the Transactions (i) requires any Governmental Approval of, registration or filing with, or any other action by, any Governmental Authority or any other Person, except for (x) such as have been obtained or made and are in full force and effect, (y) filings and recordings in respect of perfecting or recording the Liens created pursuant to the Security Documents, and (z) filings required under applicable securities Laws, (ii) will violate (1) any Law, (2) any Organic Document of any Obligor or any of its Subsidiaries or (3) any order of any Governmental Authority, that in the case of clause (ii)(1) or clause (ii)(3), individually or in the aggregate, would reasonably be expected to result in a Material Adverse Effect, (iii) will violate or result in a default under any Material Agreement binding upon any Obligor or any of its Subsidiaries that, individually or in the aggregate, would reasonably be expected to result in a Material Adverse Effect or (iv) will result in the creation or imposition of any Lien (other than Permitted Liens) on any asset of any Obligor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156.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Financial Statements; Material Adverse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157.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xml:space="preserve">. The Borrower has heretofore furnished to the Administrative Agent (who shall forward to the Lenders) consolidated financial statements required to be delivered pursuant to this Agreement. Such financial statements present fairly, in all material respects, the consolidated financial position and results of operations and cash flows of the Borrower and its Subsidiaries as of such dates and for such periods in accordance with GAAP, subject to year-end audit adjustments and the absence of footnotes in the case of the statements of the type described in </w:t>
      </w:r>
      <w:r>
        <w:rPr>
          <w:rFonts w:ascii="Times New Roman;Times;Serif" w:hAnsi="Times New Roman;Times;Serif"/>
          <w:b/>
          <w:i w:val="false"/>
          <w:caps w:val="false"/>
          <w:smallCaps w:val="false"/>
          <w:sz w:val="20"/>
        </w:rPr>
        <w:t xml:space="preserve">Section 8.01(a)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158.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 Material Adverse Change</w:t>
      </w:r>
      <w:r>
        <w:rPr>
          <w:rFonts w:ascii="Times New Roman;Times;Serif" w:hAnsi="Times New Roman;Times;Serif"/>
          <w:b w:val="false"/>
          <w:i w:val="false"/>
          <w:caps w:val="false"/>
          <w:smallCaps w:val="false"/>
          <w:sz w:val="20"/>
        </w:rPr>
        <w:t>. Since December 31, 2021, no event, circumstance or change has occurred that has caused or would reasonably be expected to cause, individually or in the aggregate, a Material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159. </w:t>
      </w:r>
      <w:r>
        <w:rPr>
          <w:rFonts w:ascii="Times New Roman;Times;Serif" w:hAnsi="Times New Roman;Times;Serif"/>
          <w:b/>
          <w:i/>
          <w:caps w:val="false"/>
          <w:smallCaps w:val="false"/>
          <w:sz w:val="20"/>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160. </w:t>
      </w:r>
      <w:r>
        <w:rPr>
          <w:rFonts w:ascii="Times New Roman;Times;Serif" w:hAnsi="Times New Roman;Times;Serif"/>
          <w:b/>
          <w:i w:val="false"/>
          <w:caps w:val="false"/>
          <w:smallCaps w:val="false"/>
          <w:sz w:val="20"/>
        </w:rPr>
        <w:t>Property Generally</w:t>
      </w:r>
      <w:r>
        <w:rPr>
          <w:rFonts w:ascii="Times New Roman;Times;Serif" w:hAnsi="Times New Roman;Times;Serif"/>
          <w:b w:val="false"/>
          <w:i w:val="false"/>
          <w:caps w:val="false"/>
          <w:smallCaps w:val="false"/>
          <w:sz w:val="20"/>
        </w:rPr>
        <w:t>. Each Obligor and each of its Subsidiaries has good and marketable title to, or valid leasehold interests in, or license to, all its real and personal property material to its business, including (i) all properties and assets, whether tangible or intangible, relating to its Products or Product Commercialization and Development Activities and (ii) all Material Intellectual Property, in each case, subject only to Permitted Liens.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161.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162.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Except as set forth in Schedule 7.05(b)(i),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163. </w:t>
      </w:r>
      <w:r>
        <w:rPr>
          <w:rFonts w:ascii="Times New Roman;Times;Serif" w:hAnsi="Times New Roman;Times;Serif"/>
          <w:b w:val="false"/>
          <w:i w:val="false"/>
          <w:caps w:val="false"/>
          <w:smallCaps w:val="false"/>
          <w:sz w:val="20"/>
        </w:rPr>
        <w:t>the Obligors are the sole and exclusive legal and beneficial owners of all right, title and interest in and to all Material Intellectual Property and all other Intellectual Property that is, in each case owned or purported to be owned by Borrower or any of its Subsidiaries, free and clear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164. </w:t>
      </w:r>
      <w:r>
        <w:rPr>
          <w:rFonts w:ascii="Times New Roman;Times;Serif" w:hAnsi="Times New Roman;Times;Serif"/>
          <w:b w:val="false"/>
          <w:i/>
          <w:caps w:val="false"/>
          <w:smallCaps w:val="false"/>
          <w:sz w:val="20"/>
        </w:rPr>
        <w:t>any Claims that would reasonably be expected to result in material liability to any of the Obligors or have a material adverse effect on any Product Commercialization and Development Activities with respect to any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165.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any Liens other than Permitted Liens;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166.</w:t>
      </w:r>
      <w:r>
        <w:rPr>
          <w:rFonts w:ascii="Times New Roman;Times;Serif" w:hAnsi="Times New Roman;Times;Serif"/>
          <w:b w:val="false"/>
          <w:i w:val="false"/>
          <w:caps w:val="false"/>
          <w:smallCaps w:val="false"/>
          <w:sz w:val="20"/>
        </w:rPr>
        <w:t xml:space="preserve"> the Obligors own or have sufficient and valid written rights to use all Material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167.</w:t>
      </w:r>
      <w:r>
        <w:rPr>
          <w:rFonts w:ascii="Times New Roman;Times;Serif" w:hAnsi="Times New Roman;Times;Serif"/>
          <w:b/>
          <w:i w:val="false"/>
          <w:caps w:val="false"/>
          <w:smallCaps w:val="false"/>
          <w:sz w:val="20"/>
        </w:rPr>
        <w:t>Without limiting Section 7.05(b) (i), and except as set forth in Schedule 7.05(b)(ii):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168.</w:t>
      </w:r>
      <w:r>
        <w:rPr>
          <w:rFonts w:ascii="Times New Roman;Times;Serif" w:hAnsi="Times New Roman;Times;Serif"/>
          <w:b w:val="false"/>
          <w:i w:val="false"/>
          <w:caps w:val="false"/>
          <w:smallCaps w:val="false"/>
          <w:sz w:val="20"/>
        </w:rPr>
        <w:t xml:space="preserve"> other than (1) customary restrictions in in-bound licenses of Material Intellectual Property and non-disclosure Contracts, or (2) as would have been or is permitted by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there are no judgments, licenses, covenants not to sue, grants, Liens (other than Permitted Liens), or other Claims or Contracts relating to any Material Intellectual Property, which materially restrict any Obligor with respect to its use, enforcement, or other exploitation of any Material Intellectual Property or in connection with Product Commercialization and Development Activities with respect to any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169. </w:t>
      </w:r>
      <w:r>
        <w:rPr>
          <w:rFonts w:ascii="Times New Roman;Times;Serif" w:hAnsi="Times New Roman;Times;Serif"/>
          <w:b w:val="false"/>
          <w:i w:val="false"/>
          <w:caps w:val="false"/>
          <w:smallCaps w:val="false"/>
          <w:sz w:val="20"/>
        </w:rPr>
        <w:t>the operation and conduct of the business of the Borrower or any of its Subsidiaries, including their exploitation of Material Intellectual Property in such Person’s Ordinary Course, does not violate, infringe or constitute a misappropriation of any valid rights arising under any Intellectual Property rights of any other Person in a manner that has resulted in, or would reasonably be expected to result in, material liability or disruption to the businesses of the Borrower or any of its Subsidiaries (including any Product Commercialization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170.</w:t>
      </w:r>
      <w:r>
        <w:rPr>
          <w:rFonts w:ascii="Times New Roman;Times;Serif" w:hAnsi="Times New Roman;Times;Serif"/>
          <w:b w:val="false"/>
          <w:i w:val="false"/>
          <w:caps w:val="false"/>
          <w:smallCaps w:val="false"/>
          <w:sz w:val="20"/>
        </w:rPr>
        <w:t xml:space="preserve"> (1) there are no material pending Claims, or Claims threatened in writing, against Borrower or any of its Subsidiaries asserted by any other Person relating to any of such Person’s Intellectual Property, including any material Claims alleging ownership, invalidity or unenforceability of any Material Intellectual Property, or infringement, misappropriation, or violation of such Person’s Intellectual Property; and (2) neither Borrower nor any of its Subsidiaries has received any notice from, or Claim by, any Person that the operation and conduct of the businesses of the Borrower or any of its Subsidiaries (including their exploitation of Material Intellectual Property), or any Product Commercialization and Development Activities with respect to any Product, infringes upon, violates or constitutes a misappropriation of, any Intellectual Property of any other Person that has or would reasonably be expected to result in material liability to the Borrower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171. </w:t>
      </w:r>
      <w:r>
        <w:rPr>
          <w:rFonts w:ascii="Times New Roman;Times;Serif" w:hAnsi="Times New Roman;Times;Serif"/>
          <w:b w:val="false"/>
          <w:i w:val="false"/>
          <w:caps w:val="false"/>
          <w:smallCaps w:val="false"/>
          <w:sz w:val="20"/>
        </w:rPr>
        <w:t>to the knowledge of the Obligors, no Material Intellectual Property is being infringed, violated, or misappropriated by any other Person in any material respect, and neither Borrower nor any of its Subsidiaries has put any other Person on notice of such actual or potential infringement, violation or misappropriation of any such Material Intellectual Property or initiated the enforcement of any Claim with respect to any such Material Intellectual Property;</w:t>
      </w:r>
    </w:p>
    <w:p>
      <w:pPr>
        <w:pStyle w:val="TextBody"/>
        <w:bidi w:val="0"/>
        <w:spacing w:before="0" w:after="0"/>
        <w:ind w:left="0" w:right="0" w:firstLine="22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172. </w:t>
      </w:r>
      <w:r>
        <w:rPr>
          <w:rFonts w:ascii="Times New Roman;Times;Serif" w:hAnsi="Times New Roman;Times;Serif"/>
          <w:b w:val="false"/>
          <w:i w:val="false"/>
          <w:caps w:val="false"/>
          <w:smallCaps w:val="false"/>
          <w:sz w:val="20"/>
        </w:rPr>
        <w:t>to the knowledge of the Obligors, all current and former employees and contractors that have developed Material Intellectual Property for or on behalf of Borrower or any of its Subsidiaries have executed written confidentiality and invention assignment Contracts with Borrower or such Subsidiary, as applicable, that irrevocably and presently assign to Borrower or such Subsidiary, as applicable, all rights of such employees and contractors in or to any such Material Intellectual Property, or ownership of such Material Intellectual Property has otherwise vested automatically with an Obligor by operation of Law;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173. </w:t>
      </w:r>
      <w:r>
        <w:rPr>
          <w:rFonts w:ascii="Times New Roman;Times;Serif" w:hAnsi="Times New Roman;Times;Serif"/>
          <w:b w:val="false"/>
          <w:i w:val="false"/>
          <w:caps w:val="false"/>
          <w:smallCaps w:val="false"/>
          <w:sz w:val="20"/>
        </w:rPr>
        <w:t>Borrower and each of its Subsidiaries has taken reasonable precautions to protect the secrecy, confidentiality and value of its Material Intellectual Property consisting of Technical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174.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With respect to Material Intellectual Property consisting of Patents, except as set forth in Schedule 7.05(b)(iii), and without limiting the representations and warranties in Section 7.05(b)(i) and Section 7.05(b)(ii):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175.</w:t>
      </w:r>
      <w:r>
        <w:rPr>
          <w:rFonts w:ascii="Times New Roman;Times;Serif" w:hAnsi="Times New Roman;Times;Serif"/>
          <w:b w:val="false"/>
          <w:i w:val="false"/>
          <w:caps w:val="false"/>
          <w:smallCaps w:val="false"/>
          <w:sz w:val="20"/>
        </w:rPr>
        <w:t xml:space="preserve"> each of the issued claims in such Patents is valid and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176.</w:t>
      </w:r>
      <w:r>
        <w:rPr>
          <w:rFonts w:ascii="Times New Roman;Times;Serif" w:hAnsi="Times New Roman;Times;Serif"/>
          <w:b w:val="false"/>
          <w:i w:val="false"/>
          <w:caps w:val="false"/>
          <w:smallCaps w:val="false"/>
          <w:sz w:val="20"/>
        </w:rPr>
        <w:t xml:space="preserve"> subsequent to the issuance of such Patents, neither Borrower nor any of its Subsidiaries or, to the knowledge of Obligors, any of its or their predecessors-in-interest, has filed any disclaimer or made or permitted any other voluntary reduction in the scope of the Inventions claimed in such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177. </w:t>
      </w:r>
      <w:r>
        <w:rPr>
          <w:rFonts w:ascii="Times New Roman;Times;Serif" w:hAnsi="Times New Roman;Times;Serif"/>
          <w:b w:val="false"/>
          <w:i w:val="false"/>
          <w:caps w:val="false"/>
          <w:smallCaps w:val="false"/>
          <w:sz w:val="20"/>
        </w:rPr>
        <w:t xml:space="preserve">to the knowledge of the Obligors, (1) no allowable or allowed subject matter of such Patents is subject to any competing conception claims of allowable or allowed subject matter of any patent applications or patents of any third party or has been the subject of any interference, re-examination, opposition, or any other post-grant proceedings, and (2) there is no basis for any such interference, re-examination, opposition,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post grant review, or any other post-grant proceedings, in each case of (1) and (2), (x) as of the Closing Date and (y) as of any Bringdown Date that would not reasonably be expected to result in a Material Adverse Effect or a material adverse effect on any Product Commercialization and Development Activities with respect to any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178.</w:t>
      </w:r>
      <w:r>
        <w:rPr>
          <w:rFonts w:ascii="Times New Roman;Times;Serif" w:hAnsi="Times New Roman;Times;Serif"/>
          <w:b w:val="false"/>
          <w:i w:val="false"/>
          <w:caps w:val="false"/>
          <w:smallCaps w:val="false"/>
          <w:sz w:val="20"/>
        </w:rPr>
        <w:t xml:space="preserve"> all material maintenance fees, annuities, and the like due and payable on or with respect to any such Patents have been timely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179.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No Actions or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180.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Schedule 7.06(a)</w:t>
      </w:r>
      <w:r>
        <w:rPr>
          <w:rFonts w:ascii="Times New Roman;Times;Serif" w:hAnsi="Times New Roman;Times;Serif"/>
          <w:b w:val="false"/>
          <w:i w:val="false"/>
          <w:caps w:val="false"/>
          <w:smallCaps w:val="false"/>
          <w:sz w:val="20"/>
        </w:rPr>
        <w:t>, there is no litigation, investigation or proceeding pending or, to the knowledge of any Obligor threatened in writing, with respect to such Obligor or any such Subsidiaries by or before any Governmental Authority or arbitrator that, (i) individually or in the aggregate, would reasonably be expected to have a Material Adverse Effect or (ii) involves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181. </w:t>
      </w:r>
      <w:r>
        <w:rPr>
          <w:rFonts w:ascii="Times New Roman;Times;Serif" w:hAnsi="Times New Roman;Times;Serif"/>
          <w:b/>
          <w:i w:val="false"/>
          <w:caps w:val="false"/>
          <w:smallCaps w:val="false"/>
          <w:sz w:val="20"/>
        </w:rPr>
        <w:t>Environmental Matters</w:t>
      </w:r>
      <w:r>
        <w:rPr>
          <w:rFonts w:ascii="Times New Roman;Times;Serif" w:hAnsi="Times New Roman;Times;Serif"/>
          <w:b w:val="false"/>
          <w:i w:val="false"/>
          <w:caps w:val="false"/>
          <w:smallCaps w:val="false"/>
          <w:sz w:val="20"/>
        </w:rPr>
        <w:t>. Except with respect to any matters that (either individually or in the aggregate) would not reasonably be expected to result in a Material Adverse Effect, no Obligor nor any of its Subsidiaries (i) has failed to comply with any Environmental Law in all material respects or to obtain, maintain or comply with any material permit, license or other approval required under any Environmental Law, (ii) has become subject to any material Environmental Liability, (iii) has received any material Environmental Claim, or has knowledge that any is threatened, (iv) has entered into any agreement in which such Obligor or any Subsidiary has assumed or undertaken material responsibility or obligations of any other person with respect to any Environmental Liability or (v) has knowledge of any basis for any other material Environmental Liability.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182.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Labor Matters</w:t>
      </w:r>
      <w:r>
        <w:rPr>
          <w:rFonts w:ascii="Times New Roman;Times;Serif" w:hAnsi="Times New Roman;Times;Serif"/>
          <w:b w:val="false"/>
          <w:i w:val="false"/>
          <w:caps w:val="false"/>
          <w:smallCaps w:val="false"/>
          <w:sz w:val="20"/>
        </w:rPr>
        <w:t xml:space="preserve">. No Obligor or any of its Subsidiaries has engaged in unfair labor practices as defined in 29 U.S.C. § §152(8) and 158 of the National Labor Relations Act and there are no pending or, to the knowledge of any Obligor, threatened in writing labor actions, disputes, grievances, arbitration proceedings, or similar Claims or actions involving the employees of any Obligor or any of its Subsidiaries, in each case, that would reasonably be expected to have a Material Adverse Effect. There are no strike or work stoppages in existence or, to the knowledge of any Obligor, threatened in writing against such Obligor and to the knowledge of such Obligor, no union organizing activity is taking place, in each case, that would reasonably be expected to have a Material Adverse Effect. Except as set forth on </w:t>
      </w:r>
      <w:r>
        <w:rPr>
          <w:rFonts w:ascii="Times New Roman;Times;Serif" w:hAnsi="Times New Roman;Times;Serif"/>
          <w:b/>
          <w:i w:val="false"/>
          <w:caps w:val="false"/>
          <w:smallCaps w:val="false"/>
          <w:sz w:val="20"/>
        </w:rPr>
        <w:t>Schedule 7.06(c)</w:t>
      </w:r>
      <w:r>
        <w:rPr>
          <w:rFonts w:ascii="Times New Roman;Times;Serif" w:hAnsi="Times New Roman;Times;Serif"/>
          <w:b w:val="false"/>
          <w:i w:val="false"/>
          <w:caps w:val="false"/>
          <w:smallCaps w:val="false"/>
          <w:sz w:val="20"/>
        </w:rPr>
        <w:t xml:space="preserve"> (as such schedule may be updated on any Bringdown Date), there are no collective bargaining agreements covering employees of any Obligor or any of its Subsidiaries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183.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Compliance with Laws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184.</w:t>
      </w:r>
      <w:r>
        <w:rPr>
          <w:rFonts w:ascii="Times New Roman;Times;Serif" w:hAnsi="Times New Roman;Times;Serif"/>
          <w:b w:val="false"/>
          <w:i w:val="false"/>
          <w:caps w:val="false"/>
          <w:smallCaps w:val="false"/>
          <w:sz w:val="20"/>
        </w:rPr>
        <w:t xml:space="preserve"> (i) Each Obligor is and, during the past three (3) years, has been in compliance with all applicable Laws and all Contracts binding upon it or its property, except, in each case, where the failure to do so would not, individually or in the aggregate, reasonably be expected to result in a Material Adverse Effect, (ii) no Default has occurred and is continuing, and (iii) the Obligors and their Subsidiaries are and, during the past three (3) years have been, and all Product Commercialization and Development Activities of such Persons are being and, during the past three (3) years have been, conducted in compliance with all applicable Healthcare Laws, except where such failure to comply would not, individually or in the aggregate,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the Obligors, any physician, other licensed healthcare professional, or any other Person who is in a position to refer patients or other business to the Borrower, any other Obligor or any Subsidiaries (collectively, a “</w:t>
      </w:r>
      <w:r>
        <w:rPr>
          <w:rFonts w:ascii="Times New Roman;Times;Serif" w:hAnsi="Times New Roman;Times;Serif"/>
          <w:b/>
          <w:i/>
          <w:caps w:val="false"/>
          <w:smallCaps w:val="false"/>
          <w:sz w:val="20"/>
        </w:rPr>
        <w:t>Referral Source</w:t>
      </w:r>
      <w:r>
        <w:rPr>
          <w:rFonts w:ascii="Times New Roman;Times;Serif" w:hAnsi="Times New Roman;Times;Serif"/>
          <w:b w:val="false"/>
          <w:i w:val="false"/>
          <w:caps w:val="false"/>
          <w:smallCaps w:val="false"/>
          <w:sz w:val="20"/>
        </w:rPr>
        <w:t>”) who has a direct ownership, investment, or financial interest in the Borrower, any other Obligor or any such Subsidiary paid fair market value for such ownership, investment or financial interest; any ownership or investment returns distributed to any Referral Source is in proportion to such Referral Source’s ownership, investment or financial interest; and no preferential treatment or more favorable terms were or are offered to such Referral Source compared to investors or owners who are not in a position to refer patients or other business. No Obligor, nor any of its Subsidiaries, directly or indirectly, has or will guarantee a loan, make a payment toward a loan or otherwise subsidize a loan for any Referral Source including, without limitation, any loans related to financing the Referral Source’s ownership, investment or financial interest in the Borrower, any other Obligor or any such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generality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185. </w:t>
      </w:r>
      <w:r>
        <w:rPr>
          <w:rFonts w:ascii="Times New Roman;Times;Serif" w:hAnsi="Times New Roman;Times;Serif"/>
          <w:b/>
          <w:i w:val="false"/>
          <w:caps w:val="false"/>
          <w:smallCaps w:val="false"/>
          <w:sz w:val="20"/>
        </w:rPr>
        <w:t>Except where the failure to do so would not reasonably be expected to have any Material Adverse Effect, to the knowledge of the Obligors, (a) each Referral Source arrangement complies with the Federal Anti-Kickback Statute, the Stark Law and all other applicable Healthcare Laws, whether U.S., or non-U.S.;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186. </w:t>
      </w:r>
      <w:r>
        <w:rPr>
          <w:rFonts w:ascii="Times New Roman;Times;Serif" w:hAnsi="Times New Roman;Times;Serif"/>
          <w:b/>
          <w:i w:val="false"/>
          <w:caps w:val="false"/>
          <w:smallCaps w:val="false"/>
          <w:sz w:val="20"/>
        </w:rPr>
        <w:t>each Obligor and each of its Subsidiaries shall have implemented policies and procedures to monitor, collect, and report any payments or transfers of value to certain healthcare providers and teaching hospitals, in accordance, in all material respects, with industry standards and the Affordable Care Act of 2010 and the Physician Payments Sunshine Act and their implementing regulations and state disclosure and transparency laws;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187.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each Obligor and each of its Subsidiaries, as applicable, meet all applicable Payor requirements and conditions of participation and are a party to valid participation or other agreements required for payment by such Payors in all material respects. All billing, claims, reporting and documentation practices of each Obligor and each of its Subsidiaries, as applicable are and, during the past three (3) years, have been in compliance with all Healthcare Laws and legally enforceable Payor requirements in all material respects. Neither the Obligor nor any of its Subsidiaries has billed, received or retained any payment or reimbursement in violation of applicable Healthcare Laws or legally enforceable Payor requirements in any material respects. There are no pending audits, recoupments, appeals, or challenges in excess of $1,000,000 with respect to any billings or claims submissions. No audit, investigation, validation review or program integrity review related to the Obligor or any of its Subsidiaries has been conducted by any Payor or Governmental Authority within the past three (3) years which would, individually or in the aggregate,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188. </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7.08</w:t>
      </w:r>
      <w:r>
        <w:rPr>
          <w:rFonts w:ascii="Times New Roman;Times;Serif" w:hAnsi="Times New Roman;Times;Serif"/>
          <w:b w:val="false"/>
          <w:i w:val="false"/>
          <w:caps w:val="false"/>
          <w:smallCaps w:val="false"/>
          <w:sz w:val="20"/>
        </w:rPr>
        <w:t>, each Obligor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such Obligor or such Subsidiary, as applicable, has set aside on its books adequate reserves with respect thereto in accordance with GAAP or (b) to the extent that the failure to do so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189.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Full Disclosure</w:t>
      </w:r>
      <w:r>
        <w:rPr>
          <w:rFonts w:ascii="Times New Roman;Times;Serif" w:hAnsi="Times New Roman;Times;Serif"/>
          <w:b w:val="false"/>
          <w:i w:val="false"/>
          <w:caps w:val="false"/>
          <w:smallCaps w:val="false"/>
          <w:sz w:val="20"/>
        </w:rPr>
        <w:t xml:space="preserve">. None of the reports, financial statements, certificates or other written information (other than projections, forward-looking information, budgets, estimates and information of a general economic or industry specific nature) furnished by or on behalf of the Obligors to the Administrative Agent (on behalf of itself and the Lenders) in connection with the negotiation of this Agreement and the other Loan Documents or delivered hereunder or thereunder (as modified or supplemented by other information so furnished) contains when furnished any material misstatement of material fact or omits to state any material fact necessary to make the statements therein, in the light of the circumstances under which they were made, not materially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projected financial information, the Borrower represents only that such information was prepared in good faith based upon assumptions believed to be reasonable at the time delivered, and it being understood that such projected financial information and all other forward looking information are not to be viewed as facts and are subject to uncertainties and contingencies, many of which are beyond the control of the Borrower or any of its Subsidiaries, and that actual results during the period or periods covered thereby may differ from such projected results and that the differences may be material.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190. </w:t>
      </w:r>
      <w:r>
        <w:rPr>
          <w:rFonts w:ascii="Times New Roman;Times;Serif" w:hAnsi="Times New Roman;Times;Serif"/>
          <w:b/>
          <w:i/>
          <w:caps w:val="false"/>
          <w:smallCaps w:val="false"/>
          <w:sz w:val="20"/>
        </w:rPr>
        <w:t>Investment Company Act and Margin Stock Regulation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191.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No Obligor is an “investment company” as defined in, or subject to regulation under, the Investment Company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192. </w:t>
      </w:r>
      <w:r>
        <w:rPr>
          <w:rFonts w:ascii="Times New Roman;Times;Serif" w:hAnsi="Times New Roman;Times;Serif"/>
          <w:b/>
          <w:i w:val="false"/>
          <w:caps w:val="false"/>
          <w:smallCaps w:val="false"/>
          <w:sz w:val="20"/>
        </w:rPr>
        <w:t>Margin Stock</w:t>
      </w:r>
      <w:r>
        <w:rPr>
          <w:rFonts w:ascii="Times New Roman;Times;Serif" w:hAnsi="Times New Roman;Times;Serif"/>
          <w:b w:val="false"/>
          <w:i w:val="false"/>
          <w:caps w:val="false"/>
          <w:smallCaps w:val="false"/>
          <w:sz w:val="20"/>
        </w:rPr>
        <w:t>. No Obligor is engaged principally, or as one of its important activities, in the business of extending credit for the purpose, whether immediate, incidental or ultimate, of buying or carrying Margin Stock, and no part of the proceeds of the Loans will be used, whether immediately, incidentally or ultimately, to buy or carry any Margin Stock, to extend credit to others for the purpose of buying or carrying any Margin Stock, or in any way that is in violation of Regulation T, U or 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193.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Solvency</w:t>
      </w:r>
      <w:r>
        <w:rPr>
          <w:rFonts w:ascii="Times New Roman;Times;Serif" w:hAnsi="Times New Roman;Times;Serif"/>
          <w:b w:val="false"/>
          <w:i w:val="false"/>
          <w:caps w:val="false"/>
          <w:smallCaps w:val="false"/>
          <w:sz w:val="20"/>
        </w:rPr>
        <w:t>. The Obligors, on a consolidated basis, are and, immediately after giving effect to the making of the Loans, the use of proceeds thereof, and the consummation of the Transactions, will be, 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194.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Subsidiaries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 xml:space="preserve"> is a complete and correct list of all direct and indirect Subsidiaries of the Borrower (as such schedule may be updated on any Bringdown Date). Each such Subsidiary is duly organized and validly existing under the jurisdiction of its organization shown in said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 xml:space="preserve">, and the percentage ownership by each Obligor of each such Subsidiary thereof is as shown in said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195. </w:t>
      </w:r>
      <w:r>
        <w:rPr>
          <w:rFonts w:ascii="Times New Roman;Times;Serif" w:hAnsi="Times New Roman;Times;Serif"/>
          <w:b/>
          <w:i/>
          <w:caps w:val="false"/>
          <w:smallCaps w:val="false"/>
          <w:sz w:val="20"/>
        </w:rPr>
        <w:t>Excluded Subsidiaries</w:t>
      </w:r>
      <w:r>
        <w:rPr>
          <w:rFonts w:ascii="Times New Roman;Times;Serif" w:hAnsi="Times New Roman;Times;Serif"/>
          <w:b w:val="false"/>
          <w:i w:val="false"/>
          <w:caps w:val="false"/>
          <w:smallCaps w:val="false"/>
          <w:sz w:val="20"/>
        </w:rPr>
        <w:t xml:space="preserve">. Each of the Excluded Subsidiaries as of the Closing Date (a) holds no assets or property (other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assets or property necessary to maintain its corporate existence or otherwise comply with applicable Law) and (b) has no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196.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Material Agreements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7.14</w:t>
      </w:r>
      <w:r>
        <w:rPr>
          <w:rFonts w:ascii="Times New Roman;Times;Serif" w:hAnsi="Times New Roman;Times;Serif"/>
          <w:b w:val="false"/>
          <w:i w:val="false"/>
          <w:caps w:val="false"/>
          <w:smallCaps w:val="false"/>
          <w:sz w:val="20"/>
        </w:rPr>
        <w:t>, no Obligor nor any of its Subsidiaries is in default under any Material Agreement (x) as of the Closing Date, in any material respect and (y) as of any Bringdown Date, that would reasonably be expected to result in a Material Adverse Effect or a material adverse effect on any Product Commercialization and Development Activities with respect to any Product, nor does any Obligor have knowledge of any Claim against it or any of its Subsidiaries for any breach of any such Material Agreement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197.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Restrictive Agreements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Schedule 7.15</w:t>
      </w:r>
      <w:r>
        <w:rPr>
          <w:rFonts w:ascii="Times New Roman;Times;Serif" w:hAnsi="Times New Roman;Times;Serif"/>
          <w:b w:val="false"/>
          <w:i w:val="false"/>
          <w:caps w:val="false"/>
          <w:smallCaps w:val="false"/>
          <w:sz w:val="20"/>
        </w:rPr>
        <w:t xml:space="preserve">, as of the Closing Date, no Obligor or any of its Subsidiaries is subject to any Restrictive Agreement, except (i) those permitted under </w:t>
      </w:r>
      <w:r>
        <w:rPr>
          <w:rFonts w:ascii="Times New Roman;Times;Serif" w:hAnsi="Times New Roman;Times;Serif"/>
          <w:b/>
          <w:i w:val="false"/>
          <w:caps w:val="false"/>
          <w:smallCaps w:val="false"/>
          <w:sz w:val="20"/>
        </w:rPr>
        <w:t>Section 9.11</w:t>
      </w:r>
      <w:r>
        <w:rPr>
          <w:rFonts w:ascii="Times New Roman;Times;Serif" w:hAnsi="Times New Roman;Times;Serif"/>
          <w:b w:val="false"/>
          <w:i w:val="false"/>
          <w:caps w:val="false"/>
          <w:smallCaps w:val="false"/>
          <w:sz w:val="20"/>
        </w:rPr>
        <w:t xml:space="preserve">, (ii) restrictions and conditions imposed by Law or by the Loan Documents, (iii) any stockholder agreement, charter, by-laws, or other organizational documents of an Obligor or any of its Subsidiaries as in effect on the date hereof, (iv) limitations associated with Permitted Liens, and (v) customary restrictions and conditions contained in agreements relating to the sale of a Subsidiary or other property pending such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restrictions and conditions apply only to the Subsidiary or other property that is subject to such agreements and each such sale is permitted hereunder.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198.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Schedule 7.16</w:t>
      </w:r>
      <w:r>
        <w:rPr>
          <w:rFonts w:ascii="Times New Roman;Times;Serif" w:hAnsi="Times New Roman;Times;Serif"/>
          <w:b w:val="false"/>
          <w:i w:val="false"/>
          <w:caps w:val="false"/>
          <w:smallCaps w:val="false"/>
          <w:sz w:val="20"/>
        </w:rPr>
        <w:t xml:space="preserve"> correctly sets forth all real property that is owned or leased by the Obligors (as such schedule may be updated on any Bringdown Date), indicating in each case whether the respective property is owned or leased, the identity of the owner and lessee (if applicable) and the location of the respective property. Except as set forth in </w:t>
      </w:r>
      <w:r>
        <w:rPr>
          <w:rFonts w:ascii="Times New Roman;Times;Serif" w:hAnsi="Times New Roman;Times;Serif"/>
          <w:b/>
          <w:i w:val="false"/>
          <w:caps w:val="false"/>
          <w:smallCaps w:val="false"/>
          <w:sz w:val="20"/>
        </w:rPr>
        <w:t>Schedule 7.16</w:t>
      </w:r>
      <w:r>
        <w:rPr>
          <w:rFonts w:ascii="Times New Roman;Times;Serif" w:hAnsi="Times New Roman;Times;Serif"/>
          <w:b w:val="false"/>
          <w:i w:val="false"/>
          <w:caps w:val="false"/>
          <w:smallCaps w:val="false"/>
          <w:sz w:val="20"/>
        </w:rPr>
        <w:t xml:space="preserve"> (as such schedule may be updated on any Bringdown Date), no Obligor owns or leases (as tenant thereof) any real property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199.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Pension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Schedule 7.17</w:t>
      </w:r>
      <w:r>
        <w:rPr>
          <w:rFonts w:ascii="Times New Roman;Times;Serif" w:hAnsi="Times New Roman;Times;Serif"/>
          <w:b w:val="false"/>
          <w:i w:val="false"/>
          <w:caps w:val="false"/>
          <w:smallCaps w:val="false"/>
          <w:sz w:val="20"/>
        </w:rPr>
        <w:t xml:space="preserve"> sets forth (as such schedule may be updated on any Bringdown Date), a complete and correct list of, and that separately identifies, (i) all Title IV Plans, (ii) all Multiemployer Plans and (iii) all material Benefit Plans. Each Qualified Plan, and each trust thereunder, has received a favorable determination or may rely upon an opinion letter for a prototype plan letter from the IRS or an application for such a letter is currently being processed by the IRS with respect thereto and, as of the date of this Agreement, to the knowledge of the Obligors, nothing has occurred that would reasonably be expected to prevent, or cause the loss of, such qualification. Except for those that could not, in the aggregate, reasonably be expected to result in a Material Adverse Effect, (x) each Benefit Plan is in compliance with applicable provisions of ERISA, the Code and other Laws, (y) there are no existing or pending (or to the knowledge of any Obligor, threatened) claims (other than routine claims for benefits in the normal course), sanctions, actions, lawsuits or other proceedings or investigation involving any Benefit Plan to which any Obligor or Subsidiary thereof incurs or otherwise has or could have an obligation or any liability or Claim and (z) no ERISA Event is reasonably expected to occur. The Borrower and each of its ERISA Affiliates has met all applicable requirements under the ERISA Funding Rules with respect to each Title IV Plan, and no waiver of the minimum funding standards under the ERISA Funding Rules has been applied for or obtained. As of the most recent valuation date for any Title IV Plan, the funding target attainment percentage (as defined in Section 430(d)(2) of the Code) is at least sixty percent (60%), and neither any Obligor nor any of its ERISA Affiliates knows of any facts or circumstances that would reasonably be expected to cause the funding target attainment percentage to fall below sixty percent (60%) as of the most recent valuation date. As of the Closing Date, no ERISA Event has occurred in connection with which obligations and liabilities (contingent or otherwise)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Regulatory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201.</w:t>
      </w:r>
      <w:r>
        <w:rPr>
          <w:rFonts w:ascii="Times New Roman;Times;Serif" w:hAnsi="Times New Roman;Times;Serif"/>
          <w:b w:val="false"/>
          <w:i w:val="false"/>
          <w:caps w:val="false"/>
          <w:smallCaps w:val="false"/>
          <w:sz w:val="20"/>
        </w:rPr>
        <w:t xml:space="preserve"> Each Obligor and each of its Subsidiaries holds, either directly or through licensees and agents, all Product Authorizations necessary or required for the Borrower and each of its Subsidiaries to conduct, their respective operations and businesses in the manner currently conducted as of the Closing Date and as of any Bringdown Date, in each case, except where the failure to hold any such Product Authorizations would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202.</w:t>
      </w:r>
      <w:r>
        <w:rPr>
          <w:rFonts w:ascii="Times New Roman;Times;Serif" w:hAnsi="Times New Roman;Times;Serif"/>
          <w:b w:val="false"/>
          <w:i w:val="false"/>
          <w:caps w:val="false"/>
          <w:smallCaps w:val="false"/>
          <w:sz w:val="20"/>
        </w:rPr>
        <w:t xml:space="preserve"> No Obligor nor its Subsidiaries has received during the past three (3) years any written notice from the FDA or any Governmental Authority that (i) it is considering suspending, revoking or materially limiting any Product Authorization, in each case, that would reasonably be expected to result in a Material Adverse Effect, or (ii) as of the Closing Date, it is not likely to approve any applications made to such Governmental Authority with respect to any of the Products or any Material Agreement. To the knowledge of the Obligors, the Obligors and their Subsidiaries have made all required notices, registrations and reports (including field alerts or other reports of adverse drug experiences) and other filings with respect to each Product and their Product Commercialization and Development Activities, in each case, except where the failure to do so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203.</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7.18(c)</w:t>
      </w:r>
      <w:r>
        <w:rPr>
          <w:rFonts w:ascii="Times New Roman;Times;Serif" w:hAnsi="Times New Roman;Times;Serif"/>
          <w:b w:val="false"/>
          <w:i w:val="false"/>
          <w:caps w:val="false"/>
          <w:smallCaps w:val="false"/>
          <w:sz w:val="20"/>
        </w:rPr>
        <w:t>, and without limiting the generality of any other representation or warranty made by any Obligor hereunder or under any other Loan Document (x) as of the Closing Date and (y) as of any Bringdown Date, in each case, except as would not reasonably be expected to have a Material Adverse Effect: (i) no Obligor, nor any of its Subsidiaries nor, to the knowledge of any Obligor, any of their respective agents, suppliers, licensors or licensees have received any inspection reports, warning letters or notices or similar documents with respect to Products or any Product Commercialization and Development Activities from any Regulatory Authority within the last three (3) years that asserts material lack of compliance with any applicable Healthcare Laws or Product Authorizations; (ii) no Obligor, nor any of its Subsidiaries nor, to the knowledge of any Obligor, any of their respective agents, suppliers, licensors or licensees have received any material notification from any Regulatory Authority within the last three (3) years, asserting that Products or any Product Commercialization and Development Activities lack a required Product Authorization; (iii) there is no pending regulatory action, investigation or inquiry (other than non-material routine or periodic inspections or reviews) against any Obligor, any of its Subsidiaries or, to the knowledge of any Obligor, any of their respective suppliers, licensors or licensees with respect to Products or any Product Commercialization and Development Activities, and, to the knowledge of any Obligor, there is no basis in fact for any material adverse regulatory action against such Obligor or any of its Subsidiaries or, to the knowledge of any Obligor, any of their respective suppliers agents, licensors or licensees with respect to Products or any Product Commercialization and Development Activities; and (iv) without limiting the foregoing, (A) (1) there have been no material product recalls, safety alerts, corrections, withdrawals, marketing suspensions, removals or the like conducted, undertaken or issued by any Obligor or any of its Subsidiaries, whether voluntary, at the request, demand or order of any Regulatory Authority or otherwise, with respect to Products, any Product Commercialization and Development Activities or any Material Product Authorization within the last three (3) years, (2) no such product recall, safety alert, correction, withdrawal, marketing suspension, removal or the like has been requested, demanded or ordered by any Regulatory Authority within the last three (3) years, and, to the knowledge of any Obligor, there is no basis in fact for the issuance of any such product recall, safety alert, correction, withdrawal, marketing suspension, removal or the like with respect to Products or any Product Commercialization and Development Activities</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and (B) no material criminal, injunctive, seizure, detention or civil penalty action has been commenced or threatened in writing by any Regulatory Authority within the last three (3) years with respect to or in connection with Products or any Product Commercialization and Development Activities, and there are no consent decrees (including plea agreements) that relate to Products or any Product Commercialization and Development Activities, and, to the knowledge of each Obligor, there is no basis in fact for the commencement of any material criminal injunctive, seizure, detention or civil penalty action by any Regulatory Authority relating to Products or any Product Commercialization and Development Activities or for the issuance of any consent decree. No Obligor nor any of its Subsidiaries, nor, to the knowledge of any Obligor, any of their respective agents, suppliers, licensees or licensors, is employing or utilizing the services of any individual, in connection with Product Commercialization and Development Activities with respect to Products, who has been debarred, suspended or excluded from any federal healthcare program, which would reasonably be expect to have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204.</w:t>
      </w:r>
      <w:r>
        <w:rPr>
          <w:rFonts w:ascii="Times New Roman;Times;Serif" w:hAnsi="Times New Roman;Times;Serif"/>
          <w:b/>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205.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OFAC; Anti-Terrorism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206. </w:t>
      </w:r>
      <w:r>
        <w:rPr>
          <w:rFonts w:ascii="Times New Roman;Times;Serif" w:hAnsi="Times New Roman;Times;Serif"/>
          <w:b w:val="false"/>
          <w:i w:val="false"/>
          <w:caps w:val="false"/>
          <w:smallCaps w:val="false"/>
          <w:sz w:val="20"/>
        </w:rPr>
        <w:t>No Obligor nor any of its Subsidiaries is in violation of any Anti-Terrorism Law or engages in or conspires to engage in any transaction that evades or avoids, or has the purpose of evading or avoiding, or attempts to violate, any applicable Anti-Terrorism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207. </w:t>
      </w:r>
      <w:r>
        <w:rPr>
          <w:rFonts w:ascii="Times New Roman;Times;Serif" w:hAnsi="Times New Roman;Times;Serif"/>
          <w:b w:val="false"/>
          <w:i w:val="false"/>
          <w:caps w:val="false"/>
          <w:smallCaps w:val="false"/>
          <w:sz w:val="20"/>
        </w:rPr>
        <w:t>No Obligor nor any of its Subsidiaries, nor, to the knowledge of any Obligor, any of their respective directors, officers, or employees (i) is currently the target of any Sanctions, (ii) is located, organized or residing in any Designated Jurisdiction in violation of Sanctions, or (iii) is or has been (within the previous five (5) years) engaged in any transaction with, or for the benefit of, any Person who is now or was then the target of Sanctions or who is located, organized or residing in any Designated Jurisdiction, in violation of Sanctions. No Loan, nor the proceeds from any Loan, has been or will be used, directly or, to the knowledge of any Obligor, indirectly, to lend, contribute or provide to, or has been or will be otherwise made available for the purpose of funding, any activity or business in any Designated Jurisdiction in violation of Sanctions or for the purpose of funding any activity or business of any Person located, organized or residing in any Designated Jurisdiction or who is the subject of any Sanctions, in violation of Sanctions, or in any other manner that will result in any violation by any party to this Agreement of Sanctions.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208.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Anti-Corruption</w:t>
      </w:r>
      <w:r>
        <w:rPr>
          <w:rFonts w:ascii="Times New Roman;Times;Serif" w:hAnsi="Times New Roman;Times;Serif"/>
          <w:b w:val="false"/>
          <w:i w:val="false"/>
          <w:caps w:val="false"/>
          <w:smallCaps w:val="false"/>
          <w:sz w:val="20"/>
        </w:rPr>
        <w:t>. No Obligor nor any of its Subsidiaries, nor, to the knowledge of any Obligor, any of their respective directors, officers or employees, directly or indirectly, has (i) materially violated or is in material violation of any applicable anti-corruption Law, or (ii) made, offered to make, promised to make or authorized the payment or giving of, directly or indirectly, any Prohibited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209.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Priority of Obligations</w:t>
      </w:r>
      <w:r>
        <w:rPr>
          <w:rFonts w:ascii="Times New Roman;Times;Serif" w:hAnsi="Times New Roman;Times;Serif"/>
          <w:b w:val="false"/>
          <w:i w:val="false"/>
          <w:caps w:val="false"/>
          <w:smallCaps w:val="false"/>
          <w:sz w:val="20"/>
        </w:rPr>
        <w:t>. Unless expressly permitted under the terms of the Loan Documents, the Obligations constitute unsubordinated obligations of the Obligors, and except for any obligations which have priority under applicable Law, rank at least pari passu in right of payment with all other unsubordinated Indebtedness of the Obligors.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Royalty and Other Payments</w:t>
      </w:r>
      <w:r>
        <w:rPr>
          <w:rFonts w:ascii="Times New Roman;Times;Serif" w:hAnsi="Times New Roman;Times;Serif"/>
          <w:b w:val="false"/>
          <w:i w:val="false"/>
          <w:caps w:val="false"/>
          <w:smallCaps w:val="false"/>
          <w:sz w:val="20"/>
        </w:rPr>
        <w:t xml:space="preserve">. Unless expressly permitted under the terms of the Loan Documents and except as set forth on </w:t>
      </w:r>
      <w:r>
        <w:rPr>
          <w:rFonts w:ascii="Times New Roman;Times;Serif" w:hAnsi="Times New Roman;Times;Serif"/>
          <w:b/>
          <w:i w:val="false"/>
          <w:caps w:val="false"/>
          <w:smallCaps w:val="false"/>
          <w:sz w:val="20"/>
        </w:rPr>
        <w:t>Schedule 7.23</w:t>
      </w:r>
      <w:r>
        <w:rPr>
          <w:rFonts w:ascii="Times New Roman;Times;Serif" w:hAnsi="Times New Roman;Times;Serif"/>
          <w:b w:val="false"/>
          <w:i w:val="false"/>
          <w:caps w:val="false"/>
          <w:smallCaps w:val="false"/>
          <w:sz w:val="20"/>
        </w:rPr>
        <w:t xml:space="preserve"> (as such schedule may be updated on any Bringdown Date), no Obligor, nor any of its Subsidiaries, is obligated to pay any royalty, milestone payment or any other contingent payment in respect of </w:t>
      </w:r>
      <w:r>
        <w:rPr>
          <w:rFonts w:ascii="Times New Roman;Times;Serif" w:hAnsi="Times New Roman;Times;Serif"/>
          <w:b w:val="false"/>
          <w:i w:val="false"/>
          <w:caps/>
          <w:sz w:val="20"/>
        </w:rPr>
        <w:t>Ilevro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Nevanac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Maxidex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Triesence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Vigamox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Iheezo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Maxitrol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Iopidine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 xml:space="preserve">Moxeza </w:t>
      </w:r>
      <w:r>
        <w:rPr>
          <w:rFonts w:ascii="Times New Roman;Times;Serif" w:hAnsi="Times New Roman;Times;Serif"/>
          <w:b w:val="false"/>
          <w:i w:val="false"/>
          <w:caps w:val="false"/>
          <w:smallCaps w:val="false"/>
          <w:sz w:val="20"/>
        </w:rPr>
        <w:t xml:space="preserve">or, on and after the Incremental Tranche A Funding Date, any of the foregoing or </w:t>
      </w:r>
      <w:r>
        <w:rPr>
          <w:rFonts w:ascii="Times New Roman;Times;Serif" w:hAnsi="Times New Roman;Times;Serif"/>
          <w:b w:val="false"/>
          <w:i w:val="false"/>
          <w:caps/>
          <w:sz w:val="20"/>
        </w:rPr>
        <w:t xml:space="preserve">VERKAZIA, FLAREX, TOBRADEX ST, NATACYN </w:t>
      </w:r>
      <w:r>
        <w:rPr>
          <w:rFonts w:ascii="Times New Roman;Times;Serif" w:hAnsi="Times New Roman;Times;Serif"/>
          <w:b w:val="false"/>
          <w:i w:val="false"/>
          <w:caps w:val="false"/>
          <w:smallCaps w:val="false"/>
          <w:sz w:val="20"/>
        </w:rPr>
        <w:t>or CATIONORM PLUS</w:t>
      </w:r>
      <w:r>
        <w:rPr>
          <w:rFonts w:ascii="Times New Roman;Times;Serif" w:hAnsi="Times New Roman;Times;Serif"/>
          <w:b w:val="false"/>
          <w:i w:val="false"/>
          <w:caps/>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211. </w:t>
      </w:r>
      <w:r>
        <w:rPr>
          <w:rFonts w:ascii="Times New Roman;Times;Serif" w:hAnsi="Times New Roman;Times;Serif"/>
          <w:b/>
          <w:i/>
          <w:caps w:val="false"/>
          <w:smallCaps w:val="false"/>
          <w:sz w:val="20"/>
        </w:rPr>
        <w:t>Non-Competes</w:t>
      </w:r>
      <w:r>
        <w:rPr>
          <w:rFonts w:ascii="Times New Roman;Times;Serif" w:hAnsi="Times New Roman;Times;Serif"/>
          <w:b w:val="false"/>
          <w:i w:val="false"/>
          <w:caps w:val="false"/>
          <w:smallCaps w:val="false"/>
          <w:sz w:val="20"/>
        </w:rPr>
        <w:t xml:space="preserve">. Neither the Borrower, any other Obligor, nor any of their respective Subsidiaries, nor any of their respective directors, officers or employees, is subject to a non-compete agreement that prohibits or will interfere in any material respect with any of the Product Commercialization and Development Activities with respect to </w:t>
      </w:r>
      <w:r>
        <w:rPr>
          <w:rFonts w:ascii="Times New Roman;Times;Serif" w:hAnsi="Times New Roman;Times;Serif"/>
          <w:b w:val="false"/>
          <w:i w:val="false"/>
          <w:caps/>
          <w:sz w:val="20"/>
        </w:rPr>
        <w:t>Ilevro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Nevanac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Maxidex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Triesence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Vigamox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Iheezo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Maxitrol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 xml:space="preserve">Iopidine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sz w:val="20"/>
        </w:rPr>
        <w:t xml:space="preserve">Moxeza, </w:t>
      </w:r>
      <w:r>
        <w:rPr>
          <w:rFonts w:ascii="Times New Roman;Times;Serif" w:hAnsi="Times New Roman;Times;Serif"/>
          <w:b w:val="false"/>
          <w:i w:val="false"/>
          <w:caps w:val="false"/>
          <w:smallCaps w:val="false"/>
          <w:sz w:val="20"/>
        </w:rPr>
        <w:t xml:space="preserve">or, on and after the Incremental Tranche A Funding Date, any of the foregoing or </w:t>
      </w:r>
      <w:r>
        <w:rPr>
          <w:rFonts w:ascii="Times New Roman;Times;Serif" w:hAnsi="Times New Roman;Times;Serif"/>
          <w:b w:val="false"/>
          <w:i w:val="false"/>
          <w:caps/>
          <w:sz w:val="20"/>
        </w:rPr>
        <w:t xml:space="preserve">VERKAZIA, FLAREX, TOBRADEX ST, NATACYN </w:t>
      </w:r>
      <w:r>
        <w:rPr>
          <w:rFonts w:ascii="Times New Roman;Times;Serif" w:hAnsi="Times New Roman;Times;Serif"/>
          <w:b w:val="false"/>
          <w:i w:val="false"/>
          <w:caps w:val="false"/>
          <w:smallCaps w:val="false"/>
          <w:sz w:val="20"/>
        </w:rPr>
        <w:t xml:space="preserve">or CATIONORM PLUS, including the development, commercialization or marketing of </w:t>
      </w:r>
      <w:r>
        <w:rPr>
          <w:rFonts w:ascii="Times New Roman;Times;Serif" w:hAnsi="Times New Roman;Times;Serif"/>
          <w:b w:val="false"/>
          <w:i w:val="false"/>
          <w:caps/>
          <w:sz w:val="20"/>
        </w:rPr>
        <w:t>Ilevro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Nevanac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Maxidex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Triesence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Vigamox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Iheezo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Maxitrol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Iopidine or Moxeza,</w:t>
      </w:r>
      <w:r>
        <w:rPr>
          <w:rFonts w:ascii="Times New Roman;Times;Serif" w:hAnsi="Times New Roman;Times;Serif"/>
          <w:b w:val="false"/>
          <w:i w:val="false"/>
          <w:caps w:val="false"/>
          <w:smallCaps w:val="false"/>
          <w:sz w:val="20"/>
        </w:rPr>
        <w:t xml:space="preserve"> or, on and after the Incremental Tranche A Funding Date, any of the foregoing or </w:t>
      </w:r>
      <w:r>
        <w:rPr>
          <w:rFonts w:ascii="Times New Roman;Times;Serif" w:hAnsi="Times New Roman;Times;Serif"/>
          <w:b w:val="false"/>
          <w:i w:val="false"/>
          <w:caps/>
          <w:sz w:val="20"/>
        </w:rPr>
        <w:t xml:space="preserve">VERKAZIA, FLAREX, TOBRADEX ST, NATACYN </w:t>
      </w:r>
      <w:r>
        <w:rPr>
          <w:rFonts w:ascii="Times New Roman;Times;Serif" w:hAnsi="Times New Roman;Times;Serif"/>
          <w:b w:val="false"/>
          <w:i w:val="false"/>
          <w:caps w:val="false"/>
          <w:smallCaps w:val="false"/>
          <w:sz w:val="20"/>
        </w:rPr>
        <w:t>or CATIONORM PLUS</w:t>
      </w:r>
      <w:r>
        <w:rPr>
          <w:rFonts w:ascii="Times New Roman;Times;Serif" w:hAnsi="Times New Roman;Times;Serif"/>
          <w:b w:val="false"/>
          <w:i w:val="false"/>
          <w:caps/>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212. </w:t>
      </w:r>
      <w:r>
        <w:rPr>
          <w:rFonts w:ascii="Times New Roman;Times;Serif" w:hAnsi="Times New Roman;Times;Serif"/>
          <w:b/>
          <w:i/>
          <w:caps w:val="false"/>
          <w:smallCaps w:val="false"/>
          <w:sz w:val="20"/>
        </w:rPr>
        <w:t>Reimbursement from Medical Reimbursement Programs</w:t>
      </w:r>
      <w:r>
        <w:rPr>
          <w:rFonts w:ascii="Times New Roman;Times;Serif" w:hAnsi="Times New Roman;Times;Serif"/>
          <w:b w:val="false"/>
          <w:i w:val="false"/>
          <w:caps w:val="false"/>
          <w:smallCaps w:val="false"/>
          <w:sz w:val="20"/>
        </w:rPr>
        <w:t>. There is no investigation, audit, claim review, or other action pending with respect to any Obligor or, to the knowledge of any Obligor, threatened in writing which would reasonably be expected to result in a revocation, suspension, termination, probation, restriction, limitation, or non-renewal of any provider number issued to any Obligor or result in the exclusion of any Obligor from Medicare or Medicaid, nor is there any action pending or, to the knowledge of any Obligor, threatened in writing, pursuant to which any Governmental Authority seeks to impose material sanctions with respect to such Obligor’s business, in each case that would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213.</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AFFIRMATIVE COVENANTS</w:t>
      </w:r>
    </w:p>
    <w:p>
      <w:pPr>
        <w:pStyle w:val="TextBody"/>
        <w:bidi w:val="0"/>
        <w:spacing w:before="0" w:after="0"/>
        <w:ind w:left="0" w:right="0" w:hanging="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Obligor covenants and agrees with the Administrative Agent and the Lenders that, until the Commitments have expired or been terminated and all Obligations (other than any inchoate indemnification obligations for which no claim has been made) have been paid in full in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214.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Financial Statements and Other Information</w:t>
      </w:r>
      <w:r>
        <w:rPr>
          <w:rFonts w:ascii="Times New Roman;Times;Serif" w:hAnsi="Times New Roman;Times;Serif"/>
          <w:b w:val="false"/>
          <w:i w:val="false"/>
          <w:caps w:val="false"/>
          <w:smallCaps w:val="false"/>
          <w:sz w:val="20"/>
        </w:rPr>
        <w:t>. The Borrower will furnish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215.</w:t>
      </w:r>
      <w:r>
        <w:rPr>
          <w:rFonts w:ascii="Times New Roman;Times;Serif" w:hAnsi="Times New Roman;Times;Serif"/>
          <w:b w:val="false"/>
          <w:i w:val="false"/>
          <w:caps w:val="false"/>
          <w:smallCaps w:val="false"/>
          <w:sz w:val="20"/>
        </w:rPr>
        <w:t xml:space="preserve"> as soon as available and in any event within forty-five (45) days after the end of each the first three fiscal quarters of each fiscal year (i) the consolidated balance sheets of the Borrower and its Subsidiaries as of the end of such fiscal quarter and (ii) the related consolidated statements of income, shareholders’ equity and cash flows of the Borrower and its Subsidiaries for such quarter and the portion of the fiscal year through the end of such fiscal quarter, in each case prepared in accordance with GAAP consistently applied, all in reasonable detail and setting forth in comparative form the figures for the corresponding period in the preceding fiscal year, together with (iii) a certificate of a Responsible Officer of the Borrower stating that (x) such financial statements fairly present in all material respects the financial condition of the Borrower and its Subsidiaries as at such date and (y) the results of operations of the Borrower and its Subsidiaries for the period ended on such date have been prepared in accordance with GAAP consistently applied, subject to changes resulting from normal, year-end audit adjustments and except for the absence of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w:t>
      </w:r>
      <w:r>
        <w:rPr>
          <w:rFonts w:ascii="Times New Roman;Times;Serif" w:hAnsi="Times New Roman;Times;Serif"/>
          <w:b/>
          <w:i w:val="false"/>
          <w:caps w:val="false"/>
          <w:smallCaps w:val="false"/>
          <w:sz w:val="20"/>
        </w:rPr>
        <w:t>Section 8.01(a)</w:t>
      </w:r>
      <w:r>
        <w:rPr>
          <w:rFonts w:ascii="Times New Roman;Times;Serif" w:hAnsi="Times New Roman;Times;Serif"/>
          <w:b w:val="false"/>
          <w:i w:val="false"/>
          <w:caps w:val="false"/>
          <w:smallCaps w:val="false"/>
          <w:sz w:val="20"/>
        </w:rPr>
        <w:t xml:space="preserve"> shall be deemed furnished on the date that such documents are publicly available on “EDGAR” or the Borrower’s website (with the related certificate separately delivered);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216.</w:t>
      </w:r>
      <w:r>
        <w:rPr>
          <w:rFonts w:ascii="Times New Roman;Times;Serif" w:hAnsi="Times New Roman;Times;Serif"/>
          <w:b w:val="false"/>
          <w:i w:val="false"/>
          <w:caps w:val="false"/>
          <w:smallCaps w:val="false"/>
          <w:sz w:val="20"/>
        </w:rPr>
        <w:t xml:space="preserve"> as soon as available, and in any event within ninety (90) days, after the end of each fiscal year (i) the consolidated balance sheets of the Borrower and its Subsidiaries as of the end of such fiscal year and (ii) the related consolidated statements of income, shareholders’ equity and cash flows of the Borrower and its Subsidiaries for such fiscal year, in each case prepared in accordance with GAAP consistently applied, all in reasonable detail and setting forth in comparative form the figures for the previous fiscal year, accompanied by a report and opinion thereon of KMJ Corbin &amp; Company LLP or another firm of independent certified public accountants of recognized national standing reasonably acceptable to the Administrative Agent, which report and opinion shall be prepared in accordance with generally accepted auditing standards and shall not be subject to any “going concern” or like qualification or exception or emphasis of matter of going concern footnote or any qualification or exception as to the scope of such audit, and in the case of such consolidated financial statements, certified by a Responsible Officer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w:t>
      </w:r>
      <w:r>
        <w:rPr>
          <w:rFonts w:ascii="Times New Roman;Times;Serif" w:hAnsi="Times New Roman;Times;Serif"/>
          <w:b/>
          <w:i w:val="false"/>
          <w:caps w:val="false"/>
          <w:smallCaps w:val="false"/>
          <w:sz w:val="20"/>
        </w:rPr>
        <w:t xml:space="preserve">Section 8.01(b) </w:t>
      </w:r>
      <w:r>
        <w:rPr>
          <w:rFonts w:ascii="Times New Roman;Times;Serif" w:hAnsi="Times New Roman;Times;Serif"/>
          <w:b w:val="false"/>
          <w:i w:val="false"/>
          <w:caps w:val="false"/>
          <w:smallCaps w:val="false"/>
          <w:sz w:val="20"/>
        </w:rPr>
        <w:t>shall be deemed furnished on the date that such documents are publicly available on “EDGAR” or the Borrower’s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217. </w:t>
      </w:r>
      <w:r>
        <w:rPr>
          <w:rFonts w:ascii="Times New Roman;Times;Serif" w:hAnsi="Times New Roman;Times;Serif"/>
          <w:b w:val="false"/>
          <w:i w:val="false"/>
          <w:caps w:val="false"/>
          <w:smallCaps w:val="false"/>
          <w:sz w:val="20"/>
        </w:rPr>
        <w:t xml:space="preserve">together with the financial statements required pursuant to </w:t>
      </w:r>
      <w:r>
        <w:rPr>
          <w:rFonts w:ascii="Times New Roman;Times;Serif" w:hAnsi="Times New Roman;Times;Serif"/>
          <w:b/>
          <w:i w:val="false"/>
          <w:caps w:val="false"/>
          <w:smallCaps w:val="false"/>
          <w:sz w:val="20"/>
        </w:rPr>
        <w:t>Section 8.01(a)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 compliance certificate signed by a Responsible Officer of the Borrower as of the end of the applicable accounting period (which delivery may be by electronic communication including fax or email and shall be deemed to be an original, authentic counterpart thereof for all purposes) substantially in the form of </w:t>
      </w:r>
      <w:r>
        <w:rPr>
          <w:rFonts w:ascii="Times New Roman;Times;Serif" w:hAnsi="Times New Roman;Times;Serif"/>
          <w:b/>
          <w:i w:val="false"/>
          <w:caps w:val="false"/>
          <w:smallCaps w:val="false"/>
          <w:sz w:val="20"/>
        </w:rPr>
        <w:t xml:space="preserve">Exhibit L </w:t>
      </w: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xml:space="preserve">”) including (i) details of any issues that are material that are raised by auditors and any occurrence or existence of any event, circumstance, act or omission that would cause any representation or warranty contained in </w:t>
      </w:r>
      <w:r>
        <w:rPr>
          <w:rFonts w:ascii="Times New Roman;Times;Serif" w:hAnsi="Times New Roman;Times;Serif"/>
          <w:b/>
          <w:i w:val="false"/>
          <w:caps w:val="false"/>
          <w:smallCaps w:val="false"/>
          <w:sz w:val="20"/>
        </w:rPr>
        <w:t>Section 7.07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7.18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7.22</w:t>
      </w:r>
      <w:r>
        <w:rPr>
          <w:rFonts w:ascii="Times New Roman;Times;Serif" w:hAnsi="Times New Roman;Times;Serif"/>
          <w:b w:val="false"/>
          <w:i w:val="false"/>
          <w:caps w:val="false"/>
          <w:smallCaps w:val="false"/>
          <w:sz w:val="20"/>
        </w:rPr>
        <w:t xml:space="preserve"> to be incorrect in any material respect (or in any respect if such representation or warranty is qualified by materiality or by reference to Material Adverse Effect or Material Adverse Change) if such representation or warranty were to be made at the time of delivery of a Compliance Certificate and (ii) a certification as to whether or not the Borrower is in compliance with the Minimum Net Revenues Covenant as of the last day of such period. For the avoidance of doubt, no representation or warranty contained in </w:t>
      </w:r>
      <w:r>
        <w:rPr>
          <w:rFonts w:ascii="Times New Roman;Times;Serif" w:hAnsi="Times New Roman;Times;Serif"/>
          <w:b/>
          <w:i w:val="false"/>
          <w:caps w:val="false"/>
          <w:smallCaps w:val="false"/>
          <w:sz w:val="20"/>
        </w:rPr>
        <w:t>Section 7.07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7.18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7.22</w:t>
      </w:r>
      <w:r>
        <w:rPr>
          <w:rFonts w:ascii="Times New Roman;Times;Serif" w:hAnsi="Times New Roman;Times;Serif"/>
          <w:b w:val="false"/>
          <w:i w:val="false"/>
          <w:caps w:val="false"/>
          <w:smallCaps w:val="false"/>
          <w:sz w:val="20"/>
        </w:rPr>
        <w:t xml:space="preserve"> is required to be, shall be or shall be deemed to be made in connection with a delivery of any Compliance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218. </w:t>
      </w:r>
      <w:r>
        <w:rPr>
          <w:rFonts w:ascii="Times New Roman;Times;Serif" w:hAnsi="Times New Roman;Times;Serif"/>
          <w:b w:val="false"/>
          <w:i w:val="false"/>
          <w:caps w:val="false"/>
          <w:smallCaps w:val="false"/>
          <w:sz w:val="20"/>
        </w:rPr>
        <w:t xml:space="preserve">after being prepared by the Borrower and approved by its Board, and promptly following the Administrative Agent’s request therefor, a consolidated budget for the Borrower and its Subsidiaries for the fiscal year to which such budget relates;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each fiscal year, on or before the seventy-fifth (75th) day following the beginning of such fiscal year, the Borrower shall prepare, and its Board shall approve such consolidated budgets for such fiscal year, and the Borrower shall notify the Administrative Agent promptly after the Board has given such approval;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219.</w:t>
      </w:r>
      <w:r>
        <w:rPr>
          <w:rFonts w:ascii="Times New Roman;Times;Serif" w:hAnsi="Times New Roman;Times;Serif"/>
          <w:b w:val="false"/>
          <w:i w:val="false"/>
          <w:caps w:val="false"/>
          <w:smallCaps w:val="false"/>
          <w:sz w:val="20"/>
        </w:rPr>
        <w:t xml:space="preserve"> promptly after the same are released, copies of all press releases (other than any press release that is immaterial, routine or administrative in nature);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w:t>
      </w:r>
      <w:r>
        <w:rPr>
          <w:rFonts w:ascii="Times New Roman;Times;Serif" w:hAnsi="Times New Roman;Times;Serif"/>
          <w:b/>
          <w:i w:val="false"/>
          <w:caps w:val="false"/>
          <w:smallCaps w:val="false"/>
          <w:sz w:val="20"/>
        </w:rPr>
        <w:t>Section 8.01(e)</w:t>
      </w:r>
      <w:r>
        <w:rPr>
          <w:rFonts w:ascii="Times New Roman;Times;Serif" w:hAnsi="Times New Roman;Times;Serif"/>
          <w:b w:val="false"/>
          <w:i w:val="false"/>
          <w:caps w:val="false"/>
          <w:smallCaps w:val="false"/>
          <w:sz w:val="20"/>
        </w:rPr>
        <w:t xml:space="preserve"> shall be deemed furnished on the date that such documents are publicly available on “EDGAR” or the Borrower’s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220.</w:t>
      </w:r>
      <w:r>
        <w:rPr>
          <w:rFonts w:ascii="Times New Roman;Times;Serif" w:hAnsi="Times New Roman;Times;Serif"/>
          <w:b w:val="false"/>
          <w:i w:val="false"/>
          <w:caps w:val="false"/>
          <w:smallCaps w:val="false"/>
          <w:sz w:val="20"/>
        </w:rPr>
        <w:t xml:space="preserve"> promptly, and in any event within five (5) Business Days after receipt thereof by an Obligor thereof, copies of each notice or other correspondence received from any securities regulator or exchange to the authority of which any Obligor may become subject from time to time concerning any investigation or possible investigation or other inquiry by such agency regarding financial or other operational results of such Obligor, in each case, excluding any investigation or inquiry that is immaterial, routine or administrative in nature;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w:t>
      </w:r>
      <w:r>
        <w:rPr>
          <w:rFonts w:ascii="Times New Roman;Times;Serif" w:hAnsi="Times New Roman;Times;Serif"/>
          <w:b/>
          <w:i w:val="false"/>
          <w:caps w:val="false"/>
          <w:smallCaps w:val="false"/>
          <w:sz w:val="20"/>
        </w:rPr>
        <w:t>Section 8.01(f)</w:t>
      </w:r>
      <w:r>
        <w:rPr>
          <w:rFonts w:ascii="Times New Roman;Times;Serif" w:hAnsi="Times New Roman;Times;Serif"/>
          <w:b w:val="false"/>
          <w:i w:val="false"/>
          <w:caps w:val="false"/>
          <w:smallCaps w:val="false"/>
          <w:sz w:val="20"/>
        </w:rPr>
        <w:t xml:space="preserve"> shall be deemed furnished on the date that such documents are publicly available on “EDGAR” or the Borrower’s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221. </w:t>
      </w:r>
      <w:r>
        <w:rPr>
          <w:rFonts w:ascii="Times New Roman;Times;Serif" w:hAnsi="Times New Roman;Times;Serif"/>
          <w:b w:val="false"/>
          <w:i w:val="false"/>
          <w:caps w:val="false"/>
          <w:smallCaps w:val="false"/>
          <w:sz w:val="20"/>
        </w:rPr>
        <w:t xml:space="preserve">promptly after the same are available, copies of each annual report, proxy or financial statement or other report or communication sent to the stockholders of each Obligor and its Subsidiaries (other than any report or any communication that is immaterial, routine or administrative in nature), and copies of all annual, regular, periodic and special reports and registration statements which any Obligor or its Subsidiaries may file or be required to file with any securities regulator or exchange to the authority of which such Obligor or such Subsidiary, as applicable, may become subject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w:t>
      </w:r>
      <w:r>
        <w:rPr>
          <w:rFonts w:ascii="Times New Roman;Times;Serif" w:hAnsi="Times New Roman;Times;Serif"/>
          <w:b/>
          <w:i w:val="false"/>
          <w:caps w:val="false"/>
          <w:smallCaps w:val="false"/>
          <w:sz w:val="20"/>
        </w:rPr>
        <w:t>Section 8.01(g)</w:t>
      </w:r>
      <w:r>
        <w:rPr>
          <w:rFonts w:ascii="Times New Roman;Times;Serif" w:hAnsi="Times New Roman;Times;Serif"/>
          <w:b w:val="false"/>
          <w:i w:val="false"/>
          <w:caps w:val="false"/>
          <w:smallCaps w:val="false"/>
          <w:sz w:val="20"/>
        </w:rPr>
        <w:t xml:space="preserve"> shall be deemed furnished on the date that such documents are publicly available on “EDGAR” or the Borrower’s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222. </w:t>
      </w:r>
      <w:r>
        <w:rPr>
          <w:rFonts w:ascii="Times New Roman;Times;Serif" w:hAnsi="Times New Roman;Times;Serif"/>
          <w:b w:val="false"/>
          <w:i w:val="false"/>
          <w:caps w:val="false"/>
          <w:smallCaps w:val="false"/>
          <w:sz w:val="20"/>
        </w:rPr>
        <w:t xml:space="preserve">the information regarding insurance maintained by the Borrower and its Subsidiaries as and when required under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223.</w:t>
      </w:r>
      <w:r>
        <w:rPr>
          <w:rFonts w:ascii="Times New Roman;Times;Serif" w:hAnsi="Times New Roman;Times;Serif"/>
          <w:b w:val="false"/>
          <w:i w:val="false"/>
          <w:caps w:val="false"/>
          <w:smallCaps w:val="false"/>
          <w:sz w:val="20"/>
        </w:rPr>
        <w:t xml:space="preserve"> promptly, and in any event within five (5) Business Days after the Borrower obtains knowledge of any Claim related to any Product or inventory involving more than $1,000,000, written notice thereof from a Responsible Officer of the Borrower which notice shall include a statement setting forth details of such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224. </w:t>
      </w:r>
      <w:r>
        <w:rPr>
          <w:rFonts w:ascii="Times New Roman;Times;Serif" w:hAnsi="Times New Roman;Times;Serif"/>
          <w:b w:val="false"/>
          <w:i w:val="false"/>
          <w:caps w:val="false"/>
          <w:smallCaps w:val="false"/>
          <w:sz w:val="20"/>
        </w:rPr>
        <w:t xml:space="preserve">as soon as possible and in any event within ten (10) Business Days after the end of each calendar month, a certificate signed by a Responsible Officer of the Borrower certifying that as of the last day of such calendar month, the Borrower is in compliance with the minimum liquidity requirement set forth in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xml:space="preserve"> and attaching evidence reasonably satisfactory to the Administrative Agent, based upon the Borrower’s bank account statements that the Borrower has met its minimum liquidity requirement set out in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225. </w:t>
      </w:r>
      <w:r>
        <w:rPr>
          <w:rFonts w:ascii="Times New Roman;Times;Serif" w:hAnsi="Times New Roman;Times;Serif"/>
          <w:b w:val="false"/>
          <w:i w:val="false"/>
          <w:caps w:val="false"/>
          <w:smallCaps w:val="false"/>
          <w:sz w:val="20"/>
        </w:rPr>
        <w:t>such other information respecting the businesses, financial performance, operations condition of the assets or liabilities of the Obligors (including with respect to the Collateral), taken as a whole, as the Administrative Agent may from time to time reasonably request.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226. </w:t>
      </w:r>
      <w:r>
        <w:rPr>
          <w:rFonts w:ascii="Times New Roman;Times;Serif" w:hAnsi="Times New Roman;Times;Serif"/>
          <w:b/>
          <w:i/>
          <w:caps w:val="false"/>
          <w:smallCaps w:val="false"/>
          <w:sz w:val="20"/>
        </w:rPr>
        <w:t>Notices of Material Events</w:t>
      </w:r>
      <w:r>
        <w:rPr>
          <w:rFonts w:ascii="Times New Roman;Times;Serif" w:hAnsi="Times New Roman;Times;Serif"/>
          <w:b w:val="false"/>
          <w:i w:val="false"/>
          <w:caps w:val="false"/>
          <w:smallCaps w:val="false"/>
          <w:sz w:val="20"/>
        </w:rPr>
        <w:t>. The Borrower will furnish to the Administrative Agent written notice of the following (x) with respect to clause (a) below within three (3) Business Days of and (y) with respect to clause (b) through (n) below, within five (5) Business Days, in each case, after a Responsible Officer of the Borrower first learns of or acquires knowledge with respect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227. </w:t>
      </w:r>
      <w:r>
        <w:rPr>
          <w:rFonts w:ascii="Times New Roman;Times;Serif" w:hAnsi="Times New Roman;Times;Serif"/>
          <w:b w:val="false"/>
          <w:i w:val="false"/>
          <w:caps w:val="false"/>
          <w:smallCaps w:val="false"/>
          <w:sz w:val="20"/>
        </w:rPr>
        <w:t>the occurrence of any Default or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228. </w:t>
      </w:r>
      <w:r>
        <w:rPr>
          <w:rFonts w:ascii="Times New Roman;Times;Serif" w:hAnsi="Times New Roman;Times;Serif"/>
          <w:b w:val="false"/>
          <w:i w:val="false"/>
          <w:caps w:val="false"/>
          <w:smallCaps w:val="false"/>
          <w:sz w:val="20"/>
        </w:rPr>
        <w:t>the occurrence of any event with respect to the property or assets of the Borrower or any of its Subsidiaries resulting in a Loss aggregating $2,000,000 or 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229.</w:t>
      </w:r>
      <w:r>
        <w:rPr>
          <w:rFonts w:ascii="Times New Roman;Times;Serif" w:hAnsi="Times New Roman;Times;Serif"/>
          <w:b w:val="false"/>
          <w:i w:val="false"/>
          <w:caps w:val="false"/>
          <w:smallCaps w:val="false"/>
          <w:sz w:val="20"/>
        </w:rPr>
        <w:t>(i) any proposed acquisition of stock, assets or property by the Borrower or any of its Subsidiaries that would reasonably be expected to result in Material Environmental Liability, and (ii) any spillage, leakage, discharge, disposal, leaching, migration or release of any Hazardous Material by the Borrower or any of its Subsidiaries required to be reported to any Governmental Authority and that would reasonably be expected to result in Material Environmental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230. </w:t>
      </w:r>
      <w:r>
        <w:rPr>
          <w:rFonts w:ascii="Times New Roman;Times;Serif" w:hAnsi="Times New Roman;Times;Serif"/>
          <w:b w:val="false"/>
          <w:i w:val="false"/>
          <w:caps w:val="false"/>
          <w:smallCaps w:val="false"/>
          <w:sz w:val="20"/>
        </w:rPr>
        <w:t>the assertion of any Claim under any Environmental Law by any Person against, or with respect to the activities of, the Borrower or any of its Subsidiaries and any alleged liability or non-compliance with any Environmental Laws or any permits, licenses or authorizations issued pursuant to Environmental Laws, in each case, which would reasonably be expected to result in a Material Environmental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231.</w:t>
      </w:r>
      <w:r>
        <w:rPr>
          <w:rFonts w:ascii="Times New Roman;Times;Serif" w:hAnsi="Times New Roman;Times;Serif"/>
          <w:b w:val="false"/>
          <w:i w:val="false"/>
          <w:caps w:val="false"/>
          <w:smallCaps w:val="false"/>
          <w:sz w:val="20"/>
        </w:rPr>
        <w:t xml:space="preserve"> the filing or commencement of any action, suit or proceeding by or before any arbitrator or Governmental Authority against or affecting the Borrower or any of its Affiliates that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232. </w:t>
      </w:r>
      <w:r>
        <w:rPr>
          <w:rFonts w:ascii="Times New Roman;Times;Serif" w:hAnsi="Times New Roman;Times;Serif"/>
          <w:b w:val="false"/>
          <w:i w:val="false"/>
          <w:caps w:val="false"/>
          <w:smallCaps w:val="false"/>
          <w:sz w:val="20"/>
        </w:rPr>
        <w:t>(i) the intention of any ERISA Affiliate to file any notice of intent to terminate any Title IV Plan, a copy of such notice and (ii) the filing by any ERISA Affiliate of a request for a minimum funding waiver under Section 412 of the Code with respect to any Title IV Plan or Multiemployer Plan, in each case in writing and in reasonable detail (including a description of any action that any ERISA Affiliate proposes to take with respect thereto, together with a copy of any notice filed with the PBGC or the IRS pertaining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233.</w:t>
      </w:r>
      <w:r>
        <w:rPr>
          <w:rFonts w:ascii="Times New Roman;Times;Serif" w:hAnsi="Times New Roman;Times;Serif"/>
          <w:b w:val="false"/>
          <w:i w:val="false"/>
          <w:caps w:val="false"/>
          <w:smallCaps w:val="false"/>
          <w:sz w:val="20"/>
        </w:rPr>
        <w:t xml:space="preserve"> (i) the termination of any Material Agreement other than in accordance with its terms and not as a result of a breach or default, (ii) the receipt by the Borrower or any of its Subsidiaries of any notice of a material breach or default under any Material Agreement (and a copy thereof) asserting a default by such Obligor or any of its Subsidiaries where such alleged default would permit such counterparty to terminate such Material Agreement, (iii) the entering into of any new Material Agreement by any Obligor (and a copy thereof) or (iv) any material amendment to a Material Agreement that would be adverse in any material respect to the Lenders (and a copy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provide such notice if such documents become publicly available on “EDGAR” or the Borrower’s website within the time period notice would otherwise be required pursuant to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234.</w:t>
      </w:r>
      <w:r>
        <w:rPr>
          <w:rFonts w:ascii="Times New Roman;Times;Serif" w:hAnsi="Times New Roman;Times;Serif"/>
          <w:b w:val="false"/>
          <w:i w:val="false"/>
          <w:caps w:val="false"/>
          <w:smallCaps w:val="false"/>
          <w:sz w:val="20"/>
        </w:rPr>
        <w:t xml:space="preserve"> any material change in accounting policies or financial reporting practices by the Borrower or any of its Subsidiaries (other than as required under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235.</w:t>
      </w:r>
      <w:r>
        <w:rPr>
          <w:rFonts w:ascii="Times New Roman;Times;Serif" w:hAnsi="Times New Roman;Times;Serif"/>
          <w:b w:val="false"/>
          <w:i w:val="false"/>
          <w:caps w:val="false"/>
          <w:smallCaps w:val="false"/>
          <w:sz w:val="20"/>
        </w:rPr>
        <w:t xml:space="preserve"> any labor controversy resulting in or threatening to result in any strike, work stoppage, boycott, shutdown or other material labor disruption against or involving an Obligor that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236. </w:t>
      </w:r>
      <w:r>
        <w:rPr>
          <w:rFonts w:ascii="Times New Roman;Times;Serif" w:hAnsi="Times New Roman;Times;Serif"/>
          <w:b w:val="false"/>
          <w:i w:val="false"/>
          <w:caps w:val="false"/>
          <w:smallCaps w:val="false"/>
          <w:sz w:val="20"/>
        </w:rPr>
        <w:t>any Contract entered into by the Borrower or any of its Subsidiaries in connection with any material Claim of actual alleged violation, infringement or misappropriation of any Intellectual Property by or against the Borrower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237. </w:t>
      </w:r>
      <w:r>
        <w:rPr>
          <w:rFonts w:ascii="Times New Roman;Times;Serif" w:hAnsi="Times New Roman;Times;Serif"/>
          <w:b w:val="false"/>
          <w:i w:val="false"/>
          <w:caps w:val="false"/>
          <w:smallCaps w:val="false"/>
          <w:sz w:val="20"/>
        </w:rPr>
        <w:t xml:space="preserve">the creation, development or other acquisition (including any in-bound exclusive licenses) of any Material Intellectual Property by the Borrower or any Subsidiary after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Material Intellectual Property created, developed or acquired (including through any in-bound exclusive license) in any fiscal year, notice thereof pursuant to this </w:t>
      </w:r>
      <w:r>
        <w:rPr>
          <w:rFonts w:ascii="Times New Roman;Times;Serif" w:hAnsi="Times New Roman;Times;Serif"/>
          <w:b/>
          <w:i w:val="false"/>
          <w:caps w:val="false"/>
          <w:smallCaps w:val="false"/>
          <w:sz w:val="20"/>
        </w:rPr>
        <w:t>Section 8.02(k)</w:t>
      </w:r>
      <w:r>
        <w:rPr>
          <w:rFonts w:ascii="Times New Roman;Times;Serif" w:hAnsi="Times New Roman;Times;Serif"/>
          <w:b w:val="false"/>
          <w:i w:val="false"/>
          <w:caps w:val="false"/>
          <w:smallCaps w:val="false"/>
          <w:sz w:val="20"/>
        </w:rPr>
        <w:t xml:space="preserve"> shall be made in accordance with the timing of the financial statements for such fiscal year required pursuant to </w:t>
      </w:r>
      <w:r>
        <w:rPr>
          <w:rFonts w:ascii="Times New Roman;Times;Serif" w:hAnsi="Times New Roman;Times;Serif"/>
          <w:b/>
          <w:i w:val="false"/>
          <w:caps w:val="false"/>
          <w:smallCaps w:val="false"/>
          <w:sz w:val="20"/>
        </w:rPr>
        <w:t>Section 8.01(b)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238.</w:t>
      </w:r>
      <w:r>
        <w:rPr>
          <w:rFonts w:ascii="Times New Roman;Times;Serif" w:hAnsi="Times New Roman;Times;Serif"/>
          <w:b w:val="false"/>
          <w:i w:val="false"/>
          <w:caps w:val="false"/>
          <w:smallCaps w:val="false"/>
          <w:sz w:val="20"/>
        </w:rPr>
        <w:t xml:space="preserve"> any change to any Obligor’s or any of its Subsidiaries’ ownership of any Controlled Account, by delivering the Administrative Agent a notice setting forth a complete and correct list of all such accounts as of the date of such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239. </w:t>
      </w:r>
      <w:r>
        <w:rPr>
          <w:rFonts w:ascii="Times New Roman;Times;Serif" w:hAnsi="Times New Roman;Times;Serif"/>
          <w:b w:val="false"/>
          <w:i w:val="false"/>
          <w:caps w:val="false"/>
          <w:smallCaps w:val="false"/>
          <w:sz w:val="20"/>
        </w:rPr>
        <w:t>any warning letters, untitled letters, or other Governmental Authority correspondence regarding actions that would reasonably be expected to result in a Material Adverse Effect;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240.</w:t>
      </w:r>
      <w:r>
        <w:rPr>
          <w:rFonts w:ascii="Times New Roman;Times;Serif" w:hAnsi="Times New Roman;Times;Serif"/>
          <w:b w:val="false"/>
          <w:i w:val="false"/>
          <w:caps w:val="false"/>
          <w:smallCaps w:val="false"/>
          <w:sz w:val="20"/>
        </w:rPr>
        <w:t xml:space="preserve"> any other development that results in, or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delivered under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shall be accompanied by a statement of a Responsible Officer of the Borrower setting forth the details of the event or development requiring such notice and any action taken or proposed to be taken with respect thereto. Nothing in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is intended to waive, consent to or otherwise permit any action or omission that is otherwise prohibited by this Agreement or any other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241.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Existence</w:t>
      </w:r>
      <w:r>
        <w:rPr>
          <w:rFonts w:ascii="Times New Roman;Times;Serif" w:hAnsi="Times New Roman;Times;Serif"/>
          <w:b w:val="false"/>
          <w:i w:val="false"/>
          <w:caps w:val="false"/>
          <w:smallCaps w:val="false"/>
          <w:sz w:val="20"/>
        </w:rPr>
        <w:t xml:space="preserve">. Such Obligor shall, and shall cause each of its Subsidiaries to, preserve, renew and maintain in full force and effect its legal existence;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amalgamation, consolidation, liquidation or dissolution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xml:space="preserve"> or any Asset Sale permitted under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242. </w:t>
      </w:r>
      <w:r>
        <w:rPr>
          <w:rFonts w:ascii="Times New Roman;Times;Serif" w:hAnsi="Times New Roman;Times;Serif"/>
          <w:b/>
          <w:i/>
          <w:caps w:val="false"/>
          <w:smallCaps w:val="false"/>
          <w:sz w:val="20"/>
        </w:rPr>
        <w:t>Payment of Obligations</w:t>
      </w:r>
      <w:r>
        <w:rPr>
          <w:rFonts w:ascii="Times New Roman;Times;Serif" w:hAnsi="Times New Roman;Times;Serif"/>
          <w:b w:val="false"/>
          <w:i w:val="false"/>
          <w:caps w:val="false"/>
          <w:smallCaps w:val="false"/>
          <w:sz w:val="20"/>
        </w:rPr>
        <w:t>. Such Obligor will, and will cause each of its Subsidiaries to, pay and discharge its obligations, including (i) all material Taxes, fees, assessments and governmental charges or levies imposed upon it or upon its properties or assets prior to the date on which penalties attach thereto, and all lawful claims for labor, materials and supplies which, if unpaid, might become a Lien upon any properties or assets of such Obligor or any of its Subsidiaries not constituting a Permitted Lien, except to the extent such Taxes, fees, assessments or governmental charges or levies or such claims are being contested in good faith by appropriate proceedings and are adequately reserved against in accordance with GAAP and (ii) all lawful claims which, if unpaid, would by law become a Lien upon its property not constituting a Permitted Lien.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243. </w:t>
      </w:r>
      <w:r>
        <w:rPr>
          <w:rFonts w:ascii="Times New Roman;Times;Serif" w:hAnsi="Times New Roman;Times;Serif"/>
          <w:b/>
          <w:i/>
          <w:caps w:val="false"/>
          <w:smallCaps w:val="false"/>
          <w:sz w:val="20"/>
        </w:rPr>
        <w:t>Insurance</w:t>
      </w:r>
      <w:r>
        <w:rPr>
          <w:rFonts w:ascii="Times New Roman;Times;Serif" w:hAnsi="Times New Roman;Times;Serif"/>
          <w:b w:val="false"/>
          <w:i w:val="false"/>
          <w:caps w:val="false"/>
          <w:smallCaps w:val="false"/>
          <w:sz w:val="20"/>
        </w:rPr>
        <w:t xml:space="preserve">. Such Obligor will, and will cause each of its Subsidiaries to maintain, with financially sound and reputable insurance companies, insurance in such amounts and against such risks as are customarily maintained by companies engaged in the same or similar businesses operating in the same or similar locations. Upon the request of the Administrative Agent, the Borrower shall furnish the Administrative Agent from time to time with (i) material information as to the insurance carried by it and, if so requested, copies of all such insurance policies and (ii) a certificate from the Borrower’s insurance broker or other insurance specialist stating that all premiums then due on the policies relating to insurance on the Collateral have been paid and that such policies are in full force and effect. Receipt of notice of termination or cancellation of any such insurance policies or reduction of coverages or amounts thereunder to levels which do not meet the levels required pursuant to the first sentence of this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 xml:space="preserve"> shall entitle the Secured Parties to renew any such policies, cause the coverages and amounts thereof to be maintained at levels required pursuant to the first sentence of this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 xml:space="preserve"> or otherwise to obtain similar insurance in place of such policies, and in each case, the Borrower will be responsible for the reasonable and documented cost of such insurance (to be payable on demand). The amount of any such reasonable and documented expenses shall accrue interest at the Default Rate if not paid on demand and shall constitute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244.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Books and Records; Inspection Rights</w:t>
      </w:r>
      <w:r>
        <w:rPr>
          <w:rFonts w:ascii="Times New Roman;Times;Serif" w:hAnsi="Times New Roman;Times;Serif"/>
          <w:b w:val="false"/>
          <w:i w:val="false"/>
          <w:caps w:val="false"/>
          <w:smallCaps w:val="false"/>
          <w:sz w:val="20"/>
        </w:rPr>
        <w:t xml:space="preserve">. Such Obligor will, and will cause each of its Subsidiaries to, keep proper books of record and account in which full, true and correct (in all material respects) entries are made of all dealings and transactions in relation to its business and activities. Such Obligor will, and will cause each of its Subsidiaries to, permit any representatives designated by the Administrative Agent, upon reasonable prior notice, to visit and inspect its properties, to examine and make extracts from its books and records, and to discuss its affairs, finances and condition (financial or otherwise) with its officers and independent accountants (so long as a representative of the Borrower is provided a reasonable opportunity to participate in any such discussion), during normal business hours (but not more often than once per year in total for all such visits and inspections unless an Event of Default has occurred and is continuing) as the Administrative Agent may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representative shall use its commercially reasonable efforts to minimize disruption to the business and affairs of the Borrower as a result of any such visit, inspection, examination or discussion. Notwithstanding anything to the contrary contained herein or any other provision of the Loan Documents, no Obligor nor any of its Subsidiaries will be required to disclose or permit the inspection or discussion of, any document, information or other matter (i) that constitutes trade secrets or proprietary information, (ii) in respect of which disclosure to any Lender (or their respective representatives or contractors) is prohibited by any applicable Law or any binding agreement with a third party (so long as such agreement is not entered into in contemplation of this Agreement) or (iii) that is subject to attorney-client or similar privilege, which could reasonably be expected to be lost or forfeited if disclosed to the Administrative Agent or any Lender. The Borrower shall pay all reasonable and documented costs of all such inspections.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245.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Compliance with Laws and Other Obligations</w:t>
      </w:r>
      <w:r>
        <w:rPr>
          <w:rFonts w:ascii="Times New Roman;Times;Serif" w:hAnsi="Times New Roman;Times;Serif"/>
          <w:b w:val="false"/>
          <w:i w:val="false"/>
          <w:caps w:val="false"/>
          <w:smallCaps w:val="false"/>
          <w:sz w:val="20"/>
        </w:rPr>
        <w:t xml:space="preserve">. Such Obligor will, and will cause each of its Subsidiaries to, (i) comply with all Laws (including Anti-Terrorism Laws, Sanctions and Environmental Laws) applicable to it and its business activities, (ii) comply with all Healthcare Laws and Governmental Approvals (including Product Authorizations) applicable to it and its business activities and (iii) maintain in full force and effect (other than in accordance with its terms), remain in compliance with, and perform all obligations under all Material Agreements to which it is a party, except, in the case of </w:t>
      </w:r>
      <w:r>
        <w:rPr>
          <w:rFonts w:ascii="Times New Roman;Times;Serif" w:hAnsi="Times New Roman;Times;Serif"/>
          <w:b/>
          <w:i w:val="false"/>
          <w:caps w:val="false"/>
          <w:smallCaps w:val="false"/>
          <w:sz w:val="20"/>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above, where the failure to do so would not, individually or in the aggregate, reasonably be expected to result in a Material Adverse Effect. Each Obligor has, and shall maintain in effect and enforce policies and procedures reasonably designed to promote compliance by such Obligor, its Subsidiaries and their respective directors, officers, employees and agents with Anti-Terrorism Laws and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246.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Maintenance of Properties, Etc.</w:t>
      </w:r>
      <w:r>
        <w:rPr>
          <w:rFonts w:ascii="Times New Roman;Times;Serif" w:hAnsi="Times New Roman;Times;Serif"/>
          <w:b w:val="false"/>
          <w:i w:val="false"/>
          <w:caps w:val="false"/>
          <w:smallCaps w:val="false"/>
          <w:sz w:val="20"/>
        </w:rPr>
        <w:t xml:space="preserve"> Such Obligor shall, and shall cause each of its Subsidiaries to, maintain and preserve all of its assets and properties (including all assets and properties, whether tangible or intangible, relating to its Products or Product Commercialization and Development Activities) necessary or useful in the conduct of its business in good working order and condition in accordance with the general practice of other Persons of similar character and size, ordinary wear and tear and damage from casualty or condemnation excepted and except where the failure to do so, individually or in the aggregate, would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247.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Governmental Licenses</w:t>
      </w:r>
      <w:r>
        <w:rPr>
          <w:rFonts w:ascii="Times New Roman;Times;Serif" w:hAnsi="Times New Roman;Times;Serif"/>
          <w:b w:val="false"/>
          <w:i w:val="false"/>
          <w:caps w:val="false"/>
          <w:smallCaps w:val="false"/>
          <w:sz w:val="20"/>
        </w:rPr>
        <w:t>. Such Obligor shall, and shall cause each of its Subsidiaries to, obtain and maintain all Governmental Approvals necessary in connection with the execution, delivery and performance of the Loan Documents, the consummation of the Transactions or the operation and conduct of its business and ownership of its properties (including its Product Commercialization and Development Activities), except where the failure to do so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248.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Use of Proceeds</w:t>
      </w:r>
      <w:r>
        <w:rPr>
          <w:rFonts w:ascii="Times New Roman;Times;Serif" w:hAnsi="Times New Roman;Times;Serif"/>
          <w:b w:val="false"/>
          <w:i w:val="false"/>
          <w:caps w:val="false"/>
          <w:smallCaps w:val="false"/>
          <w:sz w:val="20"/>
        </w:rPr>
        <w:t xml:space="preserve">. The proceeds of the Loans will be used only as provided in </w:t>
      </w:r>
      <w:r>
        <w:rPr>
          <w:rFonts w:ascii="Times New Roman;Times;Serif" w:hAnsi="Times New Roman;Times;Serif"/>
          <w:b/>
          <w:i w:val="false"/>
          <w:caps w:val="false"/>
          <w:smallCaps w:val="false"/>
          <w:sz w:val="20"/>
        </w:rPr>
        <w:t>Section 2.05</w:t>
      </w:r>
      <w:r>
        <w:rPr>
          <w:rFonts w:ascii="Times New Roman;Times;Serif" w:hAnsi="Times New Roman;Times;Serif"/>
          <w:b w:val="false"/>
          <w:i w:val="false"/>
          <w:caps w:val="false"/>
          <w:smallCaps w:val="false"/>
          <w:sz w:val="20"/>
        </w:rPr>
        <w:t>. No part of the proceeds of the Loans will be used, whether directly or indirectly, for any purpose that entails a violation of any of the Regulations of the Board of Governors of the Federal Reserve System, including Regulations T, U and 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249.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Certain Obligations Respecting Subsidiaries;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250.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Subsidiary Guarantors, etc</w:t>
      </w:r>
      <w:r>
        <w:rPr>
          <w:rFonts w:ascii="Times New Roman;Times;Serif" w:hAnsi="Times New Roman;Times;Serif"/>
          <w:b w:val="false"/>
          <w:i w:val="false"/>
          <w:caps w:val="false"/>
          <w:smallCaps w:val="false"/>
          <w:sz w:val="20"/>
        </w:rPr>
        <w:t>. In the event that the Borrower or any of its Subsidiaries shall form or acquire any new Subsidiary (other than an Excluded Subsidiary), or any Excluded Subsidiary ceases to be an Excluded Subsidiary, the Borrower shall promptly (and in any event within forty-five (45) calendar days of such formation or acquisition or such longer period as the Administrative Agent may agree to in its sole discretion) with respect to a formed or acquired Subsidiary (other than an Excluded Subsidiary), and immediately with respect to an Excluded Subsidiary ceasing to be an Excluded Subsidiary: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251.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cause such Subsidiary to become a “Subsidiary Guarantor” hereunder pursuant to a Guarantee Assumption Agreement and a “Grantor” under the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252.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take such action or cause such Subsidiary to take such action (including joining the Security Agreement and delivering shares of stock together with undated transfer powers executed in blank, applicable control agreements and other instruments) as shall be reasonably necessary or desirable or reasonably requested by the Administrative Agent in order to create and perfect, in favor of the Administrative Agent, for the benefit of the Secured Parties, valid and enforceable first priority Liens (subject only to Permitted Liens), on substantially all of the personal property of such Subsidiary as collateral security for the Obligations hereunder as and when required by the terms of the Security Agreement;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that any such security interest or Lien shall be subject to the relevant requirements of the Security Documents and the Intercompany Subordination Agreement;</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253.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to the extent that the parent of such Subsidiary is not a party to the Security Agreement or has not otherwise pledged or secured Equity Interests in its Subsidiaries in accordance with the terms of the Security Agreement and this Agreement, cause the parent (if possible) of such Subsidiary to execute and deliver a pledge or other security agreement in favor of the Administrative Agent, for the benefit of the Secured Parties, in respect of all outstanding issued shares of such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254.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deliver such proof of corporate action, incumbency of officers, and other applicable documents as is consistent with those delivered by each Obligor pursuant to Section 6.01 or as the Administrative Agent shall reasonably request;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255. </w:t>
      </w:r>
      <w:r>
        <w:rPr>
          <w:rFonts w:ascii="Times New Roman;Times;Serif" w:hAnsi="Times New Roman;Times;Serif"/>
          <w:b/>
          <w:i w:val="false"/>
          <w:caps w:val="false"/>
          <w:smallCaps w:val="false"/>
          <w:sz w:val="20"/>
        </w:rPr>
        <w:t>cause each such Subsidiary (other than any Subsidiary that is not an Obligor) to become a party to the Intercompany Subordination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or anything else herein to the contrary, neither the Borrower nor any of its Subsidiaries shall form or acquire any Foreign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256.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Further Assurances.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257.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Such Obligor will take such action from time to time as shall reasonably be requested by the Administrative Agent to effectuate the purposes and objectives of this Agreement and the Security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258.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 the event that such Obligor creates, develops or otherwise acquires Intellectual Property or real property during the term of this Agreement, then the provisions of this Agreement and the Security Agreement shall and hereby do automatically apply thereto and any such Intellectual Property or real property shall automatically constitute and hereby does constitute part of the Collateral under the Security Documents (other than Excluded Assets (as defined in the Security Agreement)), without further action by any party, in each case from and after the date of such creation, development or acquisition; and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259.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Without limiting the generality of the foregoing, each Obligor will, and will cause each Person that is required to be a Guarantor to, take such action from time to time (including joining the Security Agreement and delivering shares of stock together with undated transfer powers executed in blank, applicable control agreements and other instruments) as shall be required by the terms of the Security Documents or reasonably requested by the Administrative Agent to create, in favor of the Administrative Agent for the benefit of the Secured Parties, perfected security interests and Liens in substantially all of the personal property (other than Excluded Assets (as defined in the Security Agreement)) of such Obligor as collateral security for the Obligations;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that any such security interest or Lien shall be subject to the relevant requirements of the Security Documents;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further</w:t>
      </w:r>
      <w:r>
        <w:rPr>
          <w:rFonts w:ascii="Times New Roman;Times;Serif" w:hAnsi="Times New Roman;Times;Serif"/>
          <w:b/>
          <w:i w:val="false"/>
          <w:caps w:val="false"/>
          <w:smallCaps w:val="false"/>
          <w:sz w:val="20"/>
        </w:rPr>
        <w:t xml:space="preserve"> that, without limiting the right of the Administrative Agent to require a Lien or security interest in any newly acquired or created Subsidiary or asset, upon the prior written request of the Borrower, the Borrower and the Administrative Agent shall consult, in good faith, as to whether the cost of obtaining a Lien or security interest thereon would be unreasonably excessive relative to the benefit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260.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Termination of Non-Permitted Liens</w:t>
      </w:r>
      <w:r>
        <w:rPr>
          <w:rFonts w:ascii="Times New Roman;Times;Serif" w:hAnsi="Times New Roman;Times;Serif"/>
          <w:b w:val="false"/>
          <w:i w:val="false"/>
          <w:caps w:val="false"/>
          <w:smallCaps w:val="false"/>
          <w:sz w:val="20"/>
        </w:rPr>
        <w:t>. In the event that any Obligor shall become aware of, or be notified by the Administrative Agent or any Lender of the existence of, any outstanding Lien against any assets or property of such Obligor or any of its Subsidiaries, which Lien is not a Permitted Lien, such Obligor shall use its commercially reasonable efforts to promptly terminate or cause the termination of such Lien.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261. </w:t>
      </w:r>
      <w:r>
        <w:rPr>
          <w:rFonts w:ascii="Times New Roman;Times;Serif" w:hAnsi="Times New Roman;Times;Serif"/>
          <w:b/>
          <w:i/>
          <w:caps w:val="false"/>
          <w:smallCaps w:val="false"/>
          <w:sz w:val="20"/>
        </w:rPr>
        <w:t>Board Materials; Lender Calls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262.</w:t>
      </w:r>
      <w:r>
        <w:rPr>
          <w:rFonts w:ascii="Times New Roman;Times;Serif" w:hAnsi="Times New Roman;Times;Serif"/>
          <w:b w:val="false"/>
          <w:i w:val="false"/>
          <w:caps w:val="false"/>
          <w:smallCaps w:val="false"/>
          <w:sz w:val="20"/>
        </w:rPr>
        <w:t xml:space="preserve"> The Borrower shall deliver to the Administrative Agent: (i) copies of any agenda and other written materials provided to the Borrower’s Board (or any committee thereof) of the Borrower prior to any meeting of the board of directors (or such committee thereof), at or promptly after such materials are furnished to the members of the Borrower’s Board (or such committee thereof), (ii) copies of all minutes of meetings of the Borrower’s Board (or any committee thereof) at or promptly after such minutes are furnished to the members of the Borrower’s Board (or such committee thereof), (iii) copies of all material written consents duly passed by the Borrower’s Board (or any committee thereof) and (iv) promptly upon presentation of any regular periodic materials to the Borrower’s Board (or any committee thereof) reporting on the current, past or future financial performance and business and operations of the Borrower or any of its Subsidiaries (which shall include, among other things, development updates with respect to material Products, and updates with respect to material events relating to other Material Agreements), copies of such materials;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material may be redacted by the Borrower to (A) exclude information relating to the performance of the Administrative Agent or any Lender hereunder or to the Borrower’s strategy regarding the Loans or performance or non-performance under the Loan Documents or any information that could raise a conflict of interest with Administrative Agent or Lenders as reasonably determined based on advice of counsel, (B) preserve attorney-client privilege or required to comply with applicable laws or regulations or (C) protect individually identifiable health information (as defined under HIPAA) or other confidential information relating to healthcare patients to the extent required by applicable Healthcare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such redactions are restricted so as to be only as extensive as is reasonably necessary in order to exclude information described in clauses (A) through (C); and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263.</w:t>
      </w:r>
      <w:r>
        <w:rPr>
          <w:rFonts w:ascii="Times New Roman;Times;Serif" w:hAnsi="Times New Roman;Times;Serif"/>
          <w:b w:val="false"/>
          <w:i w:val="false"/>
          <w:caps w:val="false"/>
          <w:smallCaps w:val="false"/>
          <w:sz w:val="20"/>
        </w:rPr>
        <w:t xml:space="preserve"> On dates and times to be mutually agreed upon by the Borrower and the Administrative Agent following the Administrative Agent’s request therefor (but for the avoidance of doubt, no more than once per fiscal quarter), the Borrower will hold a conference call with Administrative Agent, any Lender who chooses to attend such conference call and senior management of the Borrower, at which conference call shall be reviewed the financial results of the previous fiscal year and other material events and Administrative Agent and the Lenders shall have an opportunity to ask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264.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Maintenance of Regulatory Approvals, Contracts, Intellectual Property, Etc.</w:t>
      </w:r>
      <w:r>
        <w:rPr>
          <w:rFonts w:ascii="Times New Roman;Times;Serif" w:hAnsi="Times New Roman;Times;Serif"/>
          <w:b w:val="false"/>
          <w:i w:val="false"/>
          <w:caps w:val="false"/>
          <w:smallCaps w:val="false"/>
          <w:sz w:val="20"/>
        </w:rPr>
        <w:t xml:space="preserve"> Each Obligor shall, and shall cause each of its Subsidiaries (to the extent applicable) to, (i) maintain in full force and effect all Material Product Authorizations, Material Agreements, Material Intellectual Property and other rights, interests or assets (whether tangible or intangible) reasonably necessary for the business of such Obligor and its Subsidiaries, (ii) maintain in full force and effect, and pay all costs and expenses relating to, such Material Product Authorizations, Material Agreements and Material Intellectual Property owned, used or controlled by such Obligor or any such Subsidiary that are used in or necessary for any related Product Commercialization and Development Activities, except as would not be reasonably expected to have a Material Adverse Effect, (iii) promptly after obtaining knowledge thereof, notify the Administrative Agent of any material violation, misappropriation or other infringement by any Person, or any material Claim, action or proceeding brought by any Person alleging the invalidity or unenforceability, of any Material Intellectual Property, and use commercially reasonable efforts to stop, curtail or abate such violation, action, misappropriation or infringement if determined appropriate by the Borrower in the exercise of its prudent business judgment, and (iv) except as set forth on </w:t>
      </w:r>
      <w:r>
        <w:rPr>
          <w:rFonts w:ascii="Times New Roman;Times;Serif" w:hAnsi="Times New Roman;Times;Serif"/>
          <w:b/>
          <w:i w:val="false"/>
          <w:caps w:val="false"/>
          <w:smallCaps w:val="false"/>
          <w:sz w:val="20"/>
        </w:rPr>
        <w:t>Schedule 7.05(b)</w:t>
      </w:r>
      <w:r>
        <w:rPr>
          <w:rFonts w:ascii="Times New Roman;Times;Serif" w:hAnsi="Times New Roman;Times;Serif"/>
          <w:b w:val="false"/>
          <w:i w:val="false"/>
          <w:caps w:val="false"/>
          <w:smallCaps w:val="false"/>
          <w:sz w:val="20"/>
        </w:rPr>
        <w:t>, promptly after obtaining knowledge thereof, notify the Administrative Agent of any Claim by any Person that the conduct of the business of any Obligor or any of its Subsidiaries, including in connection with any Product Commercialization and Development Activities, has violated, misappropriated or otherwise infringed any Intellectual Property of such Person, where such Claim would reasonably be expected to result in a liability to any Obligor or any of their Subsidiaries of greater than $3,000,000.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265.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ERISA Compliance and Pension Plans</w:t>
      </w:r>
      <w:r>
        <w:rPr>
          <w:rFonts w:ascii="Times New Roman;Times;Serif" w:hAnsi="Times New Roman;Times;Serif"/>
          <w:b w:val="false"/>
          <w:i w:val="false"/>
          <w:caps w:val="false"/>
          <w:smallCaps w:val="false"/>
          <w:sz w:val="20"/>
        </w:rPr>
        <w:t>. Such Obligor shall comply, and shall cause each of its Subsidiaries to comply, with the provisions of ERISA with respect to any Benefit Plans to which such Obligor or such Subsidiary is a party as an employer, except where the failure to do so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266.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Cash Management</w:t>
      </w:r>
      <w:r>
        <w:rPr>
          <w:rFonts w:ascii="Times New Roman;Times;Serif" w:hAnsi="Times New Roman;Times;Serif"/>
          <w:b w:val="false"/>
          <w:i w:val="false"/>
          <w:caps w:val="false"/>
          <w:smallCaps w:val="false"/>
          <w:sz w:val="20"/>
        </w:rPr>
        <w:t>. Such Obligor shall, and shall cause each of its Subsidiaries to:</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267.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i w:val="false"/>
          <w:caps w:val="false"/>
          <w:smallCaps w:val="false"/>
          <w:sz w:val="20"/>
        </w:rPr>
        <w:t xml:space="preserve">Section 8.17(d)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maintain an aggregate amount of cash of the Borrower and the Subsidiary Guarantors greater than or equal to the Minimum Liquidity Amount in deposit accounts, disbursement accounts, investment accounts (and other similar accounts), securities accounts and lockboxes with a bank or financial institution within the U.S. that has executed and delivered to the Administrative Agent an account control agreement, in form and substance reasonably acceptable to the Administrative Agent (each such agreement, a “</w:t>
      </w:r>
      <w:r>
        <w:rPr>
          <w:rFonts w:ascii="Times New Roman;Times;Serif" w:hAnsi="Times New Roman;Times;Serif"/>
          <w:b/>
          <w:i/>
          <w:caps w:val="false"/>
          <w:smallCaps w:val="false"/>
          <w:sz w:val="20"/>
        </w:rPr>
        <w:t>Control Agreement</w:t>
      </w:r>
      <w:r>
        <w:rPr>
          <w:rFonts w:ascii="Times New Roman;Times;Serif" w:hAnsi="Times New Roman;Times;Serif"/>
          <w:b w:val="false"/>
          <w:i w:val="false"/>
          <w:caps w:val="false"/>
          <w:smallCaps w:val="false"/>
          <w:sz w:val="20"/>
        </w:rPr>
        <w:t>” and each such deposit account, disbursement account, investment account (or similar account), securities account and lockbox, a “</w:t>
      </w:r>
      <w:r>
        <w:rPr>
          <w:rFonts w:ascii="Times New Roman;Times;Serif" w:hAnsi="Times New Roman;Times;Serif"/>
          <w:b/>
          <w:i/>
          <w:caps w:val="false"/>
          <w:smallCaps w:val="false"/>
          <w:sz w:val="20"/>
        </w:rPr>
        <w:t>Controlled Account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Controlled Account shall be a cash collateral account, with all cash, checks and other similar items of payment in such account securing payment of the Obligations, and each Obligor shall have granted a Lien to the Administrative Agent, for the benefit of the Secured Parties, over such Controlled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i w:val="false"/>
          <w:caps w:val="false"/>
          <w:smallCaps w:val="false"/>
          <w:sz w:val="20"/>
        </w:rPr>
        <w:t xml:space="preserve">Section 8.17(d)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maintain each of its deposit accounts, disbursement accounts, investment accounts (or similar accounts), securities accounts and lockboxes (other than, in each case, Excluded Accounts) as Controlled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deposit promptly, and in any event no later than five (5) Business Days after the date of receipt thereof (or such longer period of time as agreed by the Administrative Agent in its sole discretion), all cash, checks, drafts or other similar items of payment in an amount in excess of $250,000 and relating to or constituting payments made in respect of any and all accounts and other rights and interests into Controlled Accounts;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any time after the occurrence and during the continuance of an Event of Default, at the request of the Administrative Agent, each Obligor shall cause all payments constituting proceeds of accounts to be directed into lockbox accounts under agreements in form and substance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268.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Post-Closing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seven (7) Business Days following the Closing Date (or such longer period of time as agreed by the Administrative Agent in its sole discretion), the Administrative Agent shall have received (i) all certificates (in the case of Equity Interests that are certificated securities (as defined in the UCC)) evidencing the issued and outstanding Equity Interests owned by each Obligor that are required to be pledged or otherwise secured and so delivered under the Security Documents, which certificates in each case shall be accompanied by undated instruments of transfer duly executed in blank and (ii) the original Melt Note, which note shall be accompanied by an undated allonge, duly executed in blank.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thirty (30) days following the Closing Date (or such longer period of time as agreed by the Administrative Agent in its sole discretion), the Administrative Agent shall have received endorsements for all such insurance policies required pursuant to the Loan Documents, naming the Administrative Agent as lender loss payee or additional insured, as applicable, on behalf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forty-five (45) days following the Closing Date (or such longer period of time as agreed by the Administrative Agent in its sole discretion), the Borrower shall use its commercially reasonable efforts to obtain a Landlord Consent with respect to the leased properties at (i) 102 Woodmont Blvd., (ii) 1000 Aviara Parkway, Suite 220, (iii) 1705 Route 46 W, Suite 4, and (iv) 658 Grassmere Park, Suite 104.</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ninety (90) days following the Closing Date (or such longer period of time as agreed by the Administrative Agent in its sole discretion), the Administrative Agent shall have received evidence that all deposit accounts, lockboxes, disbursement accounts, investment accounts, securities accounts or other similar accounts (other than Excluded Accounts and accounts located at MUFG Union Bank, N.A.) of each Obligor have either (i) been closed or (ii) are Controlled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one hundred and twenty (120) days following the Closing Date (or such longer period of time as agreed by the Administrative Agent in its sole discretion), the Administrative Agent shall have received evidence that the Borrower has made commercially reasonable efforts (including by posting to customary job sites) to hire a senior counsel or other employee with a similar title and serving the customary functions of a senior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Within one hundred and twenty (120) days following the Closing Date (or such longer period of time as agreed by the Administrative Agent in its sole discretion), the Administrative Agent shall have received evidence that all deposit accounts, lockboxes, disbursement accounts, investment accounts, securities accounts or other similar accounts (other than Excluded Accounts) of each Obligor that are located at MUFG Union Bank, N.A. either (i) have been closed or (ii) are Controlled Accounts;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during the period while such accounts are not Controlled Accounts, the aggregate balance of all such accounts shall not exceed $1,000,000 for more than three consecutive Business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Within ten (10) Business Days following the Closing Date (or such longer period of time as agreed by the Administrative Agent in its sole discretion), the Administrative Agent shall have received a copy of a good standing certificate with respect to Visionology, Inc., certified as of a recent date by the Delaware Secretary of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269.</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xml:space="preserve">. On or prior to the date on which financial statements for the fiscal year ending December 31, 2024 are required to be delivered pursuant to </w:t>
      </w:r>
      <w:r>
        <w:rPr>
          <w:rFonts w:ascii="Times New Roman;Times;Serif" w:hAnsi="Times New Roman;Times;Serif"/>
          <w:b/>
          <w:i w:val="false"/>
          <w:caps w:val="false"/>
          <w:smallCaps w:val="false"/>
          <w:sz w:val="20"/>
        </w:rPr>
        <w:t>Section 8.01(b)</w:t>
      </w:r>
      <w:r>
        <w:rPr>
          <w:rFonts w:ascii="Times New Roman;Times;Serif" w:hAnsi="Times New Roman;Times;Serif"/>
          <w:b w:val="false"/>
          <w:i w:val="false"/>
          <w:caps w:val="false"/>
          <w:smallCaps w:val="false"/>
          <w:sz w:val="20"/>
        </w:rPr>
        <w:t xml:space="preserve">, concurrently with the delivery of the Compliance Certificate for such fiscal year, the Borrower shall deliver to the Administrative Agent a certificate of the chief financial officer (or other equivalent financial officer) of the Borrower in form and substance reasonably satisfactory to the Administrative Agent, setting forth the Total Leverage Ratio as of the end of the fiscal quarter ending December 31, 2024, together with a reasonably detailed calculation thereof. If the Total Leverage Ratio as of the end of such fiscal quarter is greater than or equal to 5.00:1.00, then concurrently with the delivery of such certificate, the Borrower shall deliver to the Administrative Agent duly executed warrants, substantially in the form attached hereto as </w:t>
      </w:r>
      <w:r>
        <w:rPr>
          <w:rFonts w:ascii="Times New Roman;Times;Serif" w:hAnsi="Times New Roman;Times;Serif"/>
          <w:b/>
          <w:i w:val="false"/>
          <w:caps w:val="false"/>
          <w:smallCaps w:val="false"/>
          <w:sz w:val="20"/>
        </w:rPr>
        <w:t>Exhibit I</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for each Lender as of the end of such fiscal quarter, in an amount of common shares of the Borrower equal to each such Lender’s Proportionate Share of the aggregate amount set forth below (it being understood that such aggregate amount is subject to adjustment for stock splits, dividends, recapitalizations and any other similar event):</w:t>
      </w:r>
    </w:p>
    <w:p>
      <w:pPr>
        <w:pStyle w:val="TextBody"/>
        <w:bidi w:val="0"/>
        <w:spacing w:before="0" w:after="0"/>
        <w:ind w:left="0" w:right="0" w:hanging="0"/>
        <w:jc w:val="both"/>
        <w:rPr>
          <w:caps w:val="false"/>
          <w:smallCaps w:val="false"/>
        </w:rPr>
      </w:pPr>
      <w:r>
        <w:rPr>
          <w:caps w:val="false"/>
          <w:smallCaps w:val="false"/>
        </w:rPr>
        <w:t> </w:t>
      </w:r>
    </w:p>
    <w:tbl>
      <w:tblPr>
        <w:tblW w:w="9460" w:type="dxa"/>
        <w:jc w:val="left"/>
        <w:tblInd w:w="0" w:type="dxa"/>
        <w:tblLayout w:type="fixed"/>
        <w:tblCellMar>
          <w:top w:w="0" w:type="dxa"/>
          <w:left w:w="0" w:type="dxa"/>
          <w:bottom w:w="28" w:type="dxa"/>
          <w:right w:w="0" w:type="dxa"/>
        </w:tblCellMar>
      </w:tblPr>
      <w:tblGrid>
        <w:gridCol w:w="4700"/>
        <w:gridCol w:w="60"/>
        <w:gridCol w:w="4700"/>
      </w:tblGrid>
      <w:tr>
        <w:trPr/>
        <w:tc>
          <w:tcPr>
            <w:tcW w:w="47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Leverage Ratio</w:t>
            </w:r>
          </w:p>
        </w:tc>
        <w:tc>
          <w:tcPr>
            <w:tcW w:w="60" w:type="dxa"/>
            <w:tcBorders/>
            <w:tcMar>
              <w:bottom w:w="0" w:type="dxa"/>
            </w:tcMar>
            <w:vAlign w:val="center"/>
          </w:tcPr>
          <w:p>
            <w:pPr>
              <w:pStyle w:val="TableContents"/>
              <w:bidi w:val="0"/>
              <w:spacing w:before="0" w:after="283"/>
              <w:jc w:val="left"/>
              <w:rPr/>
            </w:pPr>
            <w:r>
              <w:rPr/>
              <w:t> </w:t>
            </w:r>
          </w:p>
        </w:tc>
        <w:tc>
          <w:tcPr>
            <w:tcW w:w="47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Number of Common Shares of the Borrower</w:t>
            </w:r>
          </w:p>
        </w:tc>
      </w:tr>
      <w:tr>
        <w:trPr/>
        <w:tc>
          <w:tcPr>
            <w:tcW w:w="4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or equal to 5.00:1.00, but less than 7.00:1.00</w:t>
            </w:r>
          </w:p>
        </w:tc>
        <w:tc>
          <w:tcPr>
            <w:tcW w:w="60" w:type="dxa"/>
            <w:tcBorders/>
            <w:tcMar>
              <w:bottom w:w="0" w:type="dxa"/>
            </w:tcMar>
            <w:vAlign w:val="center"/>
          </w:tcPr>
          <w:p>
            <w:pPr>
              <w:pStyle w:val="TableContents"/>
              <w:bidi w:val="0"/>
              <w:spacing w:before="0" w:after="283"/>
              <w:jc w:val="left"/>
              <w:rPr/>
            </w:pPr>
            <w:r>
              <w:rPr/>
              <w:t> </w:t>
            </w:r>
          </w:p>
        </w:tc>
        <w:tc>
          <w:tcPr>
            <w:tcW w:w="4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w:t>
            </w:r>
          </w:p>
        </w:tc>
      </w:tr>
      <w:tr>
        <w:trPr/>
        <w:tc>
          <w:tcPr>
            <w:tcW w:w="4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or equal to 7.00:1.00</w:t>
            </w:r>
          </w:p>
        </w:tc>
        <w:tc>
          <w:tcPr>
            <w:tcW w:w="60" w:type="dxa"/>
            <w:tcBorders/>
            <w:tcMar>
              <w:bottom w:w="0" w:type="dxa"/>
            </w:tcMar>
            <w:vAlign w:val="center"/>
          </w:tcPr>
          <w:p>
            <w:pPr>
              <w:pStyle w:val="TableContents"/>
              <w:bidi w:val="0"/>
              <w:spacing w:before="0" w:after="283"/>
              <w:jc w:val="left"/>
              <w:rPr/>
            </w:pPr>
            <w:r>
              <w:rPr/>
              <w:t> </w:t>
            </w:r>
          </w:p>
        </w:tc>
        <w:tc>
          <w:tcPr>
            <w:tcW w:w="47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270.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Certain Additional Rights of Lender (VCOC)</w:t>
      </w:r>
      <w:r>
        <w:rPr>
          <w:rFonts w:ascii="Times New Roman;Times;Serif" w:hAnsi="Times New Roman;Times;Serif"/>
          <w:b w:val="false"/>
          <w:i w:val="false"/>
          <w:caps w:val="false"/>
          <w:smallCaps w:val="false"/>
          <w:sz w:val="20"/>
        </w:rPr>
        <w:t>. The Borrower acknowledges that one of the Lenders (or its direct or indirect member or partner) intends to qualify as a “venture capital operating company” (as defined in the Department of Labor regulations located at 29 C.F.R. Section 2510.3-101, as modified by Section 3(42) of ERISA) (such Lender referred to in this paragraph as the “</w:t>
      </w:r>
      <w:r>
        <w:rPr>
          <w:rFonts w:ascii="Times New Roman;Times;Serif" w:hAnsi="Times New Roman;Times;Serif"/>
          <w:b/>
          <w:i/>
          <w:caps w:val="false"/>
          <w:smallCaps w:val="false"/>
          <w:sz w:val="20"/>
        </w:rPr>
        <w:t>VCOC Lender</w:t>
      </w:r>
      <w:r>
        <w:rPr>
          <w:rFonts w:ascii="Times New Roman;Times;Serif" w:hAnsi="Times New Roman;Times;Serif"/>
          <w:b w:val="false"/>
          <w:i w:val="false"/>
          <w:caps w:val="false"/>
          <w:smallCaps w:val="false"/>
          <w:sz w:val="20"/>
        </w:rPr>
        <w:t>”). Notwithstanding anything to the contrary contained in this Agreement, the VCOC Lender shall have the following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271.</w:t>
      </w:r>
      <w:r>
        <w:rPr>
          <w:rFonts w:ascii="Times New Roman;Times;Serif" w:hAnsi="Times New Roman;Times;Serif"/>
          <w:b w:val="false"/>
          <w:i w:val="false"/>
          <w:caps w:val="false"/>
          <w:smallCaps w:val="false"/>
          <w:sz w:val="20"/>
        </w:rPr>
        <w:t xml:space="preserve"> the right to consult with and advise the Borrower’s management regarding significant business activities and business and financial developments of the Borrower, with the VCOC Lender having the right to call meetings to facilitate such consultation and advice at reasonable times and upon reasonable advance notice, provided that (i) such meetings generally shall not occur more than once per quarter and (ii) such meetings may take place in person, via telephone or video conference;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272. </w:t>
      </w:r>
      <w:r>
        <w:rPr>
          <w:rFonts w:ascii="Times New Roman;Times;Serif" w:hAnsi="Times New Roman;Times;Serif"/>
          <w:b w:val="false"/>
          <w:i w:val="false"/>
          <w:caps w:val="false"/>
          <w:smallCaps w:val="false"/>
          <w:sz w:val="20"/>
        </w:rPr>
        <w:t>the right to visit and inspect the Borrower’s facilities and to inspect and examine the books and records of the Borrower in each case at reasonable times and upon reasonable advance notice, provided that (i) such visitation and inspection generally shall not occur more than once per quarter and (ii) the Borrower shall not be required to provide access to highly confidential or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273.</w:t>
      </w:r>
      <w:r>
        <w:rPr>
          <w:rFonts w:ascii="Times New Roman;Times;Serif" w:hAnsi="Times New Roman;Times;Serif"/>
          <w:b w:val="false"/>
          <w:i w:val="false"/>
          <w:caps w:val="false"/>
          <w:smallCaps w:val="false"/>
          <w:sz w:val="20"/>
        </w:rPr>
        <w:t xml:space="preserve"> the right, in accordance with the terms of this Agreement to receive monthly, quarterly and year-end financial reports;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274. </w:t>
      </w:r>
      <w:r>
        <w:rPr>
          <w:rFonts w:ascii="Times New Roman;Times;Serif" w:hAnsi="Times New Roman;Times;Serif"/>
          <w:b w:val="false"/>
          <w:i w:val="false"/>
          <w:caps w:val="false"/>
          <w:smallCaps w:val="false"/>
          <w:sz w:val="20"/>
        </w:rPr>
        <w:t>the Borrower shall use its reasonable best efforts to provide the VCOC Lender with true and correct copies of all documents, reports, financial data and other information regarding the Borrower as the VCOC Lender may reasonably request, provided that the Borrower shall not be required to provide access to highly confidential or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cause its management to consider, in good faith, the recommendations of the VCOC Lender provided to the Borrower in connection with the exercise of the foregoing rights, provided that the Borrower retains ultimate discretion with respect to all such matters. All rights granted to the VCOC Lender under this paragraph are in addition to any rights granted to the VCOC Lender in any other capacity and nothing herein shall be construed to limit, restrict or impair any such rights of the VCOC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275.</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NEGATIVE COVENANTS</w:t>
      </w:r>
    </w:p>
    <w:p>
      <w:pPr>
        <w:pStyle w:val="TextBody"/>
        <w:bidi w:val="0"/>
        <w:spacing w:before="0" w:after="0"/>
        <w:ind w:left="0" w:right="0" w:hanging="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Obligor covenants and agrees with the Administrative Agent and the Lenders that, until the Commitments have expired or been terminated and all Obligations (other than inchoate indemnification obligations for which no claim has been made), have been paid in full in cash:</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276.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Such Obligor will not, and will not permit any of its Subsidiaries to, create, incur, assume or permit to exist any Indebtedness, whether directly or indirectly,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277.</w:t>
      </w:r>
      <w:r>
        <w:rPr>
          <w:rFonts w:ascii="Times New Roman;Times;Serif" w:hAnsi="Times New Roman;Times;Serif"/>
          <w:b w:val="false"/>
          <w:i w:val="false"/>
          <w:caps w:val="false"/>
          <w:smallCaps w:val="false"/>
          <w:sz w:val="20"/>
        </w:rPr>
        <w:t xml:space="preserve">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278.</w:t>
      </w:r>
      <w:r>
        <w:rPr>
          <w:rFonts w:ascii="Times New Roman;Times;Serif" w:hAnsi="Times New Roman;Times;Serif"/>
          <w:b w:val="false"/>
          <w:i w:val="false"/>
          <w:caps w:val="false"/>
          <w:smallCaps w:val="false"/>
          <w:sz w:val="20"/>
        </w:rPr>
        <w:t xml:space="preserve"> Indebtedness existing on the date hereof and set forth on </w:t>
      </w:r>
      <w:r>
        <w:rPr>
          <w:rFonts w:ascii="Times New Roman;Times;Serif" w:hAnsi="Times New Roman;Times;Serif"/>
          <w:b/>
          <w:i w:val="false"/>
          <w:caps w:val="false"/>
          <w:smallCaps w:val="false"/>
          <w:sz w:val="20"/>
        </w:rPr>
        <w:t xml:space="preserve">Schedule 9.01(b) </w:t>
      </w:r>
      <w:r>
        <w:rPr>
          <w:rFonts w:ascii="Times New Roman;Times;Serif" w:hAnsi="Times New Roman;Times;Serif"/>
          <w:b w:val="false"/>
          <w:i w:val="false"/>
          <w:caps w:val="false"/>
          <w:smallCaps w:val="false"/>
          <w:sz w:val="20"/>
        </w:rPr>
        <w:t xml:space="preserve">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Indebtedness is intercompany Indebtedness, such Indebtedness shall be subject to the Intercompany Subordination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279.</w:t>
      </w:r>
      <w:r>
        <w:rPr>
          <w:rFonts w:ascii="Times New Roman;Times;Serif" w:hAnsi="Times New Roman;Times;Serif"/>
          <w:b w:val="false"/>
          <w:i w:val="false"/>
          <w:caps w:val="false"/>
          <w:smallCaps w:val="false"/>
          <w:sz w:val="20"/>
        </w:rPr>
        <w:t xml:space="preserve"> accounts payable to trade creditors for goods and services and current operating liabilities (not the result of the borrowing of money) incurred in the ordinary course of such Obligor’s or such Subsidiary’s business in accordance with customary terms and paid within the specified time, unless contested in good faith by appropriate proceedings and reserved for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280.</w:t>
      </w:r>
      <w:r>
        <w:rPr>
          <w:rFonts w:ascii="Times New Roman;Times;Serif" w:hAnsi="Times New Roman;Times;Serif"/>
          <w:b w:val="false"/>
          <w:i w:val="false"/>
          <w:caps w:val="false"/>
          <w:smallCaps w:val="false"/>
          <w:sz w:val="20"/>
        </w:rPr>
        <w:t xml:space="preserve"> Indebtedness consisting of guarantees resulting from the endorsement of negotiable instruments for collection in the Ordinary Course;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281.</w:t>
      </w:r>
      <w:r>
        <w:rPr>
          <w:rFonts w:ascii="Times New Roman;Times;Serif" w:hAnsi="Times New Roman;Times;Serif"/>
          <w:b w:val="false"/>
          <w:i w:val="false"/>
          <w:caps w:val="false"/>
          <w:smallCaps w:val="false"/>
          <w:sz w:val="20"/>
        </w:rPr>
        <w:t xml:space="preserve"> Indebtedness of an Obligor owing to any other Obligor, in each case subject to the Intercompany Subordination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282. </w:t>
      </w:r>
      <w:r>
        <w:rPr>
          <w:rFonts w:ascii="Times New Roman;Times;Serif" w:hAnsi="Times New Roman;Times;Serif"/>
          <w:b w:val="false"/>
          <w:i w:val="false"/>
          <w:caps w:val="false"/>
          <w:smallCaps w:val="false"/>
          <w:sz w:val="20"/>
        </w:rPr>
        <w:t>Indebtedness of any Subsidiary that is not an Obligor owing to any other Subsidiary that is not an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283. </w:t>
      </w:r>
      <w:r>
        <w:rPr>
          <w:rFonts w:ascii="Times New Roman;Times;Serif" w:hAnsi="Times New Roman;Times;Serif"/>
          <w:b w:val="false"/>
          <w:i w:val="false"/>
          <w:caps w:val="false"/>
          <w:smallCaps w:val="false"/>
          <w:sz w:val="20"/>
        </w:rPr>
        <w:t>Indebtedness of any Obligor (other than the Borrower) owing to any Subsidiary that is not another Obligor, in each case subject to the Intercompany Subordination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284.</w:t>
      </w:r>
      <w:r>
        <w:rPr>
          <w:rFonts w:ascii="Times New Roman;Times;Serif" w:hAnsi="Times New Roman;Times;Serif"/>
          <w:b w:val="false"/>
          <w:i w:val="false"/>
          <w:caps w:val="false"/>
          <w:smallCaps w:val="false"/>
          <w:sz w:val="20"/>
        </w:rPr>
        <w:t xml:space="preserve"> Guarantees by any Obligor of Permitted Indebtedness of another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285.</w:t>
      </w:r>
      <w:r>
        <w:rPr>
          <w:rFonts w:ascii="Times New Roman;Times;Serif" w:hAnsi="Times New Roman;Times;Serif"/>
          <w:b w:val="false"/>
          <w:i w:val="false"/>
          <w:caps w:val="false"/>
          <w:smallCaps w:val="false"/>
          <w:sz w:val="20"/>
        </w:rPr>
        <w:t xml:space="preserve"> equipment and software financing and leasing (including Capital Lease Obligations and purchase money Indebtedness) 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secured, the collateral therefor consists solely of the assets being financed, the products and proceeds thereof and books and records related thereto, and (ii) the aggregate outstanding principal amount of such Indebtedness does not exceed $3,000,000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286. </w:t>
      </w:r>
      <w:r>
        <w:rPr>
          <w:rFonts w:ascii="Times New Roman;Times;Serif" w:hAnsi="Times New Roman;Times;Serif"/>
          <w:b w:val="false"/>
          <w:i w:val="false"/>
          <w:caps w:val="false"/>
          <w:smallCaps w:val="false"/>
          <w:sz w:val="20"/>
        </w:rPr>
        <w:t>Indebtedness under Permitted Hedging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287. </w:t>
      </w:r>
      <w:r>
        <w:rPr>
          <w:rFonts w:ascii="Times New Roman;Times;Serif" w:hAnsi="Times New Roman;Times;Serif"/>
          <w:b w:val="false"/>
          <w:i w:val="false"/>
          <w:caps w:val="false"/>
          <w:smallCaps w:val="false"/>
          <w:sz w:val="20"/>
        </w:rPr>
        <w:t xml:space="preserve">Indebtedness assumed pursuant to any Permitted Acquisition 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Indebtedness (individually) shall exceed 15% of the total purchase price paid in connection with such Permitted Acquisition, (ii) the aggregate outstanding principal amount of Indebtedness permitted pursuant to this </w:t>
      </w:r>
      <w:r>
        <w:rPr>
          <w:rFonts w:ascii="Times New Roman;Times;Serif" w:hAnsi="Times New Roman;Times;Serif"/>
          <w:b/>
          <w:i w:val="false"/>
          <w:caps w:val="false"/>
          <w:smallCaps w:val="false"/>
          <w:sz w:val="20"/>
        </w:rPr>
        <w:t>Section 9.01(k)</w:t>
      </w:r>
      <w:r>
        <w:rPr>
          <w:rFonts w:ascii="Times New Roman;Times;Serif" w:hAnsi="Times New Roman;Times;Serif"/>
          <w:b w:val="false"/>
          <w:i w:val="false"/>
          <w:caps w:val="false"/>
          <w:smallCaps w:val="false"/>
          <w:sz w:val="20"/>
        </w:rPr>
        <w:t xml:space="preserve"> shall not exceed $5,000,000 at any time outstanding and (iii) no such Indebtedness was created or incurred in connection with, or in contemplation of, such Permitted Acquisition;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288.</w:t>
      </w:r>
      <w:r>
        <w:rPr>
          <w:rFonts w:ascii="Times New Roman;Times;Serif" w:hAnsi="Times New Roman;Times;Serif"/>
          <w:b w:val="false"/>
          <w:i w:val="false"/>
          <w:caps w:val="false"/>
          <w:smallCaps w:val="false"/>
          <w:sz w:val="20"/>
        </w:rPr>
        <w:t xml:space="preserve"> unsecured Indebtedness in an aggregate outstanding principal amount not to exceed $3,500,000;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289. </w:t>
      </w:r>
      <w:r>
        <w:rPr>
          <w:rFonts w:ascii="Times New Roman;Times;Serif" w:hAnsi="Times New Roman;Times;Serif"/>
          <w:b w:val="false"/>
          <w:i w:val="false"/>
          <w:caps w:val="false"/>
          <w:smallCaps w:val="false"/>
          <w:sz w:val="20"/>
        </w:rPr>
        <w:t xml:space="preserve">Indebtedness in respect of letters of credit, bank guarantees, bankers’ acceptances, warehouse receipts or similar instruments issued or created, or related to obligations or liabilities incurred, in the Ordinary Course, including in respect of workers compensation claims, health, disability or other employee benefits or property, leases, commercial contracts, Indebtedness permitted pursuant to </w:t>
      </w:r>
      <w:r>
        <w:rPr>
          <w:rFonts w:ascii="Times New Roman;Times;Serif" w:hAnsi="Times New Roman;Times;Serif"/>
          <w:b/>
          <w:i w:val="false"/>
          <w:caps w:val="false"/>
          <w:smallCaps w:val="false"/>
          <w:sz w:val="20"/>
        </w:rPr>
        <w:t>Section 9.01(o)</w:t>
      </w:r>
      <w:r>
        <w:rPr>
          <w:rFonts w:ascii="Times New Roman;Times;Serif" w:hAnsi="Times New Roman;Times;Serif"/>
          <w:b w:val="false"/>
          <w:i w:val="false"/>
          <w:caps w:val="false"/>
          <w:smallCaps w:val="false"/>
          <w:sz w:val="20"/>
        </w:rPr>
        <w:t>, property, casualty or liability insurance or self-insurance or other Indebtedness with respect to reimbursement-type obligations regarding workers compensation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290.</w:t>
      </w:r>
      <w:r>
        <w:rPr>
          <w:rFonts w:ascii="Times New Roman;Times;Serif" w:hAnsi="Times New Roman;Times;Serif"/>
          <w:b w:val="false"/>
          <w:i w:val="false"/>
          <w:caps w:val="false"/>
          <w:smallCaps w:val="false"/>
          <w:sz w:val="20"/>
        </w:rPr>
        <w:t xml:space="preserve"> Indebtedness arising in connection with the financing of insurance premiums in the Ordinary Course;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291. </w:t>
      </w:r>
      <w:r>
        <w:rPr>
          <w:rFonts w:ascii="Times New Roman;Times;Serif" w:hAnsi="Times New Roman;Times;Serif"/>
          <w:b w:val="false"/>
          <w:i w:val="false"/>
          <w:caps w:val="false"/>
          <w:smallCaps w:val="false"/>
          <w:sz w:val="20"/>
        </w:rPr>
        <w:t xml:space="preserve">Indebtedness in respect of (i) performance bonds, bid bonds, appeal bonds, surety bonds, customs bonds, government bonds, performance and completion guarantees and similar obligations arising in the Ordinary Course and (ii) customary indemnification obligations to purchasers in connection with Asset Sales permitted by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292. </w:t>
      </w:r>
      <w:r>
        <w:rPr>
          <w:rFonts w:ascii="Times New Roman;Times;Serif" w:hAnsi="Times New Roman;Times;Serif"/>
          <w:b w:val="false"/>
          <w:i w:val="false"/>
          <w:caps w:val="false"/>
          <w:smallCaps w:val="false"/>
          <w:sz w:val="20"/>
        </w:rPr>
        <w:t>Indebtedness in respect of netting services, overdraft protections, business credit cards, purchasing cards, payment processing, automatic clearinghouse arrangements, arrangements in respect of pooled deposit or sweep accounts, check endorsement guarantees, and otherwise in connection with deposit accounts or cash management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293. </w:t>
      </w:r>
      <w:r>
        <w:rPr>
          <w:rFonts w:ascii="Times New Roman;Times;Serif" w:hAnsi="Times New Roman;Times;Serif"/>
          <w:b w:val="false"/>
          <w:i w:val="false"/>
          <w:caps w:val="false"/>
          <w:smallCaps w:val="false"/>
          <w:sz w:val="20"/>
        </w:rPr>
        <w:t>purchase price adjustments, indemnity payments, incentive, non-compete, consulting or other similar arrangements, contingent obligations, royalties and other Deferred Acquisition Consideration in connection with (i) any Permitted Acquisition, in each case that are permitted pursuant to the definition of “Permitted Acquisition” and (ii) the Eyevance Acquisition, in each case that are permitted pursuant to the definition of “Eyevance Acquisition”;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294. </w:t>
      </w:r>
      <w:r>
        <w:rPr>
          <w:rFonts w:ascii="Times New Roman;Times;Serif" w:hAnsi="Times New Roman;Times;Serif"/>
          <w:b w:val="false"/>
          <w:i w:val="false"/>
          <w:caps w:val="false"/>
          <w:smallCaps w:val="false"/>
          <w:sz w:val="20"/>
        </w:rPr>
        <w:t xml:space="preserve">Indebtedness in respect of the Existing Notes and any refinancing, extension, renewal or replacement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such refinancing, extension, renewal or replacement shall not (A) exceed the outstanding principal amount of the Existing Notes being refinanced, extended, renewed or replaced (including by application of any interest that may be paid-in-kind during the term of such refinanced, extended, renewed or replaced Indebtedness), (B) have a maturity date that is prior to the date that is 91 days after the Maturity Date hereunder, (C) contain any financial covenants, (D) contain any other terms that are less favorable in any material respect to the Obligors and their respective Subsidiaries, and/or to the Administrative Agent or the other Secured Parties, than the terms governing the Existing Notes being refinanced, extended, renewed or replaced, (E) have an applicable all-in yield (whether in the form of interest rate, margin, interest rate floor, upfront fees, original issue discount or any other similar fees paid to all lenders or holders generally;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upfront fees, original issue discount and other similar fees shall be equated to interest rate assuming a four (4) year life to maturity (or, if less, the stated life to maturity at the time of incurrence of the applicable Indebtedness)) which exceeds the rate of interest of the Existing Notes being refinanced, extended, renewed or replaced plus 1.00% per annum, (F) grant any Lien (and such Indebtedness shall be unsecured) or (G) give any Guarantee that was not an existing requirement of the Existing Notes and (ii) immediately prior to and immediately after such refinancing, extension, renewal or replacement, no Default or Event of Default shall exist;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295.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Liens</w:t>
      </w:r>
      <w:r>
        <w:rPr>
          <w:rFonts w:ascii="Times New Roman;Times;Serif" w:hAnsi="Times New Roman;Times;Serif"/>
          <w:b w:val="false"/>
          <w:i w:val="false"/>
          <w:caps w:val="false"/>
          <w:smallCaps w:val="false"/>
          <w:sz w:val="20"/>
        </w:rPr>
        <w:t>. Such Obligor will not, and will not permit any of its Subsidiaries to, create, incur, assume or permit to exist any Lien on any property now owned by it or such Subsidiary,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296. </w:t>
      </w:r>
      <w:r>
        <w:rPr>
          <w:rFonts w:ascii="Times New Roman;Times;Serif" w:hAnsi="Times New Roman;Times;Serif"/>
          <w:b w:val="false"/>
          <w:i w:val="false"/>
          <w:caps w:val="false"/>
          <w:smallCaps w:val="false"/>
          <w:sz w:val="20"/>
        </w:rPr>
        <w:t>Liens securing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297.</w:t>
      </w:r>
      <w:r>
        <w:rPr>
          <w:rFonts w:ascii="Times New Roman;Times;Serif" w:hAnsi="Times New Roman;Times;Serif"/>
          <w:b w:val="false"/>
          <w:i w:val="false"/>
          <w:caps w:val="false"/>
          <w:smallCaps w:val="false"/>
          <w:sz w:val="20"/>
        </w:rPr>
        <w:t xml:space="preserve"> any Lien on any property or asset of such Obligor or any of its Subsidiaries existing on the date hereof and set forth on </w:t>
      </w:r>
      <w:r>
        <w:rPr>
          <w:rFonts w:ascii="Times New Roman;Times;Serif" w:hAnsi="Times New Roman;Times;Serif"/>
          <w:b/>
          <w:i w:val="false"/>
          <w:caps w:val="false"/>
          <w:smallCaps w:val="false"/>
          <w:sz w:val="20"/>
        </w:rPr>
        <w:t xml:space="preserve">Schedule 9.02(b) </w:t>
      </w:r>
      <w:r>
        <w:rPr>
          <w:rFonts w:ascii="Times New Roman;Times;Serif" w:hAnsi="Times New Roman;Times;Serif"/>
          <w:b w:val="false"/>
          <w:i w:val="false"/>
          <w:caps w:val="false"/>
          <w:smallCaps w:val="false"/>
          <w:sz w:val="20"/>
        </w:rPr>
        <w:t xml:space="preserve">and renewals and extensions thereof in connection with Permitted Refinancings of the Indebtedness being secured by such Lien;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Lien (including any renewal or extension thereof) shall extend to any other property or asset of such Obligor or any of its Subsidiaries (other than improvements and accessions to such property or asset) and (ii) any such Lien shall secure only those obligations which it secures on the date hereof and renewals, extensions and replacements thereof in connection with Permitted Refinancings of the Indebtedness being secured by such Lien that do not increase the outstanding principal amount thereof (other than by an amount equal to unpaid interest and premiums thereon, including tender premium, and required prepayment premiums, and any customary underwriting discounts, fees, commissions and expenses associated with such extension, renewal or replacement);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298. </w:t>
      </w:r>
      <w:r>
        <w:rPr>
          <w:rFonts w:ascii="Times New Roman;Times;Serif" w:hAnsi="Times New Roman;Times;Serif"/>
          <w:b w:val="false"/>
          <w:i w:val="false"/>
          <w:caps w:val="false"/>
          <w:smallCaps w:val="false"/>
          <w:sz w:val="20"/>
        </w:rPr>
        <w:t xml:space="preserve">Liens securing Indebtedness permitted under </w:t>
      </w:r>
      <w:r>
        <w:rPr>
          <w:rFonts w:ascii="Times New Roman;Times;Serif" w:hAnsi="Times New Roman;Times;Serif"/>
          <w:b/>
          <w:i w:val="false"/>
          <w:caps w:val="false"/>
          <w:smallCaps w:val="false"/>
          <w:sz w:val="20"/>
        </w:rPr>
        <w:t>Section 9.01(i)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are restricted solely to the collateral described in </w:t>
      </w:r>
      <w:r>
        <w:rPr>
          <w:rFonts w:ascii="Times New Roman;Times;Serif" w:hAnsi="Times New Roman;Times;Serif"/>
          <w:b/>
          <w:i w:val="false"/>
          <w:caps w:val="false"/>
          <w:smallCaps w:val="false"/>
          <w:sz w:val="20"/>
        </w:rPr>
        <w:t>Section 9.01(i)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299. </w:t>
      </w:r>
      <w:r>
        <w:rPr>
          <w:rFonts w:ascii="Times New Roman;Times;Serif" w:hAnsi="Times New Roman;Times;Serif"/>
          <w:b w:val="false"/>
          <w:i w:val="false"/>
          <w:caps w:val="false"/>
          <w:smallCaps w:val="false"/>
          <w:sz w:val="20"/>
        </w:rPr>
        <w:t>Liens imposed by any Law and arising in the Ordinary Course, including (but not limited to) carriers’, warehousemen’s, landlords’, and mechanics’ liens, liens relating to leasehold improvements and other similar Liens arising in the Ordinary Course that (x) do not in the aggregate materially detract from the value of the property subject thereto or materially impair the use thereof in the operations of the business of such Person or (y) are being contested in good faith by appropriate proceedings, which proceedings have the effect of preventing the forfeiture or sale of the property subject to such Liens and for which adequate reserves have been made if required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300.</w:t>
      </w:r>
      <w:r>
        <w:rPr>
          <w:rFonts w:ascii="Times New Roman;Times;Serif" w:hAnsi="Times New Roman;Times;Serif"/>
          <w:b w:val="false"/>
          <w:i w:val="false"/>
          <w:caps w:val="false"/>
          <w:smallCaps w:val="false"/>
          <w:sz w:val="20"/>
        </w:rPr>
        <w:t xml:space="preserve"> pledges or deposits made in the Ordinary Course in connection with bids, contract leases, appeal bonds, workers’ compensation, unemployment insurance or other similar social security legislation;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301. </w:t>
      </w:r>
      <w:r>
        <w:rPr>
          <w:rFonts w:ascii="Times New Roman;Times;Serif" w:hAnsi="Times New Roman;Times;Serif"/>
          <w:b w:val="false"/>
          <w:i w:val="false"/>
          <w:caps w:val="false"/>
          <w:smallCaps w:val="false"/>
          <w:sz w:val="20"/>
        </w:rPr>
        <w:t>Liens securing Taxes, assessments and other governmental charges, the payment of which is not past due or is being contested in good faith by appropriate proceedings promptly initiated and diligently conducted and for which such reserve or other appropriate provisions, if any, as shall be required by GAAP shall have been made;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302. </w:t>
      </w:r>
      <w:r>
        <w:rPr>
          <w:rFonts w:ascii="Times New Roman;Times;Serif" w:hAnsi="Times New Roman;Times;Serif"/>
          <w:b w:val="false"/>
          <w:i w:val="false"/>
          <w:caps w:val="false"/>
          <w:smallCaps w:val="false"/>
          <w:sz w:val="20"/>
        </w:rPr>
        <w:t>any (i) servitudes, easements, rights of way, restrictions and other similar encumbrances on real property imposed by any Law, (ii) Liens consisting of zoning or building restrictions, (iii) easements, licenses, restrictions on the use of real property or minor imperfections in title thereto which, in the aggregate, are not material, and which do not in any case materially detract from the value of the property subject thereto or interfere with the ordinary conduct of the business of any of the Obligors or any of their Subsidiaries;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303. </w:t>
      </w:r>
      <w:r>
        <w:rPr>
          <w:rFonts w:ascii="Times New Roman;Times;Serif" w:hAnsi="Times New Roman;Times;Serif"/>
          <w:b w:val="false"/>
          <w:i w:val="false"/>
          <w:caps w:val="false"/>
          <w:smallCaps w:val="false"/>
          <w:sz w:val="20"/>
        </w:rPr>
        <w:t xml:space="preserve">with respect to any real property, (i) such defects or encroachments as might be revealed by an up-to-date survey of such real property; (ii) the reservations, limitations, provisos and conditions expressed in the original grant, deed or patent of such property by the original owner of such real property pursuant to all applicable Laws; and (iii) rights of expropriation, access or user or any similar right conferred or reserved by or in any Law, which, in the aggregate for </w:t>
      </w:r>
      <w:r>
        <w:rPr>
          <w:rFonts w:ascii="Times New Roman;Times;Serif" w:hAnsi="Times New Roman;Times;Serif"/>
          <w:b/>
          <w:i w:val="false"/>
          <w:caps w:val="false"/>
          <w:smallCaps w:val="false"/>
          <w:sz w:val="20"/>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are not material, and which do not in any case materially detract from the value of the property subject thereto or interfere with the ordinary conduct of the business of any of the Obligors or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bankers liens, rights of setoff and similar Liens incurred on deposits or other assets credited to any deposit or securities account made in the Ordinary Course;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Liens securing Indebtedness permitted under </w:t>
      </w:r>
      <w:r>
        <w:rPr>
          <w:rFonts w:ascii="Times New Roman;Times;Serif" w:hAnsi="Times New Roman;Times;Serif"/>
          <w:b/>
          <w:i w:val="false"/>
          <w:caps w:val="false"/>
          <w:smallCaps w:val="false"/>
          <w:sz w:val="20"/>
        </w:rPr>
        <w:t>Section 9.01(k)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is not created in contemplation of or in connection with such Permitted Acquisition pursuant to which such Indebtedness was assumed, (ii) such Lien shall not apply to any other property or assets of the Borrower or any Subsidiary other than the assets subject to such Liens immediately prior to the consummation of the Permitted Acquisition, and (iii) such Lien shall secure only those obligations that it secured immediately prior to the consummation of such Permitted Acquisition, and extensions, renewals and replacements thereof that do not increase the outstanding principal amount thereof;</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304. </w:t>
      </w:r>
      <w:r>
        <w:rPr>
          <w:rFonts w:ascii="Times New Roman;Times;Serif" w:hAnsi="Times New Roman;Times;Serif"/>
          <w:b w:val="false"/>
          <w:i w:val="false"/>
          <w:caps w:val="false"/>
          <w:smallCaps w:val="false"/>
          <w:sz w:val="20"/>
        </w:rPr>
        <w:t xml:space="preserve">Liens securing Indebtedness permitted under </w:t>
      </w:r>
      <w:r>
        <w:rPr>
          <w:rFonts w:ascii="Times New Roman;Times;Serif" w:hAnsi="Times New Roman;Times;Serif"/>
          <w:b/>
          <w:i w:val="false"/>
          <w:caps w:val="false"/>
          <w:smallCaps w:val="false"/>
          <w:sz w:val="20"/>
        </w:rPr>
        <w:t>Sections 9.01(m), (n), (o)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305. </w:t>
      </w:r>
      <w:r>
        <w:rPr>
          <w:rFonts w:ascii="Times New Roman;Times;Serif" w:hAnsi="Times New Roman;Times;Serif"/>
          <w:b w:val="false"/>
          <w:i w:val="false"/>
          <w:caps w:val="false"/>
          <w:smallCaps w:val="false"/>
          <w:sz w:val="20"/>
        </w:rPr>
        <w:t>any judgment Lien or Lien arising from decrees or attachments not constituting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306. </w:t>
      </w:r>
      <w:r>
        <w:rPr>
          <w:rFonts w:ascii="Times New Roman;Times;Serif" w:hAnsi="Times New Roman;Times;Serif"/>
          <w:b w:val="false"/>
          <w:i w:val="false"/>
          <w:caps w:val="false"/>
          <w:smallCaps w:val="false"/>
          <w:sz w:val="20"/>
        </w:rPr>
        <w:t>Liens arising from precautionary UCC financing statement filings regarding operating leases of personal property and consignment arrangements entered into in the Ordinary Course in an Arm’s Length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307.</w:t>
      </w:r>
      <w:r>
        <w:rPr>
          <w:rFonts w:ascii="Times New Roman;Times;Serif" w:hAnsi="Times New Roman;Times;Serif"/>
          <w:b w:val="false"/>
          <w:i w:val="false"/>
          <w:caps w:val="false"/>
          <w:smallCaps w:val="false"/>
          <w:sz w:val="20"/>
        </w:rPr>
        <w:t xml:space="preserve"> Liens which secure obligations in an aggregate amount not to exceed $3,500,000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308.</w:t>
      </w:r>
      <w:r>
        <w:rPr>
          <w:rFonts w:ascii="Times New Roman;Times;Serif" w:hAnsi="Times New Roman;Times;Serif"/>
          <w:b w:val="false"/>
          <w:i w:val="false"/>
          <w:caps w:val="false"/>
          <w:smallCaps w:val="false"/>
          <w:sz w:val="20"/>
        </w:rPr>
        <w:t xml:space="preserve"> Liens in favor of customs and revenue authorities arising as a matter of law to secure payment of customs duties in connection with the importation of goods and incurred in the Ordinary Course;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309.</w:t>
      </w:r>
      <w:r>
        <w:rPr>
          <w:rFonts w:ascii="Times New Roman;Times;Serif" w:hAnsi="Times New Roman;Times;Serif"/>
          <w:b w:val="false"/>
          <w:i w:val="false"/>
          <w:caps w:val="false"/>
          <w:smallCaps w:val="false"/>
          <w:sz w:val="20"/>
        </w:rPr>
        <w:t xml:space="preserve"> Permitted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310. </w:t>
      </w:r>
      <w:r>
        <w:rPr>
          <w:rFonts w:ascii="Times New Roman;Times;Serif" w:hAnsi="Times New Roman;Times;Serif"/>
          <w:b w:val="false"/>
          <w:i w:val="false"/>
          <w:caps w:val="false"/>
          <w:smallCaps w:val="false"/>
          <w:sz w:val="20"/>
        </w:rPr>
        <w:t>Liens on cash and Cash Equivalent Investments securing obligations under Permitted Hedging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311.</w:t>
      </w:r>
      <w:r>
        <w:rPr>
          <w:rFonts w:ascii="Times New Roman;Times;Serif" w:hAnsi="Times New Roman;Times;Serif"/>
          <w:b w:val="false"/>
          <w:i w:val="false"/>
          <w:caps w:val="false"/>
          <w:smallCaps w:val="false"/>
          <w:sz w:val="20"/>
        </w:rPr>
        <w:t>(i) Liens to secure payment of workers’ compensation, employment insurance, old age pensions, social security and other like obligations incurred in the Ordinary Course (other than Liens imposed by ERISA) and (ii) deposits in respect of letters of credit, bank guarantees or similar instruments issued for the account of any Obligor or any Subsidiary in the Ordinary Course supporting obligations of the type set forth in clause (i)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312.</w:t>
      </w:r>
      <w:r>
        <w:rPr>
          <w:rFonts w:ascii="Times New Roman;Times;Serif" w:hAnsi="Times New Roman;Times;Serif"/>
          <w:b w:val="false"/>
          <w:i w:val="false"/>
          <w:caps w:val="false"/>
          <w:smallCaps w:val="false"/>
          <w:sz w:val="20"/>
        </w:rPr>
        <w:t xml:space="preserve"> to the extent constituting a Lien, customary cash escrow arrangements securing indemnification obligations associated with a Permitted Acquisition, the Eyevance Acquisition or any other Investment permitted under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not to exceed $2,500,000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313.</w:t>
      </w:r>
      <w:r>
        <w:rPr>
          <w:rFonts w:ascii="Times New Roman;Times;Serif" w:hAnsi="Times New Roman;Times;Serif"/>
          <w:b w:val="false"/>
          <w:i w:val="false"/>
          <w:caps w:val="false"/>
          <w:smallCaps w:val="false"/>
          <w:sz w:val="20"/>
        </w:rPr>
        <w:t xml:space="preserve"> Liens of a collection bank arising under Section 4-210 of the Uniform Commercial Code on items in the course of collection;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314.</w:t>
      </w:r>
      <w:r>
        <w:rPr>
          <w:rFonts w:ascii="Times New Roman;Times;Serif" w:hAnsi="Times New Roman;Times;Serif"/>
          <w:b w:val="false"/>
          <w:i w:val="false"/>
          <w:caps w:val="false"/>
          <w:smallCaps w:val="false"/>
          <w:sz w:val="20"/>
        </w:rPr>
        <w:t xml:space="preserve"> Liens of sellers of goods to the Borrower and any of its Subsidiaries arising under Article 2 of the Uniform Commercial Code or otherwise in the Ordinary Course, covering only the goods sold and securing only the unpaid purchase price for such goods and related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315.</w:t>
      </w:r>
      <w:r>
        <w:rPr>
          <w:rFonts w:ascii="Times New Roman;Times;Serif" w:hAnsi="Times New Roman;Times;Serif"/>
          <w:b w:val="false"/>
          <w:i w:val="false"/>
          <w:caps w:val="false"/>
          <w:smallCaps w:val="false"/>
          <w:sz w:val="20"/>
        </w:rPr>
        <w:t xml:space="preserve"> rights of first refusal, voting, redemption, transfer or other restrictions (including call provisions and buy-sell provisions) with respect to the Equity Interests of any Joint Venture or other Persons that are not Subsidiaries;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316.</w:t>
      </w:r>
      <w:r>
        <w:rPr>
          <w:rFonts w:ascii="Times New Roman;Times;Serif" w:hAnsi="Times New Roman;Times;Serif"/>
          <w:b w:val="false"/>
          <w:i w:val="false"/>
          <w:caps w:val="false"/>
          <w:smallCaps w:val="false"/>
          <w:sz w:val="20"/>
        </w:rPr>
        <w:t xml:space="preserve"> any Lien arising under conditional sale, title retention, consignment or similar arrangements for the sale of goods in the Ordinary Course;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 attaches only to the goods subject to such sale, title retention, consignment or similar arrangement;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Lien otherwise permitted under any of the foregoing </w:t>
      </w:r>
      <w:r>
        <w:rPr>
          <w:rFonts w:ascii="Times New Roman;Times;Serif" w:hAnsi="Times New Roman;Times;Serif"/>
          <w:b/>
          <w:i w:val="false"/>
          <w:caps w:val="false"/>
          <w:smallCaps w:val="false"/>
          <w:sz w:val="20"/>
        </w:rPr>
        <w:t>clauses (c), (d), (e)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i w:val="false"/>
          <w:caps w:val="false"/>
          <w:smallCaps w:val="false"/>
          <w:sz w:val="20"/>
        </w:rPr>
        <w:t>(k), (m), (n), (o)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(q)</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i w:val="false"/>
          <w:caps w:val="false"/>
          <w:smallCaps w:val="false"/>
          <w:sz w:val="20"/>
        </w:rPr>
        <w:t xml:space="preserve">(w)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i w:val="false"/>
          <w:caps w:val="false"/>
          <w:smallCaps w:val="false"/>
          <w:sz w:val="20"/>
        </w:rPr>
        <w:t xml:space="preserve">Section 9.02 </w:t>
      </w:r>
      <w:r>
        <w:rPr>
          <w:rFonts w:ascii="Times New Roman;Times;Serif" w:hAnsi="Times New Roman;Times;Serif"/>
          <w:b w:val="false"/>
          <w:i w:val="false"/>
          <w:caps w:val="false"/>
          <w:smallCaps w:val="false"/>
          <w:sz w:val="20"/>
        </w:rPr>
        <w:t>shall apply to any Material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Fundamental Changes and Acquisitions</w:t>
      </w:r>
      <w:r>
        <w:rPr>
          <w:rFonts w:ascii="Times New Roman;Times;Serif" w:hAnsi="Times New Roman;Times;Serif"/>
          <w:b w:val="false"/>
          <w:i w:val="false"/>
          <w:caps w:val="false"/>
          <w:smallCaps w:val="false"/>
          <w:sz w:val="20"/>
        </w:rPr>
        <w:t xml:space="preserve">. Such Obligor will not, and will not permit any of its Subsidiaries to, (i) enter into any transaction of merger, amalgamation or consolidation, (ii) liquidate, wind up or dissolve itself (or suffer any liquidation or dissolution), (iii) sell or issue any of its Disqualified Equity Interests or (iv) other than Permitted Acquisitions, the Eyevance Acquisition and any Acquisition permitted by </w:t>
      </w:r>
      <w:r>
        <w:rPr>
          <w:rFonts w:ascii="Times New Roman;Times;Serif" w:hAnsi="Times New Roman;Times;Serif"/>
          <w:b/>
          <w:i w:val="false"/>
          <w:caps w:val="false"/>
          <w:smallCaps w:val="false"/>
          <w:sz w:val="20"/>
        </w:rPr>
        <w:t>Section 9.05(a)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9.05(t)</w:t>
      </w:r>
      <w:r>
        <w:rPr>
          <w:rFonts w:ascii="Times New Roman;Times;Serif" w:hAnsi="Times New Roman;Times;Serif"/>
          <w:b w:val="false"/>
          <w:i w:val="false"/>
          <w:caps w:val="false"/>
          <w:smallCaps w:val="false"/>
          <w:sz w:val="20"/>
        </w:rPr>
        <w:t>, make any Acquisition or otherwise acquire any business or substantially all the property from, or Equity Interests of, or be a party to any Acquisition of, any Person,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318. </w:t>
      </w:r>
      <w:r>
        <w:rPr>
          <w:rFonts w:ascii="Times New Roman;Times;Serif" w:hAnsi="Times New Roman;Times;Serif"/>
          <w:b w:val="false"/>
          <w:i w:val="false"/>
          <w:caps w:val="false"/>
          <w:smallCaps w:val="false"/>
          <w:sz w:val="20"/>
        </w:rPr>
        <w:t xml:space="preserve">the merger, amalgamation, consolidation, dissolution, winding up or liquidation of any (i) Subsidiary with or into any Obligor;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transaction involving (x) the Borrower, the Borrower must be the surviving or successor entity of such transaction or (y) any other Obligor, an Obligor must be the surviving or successor entity of such transaction or the surviving Person shall concurrently therewith become an Obligor or (ii) Subsidiary that is not an Obligor with or into any other Subsidiary that is not an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319. </w:t>
      </w:r>
      <w:r>
        <w:rPr>
          <w:rFonts w:ascii="Times New Roman;Times;Serif" w:hAnsi="Times New Roman;Times;Serif"/>
          <w:b w:val="false"/>
          <w:i w:val="false"/>
          <w:caps w:val="false"/>
          <w:smallCaps w:val="false"/>
          <w:sz w:val="20"/>
        </w:rPr>
        <w:t>the sale, lease, transfer or other disposition by (i) any Obligor (other than the Borrower) of any or all of its property (upon voluntary liquidation, dissolution, winding-up or otherwise) to the any other Obligor or to any entity that concurrently therewith shall become an Obligor or (ii) any Subsidiary that not an Obligor of any or all of its property (upon voluntary liquidation, dissolution, winding-up or otherwise) to any other Subsidiary that is not an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320.</w:t>
      </w:r>
      <w:r>
        <w:rPr>
          <w:rFonts w:ascii="Times New Roman;Times;Serif" w:hAnsi="Times New Roman;Times;Serif"/>
          <w:b w:val="false"/>
          <w:i w:val="false"/>
          <w:caps w:val="false"/>
          <w:smallCaps w:val="false"/>
          <w:sz w:val="20"/>
        </w:rPr>
        <w:t xml:space="preserve"> the sale, transfer or other disposition of the Equity Interests of (i) any Subsidiary to an Obligor or (ii) any Subsidiary that is not an Obligor owned by a Subsidiary that is not an Obligor, to any other Subsidiary that is not an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321.</w:t>
      </w:r>
      <w:r>
        <w:rPr>
          <w:rFonts w:ascii="Times New Roman;Times;Serif" w:hAnsi="Times New Roman;Times;Serif"/>
          <w:b w:val="false"/>
          <w:i w:val="false"/>
          <w:caps w:val="false"/>
          <w:smallCaps w:val="false"/>
          <w:sz w:val="20"/>
        </w:rPr>
        <w:t xml:space="preserve"> mergers, amalgamations, consolidations, dissolutions or liquidations of any Subsidiary to effectuate any Asset Sales permitted under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the surviving or receiving party, as applicable, with respect to any such merger, amalgamation, consolidation, dissolution or liquidation that involves the Borrower; and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322.</w:t>
      </w:r>
      <w:r>
        <w:rPr>
          <w:rFonts w:ascii="Times New Roman;Times;Serif" w:hAnsi="Times New Roman;Times;Serif"/>
          <w:b w:val="false"/>
          <w:i w:val="false"/>
          <w:caps w:val="false"/>
          <w:smallCaps w:val="false"/>
          <w:sz w:val="20"/>
        </w:rPr>
        <w:t xml:space="preserve"> in connection with any Permitted Acquisition or other Investment permitted under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any Obligor or any of its Subsidiaries may merge into or consolidate with any other Person or permit any other Person to merge into or consolidate with it, so long as (i) the Person surviving such merger with any Subsidiary shall be a direct or indirect wholly-owned Subsidiary of the Borrower, (ii) in the case of any such merger to which the Borrower is a party, the Borrower is the surviving Person, and (iii) in the case of any such merger to which a Subsidiary Guarantor is a party, the surviving Person is such Subsidiary Guarantor or concurrently therewith becomes a Subsidiary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323. </w:t>
      </w:r>
      <w:r>
        <w:rPr>
          <w:rFonts w:ascii="Times New Roman;Times;Serif" w:hAnsi="Times New Roman;Times;Serif"/>
          <w:b/>
          <w:i/>
          <w:caps w:val="false"/>
          <w:smallCaps w:val="false"/>
          <w:sz w:val="20"/>
        </w:rPr>
        <w:t>Lines of Business</w:t>
      </w:r>
      <w:r>
        <w:rPr>
          <w:rFonts w:ascii="Times New Roman;Times;Serif" w:hAnsi="Times New Roman;Times;Serif"/>
          <w:b w:val="false"/>
          <w:i w:val="false"/>
          <w:caps w:val="false"/>
          <w:smallCaps w:val="false"/>
          <w:sz w:val="20"/>
        </w:rPr>
        <w:t>. Such Obligor will not, and will not permit any of its Subsidiaries to, engage in any business other than the business engaged in on the date hereof by such Persons or a business reasonably related, incidental or complementary thereto or reasonable expansions or extensions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324.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Investments</w:t>
      </w:r>
      <w:r>
        <w:rPr>
          <w:rFonts w:ascii="Times New Roman;Times;Serif" w:hAnsi="Times New Roman;Times;Serif"/>
          <w:b w:val="false"/>
          <w:i w:val="false"/>
          <w:caps w:val="false"/>
          <w:smallCaps w:val="false"/>
          <w:sz w:val="20"/>
        </w:rPr>
        <w:t>. Such Obligor will not, and will not permit any of its Subsidiaries to, make, directly or indirectly, or permit to remain outstanding any Investments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325.</w:t>
      </w:r>
      <w:r>
        <w:rPr>
          <w:rFonts w:ascii="Times New Roman;Times;Serif" w:hAnsi="Times New Roman;Times;Serif"/>
          <w:b w:val="false"/>
          <w:i w:val="false"/>
          <w:caps w:val="false"/>
          <w:smallCaps w:val="false"/>
          <w:sz w:val="20"/>
        </w:rPr>
        <w:t xml:space="preserve"> Investments (but without giving effect to the cash return provision contained in the definition thereof) outstanding on the date hereof and identified in </w:t>
      </w:r>
      <w:r>
        <w:rPr>
          <w:rFonts w:ascii="Times New Roman;Times;Serif" w:hAnsi="Times New Roman;Times;Serif"/>
          <w:b/>
          <w:i w:val="false"/>
          <w:caps w:val="false"/>
          <w:smallCaps w:val="false"/>
          <w:sz w:val="20"/>
        </w:rPr>
        <w:t xml:space="preserve">Schedule 9.05(a) </w:t>
      </w:r>
      <w:r>
        <w:rPr>
          <w:rFonts w:ascii="Times New Roman;Times;Serif" w:hAnsi="Times New Roman;Times;Serif"/>
          <w:b w:val="false"/>
          <w:i w:val="false"/>
          <w:caps w:val="false"/>
          <w:smallCaps w:val="false"/>
          <w:sz w:val="20"/>
        </w:rPr>
        <w:t>and any renewals, amendments and replacements thereof that do not increase the amount thereof of any such Investment, net of cash returns thereon, or require that any additional Investment be made (unless otherwise permitted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326.</w:t>
      </w:r>
      <w:r>
        <w:rPr>
          <w:rFonts w:ascii="Times New Roman;Times;Serif" w:hAnsi="Times New Roman;Times;Serif"/>
          <w:b w:val="false"/>
          <w:i w:val="false"/>
          <w:caps w:val="false"/>
          <w:smallCaps w:val="false"/>
          <w:sz w:val="20"/>
        </w:rPr>
        <w:t xml:space="preserve"> deposit accounts with banks (or similar deposit-taking institutions) and securities accounts maintained by the Obligors and their respective Subsidiaries, which in the case of the Obligors shall be Controlled Accounts (unless Excluded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327.</w:t>
      </w:r>
      <w:r>
        <w:rPr>
          <w:rFonts w:ascii="Times New Roman;Times;Serif" w:hAnsi="Times New Roman;Times;Serif"/>
          <w:b w:val="false"/>
          <w:i w:val="false"/>
          <w:caps w:val="false"/>
          <w:smallCaps w:val="false"/>
          <w:sz w:val="20"/>
        </w:rPr>
        <w:t xml:space="preserve"> extensions of credit in the nature of accounts receivable or notes receivable arising from the sales of goods or services or the grant of trade credit in the Ordinary Course in an Arm’s Length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328.</w:t>
      </w:r>
      <w:r>
        <w:rPr>
          <w:rFonts w:ascii="Times New Roman;Times;Serif" w:hAnsi="Times New Roman;Times;Serif"/>
          <w:b w:val="false"/>
          <w:i w:val="false"/>
          <w:caps w:val="false"/>
          <w:smallCaps w:val="false"/>
          <w:sz w:val="20"/>
        </w:rPr>
        <w:t xml:space="preserve"> Permitted Cash Equivalent Investments, which in the case of the Obligors shall be maintained in Controlled Accounts subject to </w:t>
      </w:r>
      <w:r>
        <w:rPr>
          <w:rFonts w:ascii="Times New Roman;Times;Serif" w:hAnsi="Times New Roman;Times;Serif"/>
          <w:b/>
          <w:i w:val="false"/>
          <w:caps w:val="false"/>
          <w:smallCaps w:val="false"/>
          <w:sz w:val="20"/>
        </w:rPr>
        <w:t xml:space="preserve">Section 8.17(d)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(unless maintained in Excluded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329. </w:t>
      </w:r>
      <w:r>
        <w:rPr>
          <w:rFonts w:ascii="Times New Roman;Times;Serif" w:hAnsi="Times New Roman;Times;Serif"/>
          <w:b w:val="false"/>
          <w:i w:val="false"/>
          <w:caps w:val="false"/>
          <w:smallCaps w:val="false"/>
          <w:sz w:val="20"/>
        </w:rPr>
        <w:t>Investments by (i) an Obligor in another Obligor and (ii) a Subsidiary that is not an Obligor in any other Subsidiary that is not an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330. </w:t>
      </w:r>
      <w:r>
        <w:rPr>
          <w:rFonts w:ascii="Times New Roman;Times;Serif" w:hAnsi="Times New Roman;Times;Serif"/>
          <w:b w:val="false"/>
          <w:i w:val="false"/>
          <w:caps w:val="false"/>
          <w:smallCaps w:val="false"/>
          <w:sz w:val="20"/>
        </w:rPr>
        <w:t xml:space="preserve">Investments by a Subsidiary that is not an Obligor in an Obligor;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Investment made by any Subsidiary that is not an Obligor pursuant to this </w:t>
      </w:r>
      <w:r>
        <w:rPr>
          <w:rFonts w:ascii="Times New Roman;Times;Serif" w:hAnsi="Times New Roman;Times;Serif"/>
          <w:b/>
          <w:i w:val="false"/>
          <w:caps w:val="false"/>
          <w:smallCaps w:val="false"/>
          <w:sz w:val="20"/>
        </w:rPr>
        <w:t>clause (f)</w:t>
      </w:r>
      <w:r>
        <w:rPr>
          <w:rFonts w:ascii="Times New Roman;Times;Serif" w:hAnsi="Times New Roman;Times;Serif"/>
          <w:b w:val="false"/>
          <w:i w:val="false"/>
          <w:caps w:val="false"/>
          <w:smallCaps w:val="false"/>
          <w:sz w:val="20"/>
        </w:rPr>
        <w:t xml:space="preserve"> shall be subordinated in right of payment to the Obligations pursuant to the Intercompany Subordination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331.</w:t>
      </w:r>
      <w:r>
        <w:rPr>
          <w:rFonts w:ascii="Times New Roman;Times;Serif" w:hAnsi="Times New Roman;Times;Serif"/>
          <w:b w:val="false"/>
          <w:i w:val="false"/>
          <w:caps w:val="false"/>
          <w:smallCaps w:val="false"/>
          <w:sz w:val="20"/>
        </w:rPr>
        <w:t xml:space="preserve"> Permitted Hedging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332. </w:t>
      </w:r>
      <w:r>
        <w:rPr>
          <w:rFonts w:ascii="Times New Roman;Times;Serif" w:hAnsi="Times New Roman;Times;Serif"/>
          <w:b w:val="false"/>
          <w:i w:val="false"/>
          <w:caps w:val="false"/>
          <w:smallCaps w:val="false"/>
          <w:sz w:val="20"/>
        </w:rPr>
        <w:t>Investments consisting of prepaid expenses, deposits under commercial contracts for the purchase of assets, negotiable instruments held for collection or deposit, security deposits with utilities, landlords and other like Persons and deposits in connection with workers’ compensation and similar deposits, in each case, made in the Ordinary Course, and other deposits and cash collateral constituting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333.</w:t>
      </w:r>
      <w:r>
        <w:rPr>
          <w:rFonts w:ascii="Times New Roman;Times;Serif" w:hAnsi="Times New Roman;Times;Serif"/>
          <w:b w:val="false"/>
          <w:i w:val="false"/>
          <w:caps w:val="false"/>
          <w:smallCaps w:val="false"/>
          <w:sz w:val="20"/>
        </w:rPr>
        <w:t xml:space="preserve"> employee, officer and director loans, travel advances and guarantees in accordance with the Borrower’s usual and customary practices with respect thereto (if permitted by applicable Laws) and non-cash loans to employees, officers, or directors relating to the purchase of Equity Interests of the Borrower pursuant to employee stock purchase plans or agreements, which in the aggregate shall not exceed $2,500,000 outstanding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334.</w:t>
      </w:r>
      <w:r>
        <w:rPr>
          <w:rFonts w:ascii="Times New Roman;Times;Serif" w:hAnsi="Times New Roman;Times;Serif"/>
          <w:b w:val="false"/>
          <w:i w:val="false"/>
          <w:caps w:val="false"/>
          <w:smallCaps w:val="false"/>
          <w:sz w:val="20"/>
        </w:rPr>
        <w:t xml:space="preserve"> Investments received in connection with any Insolvency Proceedings in respect of any customers, suppliers or clients or in settlement of delinquent obligations of, and other disputes with, customers, suppliers or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335. </w:t>
      </w:r>
      <w:r>
        <w:rPr>
          <w:rFonts w:ascii="Times New Roman;Times;Serif" w:hAnsi="Times New Roman;Times;Serif"/>
          <w:b w:val="false"/>
          <w:i w:val="false"/>
          <w:caps w:val="false"/>
          <w:smallCaps w:val="false"/>
          <w:sz w:val="20"/>
        </w:rPr>
        <w:t xml:space="preserve">the increase in value of any Investment otherwise permitted pursuant to this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336.</w:t>
      </w:r>
      <w:r>
        <w:rPr>
          <w:rFonts w:ascii="Times New Roman;Times;Serif" w:hAnsi="Times New Roman;Times;Serif"/>
          <w:b w:val="false"/>
          <w:i w:val="false"/>
          <w:caps w:val="false"/>
          <w:smallCaps w:val="false"/>
          <w:sz w:val="20"/>
        </w:rPr>
        <w:t xml:space="preserve">(i) non-cash Investments in joint ventures or strategic alliances in the Ordinary Course consisting of the non-exclusive licensing of technology, the development of technology or the providing of technical support, and (ii) cash Investments in joint ventures or strategic alliances;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such Investments under this sub-clause (ii), the aggregate amount of all such cash Investments made during any fiscal year shall not exceed $2,500,000;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337.</w:t>
      </w:r>
      <w:r>
        <w:rPr>
          <w:rFonts w:ascii="Times New Roman;Times;Serif" w:hAnsi="Times New Roman;Times;Serif"/>
          <w:b w:val="false"/>
          <w:i w:val="false"/>
          <w:caps w:val="false"/>
          <w:smallCaps w:val="false"/>
          <w:sz w:val="20"/>
        </w:rPr>
        <w:t xml:space="preserve"> Investments (except in Excluded Subsidiaries) in an aggregate amount not to exceed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338.</w:t>
      </w:r>
      <w:r>
        <w:rPr>
          <w:rFonts w:ascii="Times New Roman;Times;Serif" w:hAnsi="Times New Roman;Times;Serif"/>
          <w:b w:val="false"/>
          <w:i w:val="false"/>
          <w:caps w:val="false"/>
          <w:smallCaps w:val="false"/>
          <w:sz w:val="20"/>
        </w:rPr>
        <w:t xml:space="preserve"> Investments of any Person in existence at the time such Person becomes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Investment was not made in connection with or anticipation of such Person becoming a Subsidiary and any modification, replacement, renewal or extension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339.</w:t>
      </w:r>
      <w:r>
        <w:rPr>
          <w:rFonts w:ascii="Times New Roman;Times;Serif" w:hAnsi="Times New Roman;Times;Serif"/>
          <w:b w:val="false"/>
          <w:i w:val="false"/>
          <w:caps w:val="false"/>
          <w:smallCaps w:val="false"/>
          <w:sz w:val="20"/>
        </w:rPr>
        <w:t xml:space="preserve"> Investments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340.</w:t>
      </w:r>
      <w:r>
        <w:rPr>
          <w:rFonts w:ascii="Times New Roman;Times;Serif" w:hAnsi="Times New Roman;Times;Serif"/>
          <w:b w:val="false"/>
          <w:i w:val="false"/>
          <w:caps w:val="false"/>
          <w:smallCaps w:val="false"/>
          <w:sz w:val="20"/>
        </w:rPr>
        <w:t xml:space="preserve"> Permitted Acquisitions and earnest money deposits in connection with Permitted Acquisitions and Investments acquired as a result of a Permitted Acquisition to the extent that such Investments were not made in contemplation of or in connection with such Permitted Acquisition and were in existence prior to the date of such Permitted Acquisition;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341. </w:t>
      </w:r>
      <w:r>
        <w:rPr>
          <w:rFonts w:ascii="Times New Roman;Times;Serif" w:hAnsi="Times New Roman;Times;Serif"/>
          <w:b w:val="false"/>
          <w:i w:val="false"/>
          <w:caps w:val="false"/>
          <w:smallCaps w:val="false"/>
          <w:sz w:val="20"/>
        </w:rPr>
        <w:t xml:space="preserve">Investments consisting of the non-cash portion of the sales consideration received by the Borrower or any of its Subsidiaries in connection with any Asset Sale permitted under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342.</w:t>
      </w:r>
      <w:r>
        <w:rPr>
          <w:rFonts w:ascii="Times New Roman;Times;Serif" w:hAnsi="Times New Roman;Times;Serif"/>
          <w:b w:val="false"/>
          <w:i w:val="false"/>
          <w:caps w:val="false"/>
          <w:smallCaps w:val="false"/>
          <w:sz w:val="20"/>
        </w:rPr>
        <w:t xml:space="preserve"> Investments consisting of the endorsement of negotiable instruments for deposit or collection or similar transactions in the Ordinary Course;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343. </w:t>
      </w:r>
      <w:r>
        <w:rPr>
          <w:rFonts w:ascii="Times New Roman;Times;Serif" w:hAnsi="Times New Roman;Times;Serif"/>
          <w:b w:val="false"/>
          <w:i w:val="false"/>
          <w:caps w:val="false"/>
          <w:smallCaps w:val="false"/>
          <w:sz w:val="20"/>
        </w:rPr>
        <w:t xml:space="preserve">to the extent constituting Investments, Guarantees of Indebtedness, which Guarantees are permitted under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344. </w:t>
      </w:r>
      <w:r>
        <w:rPr>
          <w:rFonts w:ascii="Times New Roman;Times;Serif" w:hAnsi="Times New Roman;Times;Serif"/>
          <w:b w:val="false"/>
          <w:i w:val="false"/>
          <w:caps w:val="false"/>
          <w:smallCaps w:val="false"/>
          <w:sz w:val="20"/>
        </w:rPr>
        <w:t xml:space="preserve">(i) Investments contemplated by </w:t>
      </w:r>
      <w:r>
        <w:rPr>
          <w:rFonts w:ascii="Times New Roman;Times;Serif" w:hAnsi="Times New Roman;Times;Serif"/>
          <w:b/>
          <w:i w:val="false"/>
          <w:caps w:val="false"/>
          <w:smallCaps w:val="false"/>
          <w:sz w:val="20"/>
        </w:rPr>
        <w:t>Schedule 9.05(s)</w:t>
      </w:r>
      <w:r>
        <w:rPr>
          <w:rFonts w:ascii="Times New Roman;Times;Serif" w:hAnsi="Times New Roman;Times;Serif"/>
          <w:b w:val="false"/>
          <w:i w:val="false"/>
          <w:caps w:val="false"/>
          <w:smallCaps w:val="false"/>
          <w:sz w:val="20"/>
        </w:rPr>
        <w:t xml:space="preserve"> and (ii) the Permitted Minority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345. </w:t>
      </w:r>
      <w:r>
        <w:rPr>
          <w:rFonts w:ascii="Times New Roman;Times;Serif" w:hAnsi="Times New Roman;Times;Serif"/>
          <w:b w:val="false"/>
          <w:i w:val="false"/>
          <w:caps w:val="false"/>
          <w:smallCaps w:val="false"/>
          <w:sz w:val="20"/>
        </w:rPr>
        <w:t>Investments consisting of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346. </w:t>
      </w:r>
      <w:r>
        <w:rPr>
          <w:rFonts w:ascii="Times New Roman;Times;Serif" w:hAnsi="Times New Roman;Times;Serif"/>
          <w:b w:val="false"/>
          <w:i w:val="false"/>
          <w:caps w:val="false"/>
          <w:smallCaps w:val="false"/>
          <w:sz w:val="20"/>
        </w:rPr>
        <w:t>Investments in the Ordinary Course consisting of UCC Article 3 endorsements for collection or deposit and UCC Article 4 customary trade arrangements with customers consistent with past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347. </w:t>
      </w:r>
      <w:r>
        <w:rPr>
          <w:rFonts w:ascii="Times New Roman;Times;Serif" w:hAnsi="Times New Roman;Times;Serif"/>
          <w:b w:val="false"/>
          <w:i w:val="false"/>
          <w:caps w:val="false"/>
          <w:smallCaps w:val="false"/>
          <w:sz w:val="20"/>
        </w:rPr>
        <w:t>to the extent constituting Investments, purchases and acquisitions of inventory, supplies, materials and equipment;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348.</w:t>
      </w:r>
      <w:r>
        <w:rPr>
          <w:rFonts w:ascii="Times New Roman;Times;Serif" w:hAnsi="Times New Roman;Times;Serif"/>
          <w:b w:val="false"/>
          <w:i w:val="false"/>
          <w:caps w:val="false"/>
          <w:smallCaps w:val="false"/>
          <w:sz w:val="20"/>
        </w:rPr>
        <w:t xml:space="preserve"> the Eyevance Acquisition and Investments acquired as a result of the Eyevance Acquisition to the extent that such Investments were not made in contemplation of or in connection with the Eyevance Acquisition and were in existence prior to the date of the Eyevance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to the contrary, (i) the Obligors shall not, and shall not permit any of their Subsidiaries to (x) directly or indirectly transfer, by means of contribution, sale, assignment, lease or sublease, license or sublicense, or other disposition of any kind (including, for avoidance of doubt, as an Investment, Restricted Payment or Asset Sale), any Material Intellectual Property other than (I) pursuant to Permitted Licenses or (II) as permitted pursuant to </w:t>
      </w:r>
      <w:r>
        <w:rPr>
          <w:rFonts w:ascii="Times New Roman;Times;Serif" w:hAnsi="Times New Roman;Times;Serif"/>
          <w:b/>
          <w:i w:val="false"/>
          <w:caps w:val="false"/>
          <w:smallCaps w:val="false"/>
          <w:sz w:val="20"/>
        </w:rPr>
        <w:t>Section 9.09(g)</w:t>
      </w:r>
      <w:r>
        <w:rPr>
          <w:rFonts w:ascii="Times New Roman;Times;Serif" w:hAnsi="Times New Roman;Times;Serif"/>
          <w:b w:val="false"/>
          <w:i w:val="false"/>
          <w:caps w:val="false"/>
          <w:smallCaps w:val="false"/>
          <w:sz w:val="20"/>
        </w:rPr>
        <w:t xml:space="preserve"> or (y) permit any Person other than an Obligor to license or own any interest in any Material Intellectual Property owned by such Obligor other than pursuant to (I) Permitted Licenses or (II) as permitted pursuant to </w:t>
      </w:r>
      <w:r>
        <w:rPr>
          <w:rFonts w:ascii="Times New Roman;Times;Serif" w:hAnsi="Times New Roman;Times;Serif"/>
          <w:b/>
          <w:i w:val="false"/>
          <w:caps w:val="false"/>
          <w:smallCaps w:val="false"/>
          <w:sz w:val="20"/>
        </w:rPr>
        <w:t>Section 9.09(g)</w:t>
      </w:r>
      <w:r>
        <w:rPr>
          <w:rFonts w:ascii="Times New Roman;Times;Serif" w:hAnsi="Times New Roman;Times;Serif"/>
          <w:b w:val="false"/>
          <w:i w:val="false"/>
          <w:caps w:val="false"/>
          <w:smallCaps w:val="false"/>
          <w:sz w:val="20"/>
        </w:rPr>
        <w:t>, (ii) no Material Intellectual Property shall be contributed as an Investment or distributed as a Restricted Payment to any Subsidiary other than an Obligor (other than pursuant to Permitted Licenses) and (iii) neither any Obligor nor any of their Subsidiaries shall be permitted to directly or indirectly transfer, by means of contribution, sale, assignment, lease or sublease, license or sublicense, or other disposition of any kind (including, for avoidance of doubt, as an Investment, Restricted Payment or Asset Sale) any assets or property of any kind (including, without limitation, any Intellectual Property) to any Excluded Subsidiary.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349.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Restricted Payments</w:t>
      </w:r>
      <w:r>
        <w:rPr>
          <w:rFonts w:ascii="Times New Roman;Times;Serif" w:hAnsi="Times New Roman;Times;Serif"/>
          <w:b w:val="false"/>
          <w:i w:val="false"/>
          <w:caps w:val="false"/>
          <w:smallCaps w:val="false"/>
          <w:sz w:val="20"/>
        </w:rPr>
        <w:t xml:space="preserve">. Such Obligor will not, and will not permit any of its Subsidiaries to, declare or make, or agree to pay or make, directly or indirectly, any Restricted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Restricted Payments consisting of the payment of interest, principal or fees in respect of any intercompany Indebtedness permitted by </w:t>
      </w:r>
      <w:r>
        <w:rPr>
          <w:rFonts w:ascii="Times New Roman;Times;Serif" w:hAnsi="Times New Roman;Times;Serif"/>
          <w:b/>
          <w:i w:val="false"/>
          <w:caps w:val="false"/>
          <w:smallCaps w:val="false"/>
          <w:sz w:val="20"/>
        </w:rPr>
        <w:t>Section 9.01(e)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shall be permitted and (ii) the following Restricted Payments shall be permitted so long as no Event of Default has occurred and is continuing or would reasonably be expected to occur or result from such Restricted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350. </w:t>
      </w:r>
      <w:r>
        <w:rPr>
          <w:rFonts w:ascii="Times New Roman;Times;Serif" w:hAnsi="Times New Roman;Times;Serif"/>
          <w:b w:val="false"/>
          <w:i w:val="false"/>
          <w:caps w:val="false"/>
          <w:smallCaps w:val="false"/>
          <w:sz w:val="20"/>
        </w:rPr>
        <w:t>dividends with respect to the Borrower’s Equity Interests payable solely in shares of its Qualified Equity Interests (or the equivalent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351. </w:t>
      </w:r>
      <w:r>
        <w:rPr>
          <w:rFonts w:ascii="Times New Roman;Times;Serif" w:hAnsi="Times New Roman;Times;Serif"/>
          <w:b w:val="false"/>
          <w:i w:val="false"/>
          <w:caps w:val="false"/>
          <w:smallCaps w:val="false"/>
          <w:sz w:val="20"/>
        </w:rPr>
        <w:t>the Borrower’s purchase, redemption, retirement, or other acquisition of shares of its Equity Interests with the proceeds received from a substantially concurrent issue of new shares of its Qualified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352.</w:t>
      </w:r>
      <w:r>
        <w:rPr>
          <w:rFonts w:ascii="Times New Roman;Times;Serif" w:hAnsi="Times New Roman;Times;Serif"/>
          <w:b w:val="false"/>
          <w:i w:val="false"/>
          <w:caps w:val="false"/>
          <w:smallCaps w:val="false"/>
          <w:sz w:val="20"/>
        </w:rPr>
        <w:t xml:space="preserve">(1) each Subsidiary that is an Obligor may make Restricted Payments (it being understood that Restricted Payments consisting of the payment of interest, principal or fees in respect of intercompany Indebtedness permitted by </w:t>
      </w:r>
      <w:r>
        <w:rPr>
          <w:rFonts w:ascii="Times New Roman;Times;Serif" w:hAnsi="Times New Roman;Times;Serif"/>
          <w:b/>
          <w:i w:val="false"/>
          <w:caps w:val="false"/>
          <w:smallCaps w:val="false"/>
          <w:sz w:val="20"/>
        </w:rPr>
        <w:t>Section 9.01(e)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shall be covered by </w:t>
      </w:r>
      <w:r>
        <w:rPr>
          <w:rFonts w:ascii="Times New Roman;Times;Serif" w:hAnsi="Times New Roman;Times;Serif"/>
          <w:b/>
          <w:i w:val="false"/>
          <w:caps w:val="false"/>
          <w:smallCaps w:val="false"/>
          <w:sz w:val="20"/>
        </w:rPr>
        <w:t>Section 9.06(i)</w:t>
      </w:r>
      <w:r>
        <w:rPr>
          <w:rFonts w:ascii="Times New Roman;Times;Serif" w:hAnsi="Times New Roman;Times;Serif"/>
          <w:b w:val="false"/>
          <w:i w:val="false"/>
          <w:caps w:val="false"/>
          <w:smallCaps w:val="false"/>
          <w:sz w:val="20"/>
        </w:rPr>
        <w:t xml:space="preserve">) to any other Obligor, and (2) each Subsidiary that is not an Obligor may make Restricted Payments to its equity holders generally;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Obligor that owns the Equity Interests in such Subsidiary paying such Restricted Payment receives at least its proportional share (including at least its proportional share of any portion of such Restricted Payment made in cash)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353.</w:t>
      </w:r>
      <w:r>
        <w:rPr>
          <w:rFonts w:ascii="Times New Roman;Times;Serif" w:hAnsi="Times New Roman;Times;Serif"/>
          <w:b w:val="false"/>
          <w:i w:val="false"/>
          <w:caps w:val="false"/>
          <w:smallCaps w:val="false"/>
          <w:sz w:val="20"/>
        </w:rPr>
        <w:t xml:space="preserve"> any purchase, redemption, retirement or other acquisition of Equity Interests of the Borrower held by consultants, officers, directors and employees or former consultants, officers, directors or employees (or their transferees, estates, or beneficiaries under their estates) of Borrower and its Subsidiaries not to exceed $1,500,000 in the aggregate in any fiscal year (it being agreed that, to the extent constituting an Investment permitted by </w:t>
      </w:r>
      <w:r>
        <w:rPr>
          <w:rFonts w:ascii="Times New Roman;Times;Serif" w:hAnsi="Times New Roman;Times;Serif"/>
          <w:b/>
          <w:i w:val="false"/>
          <w:caps w:val="false"/>
          <w:smallCaps w:val="false"/>
          <w:sz w:val="20"/>
        </w:rPr>
        <w:t>Section 9.05(i)</w:t>
      </w:r>
      <w:r>
        <w:rPr>
          <w:rFonts w:ascii="Times New Roman;Times;Serif" w:hAnsi="Times New Roman;Times;Serif"/>
          <w:b w:val="false"/>
          <w:i w:val="false"/>
          <w:caps w:val="false"/>
          <w:smallCaps w:val="false"/>
          <w:sz w:val="20"/>
        </w:rPr>
        <w:t xml:space="preserve">, the amount of any Indebtedness of such Persons owing to the Borrower or any Subsidiary forgiven in connection with such Restricted Payment shall be excluded from any determination pursuant to this </w:t>
      </w:r>
      <w:r>
        <w:rPr>
          <w:rFonts w:ascii="Times New Roman;Times;Serif" w:hAnsi="Times New Roman;Times;Serif"/>
          <w:b/>
          <w:i w:val="false"/>
          <w:caps w:val="false"/>
          <w:smallCaps w:val="false"/>
          <w:sz w:val="20"/>
        </w:rPr>
        <w:t>clause (ii)(d)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portion of such basket that is not used by the Borrower or its Subsidiaries in any fiscal year shall be carried forward and shall increase such basket for succeeding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354.</w:t>
      </w:r>
      <w:r>
        <w:rPr>
          <w:rFonts w:ascii="Times New Roman;Times;Serif" w:hAnsi="Times New Roman;Times;Serif"/>
          <w:b w:val="false"/>
          <w:i w:val="false"/>
          <w:caps w:val="false"/>
          <w:smallCaps w:val="false"/>
          <w:sz w:val="20"/>
        </w:rPr>
        <w:t xml:space="preserve"> cashless repurchases of Equity Interests deemed to occur upon exercises of options and warrants or the settlement or vesting of other equity awards if such Equity Interests represent a portion of the exercise price of such options or warrants or similar equity incentive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355.</w:t>
      </w:r>
      <w:r>
        <w:rPr>
          <w:rFonts w:ascii="Times New Roman;Times;Serif" w:hAnsi="Times New Roman;Times;Serif"/>
          <w:b w:val="false"/>
          <w:i w:val="false"/>
          <w:caps w:val="false"/>
          <w:smallCaps w:val="false"/>
          <w:sz w:val="20"/>
        </w:rPr>
        <w:t xml:space="preserve"> cash payments made by the Borrower to redeem, purchase, repurchase or retire its obligations under options, warrants and other convertible securities issued by it in the nature of customary cash payments in lieu of fractional shares in accordance with the terms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356. </w:t>
      </w:r>
      <w:r>
        <w:rPr>
          <w:rFonts w:ascii="Times New Roman;Times;Serif" w:hAnsi="Times New Roman;Times;Serif"/>
          <w:b w:val="false"/>
          <w:i w:val="false"/>
          <w:caps w:val="false"/>
          <w:smallCaps w:val="false"/>
          <w:sz w:val="20"/>
        </w:rPr>
        <w:t>Borrower may acquire (or withhold) its Equity Interests pursuant to any employee stock option or similar plan to pay withholding taxes for which Borrower is liable in respect of a current or former officer, director, employee, member of management or consultant upon such grant or award (or upon vesting or exercise thereof) and the Borrower may make deemed repurchases in connection with the exercise of stock options;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357.</w:t>
      </w:r>
      <w:r>
        <w:rPr>
          <w:rFonts w:ascii="Times New Roman;Times;Serif" w:hAnsi="Times New Roman;Times;Serif"/>
          <w:b w:val="false"/>
          <w:i w:val="false"/>
          <w:caps w:val="false"/>
          <w:smallCaps w:val="false"/>
          <w:sz w:val="20"/>
        </w:rPr>
        <w:t xml:space="preserve"> any payment of interest, principal or fees in respect of any Indebtedness owed by any Obligor or any of its Subsidiaries to any holder of more than ten percent (10%) of the Equity Interests of any Obligor or any of its Subsidiaries, in each case to the extent permitted under </w:t>
      </w:r>
      <w:r>
        <w:rPr>
          <w:rFonts w:ascii="Times New Roman;Times;Serif" w:hAnsi="Times New Roman;Times;Serif"/>
          <w:b/>
          <w:i w:val="false"/>
          <w:caps w:val="false"/>
          <w:smallCaps w:val="false"/>
          <w:sz w:val="20"/>
        </w:rPr>
        <w:t>Section 9.07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358.</w:t>
      </w:r>
      <w:r>
        <w:rPr>
          <w:rFonts w:ascii="Times New Roman;Times;Serif" w:hAnsi="Times New Roman;Times;Serif"/>
          <w:b w:val="false"/>
          <w:i w:val="false"/>
          <w:caps w:val="false"/>
          <w:smallCaps w:val="false"/>
          <w:sz w:val="20"/>
        </w:rPr>
        <w:t xml:space="preserve"> payments related to share withholdings for individual taxes related to vested restricted stock units (RSUs), options and other equity grants made to employees, as permitted under the Borrower’s 2017 and 2007 Incentive Stock and Awards Plans (as amended as of Closing Date), and required under certain of Borrower’s equity grants and employment agreements (in each case as in effect on the Closing Date), in an aggregate amount not to exceed (i) $10,000,000 for the fiscal year ending December 31, 2023 and (ii) $3,000,000 for the fiscal year ending December 31, 2024;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together with the financial statements for the fiscal years ending December 31, 2023 and December 31, 2024 required pursuant to </w:t>
      </w:r>
      <w:r>
        <w:rPr>
          <w:rFonts w:ascii="Times New Roman;Times;Serif" w:hAnsi="Times New Roman;Times;Serif"/>
          <w:b/>
          <w:i w:val="false"/>
          <w:caps w:val="false"/>
          <w:smallCaps w:val="false"/>
          <w:sz w:val="20"/>
        </w:rPr>
        <w:t xml:space="preserve">Section 8.01(a)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concurrently with the delivery of the Compliance Certificate for such accounting period, a Responsible Officer of the Borrower shall deliver to the Administrative Agent a certificate setting forth the amount of the foregoing payments for such accounting period, together with supporting information in form and substance reasonably satisfactory to the Administrative Agent;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359. </w:t>
      </w:r>
      <w:r>
        <w:rPr>
          <w:rFonts w:ascii="Times New Roman;Times;Serif" w:hAnsi="Times New Roman;Times;Serif"/>
          <w:b w:val="false"/>
          <w:i w:val="false"/>
          <w:caps w:val="false"/>
          <w:smallCaps w:val="false"/>
          <w:sz w:val="20"/>
        </w:rPr>
        <w:t>Restricted Payments in an aggregate amount not to exceed (1) $1,000,000 in any fiscal year or (2) $2,500,000 during the term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360.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Payments of Indebtedness</w:t>
      </w:r>
      <w:r>
        <w:rPr>
          <w:rFonts w:ascii="Times New Roman;Times;Serif" w:hAnsi="Times New Roman;Times;Serif"/>
          <w:b w:val="false"/>
          <w:i w:val="false"/>
          <w:caps w:val="false"/>
          <w:smallCaps w:val="false"/>
          <w:sz w:val="20"/>
        </w:rPr>
        <w:t xml:space="preserve">. Such Obligor will not, and will not permit any of its Subsidiaries to, make any payments in respect of any Indebtedness other than (i) payments of the Obligations, (ii) scheduled payments in respect of the Existing Notes pursuant to the terms of the Existing Notes Indenture as in effect on the date hereof, (iii) scheduled payments of other Indebtedness (and with respect to such Indebtedness that is subject to a subordination or intercreditor agreement in respect of the Obligations, solely to the extent permitted pursuant to the terms of such subordination or intercreditor agreement); (iv) intercompany indebtedness permitted under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(subject to the terms of the Intercompany Subordination Agreement, if applicable), (v) Indebtedness permitted to be incurred under </w:t>
      </w:r>
      <w:r>
        <w:rPr>
          <w:rFonts w:ascii="Times New Roman;Times;Serif" w:hAnsi="Times New Roman;Times;Serif"/>
          <w:b/>
          <w:i w:val="false"/>
          <w:caps w:val="false"/>
          <w:smallCaps w:val="false"/>
          <w:sz w:val="20"/>
        </w:rPr>
        <w:t>Sections 9.01(b), (i), (j), (k), (l), (m)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(p)</w:t>
      </w:r>
      <w:r>
        <w:rPr>
          <w:rFonts w:ascii="Times New Roman;Times;Serif" w:hAnsi="Times New Roman;Times;Serif"/>
          <w:b w:val="false"/>
          <w:i w:val="false"/>
          <w:caps w:val="false"/>
          <w:smallCaps w:val="false"/>
          <w:sz w:val="20"/>
        </w:rPr>
        <w:t>, (vi) payments of Deferred Acquisition Consideration in respect of the Eyevance Acquisition, pursuant to, and in the amounts and at the times provided for in, the Eyevance Acquisition Agreements and payments of Deferred Acquisition Consideration in respect of any Permitted Acquisition to the extent such Deferred Acquisition Consideration is permitted hereunder; provided that, with respect to the Eyevance Milestone Payments and payments of such Deferred Acquisition Consideration, both immediately before and immediately after giving effect to such payments, no Event of Default pursuant to Section 11.01(a), (b), (d) (solely with respect to a failure to observe or perform the covenant under Section 10.01) or (h) has occurred and is continuing (it being understood and agreed that this proviso shall not apply to Deferred Acquisition Consideration that consists of purchase price adjustments, royalty, non-compete and/or consulting payments) and (vii) Permitted Refinancings permitted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361.</w:t>
      </w:r>
      <w:r>
        <w:rPr>
          <w:rFonts w:ascii="Times New Roman;Times;Serif" w:hAnsi="Times New Roman;Times;Serif"/>
          <w:b/>
          <w:i/>
          <w:caps w:val="false"/>
          <w:smallCaps w:val="false"/>
          <w:sz w:val="20"/>
        </w:rPr>
        <w:t>Change in Fiscal Year</w:t>
      </w:r>
      <w:r>
        <w:rPr>
          <w:rFonts w:ascii="Times New Roman;Times;Serif" w:hAnsi="Times New Roman;Times;Serif"/>
          <w:b w:val="false"/>
          <w:i w:val="false"/>
          <w:caps w:val="false"/>
          <w:smallCaps w:val="false"/>
          <w:sz w:val="20"/>
        </w:rPr>
        <w:t>. Such Obligor will not, and will not permit any of its Subsidiaries to, change the last day of its fiscal year from that in effect on the date hereof without the prior written consent of Administrative Agent, except to change the fiscal year of a Subsidiary acquired in connection with an Acquisition to conform its fiscal year to that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362.</w:t>
      </w:r>
      <w:r>
        <w:rPr>
          <w:rFonts w:ascii="Times New Roman;Times;Serif" w:hAnsi="Times New Roman;Times;Serif"/>
          <w:b/>
          <w:i/>
          <w:caps w:val="false"/>
          <w:smallCaps w:val="false"/>
          <w:sz w:val="20"/>
        </w:rPr>
        <w:t>Sales of Assets, Etc.</w:t>
      </w:r>
      <w:r>
        <w:rPr>
          <w:rFonts w:ascii="Times New Roman;Times;Serif" w:hAnsi="Times New Roman;Times;Serif"/>
          <w:b w:val="false"/>
          <w:i w:val="false"/>
          <w:caps w:val="false"/>
          <w:smallCaps w:val="false"/>
          <w:sz w:val="20"/>
        </w:rPr>
        <w:t xml:space="preserve"> Such Obligor will not, and will not permit any of its Subsidiaries to, sell, lease or sublease (as lessor or sub-lessor), sale and leaseback, assign, convey, exclusively license (in terms of geography or field of use), transfer, or otherwise dispose of any of its businesses, assets or property of any kind, whether real, personal, or mixed and whether tangible or intangible, whether now owned or hereafter acquired (including accounts receivable and Equity Interests of Subsidiaries), or forgive, release or compromise any amount owed to such Obligor or Subsidiary, in each case, in one transaction or series of related transactions (any thereof, an “</w:t>
      </w:r>
      <w:r>
        <w:rPr>
          <w:rFonts w:ascii="Times New Roman;Times;Serif" w:hAnsi="Times New Roman;Times;Serif"/>
          <w:b/>
          <w:i/>
          <w:caps w:val="false"/>
          <w:smallCaps w:val="false"/>
          <w:sz w:val="20"/>
        </w:rPr>
        <w:t>Asset Sale</w:t>
      </w:r>
      <w:r>
        <w:rPr>
          <w:rFonts w:ascii="Times New Roman;Times;Serif" w:hAnsi="Times New Roman;Times;Serif"/>
          <w:b w:val="false"/>
          <w:i w:val="false"/>
          <w:caps w:val="false"/>
          <w:smallCaps w:val="false"/>
          <w:sz w:val="20"/>
        </w:rPr>
        <w:t>”), except: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363.</w:t>
      </w:r>
      <w:r>
        <w:rPr>
          <w:rFonts w:ascii="Times New Roman;Times;Serif" w:hAnsi="Times New Roman;Times;Serif"/>
          <w:b w:val="false"/>
          <w:i w:val="false"/>
          <w:caps w:val="false"/>
          <w:smallCaps w:val="false"/>
          <w:sz w:val="20"/>
        </w:rPr>
        <w:t xml:space="preserve"> sales, transfers and other dispositions of receivables in connection with the compromise, settlement or collection thereof in the Ordinary Course;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364.</w:t>
      </w:r>
      <w:r>
        <w:rPr>
          <w:rFonts w:ascii="Times New Roman;Times;Serif" w:hAnsi="Times New Roman;Times;Serif"/>
          <w:b w:val="false"/>
          <w:i w:val="false"/>
          <w:caps w:val="false"/>
          <w:smallCaps w:val="false"/>
          <w:sz w:val="20"/>
        </w:rPr>
        <w:t xml:space="preserve"> sales of inventory, including to end users (through wholesalers or other typical sales channels) or to distributors, in the Ordinary Course in an Arm’s Length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365. </w:t>
      </w:r>
      <w:r>
        <w:rPr>
          <w:rFonts w:ascii="Times New Roman;Times;Serif" w:hAnsi="Times New Roman;Times;Serif"/>
          <w:b w:val="false"/>
          <w:i w:val="false"/>
          <w:caps w:val="false"/>
          <w:smallCaps w:val="false"/>
          <w:sz w:val="20"/>
        </w:rPr>
        <w:t>the forgiveness, release or compromise of any amount owed to any Obligor or Subsidiary in the Ordinary Course;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366. </w:t>
      </w:r>
      <w:r>
        <w:rPr>
          <w:rFonts w:ascii="Times New Roman;Times;Serif" w:hAnsi="Times New Roman;Times;Serif"/>
          <w:b w:val="false"/>
          <w:i w:val="false"/>
          <w:caps w:val="false"/>
          <w:smallCaps w:val="false"/>
          <w:sz w:val="20"/>
        </w:rPr>
        <w:t>Permitted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367.</w:t>
      </w:r>
      <w:r>
        <w:rPr>
          <w:rFonts w:ascii="Times New Roman;Times;Serif" w:hAnsi="Times New Roman;Times;Serif"/>
          <w:b w:val="false"/>
          <w:i w:val="false"/>
          <w:caps w:val="false"/>
          <w:smallCaps w:val="false"/>
          <w:sz w:val="20"/>
        </w:rPr>
        <w:t xml:space="preserve"> transfers of assets, rights or property (i) among Obligors or (ii) any Subsidiary that is not an Obligor to an Obligor or another Subsidiary that is not an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368.</w:t>
      </w:r>
      <w:r>
        <w:rPr>
          <w:rFonts w:ascii="Times New Roman;Times;Serif" w:hAnsi="Times New Roman;Times;Serif"/>
          <w:b w:val="false"/>
          <w:i w:val="false"/>
          <w:caps w:val="false"/>
          <w:smallCaps w:val="false"/>
          <w:sz w:val="20"/>
        </w:rPr>
        <w:t xml:space="preserve"> dispositions (including by way of abandonment or cancellation) of any equipment and other tangible property that is obsolete or worn out or no longer used or useful in the business disposed of in the Ordinary Course in an Arm’s-Length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369.</w:t>
      </w:r>
      <w:r>
        <w:rPr>
          <w:rFonts w:ascii="Times New Roman;Times;Serif" w:hAnsi="Times New Roman;Times;Serif"/>
          <w:b w:val="false"/>
          <w:i w:val="false"/>
          <w:caps w:val="false"/>
          <w:smallCaps w:val="false"/>
          <w:sz w:val="20"/>
        </w:rPr>
        <w:t xml:space="preserve"> dispositions resulting from casualty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370. </w:t>
      </w:r>
      <w:r>
        <w:rPr>
          <w:rFonts w:ascii="Times New Roman;Times;Serif" w:hAnsi="Times New Roman;Times;Serif"/>
          <w:b w:val="false"/>
          <w:i w:val="false"/>
          <w:caps w:val="false"/>
          <w:smallCaps w:val="false"/>
          <w:sz w:val="20"/>
        </w:rPr>
        <w:t xml:space="preserve">the unwinding of any Hedging Agreement permitted by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pursuant to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371.</w:t>
      </w:r>
      <w:r>
        <w:rPr>
          <w:rFonts w:ascii="Times New Roman;Times;Serif" w:hAnsi="Times New Roman;Times;Serif"/>
          <w:b w:val="false"/>
          <w:i w:val="false"/>
          <w:caps w:val="false"/>
          <w:smallCaps w:val="false"/>
          <w:sz w:val="20"/>
        </w:rPr>
        <w:t xml:space="preserve"> in connection with any transaction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9.05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9.14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372.</w:t>
      </w:r>
      <w:r>
        <w:rPr>
          <w:rFonts w:ascii="Times New Roman;Times;Serif" w:hAnsi="Times New Roman;Times;Serif"/>
          <w:b w:val="false"/>
          <w:i w:val="false"/>
          <w:caps w:val="false"/>
          <w:smallCaps w:val="false"/>
          <w:sz w:val="20"/>
        </w:rPr>
        <w:t xml:space="preserve">(i) Asset Sales identified in </w:t>
      </w:r>
      <w:r>
        <w:rPr>
          <w:rFonts w:ascii="Times New Roman;Times;Serif" w:hAnsi="Times New Roman;Times;Serif"/>
          <w:b/>
          <w:i w:val="false"/>
          <w:caps w:val="false"/>
          <w:smallCaps w:val="false"/>
          <w:sz w:val="20"/>
        </w:rPr>
        <w:t xml:space="preserve">Schedule 9.09 </w:t>
      </w:r>
      <w:r>
        <w:rPr>
          <w:rFonts w:ascii="Times New Roman;Times;Serif" w:hAnsi="Times New Roman;Times;Serif"/>
          <w:b w:val="false"/>
          <w:i w:val="false"/>
          <w:caps w:val="false"/>
          <w:smallCaps w:val="false"/>
          <w:sz w:val="20"/>
        </w:rPr>
        <w:t>and (ii) Asset Sales of the Permitted Minority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373.</w:t>
      </w:r>
      <w:r>
        <w:rPr>
          <w:rFonts w:ascii="Times New Roman;Times;Serif" w:hAnsi="Times New Roman;Times;Serif"/>
          <w:b w:val="false"/>
          <w:i w:val="false"/>
          <w:caps w:val="false"/>
          <w:smallCaps w:val="false"/>
          <w:sz w:val="20"/>
        </w:rPr>
        <w:t xml:space="preserve"> so long as no Default or Event of Default has occurred and is continuing (or could reasonably be expected to occur after giving effect to such Asset Sale), Asset Sales (other than with respect to Material Intellectual Property) with a fair market value not in excess of $10,000,000 in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374.</w:t>
      </w:r>
      <w:r>
        <w:rPr>
          <w:rFonts w:ascii="Times New Roman;Times;Serif" w:hAnsi="Times New Roman;Times;Serif"/>
          <w:b w:val="false"/>
          <w:i w:val="false"/>
          <w:caps w:val="false"/>
          <w:smallCaps w:val="false"/>
          <w:sz w:val="20"/>
        </w:rPr>
        <w:t xml:space="preserve"> Asset Sales (other than with respect to Material Intellectual Property) not in excess of $3,000,000 in the aggregate in any fiscal year in which any Obligor or any Subsidiary will receive cash proceeds in an amount equal to no less than seventy-five percent (75%) of the total consideration (fixed or contingent) paid or payable to such Obligor or such Subsidiary, but only so long as, unless otherwise waived by Administrative Agent in its sole discretion, the net cash proceeds of such Asset Sale are utilized to repay or prepay, in whole or in part, Indebtedness under and in accordance with </w:t>
      </w:r>
      <w:r>
        <w:rPr>
          <w:rFonts w:ascii="Times New Roman;Times;Serif" w:hAnsi="Times New Roman;Times;Serif"/>
          <w:b/>
          <w:i w:val="false"/>
          <w:caps w:val="false"/>
          <w:smallCaps w:val="false"/>
          <w:sz w:val="20"/>
        </w:rPr>
        <w:t>Section 3.03(b)</w:t>
      </w:r>
      <w:r>
        <w:rPr>
          <w:rFonts w:ascii="Times New Roman;Times;Serif" w:hAnsi="Times New Roman;Times;Serif"/>
          <w:b w:val="false"/>
          <w:i w:val="false"/>
          <w:caps w:val="false"/>
          <w:smallCaps w:val="false"/>
          <w:sz w:val="20"/>
        </w:rPr>
        <w:t xml:space="preserve"> to the extent required thereby;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375. </w:t>
      </w:r>
      <w:r>
        <w:rPr>
          <w:rFonts w:ascii="Times New Roman;Times;Serif" w:hAnsi="Times New Roman;Times;Serif"/>
          <w:b w:val="false"/>
          <w:i w:val="false"/>
          <w:caps w:val="false"/>
          <w:smallCaps w:val="false"/>
          <w:sz w:val="20"/>
        </w:rPr>
        <w:t>dispositions in the Ordinary Course consisting of the abandonment, lapse or cancellation of Intellectual Property (other than Material Intellectual Property) which, in the reasonable good faith determination of Borrower, are not material to the conduct of the business of Borrower or any of its Subsidiaries;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376.</w:t>
      </w:r>
      <w:r>
        <w:rPr>
          <w:rFonts w:ascii="Times New Roman;Times;Serif" w:hAnsi="Times New Roman;Times;Serif"/>
          <w:b w:val="false"/>
          <w:i w:val="false"/>
          <w:caps w:val="false"/>
          <w:smallCaps w:val="false"/>
          <w:sz w:val="20"/>
        </w:rPr>
        <w:t xml:space="preserve"> dispositions of cash and Permitted Cash Equivalents Investment in the Ordinary Course or otherwise in transactions permitted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377. </w:t>
      </w:r>
      <w:r>
        <w:rPr>
          <w:rFonts w:ascii="Times New Roman;Times;Serif" w:hAnsi="Times New Roman;Times;Serif"/>
          <w:b/>
          <w:i/>
          <w:caps w:val="false"/>
          <w:smallCaps w:val="false"/>
          <w:sz w:val="20"/>
        </w:rPr>
        <w:t>Transactions with Affiliates</w:t>
      </w:r>
      <w:r>
        <w:rPr>
          <w:rFonts w:ascii="Times New Roman;Times;Serif" w:hAnsi="Times New Roman;Times;Serif"/>
          <w:b w:val="false"/>
          <w:i w:val="false"/>
          <w:caps w:val="false"/>
          <w:smallCaps w:val="false"/>
          <w:sz w:val="20"/>
        </w:rPr>
        <w:t xml:space="preserve">. Such Obligor will not, and will not permit any of its Subsidiaries to, directly or indirectly, enter into or permit to exist any transaction to sell, lease, license or otherwise transfer any assets to, or purchase, lease, license or otherwise acquire any assets from, or otherwise engage in any other transactions with, any of its Affiliates, unless such arrangement or transaction (i) is an Arm’s Length Transaction, (ii) is between or among (x) Obligors, (y) Subsidiaries that are not Obligors or (z) an Obligor and a Subsidiary that is not an Obligor;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clause (z) only, the terms thereof are (A) no less favorable to the Obligor than those that would be obtained in a comparable arm’s-length transaction with a non-affiliated Person and (B) such transaction is otherwise permitted hereunder and under the other Loan Documents, (iii) constitutes customary compensation (including performance, discretionary, retention, relocation, transaction and other special bonuses and payment, severance payments and payments pursuant to employment agreements), other benefits (including retirement, health, stock option and other benefit plans, life insurance, disability insurance and other equity (or equity-linked) awards) and indemnification of, and other employment arrangements with, directors, officers, and employees of any Obligor or its Subsidiaries in the Ordinary Course, (iv) constitutes payment of customary fees, reimbursement of expenses, and payment of indemnification to officers and directors and customary payment of insurance premiums on behalf of officers and directors by the Obligors or their Subsidiaries, in each case, in the Ordinary Course, (v) are the transactions set forth on </w:t>
      </w:r>
      <w:r>
        <w:rPr>
          <w:rFonts w:ascii="Times New Roman;Times;Serif" w:hAnsi="Times New Roman;Times;Serif"/>
          <w:b/>
          <w:i w:val="false"/>
          <w:caps w:val="false"/>
          <w:smallCaps w:val="false"/>
          <w:sz w:val="20"/>
        </w:rPr>
        <w:t>Schedule 9.10</w:t>
      </w:r>
      <w:r>
        <w:rPr>
          <w:rFonts w:ascii="Times New Roman;Times;Serif" w:hAnsi="Times New Roman;Times;Serif"/>
          <w:b w:val="false"/>
          <w:i w:val="false"/>
          <w:caps w:val="false"/>
          <w:smallCaps w:val="false"/>
          <w:sz w:val="20"/>
        </w:rPr>
        <w:t>) or (vi) is a transaction (with any series of related transactions being aggregated for the purposes of this clause (vi)) including consideration of less than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378. </w:t>
      </w:r>
      <w:r>
        <w:rPr>
          <w:rFonts w:ascii="Times New Roman;Times;Serif" w:hAnsi="Times New Roman;Times;Serif"/>
          <w:b/>
          <w:i/>
          <w:caps w:val="false"/>
          <w:smallCaps w:val="false"/>
          <w:sz w:val="20"/>
        </w:rPr>
        <w:t>Restrictive Agreements</w:t>
      </w:r>
      <w:r>
        <w:rPr>
          <w:rFonts w:ascii="Times New Roman;Times;Serif" w:hAnsi="Times New Roman;Times;Serif"/>
          <w:b w:val="false"/>
          <w:i w:val="false"/>
          <w:caps w:val="false"/>
          <w:smallCaps w:val="false"/>
          <w:sz w:val="20"/>
        </w:rPr>
        <w:t xml:space="preserve">. Such Obligor will not, and will not permit any of its Subsidiaries to, directly or indirectly, enter into, incur or permit to exist any Restrictive Agreement other than (i) restrictions and conditions imposed by applicable Laws or by the Loan Documents, (ii) Restrictive Agreements listed on </w:t>
      </w:r>
      <w:r>
        <w:rPr>
          <w:rFonts w:ascii="Times New Roman;Times;Serif" w:hAnsi="Times New Roman;Times;Serif"/>
          <w:b/>
          <w:i w:val="false"/>
          <w:caps w:val="false"/>
          <w:smallCaps w:val="false"/>
          <w:sz w:val="20"/>
        </w:rPr>
        <w:t>Schedule 7.15</w:t>
      </w:r>
      <w:r>
        <w:rPr>
          <w:rFonts w:ascii="Times New Roman;Times;Serif" w:hAnsi="Times New Roman;Times;Serif"/>
          <w:b w:val="false"/>
          <w:i w:val="false"/>
          <w:caps w:val="false"/>
          <w:smallCaps w:val="false"/>
          <w:sz w:val="20"/>
        </w:rPr>
        <w:t xml:space="preserve">, (iii) limitations associated with Permitted Liens or any document or instrument governing any Permitted Lien, (iv) any documentation governing Indebtedness referenced in clause </w:t>
      </w:r>
      <w:r>
        <w:rPr>
          <w:rFonts w:ascii="Times New Roman;Times;Serif" w:hAnsi="Times New Roman;Times;Serif"/>
          <w:b/>
          <w:i w:val="false"/>
          <w:caps w:val="false"/>
          <w:smallCaps w:val="false"/>
          <w:sz w:val="20"/>
        </w:rPr>
        <w:t>(k)</w:t>
      </w:r>
      <w:r>
        <w:rPr>
          <w:rFonts w:ascii="Times New Roman;Times;Serif" w:hAnsi="Times New Roman;Times;Serif"/>
          <w:b w:val="false"/>
          <w:i w:val="false"/>
          <w:caps w:val="false"/>
          <w:smallCaps w:val="false"/>
          <w:sz w:val="20"/>
        </w:rPr>
        <w:t xml:space="preserve"> (or any Permitted Refinancing thereof) or clause </w:t>
      </w:r>
      <w:r>
        <w:rPr>
          <w:rFonts w:ascii="Times New Roman;Times;Serif" w:hAnsi="Times New Roman;Times;Serif"/>
          <w:b/>
          <w:i w:val="false"/>
          <w:caps w:val="false"/>
          <w:smallCaps w:val="false"/>
          <w:sz w:val="20"/>
        </w:rPr>
        <w:t>(r)</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(v) customary provisions in leases, subleases, Permitted Licenses and other Contracts restricting the assignment thereof or restricting the assignment, pledge, transfer or sublease or sublicense of the property leased, licensed or otherwise the subject thereof; (vi) any restrictions or conditions set forth in any agreement in effect at any time any Person becomes a Subsidiary (but not any modification or amendment expanding the scope of any such restriction or condition);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was not entered into in contemplation of such Person becoming a Subsidiary; (vii) restrictions or conditions in any Indebtedness permitted pursuant to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that is incurred or assumed by Subsidiaries that are not Obligors to the extent such restrictions or conditions are no more restrictive in any material respect than the restrictions and conditions in the Loan Documents; (viii) restrictions or conditions imposed by any agreement relating to purchase money Indebtedness and other secured Indebtedness or to leases, subleases and licenses permitted by this Agreement if such restrictions or conditions apply only to the property or assets securing such Indebtedness or the property leased, subleased or licensed; (ix) customary provisions in contracts for the disposition of any assets;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restrictions in any such contract shall apply only to the assets or Subsidiary that is to be disposed of and such disposition is permitted hereunder; (x) customary provisions regarding confidentiality or restricting assignment, pledges or transfer of any Permitted License or any other agreement entered into in the Ordinary Course; (xi) customary provisions in joint venture agreements and other similar agreements applicable to joint ventures and applicable solely to such joint venture; and (xii) restrictions or encumbrances in any agreement in effect at the time any Person becomes a Subsidiary, so long as (x) such agreement was not entered into in contemplation of such Person becoming a Subsidiary and (y) such restrictions or encumbrances do not extend beyond such Subsidiary or its assets.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379.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Modifications and Terminations of Material Agreements and Organic Documents</w:t>
      </w:r>
      <w:r>
        <w:rPr>
          <w:rFonts w:ascii="Times New Roman;Times;Serif" w:hAnsi="Times New Roman;Times;Serif"/>
          <w:b w:val="false"/>
          <w:i w:val="false"/>
          <w:caps w:val="false"/>
          <w:smallCaps w:val="false"/>
          <w:sz w:val="20"/>
        </w:rPr>
        <w:t>. The Obligors will not, and will not permit any of their Subsidiaries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waive, amend, terminate, replace or otherwise modify any term or provision of any Organic Document in any way or manner materially adverse to the interests of the Administrative Agent and the Lenders;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waive, amend, replace or otherwise modify any term or provision of any Material Agreement in a manner materially adverse to the rights and remedies the Administrative Agent and the Lenders hereunder;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(x) take or omit to take any action that results in the termination of, or permits any other Person to terminate, any Material Agreement or the Obligors’ or their Subsidiaries’ rights in or to Material Intellectual Property or (y) take any action that permits any Material Agreement or the Borrower, such Subsidiary Guarantor, or their Subsidiaries’ rights in or to Material Intellectual Property to be terminated by any counterparty thereto prior to its stated date of expiration.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380.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Outbound Licenses</w:t>
      </w:r>
      <w:r>
        <w:rPr>
          <w:rFonts w:ascii="Times New Roman;Times;Serif" w:hAnsi="Times New Roman;Times;Serif"/>
          <w:b w:val="false"/>
          <w:i w:val="false"/>
          <w:caps w:val="false"/>
          <w:smallCaps w:val="false"/>
          <w:sz w:val="20"/>
        </w:rPr>
        <w:t>. No Obligor shall, nor shall it permit any of its Subsidiaries to, enter into or become or remain bound by any outbound license, covenant not to sue or other grant of rights or immunities under Material Intellectual Property, except for Permitted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381.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Sales and Leasebacks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i w:val="false"/>
          <w:caps w:val="false"/>
          <w:smallCaps w:val="false"/>
          <w:sz w:val="20"/>
        </w:rPr>
        <w:t>Schedule 9.14</w:t>
      </w:r>
      <w:r>
        <w:rPr>
          <w:rFonts w:ascii="Times New Roman;Times;Serif" w:hAnsi="Times New Roman;Times;Serif"/>
          <w:b w:val="false"/>
          <w:i w:val="false"/>
          <w:caps w:val="false"/>
          <w:smallCaps w:val="false"/>
          <w:sz w:val="20"/>
        </w:rPr>
        <w:t>, except as otherwise consented to in writing by the Administrative Agent (such consent not to be unreasonably withheld), each Obligor will not, and will not permit any of its Subsidiaries to, become liable, directly or indirectly, with respect to any lease, whether an operating lease or a Capital Lease Obligation, of any property (whether real, personal, or mixed), whether now owned or hereafter acquired, (i) which such Person has sold or transferred or is to sell or transfer to any other Person and (ii) which such Obligor or Subsidiary intends to use for substantially the same purposes as property which has been or is to be sold or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382. </w:t>
      </w:r>
      <w:r>
        <w:rPr>
          <w:rFonts w:ascii="Times New Roman;Times;Serif" w:hAnsi="Times New Roman;Times;Serif"/>
          <w:b/>
          <w:i/>
          <w:caps w:val="false"/>
          <w:smallCaps w:val="false"/>
          <w:sz w:val="20"/>
        </w:rPr>
        <w:t xml:space="preserve">Hazardous Material </w:t>
      </w:r>
      <w:r>
        <w:rPr>
          <w:rFonts w:ascii="Times New Roman;Times;Serif" w:hAnsi="Times New Roman;Times;Serif"/>
          <w:b/>
          <w:i w:val="false"/>
          <w:caps/>
          <w:sz w:val="20"/>
        </w:rPr>
        <w:t>Section 383.</w:t>
      </w:r>
      <w:r>
        <w:rPr>
          <w:rFonts w:ascii="Times New Roman;Times;Serif" w:hAnsi="Times New Roman;Times;Serif"/>
          <w:b w:val="false"/>
          <w:i w:val="false"/>
          <w:caps w:val="false"/>
          <w:smallCaps w:val="false"/>
          <w:sz w:val="20"/>
        </w:rPr>
        <w:t>. Each Obligor will not, and will not permit any of its Subsidiaries to, use, generate, manufacture, install, treat, release, store or dispose of any Hazardous Material, except as would not reasonably be expected to result in a Material Environmental Liability.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384.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Accounting Changes</w:t>
      </w:r>
      <w:r>
        <w:rPr>
          <w:rFonts w:ascii="Times New Roman;Times;Serif" w:hAnsi="Times New Roman;Times;Serif"/>
          <w:b w:val="false"/>
          <w:i w:val="false"/>
          <w:caps w:val="false"/>
          <w:smallCaps w:val="false"/>
          <w:sz w:val="20"/>
        </w:rPr>
        <w:t>. Such Obligor will not, and will not permit any of its Subsidiaries to, make any significant change in accounting treatment or reporting practices, except as required or permitted by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385.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Compliance with ERISA</w:t>
      </w:r>
      <w:r>
        <w:rPr>
          <w:rFonts w:ascii="Times New Roman;Times;Serif" w:hAnsi="Times New Roman;Times;Serif"/>
          <w:b w:val="false"/>
          <w:i w:val="false"/>
          <w:caps w:val="false"/>
          <w:smallCaps w:val="false"/>
          <w:sz w:val="20"/>
        </w:rPr>
        <w:t>. No ERISA Affiliate shall cause or suffer to exist (i) any event that could result in the imposition of a Lien with respect to any Title IV Plan or Multiemployer Plan or (ii) any other ERISA Event that could, in the aggregate, reasonably be expected to result in a Material Adverse Effect. No Obligor or any of its Subsidiaries shall cause or suffer to exist any event that could result in the imposition of a Lien with respect to any Benefit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386.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Sanctions; Anti-Corruption 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387. </w:t>
      </w:r>
      <w:r>
        <w:rPr>
          <w:rFonts w:ascii="Times New Roman;Times;Serif" w:hAnsi="Times New Roman;Times;Serif"/>
          <w:b w:val="false"/>
          <w:i w:val="false"/>
          <w:caps w:val="false"/>
          <w:smallCaps w:val="false"/>
          <w:sz w:val="20"/>
        </w:rPr>
        <w:t>No Obligor nor any of its Subsidiaries or their respective agents shall (i) conduct any business or engage in any transaction or dealing with any Sanctioned Person in violation of Sanctions, including making or receiving any contribution of funds, goods or services to or for the benefit of any Sanctioned Person; (ii) deal in, or otherwise engage in any transaction relating to, any property or interests in property blocked pursuant to any Sanctions; or (iii) engage in or conspire to engage in any transaction that evades or avoids, or has the purpose of evading or avoiding, or attempts to violate, any of the prohibitions set forth in any applicable Sanctions, the Patriot Act or any other Anti-Terrorism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388.</w:t>
      </w:r>
      <w:r>
        <w:rPr>
          <w:rFonts w:ascii="Times New Roman;Times;Serif" w:hAnsi="Times New Roman;Times;Serif"/>
          <w:b w:val="false"/>
          <w:i w:val="false"/>
          <w:caps w:val="false"/>
          <w:smallCaps w:val="false"/>
          <w:sz w:val="20"/>
        </w:rPr>
        <w:t xml:space="preserve"> The Borrower will not, directly or, to the knowledge of the Borrower, indirectly, use the proceeds of the Loans, or lend, contribute or otherwise make available such proceeds to any subsidiary, joint venture partner or other Person, (i) in furtherance of an offer, payment, promise to pay, or authorization of the payment or giving of money, or anything else of value, to any Person in violation of any applicable anti-corruption Law, or (ii) (A) for the purpose of funding any activities or business of or with any Sanctioned Person or any Designated Jurisdiction in violation of Sanctions or (B) in any other manner that would result in a violation of Sanctions by any party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389.</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FINANCIAL COVENANTS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390.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Minimum Liquidity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 xml:space="preserve">Section 8.17(d)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the Obligors shall at all times maintain the Minimum Liquidity Amount in cash and/or Permitted Cash Equivalent Investments in one or more Controlled Accounts that is free and clear of all Liens, other than Liens granted under the Loan Documents in favor of the Administrative Agent and Liens permitted under </w:t>
      </w:r>
      <w:r>
        <w:rPr>
          <w:rFonts w:ascii="Times New Roman;Times;Serif" w:hAnsi="Times New Roman;Times;Serif"/>
          <w:b/>
          <w:i w:val="false"/>
          <w:caps w:val="false"/>
          <w:smallCaps w:val="false"/>
          <w:sz w:val="20"/>
        </w:rPr>
        <w:t xml:space="preserve">Section 9.02(i)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Section 9.02(s)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391.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Minimum Net Revenues</w:t>
      </w:r>
      <w:r>
        <w:rPr>
          <w:rFonts w:ascii="Times New Roman;Times;Serif" w:hAnsi="Times New Roman;Times;Serif"/>
          <w:b w:val="false"/>
          <w:i w:val="false"/>
          <w:caps w:val="false"/>
          <w:smallCaps w:val="false"/>
          <w:sz w:val="20"/>
        </w:rPr>
        <w:t>. Beginning with the fiscal quarter of the Borrower ending on June 30, 2023, and with respect to each subsequent fiscal quarter, the Net Revenues of the Borrower and its Subsidiaries for the twelve (12) consecutive month period ending on the last day of such fiscal quarter shall not be less than the Minimum Net Revenues for such quarter (the “</w:t>
      </w:r>
      <w:r>
        <w:rPr>
          <w:rFonts w:ascii="Times New Roman;Times;Serif" w:hAnsi="Times New Roman;Times;Serif"/>
          <w:b/>
          <w:i/>
          <w:caps w:val="false"/>
          <w:smallCaps w:val="false"/>
          <w:sz w:val="20"/>
        </w:rPr>
        <w:t>Minimum Net Revenues Covenant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392.</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EVENTS OF DEFAULT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393.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Events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394. </w:t>
      </w:r>
      <w:r>
        <w:rPr>
          <w:rFonts w:ascii="Times New Roman;Times;Serif" w:hAnsi="Times New Roman;Times;Serif"/>
          <w:b/>
          <w:i w:val="false"/>
          <w:caps w:val="false"/>
          <w:smallCaps w:val="false"/>
          <w:sz w:val="20"/>
        </w:rPr>
        <w:t>Principal Payment Default</w:t>
      </w:r>
      <w:r>
        <w:rPr>
          <w:rFonts w:ascii="Times New Roman;Times;Serif" w:hAnsi="Times New Roman;Times;Serif"/>
          <w:b w:val="false"/>
          <w:i w:val="false"/>
          <w:caps w:val="false"/>
          <w:smallCaps w:val="false"/>
          <w:sz w:val="20"/>
        </w:rPr>
        <w:t>. The Borrower shall fail to pay any principal of the Loan, when and as the same shall become due and payable, whether at the due date thereof, at a date fixed for prepayment thereof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395.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Payment Defaults</w:t>
      </w:r>
      <w:r>
        <w:rPr>
          <w:rFonts w:ascii="Times New Roman;Times;Serif" w:hAnsi="Times New Roman;Times;Serif"/>
          <w:b w:val="false"/>
          <w:i w:val="false"/>
          <w:caps w:val="false"/>
          <w:smallCaps w:val="false"/>
          <w:sz w:val="20"/>
        </w:rPr>
        <w:t xml:space="preserve">. Any Obligor shall fail to pay interest or any other Obligation (other than an amount referred to in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when and as the same shall become due and payable, and such failure shall continue unremedied for a period of three (3)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396.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Any representation or warranty made or deemed made by or on behalf of any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have been incorrect or misleading when made or deemed made to the extent that such representation or warranty contains any materiality or Material Adverse Effect qualifier; or (ii) have been incorrect in any material respect when made or deemed made to the extent that such representation or warranty does not otherwise contain any materiality or Material Adverse Effect qualifier.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397.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Certain Covenants</w:t>
      </w:r>
      <w:r>
        <w:rPr>
          <w:rFonts w:ascii="Times New Roman;Times;Serif" w:hAnsi="Times New Roman;Times;Serif"/>
          <w:b w:val="false"/>
          <w:i w:val="false"/>
          <w:caps w:val="false"/>
          <w:smallCaps w:val="false"/>
          <w:sz w:val="20"/>
        </w:rPr>
        <w:t xml:space="preserve">. Any Obligor shall fail to observe or perform any covenant, condition or agreement contained in </w:t>
      </w:r>
      <w:r>
        <w:rPr>
          <w:rFonts w:ascii="Times New Roman;Times;Serif" w:hAnsi="Times New Roman;Times;Serif"/>
          <w:b/>
          <w:i w:val="false"/>
          <w:caps w:val="false"/>
          <w:smallCaps w:val="false"/>
          <w:sz w:val="20"/>
        </w:rPr>
        <w:t>Section 8.01, 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8.03</w:t>
      </w:r>
      <w:r>
        <w:rPr>
          <w:rFonts w:ascii="Times New Roman;Times;Serif" w:hAnsi="Times New Roman;Times;Serif"/>
          <w:b w:val="false"/>
          <w:i w:val="false"/>
          <w:caps w:val="false"/>
          <w:smallCaps w:val="false"/>
          <w:sz w:val="20"/>
        </w:rPr>
        <w:t xml:space="preserve"> (solely as to the Borrower), </w:t>
      </w:r>
      <w:r>
        <w:rPr>
          <w:rFonts w:ascii="Times New Roman;Times;Serif" w:hAnsi="Times New Roman;Times;Serif"/>
          <w:b/>
          <w:i w:val="false"/>
          <w:caps w:val="false"/>
          <w:smallCaps w:val="false"/>
          <w:sz w:val="20"/>
        </w:rPr>
        <w:t>Section 8.07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8.18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9</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Event of Default under </w:t>
      </w:r>
      <w:r>
        <w:rPr>
          <w:rFonts w:ascii="Times New Roman;Times;Serif" w:hAnsi="Times New Roman;Times;Serif"/>
          <w:b/>
          <w:i w:val="false"/>
          <w:caps w:val="false"/>
          <w:smallCaps w:val="false"/>
          <w:sz w:val="20"/>
        </w:rPr>
        <w:t xml:space="preserve">Section 10.02 </w:t>
      </w:r>
      <w:r>
        <w:rPr>
          <w:rFonts w:ascii="Times New Roman;Times;Serif" w:hAnsi="Times New Roman;Times;Serif"/>
          <w:b w:val="false"/>
          <w:i w:val="false"/>
          <w:caps w:val="false"/>
          <w:smallCaps w:val="false"/>
          <w:sz w:val="20"/>
        </w:rPr>
        <w:t xml:space="preserve">is subject to </w:t>
      </w:r>
      <w:r>
        <w:rPr>
          <w:rFonts w:ascii="Times New Roman;Times;Serif" w:hAnsi="Times New Roman;Times;Serif"/>
          <w:b/>
          <w:i w:val="false"/>
          <w:caps w:val="false"/>
          <w:smallCaps w:val="false"/>
          <w:sz w:val="20"/>
        </w:rPr>
        <w:t>Section 11.04</w:t>
      </w:r>
      <w:r>
        <w:rPr>
          <w:rFonts w:ascii="Times New Roman;Times;Serif" w:hAnsi="Times New Roman;Times;Serif"/>
          <w:b w:val="false"/>
          <w:i w:val="false"/>
          <w:caps w:val="false"/>
          <w:smallCaps w:val="false"/>
          <w:sz w:val="20"/>
        </w:rPr>
        <w:t xml:space="preserve"> and an Event of Default with respect to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 xml:space="preserve"> shall not occur until the Cure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398.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Covenants</w:t>
      </w:r>
      <w:r>
        <w:rPr>
          <w:rFonts w:ascii="Times New Roman;Times;Serif" w:hAnsi="Times New Roman;Times;Serif"/>
          <w:b w:val="false"/>
          <w:i w:val="false"/>
          <w:caps w:val="false"/>
          <w:smallCaps w:val="false"/>
          <w:sz w:val="20"/>
        </w:rPr>
        <w:t xml:space="preserve">. Any Obligor shall fail to observe or perform any covenant, condition or agreement contained in this Agreement (other than those specified in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or any other Loan Document, and, in the case of any failure that is capable of cure, such failure shall continue unremedied for a period of thirty (30) or more days after the earlier to occur of the date on which (i) a Responsible Officer of any Obligor becomes aware of such failure or (ii) written notice thereof shall have been given to any Obligor by the Administrative Agent or any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399.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Payment Default on Other Indebtedness</w:t>
      </w:r>
      <w:r>
        <w:rPr>
          <w:rFonts w:ascii="Times New Roman;Times;Serif" w:hAnsi="Times New Roman;Times;Serif"/>
          <w:b w:val="false"/>
          <w:i w:val="false"/>
          <w:caps w:val="false"/>
          <w:smallCaps w:val="false"/>
          <w:sz w:val="20"/>
        </w:rPr>
        <w:t>. Any Obligor or any of its Subsidiaries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Defaults on Other Indebtedness</w:t>
      </w:r>
      <w:r>
        <w:rPr>
          <w:rFonts w:ascii="Times New Roman;Times;Serif" w:hAnsi="Times New Roman;Times;Serif"/>
          <w:b w:val="false"/>
          <w:i w:val="false"/>
          <w:caps w:val="false"/>
          <w:smallCaps w:val="false"/>
          <w:sz w:val="20"/>
        </w:rPr>
        <w:t xml:space="preserve">. (i) Any material breach of, or “event of default” or similar event under, any Contract governing any Material Indebtedness shall occur and such breach or “event of default” or similar event shall continue unremedied, uncured or unwaived after the expiration of any grace or cure period thereunder, or (ii) any event or condition occurs (x) that results in any Material Indebtedness becoming due prior to its scheduled maturity or (y)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this </w:t>
      </w:r>
      <w:r>
        <w:rPr>
          <w:rFonts w:ascii="Times New Roman;Times;Serif" w:hAnsi="Times New Roman;Times;Serif"/>
          <w:b/>
          <w:i w:val="false"/>
          <w:caps w:val="false"/>
          <w:smallCaps w:val="false"/>
          <w:sz w:val="20"/>
        </w:rPr>
        <w:t>Section 11.01(g)</w:t>
      </w:r>
      <w:r>
        <w:rPr>
          <w:rFonts w:ascii="Times New Roman;Times;Serif" w:hAnsi="Times New Roman;Times;Serif"/>
          <w:b w:val="false"/>
          <w:i w:val="false"/>
          <w:caps w:val="false"/>
          <w:smallCaps w:val="false"/>
          <w:sz w:val="20"/>
        </w:rPr>
        <w:t xml:space="preserve"> shall not apply to (x) secured Indebtedness that becomes due as a result of the voluntary sale or transfer of the property or assets securing such Material Indebtedness, (y) any conversion of any convertible Indebtedness or satisfaction of any condition giving rise to or permitting a conversion of any convertible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or the applicable Subsidiary has the right to settle any such Indebtedness into Equity Interests of the Borrower or such Subsidiary (and nominal cash payments in respect of fractional shares and cash payments in respect of accrued and unpaid interest) in accordance with the terms or conditions thereof and (z) with respect to any Material Indebtedness consisting of Hedging Agreements, termination events or equivalent events pursuant to the terms of such Hedging Agreements and not as a result of any default thereunder by any Obligor or any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Insolvency, Bankruptcy,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Any Obligor or any of its Material Subsidiaries becomes insolvent,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Any Obligor or any of its Material Subsidiaries commits an act of bankruptcy or makes an assignment of its property for the general benefit of its creditors or makes a proposal (or files a notice of its intention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404.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Any Obligor or any of its Material Subsidiaries institutes any proceeding seeking to adjudicate it an insolvent, or seeking liquidation, dissolution, winding-up, reorganization, examinership, compromise, arrangement, adjustment, protection, moratorium, relief, stay of proceedings of creditors generally (or any class of creditors), or composition of it or its debts or any other relief, under any Law, whether U.S., or non-U.S., now or hereafter in effect relating to bankruptcy, winding-up, insolvency, reorganization, examinership, receivership, plans of arrangement or relief or protection of debtors or at common law or in equity, or files an answer admitting the material allegations of a petition filed against it in any such proceeding.</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405.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Any Obligor or any of its Material Subsidiaries applies for the appointment of, or the taking of possession by, a receiver, interim receiver, receiver/manager, sequestrator, conservator, custodian, administrator, examiner, trustee, liquidator, voluntary administrator, receiver and manager or other similar official for it or any substantial part of its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406.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Any Obligor or any of its Material Subsidiaries takes any action, corporate or otherwise, to approve, effect, consent to or authorize any of the actions described in this Section 11.01(h), or otherwise acts in furtherance thereof or fails to act in a timely and appropriate manner in defense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Any petition is filed, application made or other proceeding instituted against or in respect of any Obligor or any of its Material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408. </w:t>
      </w:r>
      <w:r>
        <w:rPr>
          <w:rFonts w:ascii="Times New Roman;Times;Serif" w:hAnsi="Times New Roman;Times;Serif"/>
          <w:b w:val="false"/>
          <w:i w:val="false"/>
          <w:caps w:val="false"/>
          <w:smallCaps w:val="false"/>
          <w:sz w:val="20"/>
        </w:rPr>
        <w:t>seeking to adjudicate it as insolvent;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409. </w:t>
      </w:r>
      <w:r>
        <w:rPr>
          <w:rFonts w:ascii="Times New Roman;Times;Serif" w:hAnsi="Times New Roman;Times;Serif"/>
          <w:b w:val="false"/>
          <w:i w:val="false"/>
          <w:caps w:val="false"/>
          <w:smallCaps w:val="false"/>
          <w:sz w:val="20"/>
        </w:rPr>
        <w:t>seeking a receiving order against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410.</w:t>
      </w:r>
      <w:r>
        <w:rPr>
          <w:rFonts w:ascii="Times New Roman;Times;Serif" w:hAnsi="Times New Roman;Times;Serif"/>
          <w:b w:val="false"/>
          <w:i w:val="false"/>
          <w:caps w:val="false"/>
          <w:smallCaps w:val="false"/>
          <w:sz w:val="20"/>
        </w:rPr>
        <w:t xml:space="preserve"> seeking liquidation, dissolution, winding-up, reorganization, compromise, arrangement, adjustment, protection, moratorium, relief, examinership, stay of proceedings of creditors generally (or any class of creditors), deed of company arrangement or composition of it or its debts or any other relief under any Law, whether U.S. or non-U.S., now or hereafter in effect relating to bankruptcy, winding-up, insolvency, reorganization, receivership, plans of arrangement or relief or protection of debtors or at common law or in equity;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411.</w:t>
      </w:r>
      <w:r>
        <w:rPr>
          <w:rFonts w:ascii="Times New Roman;Times;Serif" w:hAnsi="Times New Roman;Times;Serif"/>
          <w:b w:val="false"/>
          <w:i w:val="false"/>
          <w:caps w:val="false"/>
          <w:smallCaps w:val="false"/>
          <w:sz w:val="20"/>
        </w:rPr>
        <w:t xml:space="preserve"> seeking the entry of an order for relief or the appointment of, or the taking of possession by, a receiver, interim receiver, receiver/manager, examiner, sequestrator, conservator, custodian, administrator, trustee, liquidator, voluntary administrator, receiver and manager or other similar official for it or any substantial part of its property, and such petition, application or proceeding continues undismissed, or unstayed and in effect, for a period of forty-five (45) days after the institution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 order, decree or judgment is granted or entered (whether or not entered or subject to appeal) against such Obligor or such Subsidiary thereunder in the interim, such grace period will cease to apply;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such Obligor or Material Subsidiary files an answer admitting the material allegations of a petition filed against it in any such proceeding, such grace period will cease to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412. </w:t>
      </w:r>
      <w:r>
        <w:rPr>
          <w:rFonts w:ascii="Times New Roman;Times;Serif" w:hAnsi="Times New Roman;Times;Serif"/>
          <w:b/>
          <w:i w:val="false"/>
          <w:caps w:val="false"/>
          <w:smallCaps w:val="false"/>
          <w:sz w:val="20"/>
        </w:rPr>
        <w:t>Any other event occurs which, under the Laws of any applicable jurisdiction, has an effect equivalent to any of the events referred to in this Section 11.01(h).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Judgments</w:t>
      </w:r>
      <w:r>
        <w:rPr>
          <w:rFonts w:ascii="Times New Roman;Times;Serif" w:hAnsi="Times New Roman;Times;Serif"/>
          <w:b w:val="false"/>
          <w:i w:val="false"/>
          <w:caps w:val="false"/>
          <w:smallCaps w:val="false"/>
          <w:sz w:val="20"/>
        </w:rPr>
        <w:t>. One or more final judgments for the payment of money in an aggregate amount in excess of $5,000,000 (to the extent not fully covered (other than to the extent of customary deductibles) by insurance pursuant to which the insurer has not denied coverage) shall be rendered against any Obligor or any of its Subsidiaries or any combination thereof and the same shall remain undischarged for a period of forty-five (45) calendar days during which execution shall not be effectively stayed or bonded pending appeal, or any action shall be legally taken by a judgment creditor to attach or levy upon any assets of any Obligor to enforce any such judgment.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414.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An ERISA Event shall have occurred that when taken together with all other ERISA Events that have occurred, would reasonably be expected to result in liability of the Borrower and its Subsidiaries in an aggregate amount in excess of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A Change of Control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Regulatory Matters, Etc. </w:t>
      </w:r>
      <w:r>
        <w:rPr>
          <w:rFonts w:ascii="Times New Roman;Times;Serif" w:hAnsi="Times New Roman;Times;Serif"/>
          <w:b w:val="false"/>
          <w:i w:val="false"/>
          <w:caps w:val="false"/>
          <w:smallCaps w:val="false"/>
          <w:sz w:val="20"/>
        </w:rPr>
        <w:t>If any of the following occurs:(i) the FDA or any other Regulatory Authority initiates enforcement action against, or issues a warning letter with respect to, any Obligor, any Product or any manufacturing facilities that any Obligor owns or controls related to the foregoing that (x) causes any Obligor to discontinue or withdraw, or would reasonably be expected to cause any Obligor to discontinue or withdraw, marketing or sales of a Product or causes a delay in the manufacture or sale of a Product and (y) would reasonably be expected to result in a Material Adverse Effect, or (ii) a recall of a Product that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Impairment of Security, Etc. </w:t>
      </w:r>
      <w:r>
        <w:rPr>
          <w:rFonts w:ascii="Times New Roman;Times;Serif" w:hAnsi="Times New Roman;Times;Serif"/>
          <w:b w:val="false"/>
          <w:i w:val="false"/>
          <w:caps w:val="false"/>
          <w:smallCaps w:val="false"/>
          <w:sz w:val="20"/>
        </w:rPr>
        <w:t xml:space="preserve">Subject in all respects to any applicable post-closing periods and certain other time periods and exceptions under the Loan Documents for any Obligor or Subsidiary to take perfection actions, if any of the following events occurs: (i) Any Lien created by any of the Security Documents shall at any time (except as expressly permitted by the terms of any Loan Document) not constitute a valid and perfected Lien on the applicable Collateral in favor of the Secured Parties, free and clear of all other Liens (other than Permitted Liens) except due to the action or inaction of the Administrative Agent, (ii) except for expiration in accordance with its terms, any of the Security Documents or any Guarantee of any of the Obligations (including that contained in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shall for whatever reason cease to be in full force and effect, (iii) any Obligor shall, directly or indirectly, contest in any manner such effectiveness, validity, binding nature or enforceability of any such Lien or any Loan Document, or (iv) any injunction, whether temporary or permanent, shall be rendered against any Obligor that prevents the Obligors from conducting it business in the ordinary course for more than thirty (30) calendar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xml:space="preserve"> The Borrower breaches any of its material obligations under any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i w:val="false"/>
          <w:caps w:val="false"/>
          <w:smallCaps w:val="false"/>
          <w:sz w:val="20"/>
        </w:rPr>
        <w:t>Key Person Event</w:t>
      </w:r>
      <w:r>
        <w:rPr>
          <w:rFonts w:ascii="Times New Roman;Times;Serif" w:hAnsi="Times New Roman;Times;Serif"/>
          <w:b w:val="false"/>
          <w:i w:val="false"/>
          <w:caps w:val="false"/>
          <w:smallCaps w:val="false"/>
          <w:sz w:val="20"/>
        </w:rPr>
        <w:t>. A Key Person Event shall have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419. </w:t>
      </w:r>
      <w:r>
        <w:rPr>
          <w:rFonts w:ascii="Times New Roman;Times;Serif" w:hAnsi="Times New Roman;Times;Serif"/>
          <w:b/>
          <w:i/>
          <w:caps w:val="false"/>
          <w:smallCaps w:val="false"/>
          <w:sz w:val="20"/>
        </w:rPr>
        <w:t>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420.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Defaults Other Than Bankruptcy Defaults</w:t>
      </w:r>
      <w:r>
        <w:rPr>
          <w:rFonts w:ascii="Times New Roman;Times;Serif" w:hAnsi="Times New Roman;Times;Serif"/>
          <w:b w:val="false"/>
          <w:i w:val="false"/>
          <w:caps w:val="false"/>
          <w:smallCaps w:val="false"/>
          <w:sz w:val="20"/>
        </w:rPr>
        <w:t xml:space="preserve">. Upon the occurrence of any Event of Default, then, and in every such event (other than an Event of Default described in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and at any time thereafter during the continuance of such event, the Administrative Agent may, upon notice to the Borrower, take any or all of the following actions: (i) declare the Commitments, if any, of each Lender having such Commitments to be terminated, whereupon such Commitments shall be terminated,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including any applicable Yield Protection Premium and the Exit Fee, shall become due and payable immediately (in the case of the Loans, at the Prepayment Price therefor), without presentment, demand, protest or other notice of any kind, all of which are hereby expressly waived by each Obligor, (iii) enforce any and all Liens and security interests created pursuant to Security Documents, and (iv) exercise on behalf of itself and the other Secured Parties all rights and remedies available to it and the other Secured Parties under the Loan Documents or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421. </w:t>
      </w:r>
      <w:r>
        <w:rPr>
          <w:rFonts w:ascii="Times New Roman;Times;Serif" w:hAnsi="Times New Roman;Times;Serif"/>
          <w:b/>
          <w:i w:val="false"/>
          <w:caps w:val="false"/>
          <w:smallCaps w:val="false"/>
          <w:sz w:val="20"/>
        </w:rPr>
        <w:t>Bankruptcy Defaults</w:t>
      </w:r>
      <w:r>
        <w:rPr>
          <w:rFonts w:ascii="Times New Roman;Times;Serif" w:hAnsi="Times New Roman;Times;Serif"/>
          <w:b w:val="false"/>
          <w:i w:val="false"/>
          <w:caps w:val="false"/>
          <w:smallCaps w:val="false"/>
          <w:sz w:val="20"/>
        </w:rPr>
        <w:t xml:space="preserve">. In case of an Event of Default described in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the obligation of each Lender to make Loans shall automatically terminate and the principal of the Loans then outstanding, together with accrued interest thereon and all fees and other Obligations, including any applicable Yield Protection Premium and the Exit Fee, shall automatically become due and payable immediately (in the case of the Loans, at the Prepayment Price therefor), without presentment, demand, protest or other notice of any kind, all of which are hereby expressly waived by each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422.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Additional Remedies</w:t>
      </w:r>
      <w:r>
        <w:rPr>
          <w:rFonts w:ascii="Times New Roman;Times;Serif" w:hAnsi="Times New Roman;Times;Serif"/>
          <w:b w:val="false"/>
          <w:i w:val="false"/>
          <w:caps w:val="false"/>
          <w:smallCaps w:val="false"/>
          <w:sz w:val="20"/>
        </w:rPr>
        <w:t xml:space="preserve">. If an Event of Default has occurred and is continuing, if any Obligor shall be in default under a Material Agreement, the Administrative Agent shall have the right (but not the obligation) to cause the default or defaults under such Material Agreement to be remedied (including without limitation by paying any unpaid amount thereunder) and otherwise exercise any and all rights of such Obligor, as the case may be, thereunder, as may be necessary to prevent or cure any default. Without limiting the foregoing, upon any such default, each Obligor shall promptly execute, acknowledge and deliver to the Administrative Agent such instruments as may reasonably be required of such Obligor to permit the Administrative Agent to cure any default under the applicable Material Agreement or permit the Administrative Agent to take such other action required to enable the Administrative Agent to cure or remedy the matter in default and preserve the interests of the Administrative Agent. Any amounts paid by the Administrative Agent pursuant to this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 xml:space="preserve"> shall be payable in accordance with </w:t>
      </w:r>
      <w:r>
        <w:rPr>
          <w:rFonts w:ascii="Times New Roman;Times;Serif" w:hAnsi="Times New Roman;Times;Serif"/>
          <w:b/>
          <w:i w:val="false"/>
          <w:caps w:val="false"/>
          <w:smallCaps w:val="false"/>
          <w:sz w:val="20"/>
        </w:rPr>
        <w:t>Section 14.03(a)</w:t>
      </w:r>
      <w:r>
        <w:rPr>
          <w:rFonts w:ascii="Times New Roman;Times;Serif" w:hAnsi="Times New Roman;Times;Serif"/>
          <w:b w:val="false"/>
          <w:i w:val="false"/>
          <w:caps w:val="false"/>
          <w:smallCaps w:val="false"/>
          <w:sz w:val="20"/>
        </w:rPr>
        <w:t xml:space="preserve">, shall accrue interest at the Default Rate if not paid when due, and shall constitute “Obligations.” The Administrative Agent and the Lenders agree that in connection with any foreclosure or other exercise of rights under this Agreement or any other Loan Document with respect to Intellectual Property, the rights of the non-Affiliate licensees under Permitted Licenses will not be terminated, limited or otherwise adversely affected so long as no default exists under the Permitted License that would permit the licensor to terminate such Permitted License (commonly known as a non-disturbance);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be entitled to exercise any rights of the Obligors under such licenses, including termination rights, upon the exercise of remedies during an Event of Default.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423.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Minimum Net Revenues Covenant Cure</w:t>
      </w:r>
      <w:r>
        <w:rPr>
          <w:rFonts w:ascii="Times New Roman;Times;Serif" w:hAnsi="Times New Roman;Times;Serif"/>
          <w:b w:val="false"/>
          <w:i w:val="false"/>
          <w:caps w:val="false"/>
          <w:smallCaps w:val="false"/>
          <w:sz w:val="20"/>
        </w:rPr>
        <w:t xml:space="preserve">(a). Notwithstanding anything to the contrary contained in </w:t>
      </w:r>
      <w:r>
        <w:rPr>
          <w:rFonts w:ascii="Times New Roman;Times;Serif" w:hAnsi="Times New Roman;Times;Serif"/>
          <w:b/>
          <w:i w:val="false"/>
          <w:caps w:val="false"/>
          <w:smallCaps w:val="false"/>
          <w:sz w:val="20"/>
        </w:rPr>
        <w:t>Section 11.01(d)</w:t>
      </w:r>
      <w:r>
        <w:rPr>
          <w:rFonts w:ascii="Times New Roman;Times;Serif" w:hAnsi="Times New Roman;Times;Serif"/>
          <w:b w:val="false"/>
          <w:i w:val="false"/>
          <w:caps w:val="false"/>
          <w:smallCaps w:val="false"/>
          <w:sz w:val="20"/>
        </w:rPr>
        <w:t xml:space="preserve">, in the event the Borrower fails to comply with the requirements of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 during the period from the last day of the relevant fiscal quarter in respect of which such Default has occurred and until the expiration of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subsequent to the date the financial statements are required to be delivered for such fiscal quarter pursuant to </w:t>
      </w:r>
      <w:r>
        <w:rPr>
          <w:rFonts w:ascii="Times New Roman;Times;Serif" w:hAnsi="Times New Roman;Times;Serif"/>
          <w:b/>
          <w:i w:val="false"/>
          <w:caps w:val="false"/>
          <w:smallCaps w:val="false"/>
          <w:sz w:val="20"/>
        </w:rPr>
        <w:t>Section 8.01(a) or 8.01(b)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Cure Expiration Date</w:t>
      </w:r>
      <w:r>
        <w:rPr>
          <w:rFonts w:ascii="Times New Roman;Times;Serif" w:hAnsi="Times New Roman;Times;Serif"/>
          <w:b w:val="false"/>
          <w:i w:val="false"/>
          <w:caps w:val="false"/>
          <w:smallCaps w:val="false"/>
          <w:sz w:val="20"/>
        </w:rPr>
        <w:t xml:space="preserve">”), the Borrower shall have the right to make a Net Revenues Cure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payment shall be made with either cash on hand (subject to pro forma compliance with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or cash raised from the issuance or sale of Qualified Equity Interests in the Borrower for cash (the “</w:t>
      </w:r>
      <w:r>
        <w:rPr>
          <w:rFonts w:ascii="Times New Roman;Times;Serif" w:hAnsi="Times New Roman;Times;Serif"/>
          <w:b/>
          <w:i/>
          <w:caps w:val="false"/>
          <w:smallCaps w:val="false"/>
          <w:sz w:val="20"/>
        </w:rPr>
        <w:t>Minimum Net Revenues Cure Right</w:t>
      </w:r>
      <w:r>
        <w:rPr>
          <w:rFonts w:ascii="Times New Roman;Times;Serif" w:hAnsi="Times New Roman;Times;Serif"/>
          <w:b w:val="false"/>
          <w:i w:val="false"/>
          <w:caps w:val="false"/>
          <w:smallCaps w:val="false"/>
          <w:sz w:val="20"/>
        </w:rPr>
        <w:t xml:space="preserve">”). Upon the Administrative Agent’s receipt of the applicable Net Revenues Cure Payment or application of such cash amounts, the Borrower shall then be in compliance with the requirements of the Minimum Net Revenues Covenant, and the Borrower shall be deemed to have satisfied the requirements of the Minimum Net Revenues Covenant as of the relevant date of determination with the same effect as though there had been no failure to comply therewith at such date, and the applicable breach of the Minimum Net Revenues Covenant and any related Default that had occurred shall be deemed cured for the purposes of this Agreement. Net Revenues shall be deemed increased for the applicable fiscal quarter and any four fiscal quarter period that contains such fiscal quarter, solely for the purpose of measuring the covenant set forth in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 xml:space="preserve"> and not for any other purpose under this Agreement, by an amount equal to the Net Revenues Shortfall Amount (and the receipt by the Lenders of the Net Revenues Cure Payment pursuant to the Minimum Net Revenues Cure Right and the related increase of Net Revenues by the Net Revenues Shortfall Amount shall be deemed to have no other effect whatsoever under this Agreement other than as specifically provided in this </w:t>
      </w:r>
      <w:r>
        <w:rPr>
          <w:rFonts w:ascii="Times New Roman;Times;Serif" w:hAnsi="Times New Roman;Times;Serif"/>
          <w:b/>
          <w:i w:val="false"/>
          <w:caps w:val="false"/>
          <w:smallCaps w:val="false"/>
          <w:sz w:val="20"/>
        </w:rPr>
        <w:t>Section 11.04</w:t>
      </w:r>
      <w:r>
        <w:rPr>
          <w:rFonts w:ascii="Times New Roman;Times;Serif" w:hAnsi="Times New Roman;Times;Serif"/>
          <w:b w:val="false"/>
          <w:i w:val="false"/>
          <w:caps w:val="false"/>
          <w:smallCaps w:val="false"/>
          <w:sz w:val="20"/>
        </w:rPr>
        <w:t>). Any Net Revenues Cure Payment shall be applied to the prepayment of all outstanding Obligations, which shall include the Yield Protection Premium, if applicable, any accrued and unpaid interest and Commitment Fee, and the Exit Fee. Notwithstanding anything else in this Agreement, the Borrower may not exercise a Minimum Net Revenues Cure Right more than four times over the life of the loan or more than two times in any twelve 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424.</w:t>
      </w:r>
      <w:r>
        <w:rPr>
          <w:rFonts w:ascii="Times New Roman;Times;Serif" w:hAnsi="Times New Roman;Times;Serif"/>
          <w:b w:val="false"/>
          <w:i w:val="false"/>
          <w:caps w:val="false"/>
          <w:smallCaps w:val="false"/>
          <w:sz w:val="20"/>
        </w:rPr>
        <w:t>Upon the Administrative Agent’s receipt of a notice from the Borrower that it intends to exercise the Minimum Net Revenues Cure Right (a “</w:t>
      </w:r>
      <w:r>
        <w:rPr>
          <w:rFonts w:ascii="Times New Roman;Times;Serif" w:hAnsi="Times New Roman;Times;Serif"/>
          <w:b/>
          <w:i/>
          <w:caps w:val="false"/>
          <w:smallCaps w:val="false"/>
          <w:sz w:val="20"/>
        </w:rPr>
        <w:t xml:space="preserve">Notice of Intent to Cure Net </w:t>
      </w:r>
      <w:r>
        <w:rPr>
          <w:rFonts w:ascii="Times New Roman;Times;Serif" w:hAnsi="Times New Roman;Times;Serif"/>
          <w:b w:val="false"/>
          <w:i w:val="false"/>
          <w:caps w:val="false"/>
          <w:smallCaps w:val="false"/>
          <w:sz w:val="20"/>
        </w:rPr>
        <w:t xml:space="preserve">Revenues </w:t>
      </w:r>
      <w:r>
        <w:rPr>
          <w:rFonts w:ascii="Times New Roman;Times;Serif" w:hAnsi="Times New Roman;Times;Serif"/>
          <w:b/>
          <w:i/>
          <w:caps w:val="false"/>
          <w:smallCaps w:val="false"/>
          <w:sz w:val="20"/>
        </w:rPr>
        <w:t>Covenant</w:t>
      </w:r>
      <w:r>
        <w:rPr>
          <w:rFonts w:ascii="Times New Roman;Times;Serif" w:hAnsi="Times New Roman;Times;Serif"/>
          <w:b w:val="false"/>
          <w:i w:val="false"/>
          <w:caps w:val="false"/>
          <w:smallCaps w:val="false"/>
          <w:sz w:val="20"/>
        </w:rPr>
        <w:t xml:space="preserve">”), until the Cure Expiration Date to which such Notice of Intent to Cure Net Revenues Covenant relates, no Lender shall be required to extend any credit pursuant to its Commitment during such period. Neither the Administrative Agent nor any Lender shall exercise the right to accelerate the Loans or terminate the Commitments and none of the Administrative Agent or any Lender shall exercise any right to foreclose on or take possession of the Collateral or exercise any other remedy pursuant to </w:t>
      </w:r>
      <w:r>
        <w:rPr>
          <w:rFonts w:ascii="Times New Roman;Times;Serif" w:hAnsi="Times New Roman;Times;Serif"/>
          <w:b/>
          <w:i w:val="false"/>
          <w:caps w:val="false"/>
          <w:smallCaps w:val="false"/>
          <w:sz w:val="20"/>
        </w:rPr>
        <w:t>Section 11.02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 xml:space="preserve">, the other Loan Documents or applicable law prior to the Cure Expiration Date solely on the basis of an Event of Default having occurred and continuing under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 xml:space="preserve"> (except to the extent that the Borrower has confirmed in writing that it does not intend to exercise a Minimum Net Revenues Cure Right). If on or prior to the Cure Expiration Date, the Oaktree Lender declines the exercise by the Borrower of the Minimum Net Revenues Cure Right by written notice to the Administrative Agent and the Borrower to that effect, then the Borrower shall be deemed to have satisfied the requirements of the Minimum Net Revenues Covenant as of the relevant date of determination with the same effect as though there had been no failure to comply therewith at such date, and the applicable breach of the Minimum Net Revenues Covenant and any related default that had occurred shall be deemed cured for the purposes of this Agreement.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Payment of Yield Protection Premium and Exit Fee</w:t>
      </w:r>
      <w:r>
        <w:rPr>
          <w:rFonts w:ascii="Times New Roman;Times;Serif" w:hAnsi="Times New Roman;Times;Serif"/>
          <w:b w:val="false"/>
          <w:i w:val="false"/>
          <w:caps w:val="false"/>
          <w:smallCaps w:val="false"/>
          <w:sz w:val="20"/>
        </w:rPr>
        <w:t xml:space="preserve">. Notwithstanding anything in this Agreement to the contrary, the Yield Protection Premium and the Exit Fee shall automatically be due and payable at any time the Obligations become due and payable prior to the Maturity Date in accordance with the terms hereof as though such Indebtedness was voluntarily prepaid and shall constitute part of the Obligations, whether due to acceleration pursuant to the terms of this Agreement (in which case it shall be due immediately, upon the giving of notice to Borrower in accordance with </w:t>
      </w:r>
      <w:r>
        <w:rPr>
          <w:rFonts w:ascii="Times New Roman;Times;Serif" w:hAnsi="Times New Roman;Times;Serif"/>
          <w:b/>
          <w:i w:val="false"/>
          <w:caps w:val="false"/>
          <w:smallCaps w:val="false"/>
          <w:sz w:val="20"/>
        </w:rPr>
        <w:t>Section 11.02(a)</w:t>
      </w:r>
      <w:r>
        <w:rPr>
          <w:rFonts w:ascii="Times New Roman;Times;Serif" w:hAnsi="Times New Roman;Times;Serif"/>
          <w:b w:val="false"/>
          <w:i w:val="false"/>
          <w:caps w:val="false"/>
          <w:smallCaps w:val="false"/>
          <w:sz w:val="20"/>
        </w:rPr>
        <w:t xml:space="preserve">, or automatically, in accordance with </w:t>
      </w:r>
      <w:r>
        <w:rPr>
          <w:rFonts w:ascii="Times New Roman;Times;Serif" w:hAnsi="Times New Roman;Times;Serif"/>
          <w:b/>
          <w:i w:val="false"/>
          <w:caps w:val="false"/>
          <w:smallCaps w:val="false"/>
          <w:sz w:val="20"/>
        </w:rPr>
        <w:t>Section 11.02(b)</w:t>
      </w:r>
      <w:r>
        <w:rPr>
          <w:rFonts w:ascii="Times New Roman;Times;Serif" w:hAnsi="Times New Roman;Times;Serif"/>
          <w:b w:val="false"/>
          <w:i w:val="false"/>
          <w:caps w:val="false"/>
          <w:smallCaps w:val="false"/>
          <w:sz w:val="20"/>
        </w:rPr>
        <w:t xml:space="preserve">),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as a result thereof. If the Yield Protection Premium and/or Exit Fee become due and payable pursuant to the preceding sentence, the Yield Protection Premium and Exit Fee, as applicable, shall be deemed to be principal of the Loans and interest shall accrue on the full principal amount of the Loans (including the Yield Protection Premium and Exit Fee, as applicable) from and after the applicable triggering event. Any Yield Protection Premium or Exit Fee (or, if required, both the Yield Protection Premium and the Exit Fee) payable pursuant to this Agreement shall be presumed to be the liquidated damages sustained by each Lender as the result of the early termination, acceleration or prepayment and each Obligor agrees that such Yield Protection Premium or Exit Fee is reasonable under the circumstances currently existing. The Yield Protection Premium and Exit Fee shall also be payable in the event the Obligations (and/or this Agreement) are satisfied or released by foreclosure (whether by power of judicial proceeding), deed in lieu of foreclosure or by any other means or the Obligations are reinstated pursuant to Section 1124 of the Bankruptcy Code. If the Yield Protection Premium and/or becomes due and payable pursuant to this Agreement, such Yield Protection Premium and/or Exit Fee under this Agreement and or in the event the Yield Protection Premium and/or Exit Fee is determined not to be due and payable by order of any court of competent jurisdiction, including, without limitation, by operation of the Bankruptcy Code, despite such a triggering event having occurred, such Yield Protection Premium and Exit Fee, as applicable, shall nonetheless constitute Obligations under this Agreement for all purposes hereunder. </w:t>
      </w:r>
      <w:r>
        <w:rPr>
          <w:rFonts w:ascii="Times New Roman;Times;Serif" w:hAnsi="Times New Roman;Times;Serif"/>
          <w:b/>
          <w:i w:val="false"/>
          <w:caps/>
          <w:sz w:val="20"/>
        </w:rPr>
        <w:t>Each Obligor hereby waives the provisions of any present or future statute or law that prohibits or may prohibit the collection of the Yield Protection Premium or exit fee and any defense to payment, whether such defense may be based in public policy, ambiguity, or otherwise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Obligors, the Administrative Agent and the Lenders acknowledge and agree that any Yield Protection Premium and the Exit Fee due and payable in accordance with this Agreement shall not constitute unmatured interest, whether under Section 5.02(b)(3) of the Bankruptcy Code or otherwise. Each Obligor further acknowledges and agrees, and waives any argument to the contrary, that payment of such amount does not constitute a penalty or an otherwise unenforceable or invalid obligation. Each Obligor expressly agrees that (i) the Yield Protection Premium and Exit Fee are each reasonable and each is the product of an arm’s-length transaction between sophisticated business people, ably represented by counsel, (ii) the Yield Protection Premium and Exit Fee shall be payable notwithstanding the then prevailing market rates at the time payment is made, (iii) there has been a course of conduct between the Lenders and the Obligors giving specific consideration in this transaction for such agreement to pay the Yield Protection Premium and Exit Fee, (iv) the Obligors shall be estopped hereafter from claiming differently than as agreed to in this </w:t>
      </w:r>
      <w:r>
        <w:rPr>
          <w:rFonts w:ascii="Times New Roman;Times;Serif" w:hAnsi="Times New Roman;Times;Serif"/>
          <w:b/>
          <w:i w:val="false"/>
          <w:caps w:val="false"/>
          <w:smallCaps w:val="false"/>
          <w:sz w:val="20"/>
        </w:rPr>
        <w:t>Section 11.05</w:t>
      </w:r>
      <w:r>
        <w:rPr>
          <w:rFonts w:ascii="Times New Roman;Times;Serif" w:hAnsi="Times New Roman;Times;Serif"/>
          <w:b w:val="false"/>
          <w:i w:val="false"/>
          <w:caps w:val="false"/>
          <w:smallCaps w:val="false"/>
          <w:sz w:val="20"/>
        </w:rPr>
        <w:t>, (v) their agreement to pay the Yield Protection Premium and Exit Fee is a material inducement to the Lenders to make the Loans, and (vi) the Yield Protection Premium and Exit Fee represent a good faith, reasonable estimate and calculation of the lost profits, losses or other damages of the Lenders and that it would be impractical and extremely difficult to ascertain the actual amount of damages to the Lenders or profits lost by the Lenders as a result of such event.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426.</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THE ADMINISTRATIVE AGENT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427.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Appointment and Duties</w:t>
      </w:r>
      <w:r>
        <w:rPr>
          <w:rFonts w:ascii="Times New Roman;Times;Serif" w:hAnsi="Times New Roman;Times;Serif"/>
          <w:b w:val="false"/>
          <w:i w:val="false"/>
          <w:caps w:val="false"/>
          <w:smallCaps w:val="false"/>
          <w:sz w:val="20"/>
        </w:rPr>
        <w:t>. Subject in all cases to clause (c)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428.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Appointment of the Administrative Agent</w:t>
      </w:r>
      <w:r>
        <w:rPr>
          <w:rFonts w:ascii="Times New Roman;Times;Serif" w:hAnsi="Times New Roman;Times;Serif"/>
          <w:b w:val="false"/>
          <w:i w:val="false"/>
          <w:caps w:val="false"/>
          <w:smallCaps w:val="false"/>
          <w:sz w:val="20"/>
        </w:rPr>
        <w:t xml:space="preserve">. Each of the Lenders hereby irrevocably appoints Oaktree Fund Administration, LLC (together with any successor Administrative Agent pursuant to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 xml:space="preserve">) as the Administrative Agent hereunder and authorizes the Administrative Agent to (i) execute and deliver the Loan Documents and accept delivery thereof on its behalf from any Obligor or any of its Subsidiaries, (ii) take such action on its behalf and to exercise all rights, powers and remedies and perform the duties as are expressly delegated to the Administrative Agent under such Loan Documents and (iii) exercise such powers as are reasonably incidental thereto. Except as expressly set forth herein, the provisions of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i w:val="false"/>
          <w:caps w:val="false"/>
          <w:smallCaps w:val="false"/>
          <w:sz w:val="20"/>
        </w:rPr>
        <w:t>Section 12.10</w:t>
      </w:r>
      <w:r>
        <w:rPr>
          <w:rFonts w:ascii="Times New Roman;Times;Serif" w:hAnsi="Times New Roman;Times;Serif"/>
          <w:b w:val="false"/>
          <w:i w:val="false"/>
          <w:caps w:val="false"/>
          <w:smallCaps w:val="false"/>
          <w:sz w:val="20"/>
        </w:rPr>
        <w:t>, and solely to the extent expressly set forth therein) are solely for the benefit of the Administrative Agent and the Lenders, and no Obligor or any Affiliate thereof shall have rights as a third-party beneficiary of any such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429. </w:t>
      </w:r>
      <w:r>
        <w:rPr>
          <w:rFonts w:ascii="Times New Roman;Times;Serif" w:hAnsi="Times New Roman;Times;Serif"/>
          <w:b/>
          <w:i w:val="false"/>
          <w:caps w:val="false"/>
          <w:smallCaps w:val="false"/>
          <w:sz w:val="20"/>
        </w:rPr>
        <w:t>Duties as Collateral and Disbursing Agent</w:t>
      </w:r>
      <w:r>
        <w:rPr>
          <w:rFonts w:ascii="Times New Roman;Times;Serif" w:hAnsi="Times New Roman;Times;Serif"/>
          <w:b w:val="false"/>
          <w:i w:val="false"/>
          <w:caps w:val="false"/>
          <w:smallCaps w:val="false"/>
          <w:sz w:val="20"/>
        </w:rPr>
        <w:t xml:space="preserve">. Without limiting the generality of </w:t>
      </w:r>
      <w:r>
        <w:rPr>
          <w:rFonts w:ascii="Times New Roman;Times;Serif" w:hAnsi="Times New Roman;Times;Serif"/>
          <w:b/>
          <w:i w:val="false"/>
          <w:caps w:val="false"/>
          <w:smallCaps w:val="false"/>
          <w:sz w:val="20"/>
        </w:rPr>
        <w:t>Section 12.01(a)</w:t>
      </w:r>
      <w:r>
        <w:rPr>
          <w:rFonts w:ascii="Times New Roman;Times;Serif" w:hAnsi="Times New Roman;Times;Serif"/>
          <w:b w:val="false"/>
          <w:i w:val="false"/>
          <w:caps w:val="false"/>
          <w:smallCaps w:val="false"/>
          <w:sz w:val="20"/>
        </w:rPr>
        <w:t xml:space="preserve">, the Administrative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proceeding described in </w:t>
      </w:r>
      <w:r>
        <w:rPr>
          <w:rFonts w:ascii="Times New Roman;Times;Serif" w:hAnsi="Times New Roman;Times;Serif"/>
          <w:b/>
          <w:i w:val="false"/>
          <w:caps w:val="false"/>
          <w:smallCaps w:val="false"/>
          <w:sz w:val="20"/>
        </w:rPr>
        <w:t xml:space="preserve">Section 11.01(h) </w:t>
      </w:r>
      <w:r>
        <w:rPr>
          <w:rFonts w:ascii="Times New Roman;Times;Serif" w:hAnsi="Times New Roman;Times;Serif"/>
          <w:b w:val="false"/>
          <w:i w:val="false"/>
          <w:caps w:val="false"/>
          <w:smallCaps w:val="false"/>
          <w:sz w:val="20"/>
        </w:rPr>
        <w:t xml:space="preserve">or any other bankruptcy, insolvency or similar proceeding), and each Person making any payment in connection with any Loan Document to any Secured Party is hereby authorized to make such payment to the Administrative Agent, (ii) file and prove claims and file other documents necessary or desirable to allow the claims of the Secured Parties with respect to any Obligation in any proceeding described in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xml:space="preserve"> or any other bankruptcy, insolvency or similar proceeding (but not to vote, consent or otherwise act on behalf of such Secured Party), (iii) act as collateral agent for each Secured Party for purposes of acquiring, holding, enforcing and perfecting all Liens created by the Loan Documents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the Administrative Agent and the other Secured Parties with respect to the Collateral, whether under the Loan Documents, applicable Laws or otherwise, (vii) enter into non-disturbance agreements and similar agreements and (viii) execute any amendment, consent or waiver under the Loan Documents on behalf of any Lender that has consented in writing to such amendment, consent or waiver;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hereby appoints, authorizes and directs each Lender to act as collateral sub-agent for the Administrative Agent and the Lenders for purposes of the perfection of all Liens with respect to the Collateral, including any deposit account maintained by a Obligor with, and cash and Cash Equivalent Investments held by, such Lender, and may further authorize and direct the Lenders to take further actions as collateral sub-agents for purposes of enforcing such Liens or otherwise to transfer the Collateral subject thereto to the Administrative Agent, and each Lender hereby agrees to take such further actions to the extent, and only to the extent, so authorized and directed.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430. </w:t>
      </w:r>
      <w:r>
        <w:rPr>
          <w:rFonts w:ascii="Times New Roman;Times;Serif" w:hAnsi="Times New Roman;Times;Serif"/>
          <w:b/>
          <w:i w:val="false"/>
          <w:caps w:val="false"/>
          <w:smallCaps w:val="false"/>
          <w:sz w:val="20"/>
        </w:rPr>
        <w:t>Limited Duties</w:t>
      </w:r>
      <w:r>
        <w:rPr>
          <w:rFonts w:ascii="Times New Roman;Times;Serif" w:hAnsi="Times New Roman;Times;Serif"/>
          <w:b w:val="false"/>
          <w:i w:val="false"/>
          <w:caps w:val="false"/>
          <w:smallCaps w:val="false"/>
          <w:sz w:val="20"/>
        </w:rPr>
        <w:t xml:space="preserve">. The Lenders and the Obligors hereby each acknowledge and agree that the Administrative Agent (i) has undertaken its role hereunder purely as an accommodation to the parties hereto and the Transactions, (ii) is receiving no compensation for undertaking such role and (iii) subject only to the notice provisions set forth in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 xml:space="preserve">, may resign from such role at any time for any reason or no reason whatsoever. Without limiting the foregoing, the parties hereto further acknowledge and agree that under the Loan Documents, the Administrative Agent (i) is acting solely on behalf of the Lenders (except to the limited extent provided in </w:t>
      </w:r>
      <w:r>
        <w:rPr>
          <w:rFonts w:ascii="Times New Roman;Times;Serif" w:hAnsi="Times New Roman;Times;Serif"/>
          <w:b/>
          <w:i w:val="false"/>
          <w:caps w:val="false"/>
          <w:smallCaps w:val="false"/>
          <w:sz w:val="20"/>
        </w:rPr>
        <w:t>Section 12.11</w:t>
      </w:r>
      <w:r>
        <w:rPr>
          <w:rFonts w:ascii="Times New Roman;Times;Serif" w:hAnsi="Times New Roman;Times;Serif"/>
          <w:b w:val="false"/>
          <w:i w:val="false"/>
          <w:caps w:val="false"/>
          <w:smallCaps w:val="false"/>
          <w:sz w:val="20"/>
        </w:rPr>
        <w:t xml:space="preserve">), with duties that are entirely administrative in nature, notwithstanding the use of the defined term “the Administrative Agent”, the terms “agent”, “administrative agent” and “collateral agent” and similar terms in any Loan Document to refer to the Administrative Agent, which terms are used for title purposes only, (ii) is not assuming any duty or obligation under any Loan Document other than as expressly set forth therein or any role as agent, fiduciary or trustee of or for any Lender or any other Secured Party and (iii) shall have no implied functions, responsibilities, duties, obligations or other liabilities under any Loan Document (fiduciary or otherwise), in each case, regardless of whether a Default has occurred and is continuing, and each Lender hereby waives and agrees not to assert any claim against the Administrative Agent based on the roles, duties and legal relationships expressly disclaimed in this </w:t>
      </w:r>
      <w:r>
        <w:rPr>
          <w:rFonts w:ascii="Times New Roman;Times;Serif" w:hAnsi="Times New Roman;Times;Serif"/>
          <w:b/>
          <w:i w:val="false"/>
          <w:caps w:val="false"/>
          <w:smallCaps w:val="false"/>
          <w:sz w:val="20"/>
        </w:rPr>
        <w:t>clause (c)</w:t>
      </w:r>
      <w:r>
        <w:rPr>
          <w:rFonts w:ascii="Times New Roman;Times;Serif" w:hAnsi="Times New Roman;Times;Serif"/>
          <w:b w:val="false"/>
          <w:i w:val="false"/>
          <w:caps w:val="false"/>
          <w:smallCaps w:val="false"/>
          <w:sz w:val="20"/>
        </w:rPr>
        <w:t>. Without in any way limiting the foregoing, the Administrative Agent shall not, except as expressly set forth in this Agreement and in the other Loan Documents, have any duty to disclose, and shall not be liable for the failure to disclose, any information relating to any Obligor or any of its Affiliates that is communicated to or obtained by the Person serving as the Administrative Agent or any of its Affiliates in any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431. </w:t>
      </w:r>
      <w:r>
        <w:rPr>
          <w:rFonts w:ascii="Times New Roman;Times;Serif" w:hAnsi="Times New Roman;Times;Serif"/>
          <w:b/>
          <w:i/>
          <w:caps w:val="false"/>
          <w:smallCaps w:val="false"/>
          <w:sz w:val="20"/>
        </w:rPr>
        <w:t>Binding Effect</w:t>
      </w:r>
      <w:r>
        <w:rPr>
          <w:rFonts w:ascii="Times New Roman;Times;Serif" w:hAnsi="Times New Roman;Times;Serif"/>
          <w:b w:val="false"/>
          <w:i w:val="false"/>
          <w:caps w:val="false"/>
          <w:smallCaps w:val="false"/>
          <w:sz w:val="20"/>
        </w:rPr>
        <w:t>. Each Lender agrees that (i) any action taken by the Administrative Agent or the Majority Lenders (or, if expressly required hereby, a greater proportion of the Lenders) in accordance with the provisions of the Loan Documents, (ii) any action taken by the Administrative Agent in reliance upon the instructions of the Majority Lenders (or, where so required, such greater proportion) and (iii) the exercise by the Administrative Agent or the Majority Lenders (or, where so required, such greater proportion) of the powers set forth herein or therein, together with such other powers as are reasonably incidental thereto, shall be authorized and binding upon all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432. </w:t>
      </w:r>
      <w:r>
        <w:rPr>
          <w:rFonts w:ascii="Times New Roman;Times;Serif" w:hAnsi="Times New Roman;Times;Serif"/>
          <w:b/>
          <w:i/>
          <w:caps w:val="false"/>
          <w:smallCaps w:val="false"/>
          <w:sz w:val="20"/>
        </w:rPr>
        <w:t>Use of Discretion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433.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 Action without Instructions</w:t>
      </w:r>
      <w:r>
        <w:rPr>
          <w:rFonts w:ascii="Times New Roman;Times;Serif" w:hAnsi="Times New Roman;Times;Serif"/>
          <w:b w:val="false"/>
          <w:i w:val="false"/>
          <w:caps w:val="false"/>
          <w:smallCaps w:val="false"/>
          <w:sz w:val="20"/>
        </w:rPr>
        <w:t xml:space="preserve">. The Administrative Agent shall not be required to exercise any discretion or take, or to omit to take, any action, including with respect to enforcement or collection, except (subject to </w:t>
      </w:r>
      <w:r>
        <w:rPr>
          <w:rFonts w:ascii="Times New Roman;Times;Serif" w:hAnsi="Times New Roman;Times;Serif"/>
          <w:b/>
          <w:i w:val="false"/>
          <w:caps w:val="false"/>
          <w:smallCaps w:val="false"/>
          <w:sz w:val="20"/>
        </w:rPr>
        <w:t xml:space="preserve">clause (b) </w:t>
      </w:r>
      <w:r>
        <w:rPr>
          <w:rFonts w:ascii="Times New Roman;Times;Serif" w:hAnsi="Times New Roman;Times;Serif"/>
          <w:b w:val="false"/>
          <w:i w:val="false"/>
          <w:caps w:val="false"/>
          <w:smallCaps w:val="false"/>
          <w:sz w:val="20"/>
        </w:rPr>
        <w:t>below) any action it is required to take or omit to take (i) under any Loan Document or (ii) pursuant to written instructions from the Majority Lenders (or, where expressly required by the terms of this Agreement, a greater proportion of the Lenders).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434. </w:t>
      </w:r>
      <w:r>
        <w:rPr>
          <w:rFonts w:ascii="Times New Roman;Times;Serif" w:hAnsi="Times New Roman;Times;Serif"/>
          <w:b/>
          <w:i w:val="false"/>
          <w:caps w:val="false"/>
          <w:smallCaps w:val="false"/>
          <w:sz w:val="20"/>
        </w:rPr>
        <w:t>Right Not to Follow Certain Instructions</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i w:val="false"/>
          <w:caps w:val="false"/>
          <w:smallCaps w:val="false"/>
          <w:sz w:val="20"/>
        </w:rPr>
        <w:t>Section 12.03(a)</w:t>
      </w:r>
      <w:r>
        <w:rPr>
          <w:rFonts w:ascii="Times New Roman;Times;Serif" w:hAnsi="Times New Roman;Times;Serif"/>
          <w:b w:val="false"/>
          <w:i w:val="false"/>
          <w:caps w:val="false"/>
          <w:smallCaps w:val="false"/>
          <w:sz w:val="20"/>
        </w:rPr>
        <w:t xml:space="preserve"> or any other term or provision of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the Administrative Agent shall not be required to take, or to omit to take, any action (i) unless, upon demand, the Administrative Agent receives an indemnification satisfactory to it from the Lenders (or, to the extent applicable and acceptable to the Administrative Agent, any other Secured Party) against all liabilities that, by reason of such action or omission, may be imposed on, incurred by or asserted against the Administrative Agent or any Related Parties thereof or (ii) that is, in the opinion of the Administrative Agent, in its sole and absolute discretion, contrary to any Loan Document, Law or the best interests of the Administrative Agent or any of its Affiliates or Related Parties, including, for the avoidance of doubt, any action that may be in violation of the automatic stay in connection with any Insolvency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435.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Delegation of Rights and Duties</w:t>
      </w:r>
      <w:r>
        <w:rPr>
          <w:rFonts w:ascii="Times New Roman;Times;Serif" w:hAnsi="Times New Roman;Times;Serif"/>
          <w:b w:val="false"/>
          <w:i w:val="false"/>
          <w:caps w:val="false"/>
          <w:smallCaps w:val="false"/>
          <w:sz w:val="20"/>
        </w:rPr>
        <w:t xml:space="preserve">. The Administrative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Secured Party). The Administrative Agent and any such Person may perform any and all of its duties and exercise its rights and powers by or through their respective Related Parties. Any such Person and its Related Parties shall benefit from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to the extent provided by the Administrative Agent; provided, however, that the exculpatory provisions of this </w:t>
      </w:r>
      <w:r>
        <w:rPr>
          <w:rFonts w:ascii="Times New Roman;Times;Serif" w:hAnsi="Times New Roman;Times;Serif"/>
          <w:b/>
          <w:i w:val="false"/>
          <w:caps w:val="false"/>
          <w:smallCaps w:val="false"/>
          <w:sz w:val="20"/>
        </w:rPr>
        <w:t xml:space="preserve">Section 12 </w:t>
      </w:r>
      <w:r>
        <w:rPr>
          <w:rFonts w:ascii="Times New Roman;Times;Serif" w:hAnsi="Times New Roman;Times;Serif"/>
          <w:b w:val="false"/>
          <w:i w:val="false"/>
          <w:caps w:val="false"/>
          <w:smallCaps w:val="false"/>
          <w:sz w:val="20"/>
        </w:rPr>
        <w:t>shall apply to any such sub-agent and to the Related Parties of the Administrative Agent and of any such sub-agent, and shall apply to their respective activities in connection with their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436.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Reliance and Liability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437. </w:t>
      </w:r>
      <w:r>
        <w:rPr>
          <w:rFonts w:ascii="Times New Roman;Times;Serif" w:hAnsi="Times New Roman;Times;Serif"/>
          <w:b w:val="false"/>
          <w:i w:val="false"/>
          <w:caps w:val="false"/>
          <w:smallCaps w:val="false"/>
          <w:sz w:val="20"/>
        </w:rPr>
        <w:t>the Administrative Agent may, without incurring any liability hereunder, (i) consult with any of its Related Parties and, whether or not selected by it, any other advisors, accountants and other experts (including advisors to, and accountants and experts engaged by, any Obligor) and (ii) rely and act upon any notice, request, certificate, consent, statement, instrument, document or other writing (including and electronic message, Internet or intranet website posting or other distribution), telephone message or conversation or oral conversation, in each case believed by it to be genuine and transmitted, signed or otherwise authenticated by the appropriate parties.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written notice to the contrary from such Lender prior to the making of such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438.</w:t>
      </w:r>
      <w:r>
        <w:rPr>
          <w:rFonts w:ascii="Times New Roman;Times;Serif" w:hAnsi="Times New Roman;Times;Serif"/>
          <w:b w:val="false"/>
          <w:i w:val="false"/>
          <w:caps w:val="false"/>
          <w:smallCaps w:val="false"/>
          <w:sz w:val="20"/>
        </w:rPr>
        <w:t xml:space="preserve"> Neither the Administrative Agent nor any of its Related Parties shall be liable for any action taken or omitted to be taken by any of them under or in connection with any Loan Document, and each Lender and the Borrower hereby waive and shall not assert (and the Borrower shall cause each other Obligor to waive and agree not to assert) any right, claim or cause of action based thereon, except to the extent of liabilities resulting primarily from the fraudulent conduct or behavior of the Administrative Agent or, as the case may be, such Related Party (each as determined in a final, non-appealable judgment or order by a court of competent jurisdiction) in connection with the duties expressly set forth herein. Without limiting the foregoing, the Administrative Agent: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439.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shall not be responsible or otherwise incur liability for any action or omission taken in reliance upon the instructions of, or with the consent of, the Majority Lenders (or such other number or percentage of the Lenders as shall be necessary, or as the Administrative Agent shall believe in good faith to be necessary, under the circumstances as provided in Section 14.04) or for the actions or omissions of any of its Related Parties selected with reasonable care (other than employees, officers and directors of the Administrative Agent, when acting on behalf of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440.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shall not be responsible to any Secured Party for the (a) validity, enforceability, effectiveness or genuineness of this Agreement, any other Loan Document or any other agreement, instrument or document, or (b) due execution, legality, validity, enforceability, effectiveness, genuineness, sufficiency or value of, or the attachment, perfection or priority of any Lien created or purported to be created under or in connection with,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441.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makes no warranty or representation, and shall not be responsible, to any Secured Party for, and shall not have any duty to ascertain or inquire into, any statement, document, information, certificate, report, representation or warranty made or furnished by or on behalf of any Related Party, in or in connection with any Loan Document or any transaction contemplated therein, whether or not transmitted by the Administrative Agent, including as to completeness, accuracy, scope or adequacy thereof, or for the scope, nature or results of any due diligence performed by the Administrative Agent in connection with the Loan Documents, including, for the avoidance of doubt, the satisfaction of any condition set forth in Section 6 of this Agreement or elsewhere herein (other than to confirm receipt of items expressly required to be delivered to the Administrative Agent);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442.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shall not have any duty to ascertain or to inquire as to the performance or observance of any provision of any Loan Document or whether any condition set forth in any Loan Document is satisfied or waived, including, without limiting the generality of the foregoing, as to the financial condition of any Obligor or as to the existence or continuation or possible occurrence or continuation of any Default or Event of Default and shall not be deemed to have notice or knowledge of such occurrence or continuation unless it has received a notice from the Borrower, any Lender describing such Default or Event of Default clearly labeled “notice of default” (in which case the Administrative Agent shall promptly give notice of such receipt to all Lenders); </w:t>
      </w:r>
      <w:r>
        <w:rPr>
          <w:rFonts w:ascii="Times New Roman;Times;Serif" w:hAnsi="Times New Roman;Times;Serif"/>
          <w:b w:val="false"/>
          <w:i w:val="false"/>
          <w:caps w:val="false"/>
          <w:smallCaps w:val="false"/>
          <w:sz w:val="20"/>
        </w:rPr>
        <w:t xml:space="preserve">and, for each of the items set forth in </w:t>
      </w:r>
      <w:r>
        <w:rPr>
          <w:rFonts w:ascii="Times New Roman;Times;Serif" w:hAnsi="Times New Roman;Times;Serif"/>
          <w:b/>
          <w:i w:val="false"/>
          <w:caps w:val="false"/>
          <w:smallCaps w:val="false"/>
          <w:sz w:val="20"/>
        </w:rPr>
        <w:t xml:space="preserve">clauses (i)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above, each Lender and the Borrower hereby waives and agrees not to assert (and the Borrower shall cause each other Obligor to waive and agree not to assert) any right, claim or cause of action it might have against the Administrative Agent based thereon.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443.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Administrative Agent Individually</w:t>
      </w:r>
      <w:r>
        <w:rPr>
          <w:rFonts w:ascii="Times New Roman;Times;Serif" w:hAnsi="Times New Roman;Times;Serif"/>
          <w:b w:val="false"/>
          <w:i w:val="false"/>
          <w:caps w:val="false"/>
          <w:smallCaps w:val="false"/>
          <w:sz w:val="20"/>
        </w:rPr>
        <w:t>. The Administrative Agent and its Affiliates may make loans and other extensions of credit to, acquire stock and stock equivalents of, accept deposits from, act as the financial advisor for or in any other advisory capacity for, or engage in any kind of business with, any Obligor or Affiliate thereof as though it were not acting as the Administrative Agent and may receive separate fees and other payments therefor. To the extent the Administrative Agent or any of its Affiliates makes any Loan or otherwise becomes a Lender hereunder, it shall have and may exercise the same rights and powers hereunder and shall be subject to the same obligations and liabilities as any other Lender and the terms “Lender”, “Majority Lender”, and any similar terms shall, except where otherwise expressly provided in any Loan Document, include, without limitation, the Administrative Agent or such Affiliate, as the case may be, in its individual capacity as Lender or as one of the Majority Lenders,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444.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Lender Credit Decision</w:t>
      </w:r>
      <w:r>
        <w:rPr>
          <w:rFonts w:ascii="Times New Roman;Times;Serif" w:hAnsi="Times New Roman;Times;Serif"/>
          <w:b w:val="false"/>
          <w:i w:val="false"/>
          <w:caps w:val="false"/>
          <w:smallCaps w:val="false"/>
          <w:sz w:val="20"/>
        </w:rPr>
        <w:t>. Each Lender acknowledges that it has, independently and without reliance upon the Administrative Agent, any Lender or any of their Related Parties or upon any document (including the Disclosure Documents) solely or in part because such document was transmitted by the Administrative Agent or any of its Related Parties, conducted its own independent investigation of the financial condition and affairs of each Obligor and has made and continues to make its own credit decisions in connection with entering into, and taking or not taking any action under, any Loan Document or with respect to any transaction contemplated in any Loan Document, in each case based on such documents and information as it shall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445. </w:t>
      </w:r>
      <w:r>
        <w:rPr>
          <w:rFonts w:ascii="Times New Roman;Times;Serif" w:hAnsi="Times New Roman;Times;Serif"/>
          <w:b/>
          <w:i/>
          <w:caps w:val="false"/>
          <w:smallCaps w:val="false"/>
          <w:sz w:val="20"/>
        </w:rPr>
        <w:t>Expenses; Indemnities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446. </w:t>
      </w:r>
      <w:r>
        <w:rPr>
          <w:rFonts w:ascii="Times New Roman;Times;Serif" w:hAnsi="Times New Roman;Times;Serif"/>
          <w:b w:val="false"/>
          <w:i w:val="false"/>
          <w:caps w:val="false"/>
          <w:smallCaps w:val="false"/>
          <w:sz w:val="20"/>
        </w:rPr>
        <w:t>Each Lender agrees to reimburse the Administrative Agent and each of its Related Parties (to the extent not reimbursed by any Obligor) promptly upon demand for such Lender’s Proportionate Share of any costs and expenses (including fees, charges and disbursements of financial, legal and other advisors and Other Taxes paid in the name of, or on behalf of, any Obligor) that may be incurred by the Administrative Agent or any of its Related Parties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447. </w:t>
      </w:r>
      <w:r>
        <w:rPr>
          <w:rFonts w:ascii="Times New Roman;Times;Serif" w:hAnsi="Times New Roman;Times;Serif"/>
          <w:b w:val="false"/>
          <w:i w:val="false"/>
          <w:caps w:val="false"/>
          <w:smallCaps w:val="false"/>
          <w:sz w:val="20"/>
        </w:rPr>
        <w:t xml:space="preserve">Each Lender further agrees to indemnify the Administrative Agent (or any sub-agent thereof) and any Related Parties of the Administrative Agent (or any such sub-agent) (to the extent not paid by any Obligor), from and against such Lender’s aggregate Proportionate Share of the liabilities (including taxes, interests and penalties imposed for not properly withholding or backup withholding on payments made to on or for the account of any Lender) that may be imposed on, incurred by or asserted against the Administrative Agent (or any sub-agent thereof) or any Related Parties of the Administrative Agent (or any such sub-agent) in any matter relating to or arising out of, in connection with or as a result of any Loan Document, any Related Document or any other act, event or transaction related, contemplated in or attendant to any such document, or, in each case, any action taken or omitted to be taken by the Administrative Agent (or any sub-agent thereof) or any Related Parties of the Administrative Agent (or any such sub-agent) under or with respect to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be liable to the Administrative Agent (or any sub-agent thereof) or any Related Parties of the Administrative Agent (or any such sub-agent) to the extent such liability has resulted primarily from the gross negligence or willful misconduct of the Administrative Agent (or any sub-agent thereof) or, as the case may be, such Related Party of the Administrative Agent (or any sub-agent thereof), as determined by a court of competent jurisdiction in a final non-appealable judgment or order.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448.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Resignation of the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449.</w:t>
      </w:r>
      <w:r>
        <w:rPr>
          <w:rFonts w:ascii="Times New Roman;Times;Serif" w:hAnsi="Times New Roman;Times;Serif"/>
          <w:b w:val="false"/>
          <w:i w:val="false"/>
          <w:caps w:val="false"/>
          <w:smallCaps w:val="false"/>
          <w:sz w:val="20"/>
        </w:rPr>
        <w:t xml:space="preserve"> At any time upon not less than 30 days prior written notice to the Lenders and the Borrower, the Administrative Agent may resign as the “the Administrative Agent” hereunder (in the sole and absolute discretion of the Administrative Agent). If the Administrative Agent delivers any such notice, the Majority Lenders shall have the right, in consultation with the Borrower, to appoint a successor, which shall be (i) a Lender holding at least thirty percent (30%) of the outstanding principal amount of the Loans or any Affiliate thereof or (ii) any other financial institution consented to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consent of the Borrower shall not be required to the extent an Event of Default has occurred and is continuing). If a successor Administrative Agent has not been appointed on or before the effectiveness of the resignation of the resigning Administrative Agent (or such earlier date as shall be agreed by the Majority Lenders) (the “</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then the resigning Administrative Agent may (but shall not be obligated to), on behalf of the Lenders, appoint any Person reasonably chosen by it as the successor Administrative Agent, notwithstanding whether the Majority Lenders have appointed a successor or the Borrower has consented to such successor. Whether or not a successor has been appointed, such resignation shall become effective on the Resignation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450. </w:t>
      </w:r>
      <w:r>
        <w:rPr>
          <w:rFonts w:ascii="Times New Roman;Times;Serif" w:hAnsi="Times New Roman;Times;Serif"/>
          <w:b w:val="false"/>
          <w:i w:val="false"/>
          <w:caps w:val="false"/>
          <w:smallCaps w:val="false"/>
          <w:sz w:val="20"/>
        </w:rPr>
        <w:t xml:space="preserve">Effective from the Resignation Effective Date, (i) the resigning Administrative Agent shall be discharged from its duties and obligations under the Loan Documents to the extent set forth in the applicable resignation notice, (ii) the Majority Lenders shall assume and perform all of the duties of the Administrative Agent until a successor Administrative Agent shall have accepted a valid appointment hereunder, (iii) the resigning Administrative Agent and its Related Parties shall no longer have the benefit of any provision of any Loan Document other than with respect to (x) any actions taken or omitted to be taken while such resigning Administrative Agent was, or because the Administrative Agent had been, validly acting as the Administrative Agent under the Loan Documents or (y) any continuing duties such resigning Administrative Agent will continue to perform, and (iv) subject to its rights under </w:t>
      </w:r>
      <w:r>
        <w:rPr>
          <w:rFonts w:ascii="Times New Roman;Times;Serif" w:hAnsi="Times New Roman;Times;Serif"/>
          <w:b/>
          <w:i w:val="false"/>
          <w:caps w:val="false"/>
          <w:smallCaps w:val="false"/>
          <w:sz w:val="20"/>
        </w:rPr>
        <w:t>Section 12.04</w:t>
      </w:r>
      <w:r>
        <w:rPr>
          <w:rFonts w:ascii="Times New Roman;Times;Serif" w:hAnsi="Times New Roman;Times;Serif"/>
          <w:b w:val="false"/>
          <w:i w:val="false"/>
          <w:caps w:val="false"/>
          <w:smallCaps w:val="false"/>
          <w:sz w:val="20"/>
        </w:rPr>
        <w:t>, the resigning Administrative Agent shall take such action as may be reasonably necessary to assign to the successor Administrative Agent its rights as the Administrative Agent under the Loan Documents. Effective immediately upon its acceptance of a valid appointment as the Administrative Agent, a successor Administrative Agent shall succeed to, and become vested with, all the rights, powers, privileges and duties of the resigning Administrative Agent under the Loan Documents.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451.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Release of Collateral or Guarantors</w:t>
      </w:r>
      <w:r>
        <w:rPr>
          <w:rFonts w:ascii="Times New Roman;Times;Serif" w:hAnsi="Times New Roman;Times;Serif"/>
          <w:b w:val="false"/>
          <w:i w:val="false"/>
          <w:caps w:val="false"/>
          <w:smallCaps w:val="false"/>
          <w:sz w:val="20"/>
        </w:rPr>
        <w:t xml:space="preserve">. Each Lender hereby consents to the release and hereby directs the Administrative Agent to release, and the Administrative Agent hereby agrees, (or, in the case of </w:t>
      </w:r>
      <w:r>
        <w:rPr>
          <w:rFonts w:ascii="Times New Roman;Times;Serif" w:hAnsi="Times New Roman;Times;Serif"/>
          <w:b/>
          <w:i w:val="false"/>
          <w:caps w:val="false"/>
          <w:smallCaps w:val="false"/>
          <w:sz w:val="20"/>
        </w:rPr>
        <w:t>Section 12.10(b)</w:t>
      </w:r>
      <w:r>
        <w:rPr>
          <w:rFonts w:ascii="Times New Roman;Times;Serif" w:hAnsi="Times New Roman;Times;Serif"/>
          <w:b w:val="false"/>
          <w:i w:val="false"/>
          <w:caps w:val="false"/>
          <w:smallCaps w:val="false"/>
          <w:sz w:val="20"/>
        </w:rPr>
        <w:t>, release or subordinate)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452.</w:t>
      </w:r>
      <w:r>
        <w:rPr>
          <w:rFonts w:ascii="Times New Roman;Times;Serif" w:hAnsi="Times New Roman;Times;Serif"/>
          <w:b w:val="false"/>
          <w:i w:val="false"/>
          <w:caps w:val="false"/>
          <w:smallCaps w:val="false"/>
          <w:sz w:val="20"/>
        </w:rPr>
        <w:t xml:space="preserve"> any Subsidiary of the Borrower from its guaranty of any Obligation of any Obligor (i) if such Subsidiary ceases to be a Subsidiary of such Obligor as a result of a transaction permitted under and in accordance with the Loan Documents (including pursuant to a waiver or consent), to the extent that, after giving effect to such transaction, such Subsidiary would not be required to Guaranty any Obligations pursuant to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 xml:space="preserve"> or (ii)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453. </w:t>
      </w:r>
      <w:r>
        <w:rPr>
          <w:rFonts w:ascii="Times New Roman;Times;Serif" w:hAnsi="Times New Roman;Times;Serif"/>
          <w:b w:val="false"/>
          <w:i w:val="false"/>
          <w:caps w:val="false"/>
          <w:smallCaps w:val="false"/>
          <w:sz w:val="20"/>
        </w:rPr>
        <w:t xml:space="preserve">any Lien held by the Administrative Agent for the benefit of the Secured Parties against (i) any Collateral that is disposed of by an Obligor as a result of a transaction permitted under and in accordance with the Loan Documents (including pursuant to a valid waiver or consent), (ii) any property subject to a Lien described in </w:t>
      </w:r>
      <w:r>
        <w:rPr>
          <w:rFonts w:ascii="Times New Roman;Times;Serif" w:hAnsi="Times New Roman;Times;Serif"/>
          <w:b/>
          <w:i w:val="false"/>
          <w:caps w:val="false"/>
          <w:smallCaps w:val="false"/>
          <w:sz w:val="20"/>
        </w:rPr>
        <w:t>Section 9.02(c)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(j)</w:t>
      </w:r>
      <w:r>
        <w:rPr>
          <w:rFonts w:ascii="Times New Roman;Times;Serif" w:hAnsi="Times New Roman;Times;Serif"/>
          <w:b w:val="false"/>
          <w:i w:val="false"/>
          <w:caps w:val="false"/>
          <w:smallCaps w:val="false"/>
          <w:sz w:val="20"/>
        </w:rPr>
        <w:t>, and (iii) all of the Collateral and all Obligors,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Lender hereby directs the Administrative Agent, and the Administrative Agent hereby agrees, upon receipt of reasonable advance notice from the Borrower, to execute and deliver or file such documents and to perform other actions reasonably necessary to release the guarantees and Liens when and as directed in this </w:t>
      </w:r>
      <w:r>
        <w:rPr>
          <w:rFonts w:ascii="Times New Roman;Times;Serif" w:hAnsi="Times New Roman;Times;Serif"/>
          <w:b/>
          <w:i w:val="false"/>
          <w:caps w:val="false"/>
          <w:smallCaps w:val="false"/>
          <w:sz w:val="20"/>
        </w:rPr>
        <w:t>Section 12.10</w:t>
      </w:r>
      <w:r>
        <w:rPr>
          <w:rFonts w:ascii="Times New Roman;Times;Serif" w:hAnsi="Times New Roman;Times;Serif"/>
          <w:b w:val="false"/>
          <w:i w:val="false"/>
          <w:caps w:val="false"/>
          <w:smallCaps w:val="false"/>
          <w:sz w:val="20"/>
        </w:rPr>
        <w:t xml:space="preserve"> and deliver to the Borrower, at the expense of the Borrower, any portion of such Collateral so released pursuant to this </w:t>
      </w:r>
      <w:r>
        <w:rPr>
          <w:rFonts w:ascii="Times New Roman;Times;Serif" w:hAnsi="Times New Roman;Times;Serif"/>
          <w:b/>
          <w:i w:val="false"/>
          <w:caps w:val="false"/>
          <w:smallCaps w:val="false"/>
          <w:sz w:val="20"/>
        </w:rPr>
        <w:t xml:space="preserve">Section 12.10 </w:t>
      </w:r>
      <w:r>
        <w:rPr>
          <w:rFonts w:ascii="Times New Roman;Times;Serif" w:hAnsi="Times New Roman;Times;Serif"/>
          <w:b w:val="false"/>
          <w:i w:val="false"/>
          <w:caps w:val="false"/>
          <w:smallCaps w:val="false"/>
          <w:sz w:val="20"/>
        </w:rPr>
        <w:t>that is in possession of the Administrative Agent. In addition, in connection with any Permitted Licenses, each Lender hereby authorizes Administrative Agent to, and at the request of the Borrower, the Administrative Agent shall, negotiate and enter into a non-disturbance agreement and other similar agreements in form and substance reasonably satisfactory to Administrative Agent.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or anything to the contrary herein, (i) the release of any Obligor from its guaranty of any Obligations under this </w:t>
      </w:r>
      <w:r>
        <w:rPr>
          <w:rFonts w:ascii="Times New Roman;Times;Serif" w:hAnsi="Times New Roman;Times;Serif"/>
          <w:b/>
          <w:i w:val="false"/>
          <w:caps w:val="false"/>
          <w:smallCaps w:val="false"/>
          <w:sz w:val="20"/>
        </w:rPr>
        <w:t>Section 12.10</w:t>
      </w:r>
      <w:r>
        <w:rPr>
          <w:rFonts w:ascii="Times New Roman;Times;Serif" w:hAnsi="Times New Roman;Times;Serif"/>
          <w:b w:val="false"/>
          <w:i w:val="false"/>
          <w:caps w:val="false"/>
          <w:smallCaps w:val="false"/>
          <w:sz w:val="20"/>
        </w:rPr>
        <w:t xml:space="preserve"> or otherwise hereunder shall only be permitted if any such permitted transaction or series of related transactions is not consummated for the primary purpose of effecting a release of such Obligor from its Obligations under the Loan Documents in accordance with the terms hereof, and (ii) the Administrative Agent may not effect a release of any Obligor that ceases to be an Obligor due solely to a disposition of Equity Interests in (or issuance of Equity Interests by) such Obligor, unless in the case of this clause (ii) the transaction related to such release is a disposition of Equity Interests for fair market value to an unaffiliated third party and for a bona fide primary business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454.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Additional Secured Parties</w:t>
      </w:r>
      <w:r>
        <w:rPr>
          <w:rFonts w:ascii="Times New Roman;Times;Serif" w:hAnsi="Times New Roman;Times;Serif"/>
          <w:b w:val="false"/>
          <w:i w:val="false"/>
          <w:caps w:val="false"/>
          <w:smallCaps w:val="false"/>
          <w:sz w:val="20"/>
        </w:rPr>
        <w:t xml:space="preserve">. The benefit of the provisions of the Loan Documents directly relating to the Collateral or any Lien granted thereunder shall extend to and be available to any Secured Party that is not a Lender as long as, by accepting such benefits, such Secured Party agrees, as among the Administrative Agent and all other Secured Parties, that such Secured Party is bound by (and, if requested by the Administrative Agent, shall confirm such agreement in a writing in form and substance acceptable to the Administrative Agent)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and the decisions and actions of the Administrative Agent and the Majority Lenders (or, where expressly required by the terms of this Agreement, a greater proportion of the Lenders) to the same extent a Lender is bound;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 such Secured Party shall be bound by </w:t>
      </w:r>
      <w:r>
        <w:rPr>
          <w:rFonts w:ascii="Times New Roman;Times;Serif" w:hAnsi="Times New Roman;Times;Serif"/>
          <w:b/>
          <w:i w:val="false"/>
          <w:caps w:val="false"/>
          <w:smallCaps w:val="false"/>
          <w:sz w:val="20"/>
        </w:rPr>
        <w:t>Section 12.08</w:t>
      </w:r>
      <w:r>
        <w:rPr>
          <w:rFonts w:ascii="Times New Roman;Times;Serif" w:hAnsi="Times New Roman;Times;Serif"/>
          <w:b w:val="false"/>
          <w:i w:val="false"/>
          <w:caps w:val="false"/>
          <w:smallCaps w:val="false"/>
          <w:sz w:val="20"/>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Proportionate Share or similar concept, (ii) each of the Administrative Agent and each Lender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(iii) such Secured Party shall not have any right to be notified of, consent to, direct, require or be heard with respect to, any action taken or omitted in respect of the Collateral or under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455.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Agent May File Proofs of Claim</w:t>
      </w:r>
      <w:r>
        <w:rPr>
          <w:rFonts w:ascii="Times New Roman;Times;Serif" w:hAnsi="Times New Roman;Times;Serif"/>
          <w:b w:val="false"/>
          <w:i w:val="false"/>
          <w:caps w:val="false"/>
          <w:smallCaps w:val="false"/>
          <w:sz w:val="20"/>
        </w:rPr>
        <w:t>. In case of the pendency of any Insolvency Proceeding or any other judicial proceeding relating to any Obligor, the Administrative Agent (irrespective of whether the principal of any Loan shall then be due and payable as herein expressed or by declaration or otherwise and irrespective of whether the Administrative Agent shall have made any demand on the Borrower or any other Obligor) shall be entitled and empowered (but not obligated) by intervention or such proceeding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456. </w:t>
      </w:r>
      <w:r>
        <w:rPr>
          <w:rFonts w:ascii="Times New Roman;Times;Serif" w:hAnsi="Times New Roman;Times;Serif"/>
          <w:b w:val="false"/>
          <w:i w:val="false"/>
          <w:caps w:val="false"/>
          <w:smallCaps w:val="false"/>
          <w:sz w:val="20"/>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457.</w:t>
      </w:r>
      <w:r>
        <w:rPr>
          <w:rFonts w:ascii="Times New Roman;Times;Serif" w:hAnsi="Times New Roman;Times;Serif"/>
          <w:b w:val="false"/>
          <w:i w:val="false"/>
          <w:caps w:val="false"/>
          <w:smallCaps w:val="false"/>
          <w:sz w:val="20"/>
        </w:rPr>
        <w:t xml:space="preserve"> to collect and receive any monies or other property payable or deliverable on any such claims and to distribute the same; and any custodian, receiver, assignee, trustee, liquidator, sequestrator, examiner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458.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Acknowledgements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459. </w:t>
      </w:r>
      <w:r>
        <w:rPr>
          <w:rFonts w:ascii="Times New Roman;Times;Serif" w:hAnsi="Times New Roman;Times;Serif"/>
          <w:b w:val="false"/>
          <w:i w:val="false"/>
          <w:caps w:val="false"/>
          <w:smallCaps w:val="false"/>
          <w:sz w:val="20"/>
        </w:rPr>
        <w:t>If the Administrative Agent notifies a Lender, or any Person who has received funds on behalf of a Lender (any such Lender or other recipient, a “</w:t>
      </w:r>
      <w:r>
        <w:rPr>
          <w:rFonts w:ascii="Times New Roman;Times;Serif" w:hAnsi="Times New Roman;Times;Serif"/>
          <w:b/>
          <w:i/>
          <w:caps w:val="false"/>
          <w:smallCaps w:val="false"/>
          <w:sz w:val="20"/>
        </w:rPr>
        <w:t>Payment Recipient</w:t>
      </w:r>
      <w:r>
        <w:rPr>
          <w:rFonts w:ascii="Times New Roman;Times;Serif" w:hAnsi="Times New Roman;Times;Serif"/>
          <w:b w:val="false"/>
          <w:i w:val="false"/>
          <w:caps w:val="false"/>
          <w:smallCaps w:val="false"/>
          <w:sz w:val="20"/>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Times;Serif" w:hAnsi="Times New Roman;Times;Serif"/>
          <w:b/>
          <w:i/>
          <w:caps w:val="false"/>
          <w:smallCaps w:val="false"/>
          <w:sz w:val="20"/>
        </w:rPr>
        <w:t>Erroneous Payment</w:t>
      </w:r>
      <w:r>
        <w:rPr>
          <w:rFonts w:ascii="Times New Roman;Times;Serif" w:hAnsi="Times New Roman;Times;Serif"/>
          <w:b w:val="false"/>
          <w:i w:val="false"/>
          <w:caps w:val="false"/>
          <w:smallCaps w:val="false"/>
          <w:sz w:val="20"/>
        </w:rPr>
        <w:t xml:space="preserve">”) and demands in writing the return of such Erroneous Payment (or a portion thereof), such Erroneous Payment shall at all times remain the property of the Administrative Agent pending its return or repayment as contemplated below in this </w:t>
      </w:r>
      <w:r>
        <w:rPr>
          <w:rFonts w:ascii="Times New Roman;Times;Serif" w:hAnsi="Times New Roman;Times;Serif"/>
          <w:b/>
          <w:i w:val="false"/>
          <w:caps w:val="false"/>
          <w:smallCaps w:val="false"/>
          <w:sz w:val="20"/>
        </w:rPr>
        <w:t>Section 12.13</w:t>
      </w:r>
      <w:r>
        <w:rPr>
          <w:rFonts w:ascii="Times New Roman;Times;Serif" w:hAnsi="Times New Roman;Times;Serif"/>
          <w:b w:val="false"/>
          <w:i w:val="false"/>
          <w:caps w:val="false"/>
          <w:smallCaps w:val="false"/>
          <w:sz w:val="20"/>
        </w:rPr>
        <w:t xml:space="preserve">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its sole discretion)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460.</w:t>
      </w:r>
      <w:r>
        <w:rPr>
          <w:rFonts w:ascii="Times New Roman;Times;Serif" w:hAnsi="Times New Roman;Times;Serif"/>
          <w:b w:val="false"/>
          <w:i w:val="false"/>
          <w:caps w:val="false"/>
          <w:smallCaps w:val="false"/>
          <w:sz w:val="20"/>
        </w:rPr>
        <w:t xml:space="preserve"> 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(a “</w:t>
      </w:r>
      <w:r>
        <w:rPr>
          <w:rFonts w:ascii="Times New Roman;Times;Serif" w:hAnsi="Times New Roman;Times;Serif"/>
          <w:b/>
          <w:i/>
          <w:caps w:val="false"/>
          <w:smallCaps w:val="false"/>
          <w:sz w:val="20"/>
        </w:rPr>
        <w:t>Payment Notice</w:t>
      </w:r>
      <w:r>
        <w:rPr>
          <w:rFonts w:ascii="Times New Roman;Times;Serif" w:hAnsi="Times New Roman;Times;Serif"/>
          <w:b w:val="false"/>
          <w:i w:val="false"/>
          <w:caps w:val="false"/>
          <w:smallCaps w:val="false"/>
          <w:sz w:val="20"/>
        </w:rPr>
        <w:t xml:space="preserve">”), (y) that was not preceded or accompanied by a Payment Notice, or (z) that such Payment Recipient otherwise becomes aware was transmitted, or received, in error or by mistake (in whole or in part), then in each such case: (i)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(ii) such Payment Recipient shall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Times;Serif" w:hAnsi="Times New Roman;Times;Serif"/>
          <w:b/>
          <w:i w:val="false"/>
          <w:caps w:val="false"/>
          <w:smallCaps w:val="false"/>
          <w:sz w:val="20"/>
        </w:rPr>
        <w:t>Section 12.13(b)(ii)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461.</w:t>
      </w:r>
      <w:r>
        <w:rPr>
          <w:rFonts w:ascii="Times New Roman;Times;Serif" w:hAnsi="Times New Roman;Times;Serif"/>
          <w:b w:val="false"/>
          <w:i w:val="false"/>
          <w:caps w:val="false"/>
          <w:smallCaps w:val="false"/>
          <w:sz w:val="20"/>
        </w:rPr>
        <w:t xml:space="preserve"> 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the preceding </w:t>
      </w:r>
      <w:r>
        <w:rPr>
          <w:rFonts w:ascii="Times New Roman;Times;Serif" w:hAnsi="Times New Roman;Times;Serif"/>
          <w:b/>
          <w:i w:val="false"/>
          <w:caps w:val="false"/>
          <w:smallCaps w:val="false"/>
          <w:sz w:val="20"/>
        </w:rPr>
        <w:t xml:space="preserve">clause (a) </w:t>
      </w:r>
      <w:r>
        <w:rPr>
          <w:rFonts w:ascii="Times New Roman;Times;Serif" w:hAnsi="Times New Roman;Times;Serif"/>
          <w:b w:val="false"/>
          <w:i w:val="false"/>
          <w:caps w:val="false"/>
          <w:smallCaps w:val="false"/>
          <w:sz w:val="20"/>
        </w:rPr>
        <w:t>above.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462.</w:t>
      </w:r>
      <w:r>
        <w:rPr>
          <w:rFonts w:ascii="Times New Roman;Times;Serif" w:hAnsi="Times New Roman;Times;Serif"/>
          <w:b w:val="false"/>
          <w:i w:val="false"/>
          <w:caps w:val="false"/>
          <w:smallCaps w:val="false"/>
          <w:sz w:val="20"/>
        </w:rPr>
        <w:t>In the event that an Erroneous Payment (or portion thereof) is not recovered by the Administrative Agent for any reason, after demand therefor by the Administrative Agent in accordance with the preceding clause (a) above, from any Lender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b/>
          <w:i/>
          <w:caps w:val="false"/>
          <w:smallCaps w:val="false"/>
          <w:sz w:val="20"/>
        </w:rPr>
        <w:t>Erroneous Payment Return Deficiency</w:t>
      </w:r>
      <w:r>
        <w:rPr>
          <w:rFonts w:ascii="Times New Roman;Times;Serif" w:hAnsi="Times New Roman;Times;Serif"/>
          <w:b w:val="false"/>
          <w:i w:val="false"/>
          <w:caps w:val="false"/>
          <w:smallCaps w:val="false"/>
          <w:sz w:val="20"/>
        </w:rPr>
        <w:t>”), upon the Administrative Agent’s notice to such Lender at any time, then effective immediately (with the consideration therefor being acknowledged by the parties hereto), (i) such Lender shall be deemed to have assigned its Loans (but not its Commitments) with respect to which such Erroneous Payment was made (the “</w:t>
      </w:r>
      <w:r>
        <w:rPr>
          <w:rFonts w:ascii="Times New Roman;Times;Serif" w:hAnsi="Times New Roman;Times;Serif"/>
          <w:b/>
          <w:i/>
          <w:caps w:val="false"/>
          <w:smallCaps w:val="false"/>
          <w:sz w:val="20"/>
        </w:rPr>
        <w:t>Erroneous Payment Impacted Loans</w:t>
      </w:r>
      <w:r>
        <w:rPr>
          <w:rFonts w:ascii="Times New Roman;Times;Serif" w:hAnsi="Times New Roman;Times;Serif"/>
          <w:b w:val="false"/>
          <w:i w:val="false"/>
          <w:caps w:val="false"/>
          <w:smallCaps w:val="false"/>
          <w:sz w:val="20"/>
        </w:rPr>
        <w:t>”) in an amount equal to the Erroneous Payment Return Deficiency (or such lesser amount as the Administrative Agent may specify) (such assignment of the Loans (but not Commitments) of the Erroneous Payment Impacted Loans, the “</w:t>
      </w:r>
      <w:r>
        <w:rPr>
          <w:rFonts w:ascii="Times New Roman;Times;Serif" w:hAnsi="Times New Roman;Times;Serif"/>
          <w:b/>
          <w:i/>
          <w:caps w:val="false"/>
          <w:smallCaps w:val="false"/>
          <w:sz w:val="20"/>
        </w:rPr>
        <w:t>Erroneous Payment Deficiency Assignment</w:t>
      </w:r>
      <w:r>
        <w:rPr>
          <w:rFonts w:ascii="Times New Roman;Times;Serif" w:hAnsi="Times New Roman;Times;Serif"/>
          <w:b w:val="false"/>
          <w:i w:val="false"/>
          <w:caps w:val="false"/>
          <w:smallCaps w:val="false"/>
          <w:sz w:val="20"/>
        </w:rPr>
        <w:t xml:space="preserve">”) (on a cashless basis and such amount calculated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(ii) the Administrative Agent as the assignee Lender shall be deemed to have acquired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(iv) the Administrative Agent and the Borrower shall each be deemed to have waived any consents required under this Agreement to any such Erroneous Payment Deficiency Assignment, and (v) the Administrative Agent will reflect in the Register its ownership interest in the Loans subject to the Erroneous Payment Deficiency Assignment. Subject to </w:t>
      </w:r>
      <w:r>
        <w:rPr>
          <w:rFonts w:ascii="Times New Roman;Times;Serif" w:hAnsi="Times New Roman;Times;Serif"/>
          <w:b/>
          <w:i w:val="false"/>
          <w:caps w:val="false"/>
          <w:smallCaps w:val="false"/>
          <w:sz w:val="20"/>
        </w:rPr>
        <w:t>Section 14.05</w:t>
      </w:r>
      <w:r>
        <w:rPr>
          <w:rFonts w:ascii="Times New Roman;Times;Serif" w:hAnsi="Times New Roman;Times;Serif"/>
          <w:b w:val="false"/>
          <w:i w:val="false"/>
          <w:caps w:val="false"/>
          <w:smallCaps w:val="false"/>
          <w:sz w:val="20"/>
        </w:rPr>
        <w:t>,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 (the “</w:t>
      </w:r>
      <w:r>
        <w:rPr>
          <w:rFonts w:ascii="Times New Roman;Times;Serif" w:hAnsi="Times New Roman;Times;Serif"/>
          <w:b/>
          <w:i/>
          <w:caps w:val="false"/>
          <w:smallCaps w:val="false"/>
          <w:sz w:val="20"/>
        </w:rPr>
        <w:t>Erroneous Payment Subrogation Rights</w:t>
      </w:r>
      <w:r>
        <w:rPr>
          <w:rFonts w:ascii="Times New Roman;Times;Serif" w:hAnsi="Times New Roman;Times;Serif"/>
          <w:b w:val="false"/>
          <w:i w:val="false"/>
          <w:caps w:val="false"/>
          <w:smallCaps w:val="false"/>
          <w:sz w:val="20"/>
        </w:rPr>
        <w:t>”) (provided, that the Obligors’ Obligations under the Loan Documents in respect of the Erroneous Payment Subrogation Rights shall not be duplicative of such Obligations in respect of Loans that have been assigned to the Administrative Agent under an Erroneous Payment Deficiency Assignment).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463. </w:t>
      </w:r>
      <w:r>
        <w:rPr>
          <w:rFonts w:ascii="Times New Roman;Times;Serif" w:hAnsi="Times New Roman;Times;Serif"/>
          <w:b w:val="false"/>
          <w:i w:val="false"/>
          <w:caps w:val="false"/>
          <w:smallCaps w:val="false"/>
          <w:sz w:val="20"/>
        </w:rPr>
        <w:t xml:space="preserve">The parties hereto agree that an Erroneous Payment shall not pay, prepay, repay, discharge or otherwise satisfy any Obligations owed by the Borrower or any other Obligor; provided, that this </w:t>
      </w:r>
      <w:r>
        <w:rPr>
          <w:rFonts w:ascii="Times New Roman;Times;Serif" w:hAnsi="Times New Roman;Times;Serif"/>
          <w:b/>
          <w:i w:val="false"/>
          <w:caps w:val="false"/>
          <w:smallCaps w:val="false"/>
          <w:sz w:val="20"/>
        </w:rPr>
        <w:t>Section 12.13</w:t>
      </w:r>
      <w:r>
        <w:rPr>
          <w:rFonts w:ascii="Times New Roman;Times;Serif" w:hAnsi="Times New Roman;Times;Serif"/>
          <w:b w:val="false"/>
          <w:i w:val="false"/>
          <w:caps w:val="false"/>
          <w:smallCaps w:val="false"/>
          <w:sz w:val="20"/>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the last sentence of clause (d) above and this </w:t>
      </w:r>
      <w:r>
        <w:rPr>
          <w:rFonts w:ascii="Times New Roman;Times;Serif" w:hAnsi="Times New Roman;Times;Serif"/>
          <w:b/>
          <w:i w:val="false"/>
          <w:caps w:val="false"/>
          <w:smallCaps w:val="false"/>
          <w:sz w:val="20"/>
        </w:rPr>
        <w:t>clause (e)</w:t>
      </w:r>
      <w:r>
        <w:rPr>
          <w:rFonts w:ascii="Times New Roman;Times;Serif" w:hAnsi="Times New Roman;Times;Serif"/>
          <w:b w:val="false"/>
          <w:i w:val="false"/>
          <w:caps w:val="false"/>
          <w:smallCaps w:val="false"/>
          <w:sz w:val="20"/>
        </w:rPr>
        <w:t xml:space="preserve"> shall not apply to the extent such Erroneous Payment is, and solely with respect to the amount of such Erroneous Payment that is, comprised of funds received by the Administrative Agent from the Borrower or any other Obligor for the purpose of making such Erroneous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464.</w:t>
      </w:r>
      <w:r>
        <w:rPr>
          <w:rFonts w:ascii="Times New Roman;Times;Serif" w:hAnsi="Times New Roman;Times;Serif"/>
          <w:b w:val="false"/>
          <w:i w:val="false"/>
          <w:caps w:val="false"/>
          <w:smallCaps w:val="false"/>
          <w:sz w:val="20"/>
        </w:rPr>
        <w:t xml:space="preserv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465. </w:t>
      </w:r>
      <w:r>
        <w:rPr>
          <w:rFonts w:ascii="Times New Roman;Times;Serif" w:hAnsi="Times New Roman;Times;Serif"/>
          <w:b w:val="false"/>
          <w:i w:val="false"/>
          <w:caps w:val="false"/>
          <w:smallCaps w:val="false"/>
          <w:sz w:val="20"/>
        </w:rPr>
        <w:t xml:space="preserve">Each party’s obligations, agreements and waivers under this </w:t>
      </w:r>
      <w:r>
        <w:rPr>
          <w:rFonts w:ascii="Times New Roman;Times;Serif" w:hAnsi="Times New Roman;Times;Serif"/>
          <w:b/>
          <w:i w:val="false"/>
          <w:caps w:val="false"/>
          <w:smallCaps w:val="false"/>
          <w:sz w:val="20"/>
        </w:rPr>
        <w:t>Section 12.13(g)</w:t>
      </w:r>
      <w:r>
        <w:rPr>
          <w:rFonts w:ascii="Times New Roman;Times;Serif" w:hAnsi="Times New Roman;Times;Serif"/>
          <w:b w:val="false"/>
          <w:i w:val="false"/>
          <w:caps w:val="false"/>
          <w:smallCaps w:val="false"/>
          <w:sz w:val="20"/>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466.</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GUARANTY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467.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The Guaranty</w:t>
      </w:r>
      <w:r>
        <w:rPr>
          <w:rFonts w:ascii="Times New Roman;Times;Serif" w:hAnsi="Times New Roman;Times;Serif"/>
          <w:b w:val="false"/>
          <w:i w:val="false"/>
          <w:caps w:val="false"/>
          <w:smallCaps w:val="false"/>
          <w:sz w:val="20"/>
        </w:rPr>
        <w:t>. The Guarantors hereby unconditionally jointly and severally guarantee to the Administrative Agent and the Lenders, and their successors and assigns, the full and punctual payment in full or performance (whether at stated maturity, by acceleration or otherwise) of the Obligations, including (i) principal of and interest on the Loans, (ii) all fees and other amounts and Obligations from time to time owing to the Administrative Agent and the Lenders by the Borrower and each other Obligor under this Agreement or under any other Loan Document, in each case strictly in accordance with the terms hereof and thereof and (iii) the punctual and faithful performance, keeping, observance and fulfillment by the Borrower and Guarantors of all the agreements, conditions, covenants and obligations of the Borrower and Guarantors contained in the Loan Documents (such obligations being herein collectively called the “</w:t>
      </w:r>
      <w:r>
        <w:rPr>
          <w:rFonts w:ascii="Times New Roman;Times;Serif" w:hAnsi="Times New Roman;Times;Serif"/>
          <w:b/>
          <w:i/>
          <w:caps w:val="false"/>
          <w:smallCaps w:val="false"/>
          <w:sz w:val="20"/>
        </w:rPr>
        <w:t>Guaranteed Obligations</w:t>
      </w:r>
      <w:r>
        <w:rPr>
          <w:rFonts w:ascii="Times New Roman;Times;Serif" w:hAnsi="Times New Roman;Times;Serif"/>
          <w:b w:val="false"/>
          <w:i w:val="false"/>
          <w:caps w:val="false"/>
          <w:smallCaps w:val="false"/>
          <w:sz w:val="20"/>
        </w:rPr>
        <w:t>”). The Guarantors hereby further jointly and severally agree that if the Borrower or any other Obligor shall fail to pay any amount in full when due or perform any such obligation (whether at stated maturity, by acceleration or otherwise), the Guarantors will promptly pay the same or perform such obligation at the place and in the manner specified herein or in the relevant Loan Document, as the case may be, without any demand or notice whatsoever, and that in the case of any extension of time of payment or performance or renewal of any of the Guaranteed Obligations, the same will be promptly paid in full or performed when due (whether at extended maturity, by acceleration or otherwise) in accordance with the terms of such extension or renewal.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468. </w:t>
      </w:r>
      <w:r>
        <w:rPr>
          <w:rFonts w:ascii="Times New Roman;Times;Serif" w:hAnsi="Times New Roman;Times;Serif"/>
          <w:b/>
          <w:i/>
          <w:caps w:val="false"/>
          <w:smallCaps w:val="false"/>
          <w:sz w:val="20"/>
        </w:rPr>
        <w:t>Obligations Unconditional</w:t>
      </w:r>
      <w:r>
        <w:rPr>
          <w:rFonts w:ascii="Times New Roman;Times;Serif" w:hAnsi="Times New Roman;Times;Serif"/>
          <w:b w:val="false"/>
          <w:i w:val="false"/>
          <w:caps w:val="false"/>
          <w:smallCaps w:val="false"/>
          <w:sz w:val="20"/>
        </w:rPr>
        <w:t xml:space="preserve">. The obligations of the Guarantors under </w:t>
      </w:r>
      <w:r>
        <w:rPr>
          <w:rFonts w:ascii="Times New Roman;Times;Serif" w:hAnsi="Times New Roman;Times;Serif"/>
          <w:b/>
          <w:i w:val="false"/>
          <w:caps w:val="false"/>
          <w:smallCaps w:val="false"/>
          <w:sz w:val="20"/>
        </w:rPr>
        <w:t xml:space="preserve">Section 13.01 </w:t>
      </w:r>
      <w:r>
        <w:rPr>
          <w:rFonts w:ascii="Times New Roman;Times;Serif" w:hAnsi="Times New Roman;Times;Serif"/>
          <w:b w:val="false"/>
          <w:i w:val="false"/>
          <w:caps w:val="false"/>
          <w:smallCaps w:val="false"/>
          <w:sz w:val="20"/>
        </w:rPr>
        <w:t xml:space="preserve">shall constitute a guaranty of payment and performance and not of collection and are absolute and unconditional, joint and several, irrespective of the value, genuineness, validity, regularity or enforceability of the Guaranteed Obligations under this Agreement or any other agreement or instrument referred to herein, or any substitution, release or exchange of any other guarantee of or security for any of the Guaranteed Obligations, and, to the fullest extent permitted by all applicable Laws, irrespective of any other circumstance whatsoever that might otherwise constitute a legal or equitable discharge or defense of a surety or guarantor, it being the intent of this </w:t>
      </w:r>
      <w:r>
        <w:rPr>
          <w:rFonts w:ascii="Times New Roman;Times;Serif" w:hAnsi="Times New Roman;Times;Serif"/>
          <w:b/>
          <w:i w:val="false"/>
          <w:caps w:val="false"/>
          <w:smallCaps w:val="false"/>
          <w:sz w:val="20"/>
        </w:rPr>
        <w:t>Section 13.02</w:t>
      </w:r>
      <w:r>
        <w:rPr>
          <w:rFonts w:ascii="Times New Roman;Times;Serif" w:hAnsi="Times New Roman;Times;Serif"/>
          <w:b w:val="false"/>
          <w:i w:val="false"/>
          <w:caps w:val="false"/>
          <w:smallCaps w:val="false"/>
          <w:sz w:val="20"/>
        </w:rPr>
        <w:t xml:space="preserve"> that the obligations of the Guarantors hereunder shall be absolute and unconditional, joint and several, under any and all circumstances. Without limiting the generality of the foregoing, it is agreed that the occurrence of any one or more of the following shall not alter or impair the liability of the Guarantors hereunder, which shall remain absolute and unconditional as described above: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469. </w:t>
      </w:r>
      <w:r>
        <w:rPr>
          <w:rFonts w:ascii="Times New Roman;Times;Serif" w:hAnsi="Times New Roman;Times;Serif"/>
          <w:b w:val="false"/>
          <w:i w:val="false"/>
          <w:caps w:val="false"/>
          <w:smallCaps w:val="false"/>
          <w:sz w:val="20"/>
        </w:rPr>
        <w:t>at any time or from time to time, without notice to the Guarantors, the time for any performance of or compliance with any of the Guaranteed Obligations shall be extended, or such performance or compliance shall be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470. </w:t>
      </w:r>
      <w:r>
        <w:rPr>
          <w:rFonts w:ascii="Times New Roman;Times;Serif" w:hAnsi="Times New Roman;Times;Serif"/>
          <w:b w:val="false"/>
          <w:i w:val="false"/>
          <w:caps w:val="false"/>
          <w:smallCaps w:val="false"/>
          <w:sz w:val="20"/>
        </w:rPr>
        <w:t>any of the acts mentioned in any of the provisions of this Agreement or any other agreement or instrument referred to herein shall be done or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471.</w:t>
      </w:r>
      <w:r>
        <w:rPr>
          <w:rFonts w:ascii="Times New Roman;Times;Serif" w:hAnsi="Times New Roman;Times;Serif"/>
          <w:b w:val="false"/>
          <w:i w:val="false"/>
          <w:caps w:val="false"/>
          <w:smallCaps w:val="false"/>
          <w:sz w:val="20"/>
        </w:rPr>
        <w:t xml:space="preserve"> the maturity of any of the Guaranteed Obligations shall be accelerated, or any of the Guaranteed Obligations shall be extended,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472. </w:t>
      </w:r>
      <w:r>
        <w:rPr>
          <w:rFonts w:ascii="Times New Roman;Times;Serif" w:hAnsi="Times New Roman;Times;Serif"/>
          <w:b w:val="false"/>
          <w:i w:val="false"/>
          <w:caps w:val="false"/>
          <w:smallCaps w:val="false"/>
          <w:sz w:val="20"/>
        </w:rPr>
        <w:t>any lien or security interest granted to, or in favor of, the Secured Parties as security for any of the Guaranteed Obligations shall fail to be perfected or preserved;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473. </w:t>
      </w:r>
      <w:r>
        <w:rPr>
          <w:rFonts w:ascii="Times New Roman;Times;Serif" w:hAnsi="Times New Roman;Times;Serif"/>
          <w:b w:val="false"/>
          <w:i w:val="false"/>
          <w:caps w:val="false"/>
          <w:smallCaps w:val="false"/>
          <w:sz w:val="20"/>
        </w:rPr>
        <w:t>any modification or amendment of or supplement to this Agreement or any other Loan Document, including any such amendment which may increase the amount of, or the interest rates applicable to, any of the Guaranteed Obligations guaranteed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474. </w:t>
      </w:r>
      <w:r>
        <w:rPr>
          <w:rFonts w:ascii="Times New Roman;Times;Serif" w:hAnsi="Times New Roman;Times;Serif"/>
          <w:b w:val="false"/>
          <w:i w:val="false"/>
          <w:caps w:val="false"/>
          <w:smallCaps w:val="false"/>
          <w:sz w:val="20"/>
        </w:rPr>
        <w:t>any change in the corporate, partnership, limited liability company or other existence, structure or ownership of the Borrower, any Guarantor or any other guarantor of any of the Guaranteed Obligations, or any Insolvency Proceeding or other similar proceeding affecting the Borrower, any Guarantor or any other guarantor of the Guaranteed Obligations, or any of their respective assets, or any resulting release or discharge of any obligation of the Borrower, any Guarantor or any other guarantor of any of the Guaranteed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475.</w:t>
      </w:r>
      <w:r>
        <w:rPr>
          <w:rFonts w:ascii="Times New Roman;Times;Serif" w:hAnsi="Times New Roman;Times;Serif"/>
          <w:b w:val="false"/>
          <w:i w:val="false"/>
          <w:caps w:val="false"/>
          <w:smallCaps w:val="false"/>
          <w:sz w:val="20"/>
        </w:rPr>
        <w:t xml:space="preserve"> the existence of any claim, setoff or other rights which any Guarantor may have at any time against the Borrower, any other Guarantor or any other guarantor of any of the Guaranteed Obligations, the Administrative Agent, any Secured Party or any other Person, whether in connection herewith or in connection with any unrelated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 other provisions in this Guaranty, nothing in this Guaranty shall prevent the assertion of any such claim by separate suit or compulsory counterclaim;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476.</w:t>
      </w:r>
      <w:r>
        <w:rPr>
          <w:rFonts w:ascii="Times New Roman;Times;Serif" w:hAnsi="Times New Roman;Times;Serif"/>
          <w:b w:val="false"/>
          <w:i w:val="false"/>
          <w:caps w:val="false"/>
          <w:smallCaps w:val="false"/>
          <w:sz w:val="20"/>
        </w:rPr>
        <w:t xml:space="preserve"> the unenforceability or invalidity of the Guaranteed Obligations or any part thereof or the lack of genuineness, enforceability or validity of any agreement relating thereto or with respect to the Collateral, if any, securing the Guaranteed Obligations or any part thereof, or any other invalidity or unenforceability relating to or against the Borrower, any Guarantor or any other guarantor of any of the Guaranteed Obligations, for any reason, related to this Agreement or any other Loan Document, or any provision of applicable Law, decree, order or regulation of any jurisdiction purporting to prohibit the payment of any of the Guaranteed Obligations by the Borrower, any Guarantor or any other guarantor of the Guaranteed Obligations;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477.</w:t>
      </w:r>
      <w:r>
        <w:rPr>
          <w:rFonts w:ascii="Times New Roman;Times;Serif" w:hAnsi="Times New Roman;Times;Serif"/>
          <w:b w:val="false"/>
          <w:i w:val="false"/>
          <w:caps w:val="false"/>
          <w:smallCaps w:val="false"/>
          <w:sz w:val="20"/>
        </w:rPr>
        <w:t xml:space="preserve"> the disallowance, under any state or federal bankruptcy, insolvency or similar law, of all or any portion of the claims of the Secured Parties or the Administrative Agent for repayment of all or any part of the Guaranteed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478.</w:t>
      </w:r>
      <w:r>
        <w:rPr>
          <w:rFonts w:ascii="Times New Roman;Times;Serif" w:hAnsi="Times New Roman;Times;Serif"/>
          <w:b w:val="false"/>
          <w:i w:val="false"/>
          <w:caps w:val="false"/>
          <w:smallCaps w:val="false"/>
          <w:sz w:val="20"/>
        </w:rPr>
        <w:t xml:space="preserve"> the failure of any other guarantor to sign or become party to this Agreement or any amendment, change, or reaffirmation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479.</w:t>
      </w:r>
      <w:r>
        <w:rPr>
          <w:rFonts w:ascii="Times New Roman;Times;Serif" w:hAnsi="Times New Roman;Times;Serif"/>
          <w:b w:val="false"/>
          <w:i w:val="false"/>
          <w:caps w:val="false"/>
          <w:smallCaps w:val="false"/>
          <w:sz w:val="20"/>
        </w:rPr>
        <w:t xml:space="preserve"> 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480.</w:t>
      </w:r>
      <w:r>
        <w:rPr>
          <w:rFonts w:ascii="Times New Roman;Times;Serif" w:hAnsi="Times New Roman;Times;Serif"/>
          <w:b w:val="false"/>
          <w:i w:val="false"/>
          <w:caps w:val="false"/>
          <w:smallCaps w:val="false"/>
          <w:sz w:val="20"/>
        </w:rPr>
        <w:t xml:space="preserve"> any other act or omission to act or delay of any kind by the Borrower, such Guarantor, any other guarantor of the Guaranteed Obligations, the Administrative Agent, any Secured Party or any other Person or any other circumstance whatsoever which might, but for the provisions of this </w:t>
      </w:r>
      <w:r>
        <w:rPr>
          <w:rFonts w:ascii="Times New Roman;Times;Serif" w:hAnsi="Times New Roman;Times;Serif"/>
          <w:b/>
          <w:i w:val="false"/>
          <w:caps w:val="false"/>
          <w:smallCaps w:val="false"/>
          <w:sz w:val="20"/>
        </w:rPr>
        <w:t>Section 13.02</w:t>
      </w:r>
      <w:r>
        <w:rPr>
          <w:rFonts w:ascii="Times New Roman;Times;Serif" w:hAnsi="Times New Roman;Times;Serif"/>
          <w:b w:val="false"/>
          <w:i w:val="false"/>
          <w:caps w:val="false"/>
          <w:smallCaps w:val="false"/>
          <w:sz w:val="20"/>
        </w:rPr>
        <w:t>, constitute a legal or equitable discharge of any Guarantor’s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hereby expressly waive diligence, presentment, demand of payment, protest and all notices whatsoever, and any requirement that the Administrative Agent or any Lender exhaust any right, power or remedy or proceed against the Borrower or any other Guarantor under this Agreement or any other agreement or instrument referred to herein, or against any other Person under any other guarantee of, or security for, any of the Guaranteed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481.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 xml:space="preserve">Discharge Only Upon Payment in Full. </w:t>
      </w:r>
      <w:r>
        <w:rPr>
          <w:rFonts w:ascii="Times New Roman;Times;Serif" w:hAnsi="Times New Roman;Times;Serif"/>
          <w:b w:val="false"/>
          <w:i w:val="false"/>
          <w:caps w:val="false"/>
          <w:smallCaps w:val="false"/>
          <w:sz w:val="20"/>
        </w:rPr>
        <w:t>Subject to any prior release herefrom of any Guarantor by the Administrative Agent in accordance with (and pursuant to authority granted to the Administrative Agent under) the terms of this Agreement, each Guarantor’s obligations hereunder shall remain in full force and effect until all of the Guaranteed Obligations shall have been paid in full in cash (other than inchoate indemnification obligations for which no claim has been made), the Administrative Agent has received duly executed copies of all Warrants (if any) and all other financing arrangements among the Borrower or any Guarantor and the Secured Parties under or in connection with this Agreement and each other Loan Document shall have terminated (herein, the “</w:t>
      </w:r>
      <w:r>
        <w:rPr>
          <w:rFonts w:ascii="Times New Roman;Times;Serif" w:hAnsi="Times New Roman;Times;Serif"/>
          <w:b/>
          <w:i/>
          <w:caps w:val="false"/>
          <w:smallCaps w:val="false"/>
          <w:sz w:val="20"/>
        </w:rPr>
        <w:t>Termination Conditions</w:t>
      </w:r>
      <w:r>
        <w:rPr>
          <w:rFonts w:ascii="Times New Roman;Times;Serif" w:hAnsi="Times New Roman;Times;Serif"/>
          <w:b w:val="false"/>
          <w:i w:val="false"/>
          <w:caps w:val="false"/>
          <w:smallCaps w:val="false"/>
          <w:sz w:val="20"/>
        </w:rPr>
        <w:t xml:space="preserve">”), and until the prior and complete satisfaction of the Termination Conditions all of the rights and remedies under this Guaranty and the other Loan Documents shall survive. Notwithstanding the foregoing, the Administrative Agent hereby agrees to release any Subsidiary of the Borrower from its guaranty of any Obligation of any Obligor if all of the Equity Interests in such Subsidiary owned by any Obligor or any of its Subsidiaries are disposed of as a result of a transaction permitted under and in accordance with the Loan Documents (including pursuant to a waiver or consent), to the extent that, after giving effect to such transaction, such Subsidiary would not be required to guarantee any Obligations pursuant to </w:t>
      </w:r>
      <w:r>
        <w:rPr>
          <w:rFonts w:ascii="Times New Roman;Times;Serif" w:hAnsi="Times New Roman;Times;Serif"/>
          <w:b/>
          <w:i w:val="false"/>
          <w:caps w:val="false"/>
          <w:smallCaps w:val="false"/>
          <w:sz w:val="20"/>
        </w:rPr>
        <w:t>Section 8.12(a)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481.04 Additional Waivers; General Waivers.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Additional Waivers. </w:t>
      </w:r>
      <w:r>
        <w:rPr>
          <w:rFonts w:ascii="Times New Roman;Times;Serif" w:hAnsi="Times New Roman;Times;Serif"/>
          <w:b w:val="false"/>
          <w:i w:val="false"/>
          <w:caps w:val="false"/>
          <w:smallCaps w:val="false"/>
          <w:sz w:val="20"/>
        </w:rPr>
        <w:t>Notwithstanding anything herein to the contrary, each of the Guarantors hereby absolutely, unconditionally, knowingly, and expressly waives: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right it may have to revoke this Guaranty as to future indebtedness or notice of acceptance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notice of acceptance hereof; (B) notice of any other financial accommodations made or maintained under the Loan Documents or the creation or existence of any Guaranteed Obligations; (C) notice of the amount of the Guaranteed Obligations, subject, however, to each Guarantor’s right to make inquiry of the Administrative Agent and the Secured Parties to ascertain the amount of the Guaranteed Obligations at any reasonable time; (D) notice of any adverse change in the financial condition of the Borrower or of any other fact that might increase such Guarantor’s risk hereunder; (E) notice of presentment for payment, demand, protest, and notice thereof as to any instruments among the Loan Documents; (F) notice of any Event of Default; and (G) all other notices (except if such notice is specifically required to be given to such Guarantor under this Guaranty or under the other Loan Documents) and demands to which each Guarantor might otherwise be entitled;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its right, if any, to require the Administrative Agent and the Secured Parties to institute suit against, or to exhaust any rights and remedies which the Administrative Agent and the Secured Parties now have or may hereafter have against, any other guarantor of the Guaranteed Obligations or any third party, or against any Collateral provided by such other guarantors or any third party; and each Guarantor further waives any defense arising by reason of any disability or other defense (other than the defense that the Guaranteed Obligations shall have been fully and finally performed and indefeasibly paid) of any other guarantor of the Guaranteed Obligations or by reason of the cessation from any cause whatsoever of the liability of any other guarantor of the Guaranteed Obligations in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any rights to assert against the Administrative Agent and the Secured Parties any defense (legal or equitable), set-off, counterclaim, or claim which such Guarantor may now or at any time hereafter have against any other guarantor of the Guaranteed Obligations or any third party liable to the Administrative Agent and the Secured Parties;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 (1) the impairment or suspension of the Administrative Agent’s and the Secured Parties’ rights or remedies against any other guarantor of the Guaranteed Obligations; (2) the alteration by the Administrative Agent and the Secured Parties of the Guaranteed Obligations; (3) any discharge of the obligations of any other guarantor of the Guaranteed Obligations to the Administrative Agent and the Secured Parties by operation of law as a result of the Administrative Agent’s and the Secured Parties’ intervention or omission; or (4) the acceptance by the Administrative Agent and the Secured Parties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defense arising by reason of or deriving from (A) any claim or defense based upon an election of remedies by the Administrative Agent and the other Secured Parties; or (B) any election by the Administrative Agent and the other Secured Parties under any provision of any state or federal bankruptcy, insolvency or similar law to limit the amount of, or any Collateral securing, its claim against the Guarantors.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General Waivers</w:t>
      </w:r>
      <w:r>
        <w:rPr>
          <w:rFonts w:ascii="Times New Roman;Times;Serif" w:hAnsi="Times New Roman;Times;Serif"/>
          <w:b w:val="false"/>
          <w:i w:val="false"/>
          <w:caps w:val="false"/>
          <w:smallCaps w:val="false"/>
          <w:sz w:val="20"/>
        </w:rPr>
        <w:t>. Each Guarantor irrevocably waives, to the fullest extent permitted by law, any notice not provided for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482. </w:t>
      </w:r>
      <w:r>
        <w:rPr>
          <w:rFonts w:ascii="Times New Roman;Times;Serif" w:hAnsi="Times New Roman;Times;Serif"/>
          <w:b/>
          <w:i/>
          <w:caps w:val="false"/>
          <w:smallCaps w:val="false"/>
          <w:sz w:val="20"/>
        </w:rPr>
        <w:t>Reinstatement</w:t>
      </w:r>
      <w:r>
        <w:rPr>
          <w:rFonts w:ascii="Times New Roman;Times;Serif" w:hAnsi="Times New Roman;Times;Serif"/>
          <w:b w:val="false"/>
          <w:i w:val="false"/>
          <w:caps w:val="false"/>
          <w:smallCaps w:val="false"/>
          <w:sz w:val="20"/>
        </w:rPr>
        <w:t xml:space="preserve">. The obligations of the Guarantors under this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shall be automatically reinstated if and to the extent that for any reason any payment by or on behalf of the Borrower in respect of the Guaranteed Obligations is at any time rescinded, annulled, avoided, set aside, invalidated, declared to be fraudulent or must be otherwise restored or repaid by any holder of any of the Guaranteed Obligations, whether as a result of any proceedings in bankruptcy or reorganization, equitable cause or otherwise, and the Guarantors jointly and severally agree that they will indemnify the Secured Parties on demand for all reasonable costs and expenses (including fees of counsel) incurred by such Persons in connection with such rescission, repayment or restoration, including any such costs and expenses incurred in defending against any claim alleging that such payment constituted a preference, fraudulent transfer or similar payment under any state or federal bankruptcy, insolvency or similar law. The provisions of this </w:t>
      </w:r>
      <w:r>
        <w:rPr>
          <w:rFonts w:ascii="Times New Roman;Times;Serif" w:hAnsi="Times New Roman;Times;Serif"/>
          <w:b/>
          <w:i w:val="false"/>
          <w:caps w:val="false"/>
          <w:smallCaps w:val="false"/>
          <w:sz w:val="20"/>
        </w:rPr>
        <w:t>Section 13.05</w:t>
      </w:r>
      <w:r>
        <w:rPr>
          <w:rFonts w:ascii="Times New Roman;Times;Serif" w:hAnsi="Times New Roman;Times;Serif"/>
          <w:b w:val="false"/>
          <w:i w:val="false"/>
          <w:caps w:val="false"/>
          <w:smallCaps w:val="false"/>
          <w:sz w:val="20"/>
        </w:rPr>
        <w:t xml:space="preserve"> shall survive termination of this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483.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Subrogation</w:t>
      </w:r>
      <w:r>
        <w:rPr>
          <w:rFonts w:ascii="Times New Roman;Times;Serif" w:hAnsi="Times New Roman;Times;Serif"/>
          <w:b w:val="false"/>
          <w:i w:val="false"/>
          <w:caps w:val="false"/>
          <w:smallCaps w:val="false"/>
          <w:sz w:val="20"/>
        </w:rPr>
        <w:t xml:space="preserve">. The Guarantors hereby jointly and severally agree that, until the prior and complete satisfaction of all Termination Conditions, they (i) shall have no right of subrogation with respect to the Guaranteed Obligations and (ii) waive any right to enforce any remedy which the Secured Parties or the Administrative Agent now have or may hereafter have against the Borrower, any endorser or any other guarantor of all or any part of the Guaranteed Obligations or any other Person, and each Guarantor waives any benefit of, and any right to participate in, any security or Collateral that may from time to time be given to the Secured Parties and the Administrative Agent to secure the payment or performance of all or any part of the Guaranteed Obligations or any other liability of the Borrower to the Secured Parties. Should any Guarantor have the right, notwithstanding the foregoing, to exercise its subrogation rights prior to complete satisfaction of the Termination Conditions, each Guarantor hereby expressly and irrevocably (A) subordinates any and all rights at law or in equity to subrogation, reimbursement, exoneration, contribution, indemnification or set-off that such Guarantor may have prior to the complete satisfaction of the Termination Conditions, and (B) waives any and all defenses available to a surety, guarantor or accommodation co-obligor until all Termination Conditions are satisfied in full. Each Guarantor acknowledges and agrees that this subordination is intended to benefit the Administrative Agent and the Secured Parties and shall not limit or otherwise affect such Guarantor’s liability hereunder or the enforceability of this Guaranty, and that the Administrative Agent, the Secured Parties and their respective successors and assigns are intended third party beneficiaries of the waivers and agreements set forth in this </w:t>
      </w:r>
      <w:r>
        <w:rPr>
          <w:rFonts w:ascii="Times New Roman;Times;Serif" w:hAnsi="Times New Roman;Times;Serif"/>
          <w:b/>
          <w:i w:val="false"/>
          <w:caps w:val="false"/>
          <w:smallCaps w:val="false"/>
          <w:sz w:val="20"/>
        </w:rPr>
        <w:t>Section 13.06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484.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Remedies</w:t>
      </w:r>
      <w:r>
        <w:rPr>
          <w:rFonts w:ascii="Times New Roman;Times;Serif" w:hAnsi="Times New Roman;Times;Serif"/>
          <w:b w:val="false"/>
          <w:i w:val="false"/>
          <w:caps w:val="false"/>
          <w:smallCaps w:val="false"/>
          <w:sz w:val="20"/>
        </w:rPr>
        <w:t xml:space="preserve">. The Guarantors jointly and severally agree that, as between the Guarantors, on one hand, and the Administrative Agent and the Lenders, on the other hand, the obligations of the Borrower under this Agreement and under the other Loan Documents may be declared to be forthwith due and payable as provided in </w:t>
      </w: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xml:space="preserve"> (and shall be deemed to have become automatically due and payable in the circumstances provided in </w:t>
      </w: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i w:val="false"/>
          <w:caps w:val="false"/>
          <w:smallCaps w:val="false"/>
          <w:sz w:val="20"/>
        </w:rPr>
        <w:t xml:space="preserve">Section 13.01 </w:t>
      </w:r>
      <w:r>
        <w:rPr>
          <w:rFonts w:ascii="Times New Roman;Times;Serif" w:hAnsi="Times New Roman;Times;Serif"/>
          <w:b w:val="false"/>
          <w:i w:val="false"/>
          <w:caps w:val="false"/>
          <w:smallCaps w:val="false"/>
          <w:sz w:val="20"/>
        </w:rPr>
        <w:t xml:space="preserve">notwithstanding any stay, injunction or other prohibition, including any such stay upon an Insolvency Proceeding,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485.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Instrument for the Payment of Money</w:t>
      </w:r>
      <w:r>
        <w:rPr>
          <w:rFonts w:ascii="Times New Roman;Times;Serif" w:hAnsi="Times New Roman;Times;Serif"/>
          <w:b w:val="false"/>
          <w:i w:val="false"/>
          <w:caps w:val="false"/>
          <w:smallCaps w:val="false"/>
          <w:sz w:val="20"/>
        </w:rPr>
        <w:t xml:space="preserve">. Each Guarantor hereby acknowledges that the guarantee in this </w:t>
      </w:r>
      <w:r>
        <w:rPr>
          <w:rFonts w:ascii="Times New Roman;Times;Serif" w:hAnsi="Times New Roman;Times;Serif"/>
          <w:b/>
          <w:i w:val="false"/>
          <w:caps w:val="false"/>
          <w:smallCaps w:val="false"/>
          <w:sz w:val="20"/>
        </w:rPr>
        <w:t xml:space="preserve">Section 13 </w:t>
      </w:r>
      <w:r>
        <w:rPr>
          <w:rFonts w:ascii="Times New Roman;Times;Serif" w:hAnsi="Times New Roman;Times;Serif"/>
          <w:b w:val="false"/>
          <w:i w:val="false"/>
          <w:caps w:val="false"/>
          <w:smallCaps w:val="false"/>
          <w:sz w:val="20"/>
        </w:rPr>
        <w:t>constitutes an instrument for the payment of money, and consents and agrees that the Administrative Agent and the Lenders, at their sole option, in the event of a dispute by such Guarantor in the payment of any moneys due hereunder, shall have the right to proceed by motion for summary judgment in lieu of complaint pursuant to N.Y. Civ. Prac. L&amp;R § 3213.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486.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Continuing Guarantee</w:t>
      </w:r>
      <w:r>
        <w:rPr>
          <w:rFonts w:ascii="Times New Roman;Times;Serif" w:hAnsi="Times New Roman;Times;Serif"/>
          <w:b w:val="false"/>
          <w:i w:val="false"/>
          <w:caps w:val="false"/>
          <w:smallCaps w:val="false"/>
          <w:sz w:val="20"/>
        </w:rPr>
        <w:t xml:space="preserve">. The guarantee in this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is a continuing guarantee, and shall apply to all Guaranteed Obligations whenever arising.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486.01 Contribution with Respect to Guaranteed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Guarantor shall make a payment under this Guaranty (a “</w:t>
      </w:r>
      <w:r>
        <w:rPr>
          <w:rFonts w:ascii="Times New Roman;Times;Serif" w:hAnsi="Times New Roman;Times;Serif"/>
          <w:b/>
          <w:i/>
          <w:caps w:val="false"/>
          <w:smallCaps w:val="false"/>
          <w:sz w:val="20"/>
        </w:rPr>
        <w:t>Guarantor Payment</w:t>
      </w:r>
      <w:r>
        <w:rPr>
          <w:rFonts w:ascii="Times New Roman;Times;Serif" w:hAnsi="Times New Roman;Times;Serif"/>
          <w:b w:val="false"/>
          <w:i w:val="false"/>
          <w:caps w:val="false"/>
          <w:smallCaps w:val="false"/>
          <w:sz w:val="20"/>
        </w:rPr>
        <w:t xml:space="preserve">”)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w:t>
      </w:r>
      <w:r>
        <w:rPr>
          <w:rFonts w:ascii="Times New Roman;Times;Serif" w:hAnsi="Times New Roman;Times;Serif"/>
          <w:b w:val="false"/>
          <w:i/>
          <w:caps w:val="false"/>
          <w:smallCaps w:val="false"/>
          <w:sz w:val="20"/>
        </w:rPr>
        <w:t>then</w:t>
      </w:r>
      <w:r>
        <w:rPr>
          <w:rFonts w:ascii="Times New Roman;Times;Serif" w:hAnsi="Times New Roman;Times;Serif"/>
          <w:b w:val="false"/>
          <w:i w:val="false"/>
          <w:caps w:val="false"/>
          <w:smallCaps w:val="false"/>
          <w:sz w:val="20"/>
        </w:rPr>
        <w:t xml:space="preserve">, following the prior and complete satisfaction of the Termination Conditions, such Guarantor shall be entitled to receive contribution and indemnification payments from, and be reimbursed by, each other Guarantor for the amount of such excess,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based upon their respective Allocable Amounts in effect immediately prior to such Guarantor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any date of determination, the “</w:t>
      </w:r>
      <w:r>
        <w:rPr>
          <w:rFonts w:ascii="Times New Roman;Times;Serif" w:hAnsi="Times New Roman;Times;Serif"/>
          <w:b/>
          <w:i/>
          <w:caps w:val="false"/>
          <w:smallCaps w:val="false"/>
          <w:sz w:val="20"/>
        </w:rPr>
        <w:t>Allocable Amount</w:t>
      </w:r>
      <w:r>
        <w:rPr>
          <w:rFonts w:ascii="Times New Roman;Times;Serif" w:hAnsi="Times New Roman;Times;Serif"/>
          <w:b w:val="false"/>
          <w:i w:val="false"/>
          <w:caps w:val="false"/>
          <w:smallCaps w:val="false"/>
          <w:sz w:val="20"/>
        </w:rPr>
        <w:t>” of any Guarantor shall be equal to the maximum amount of the claim which could then be recovered from such Guarantor under this Agreement without rendering such claim voidable or avoidable under any state or federal bankruptcy, insolvency or similar law or other applicable Law.</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w:t>
      </w:r>
      <w:r>
        <w:rPr>
          <w:rFonts w:ascii="Times New Roman;Times;Serif" w:hAnsi="Times New Roman;Times;Serif"/>
          <w:b/>
          <w:i w:val="false"/>
          <w:caps w:val="false"/>
          <w:smallCaps w:val="false"/>
          <w:sz w:val="20"/>
        </w:rPr>
        <w:t>13.10</w:t>
      </w:r>
      <w:r>
        <w:rPr>
          <w:rFonts w:ascii="Times New Roman;Times;Serif" w:hAnsi="Times New Roman;Times;Serif"/>
          <w:b w:val="false"/>
          <w:i w:val="false"/>
          <w:caps w:val="false"/>
          <w:smallCaps w:val="false"/>
          <w:sz w:val="20"/>
        </w:rPr>
        <w:t xml:space="preserve"> is intended only to define the relative rights of the Guarantors, and nothing set forth in this </w:t>
      </w:r>
      <w:r>
        <w:rPr>
          <w:rFonts w:ascii="Times New Roman;Times;Serif" w:hAnsi="Times New Roman;Times;Serif"/>
          <w:b/>
          <w:i w:val="false"/>
          <w:caps w:val="false"/>
          <w:smallCaps w:val="false"/>
          <w:sz w:val="20"/>
        </w:rPr>
        <w:t>13.10</w:t>
      </w:r>
      <w:r>
        <w:rPr>
          <w:rFonts w:ascii="Times New Roman;Times;Serif" w:hAnsi="Times New Roman;Times;Serif"/>
          <w:b w:val="false"/>
          <w:i w:val="false"/>
          <w:caps w:val="false"/>
          <w:smallCaps w:val="false"/>
          <w:sz w:val="20"/>
        </w:rPr>
        <w:t xml:space="preserve"> is intended to or shall impair the obligations of the Guarantors, jointly and severally, to pay any amounts as and when the same shall become due and payable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acknowledge that the rights of contribution and indemnification hereunder shall constitute assets of the Guarantor or Guarantors to which such contribution and indemnification is 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rights of the indemnifying Guarantors against other Guarantors under this </w:t>
      </w:r>
      <w:r>
        <w:rPr>
          <w:rFonts w:ascii="Times New Roman;Times;Serif" w:hAnsi="Times New Roman;Times;Serif"/>
          <w:b/>
          <w:i w:val="false"/>
          <w:caps w:val="false"/>
          <w:smallCaps w:val="false"/>
          <w:sz w:val="20"/>
        </w:rPr>
        <w:t>Section 13.10</w:t>
      </w:r>
      <w:r>
        <w:rPr>
          <w:rFonts w:ascii="Times New Roman;Times;Serif" w:hAnsi="Times New Roman;Times;Serif"/>
          <w:b w:val="false"/>
          <w:i w:val="false"/>
          <w:caps w:val="false"/>
          <w:smallCaps w:val="false"/>
          <w:sz w:val="20"/>
        </w:rPr>
        <w:t xml:space="preserve"> shall be exercisable only upon the prior and complete satisfaction of the Termination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487.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General Limitations on Guarantee Obligations</w:t>
      </w:r>
      <w:r>
        <w:rPr>
          <w:rFonts w:ascii="Times New Roman;Times;Serif" w:hAnsi="Times New Roman;Times;Serif"/>
          <w:b w:val="false"/>
          <w:i w:val="false"/>
          <w:caps w:val="false"/>
          <w:smallCaps w:val="false"/>
          <w:sz w:val="20"/>
        </w:rPr>
        <w:t xml:space="preserve">. In any action or proceeding involving any provincial, territorial or state corporate law, or any state or federal bankruptcy, insolvency, reorganization or other law affecting the rights of creditors generally, if the obligations of any Guarantor under </w:t>
      </w:r>
      <w:r>
        <w:rPr>
          <w:rFonts w:ascii="Times New Roman;Times;Serif" w:hAnsi="Times New Roman;Times;Serif"/>
          <w:b/>
          <w:i w:val="false"/>
          <w:caps w:val="false"/>
          <w:smallCaps w:val="false"/>
          <w:sz w:val="20"/>
        </w:rPr>
        <w:t xml:space="preserve">Section 13.01 </w:t>
      </w:r>
      <w:r>
        <w:rPr>
          <w:rFonts w:ascii="Times New Roman;Times;Serif" w:hAnsi="Times New Roman;Times;Serif"/>
          <w:b w:val="false"/>
          <w:i w:val="false"/>
          <w:caps w:val="false"/>
          <w:smallCaps w:val="false"/>
          <w:sz w:val="20"/>
        </w:rPr>
        <w:t xml:space="preserve">would otherwise be held or determined to be void, invalid or unenforceable, or subordinated to the claims of any other creditors, on account of the amount of its liability under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 then, notwithstanding any other provision hereof to the contrary, the amount of such liability shall, without any further action by such Guarantor, the Administrative Agent, any Lender or any other Person, be automatically limited and reduced to the highest amount that is valid and enforceable and not subordinated to the claims of other creditors as determined in such action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Section 488.</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MISCELLANEOUS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489.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No Waiver</w:t>
      </w:r>
      <w:r>
        <w:rPr>
          <w:rFonts w:ascii="Times New Roman;Times;Serif" w:hAnsi="Times New Roman;Times;Serif"/>
          <w:b w:val="false"/>
          <w:i w:val="false"/>
          <w:caps w:val="false"/>
          <w:smallCaps w:val="false"/>
          <w:sz w:val="20"/>
        </w:rPr>
        <w:t>. No failure on the part of the Administrative Agent or the Lenders to exercise 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490.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 All notices, requests, instructions, directions and other communications provided for herein (including any modifications of, or waivers, requests or consents under, this Agreement) or in the other Loan Documents shall be given or made in writing (including by telecopy or email) delivered, if to the Borrower, another Obligor, the Administrative Agent or any Lender, to its address specified on the signature pages hereto or its Guarantee Assumption Agreement, as the case may be, or at such other address as shall be designated by such party in a written notice to the other parties.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491.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Expenses, Indemnification,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492.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xml:space="preserve">. Each Obligor, jointly and severally, agrees to pay or reimburse (i) within ten (10) Business Days of receipt of a reasonably detailed invoice the Administrative Agent and its Affiliates for all of their reasonable and documented out-of-pocket costs and expenses (including the reasonable and documented out-of-pocket fees, expenses, charges and disbursements of Latham &amp; Watkins LLP, counsel to the Administrative Agent, the fees (if necessary) of local counsel and regulatory counsel for the Administrative Agent in each relevant material jurisdiction, and any sales, goods and services or other similar Taxes applicable thereto, and reasonable and documented printing, reproduction, document delivery, communication and travel costs) in connection with (x) the negotiation, preparation, execution and delivery of this Agreement and the other Loan Documents and the making of the Loans (exclusive of post-closing costs), (y) post-closing costs (including, without limitation (1) costs of the administration of this Agreement and the other Loan Documents and (2) title, appraisal, survey, audit, environmental inspection, consulting, search, recording, filing and similar coasts, fees and expenses incurred or sustained by the Administrative Agent or any of its Affiliates in connection with the Collateral), and (z) the negotiation or preparation of any modification, supplement or waiver of any of the terms of this Agreement or any of the other Loan Documents (whether or not consummated) and (ii) immediately, each of the Administrative Agent and the Lenders for all of their documented out-of-pocket costs and expenses (including the fees and expenses of any legal counsel) in connection with the enforcement, exercise or protection of their rights in connection with this Agreement and the other Loan Documents after the occurrence of and in connection with an Event of Default, including their rights under this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including (1) in connection with the protection, sale or collection of, or other realization upon, any of the Collateral, including all reasonable and documented out-of-pocket expenses of taking, collecting, holding, sorting, handling, preparing for sale, selling, or the like, and other such expenses of sales and collections of Collateral and (2) such out-of-pocket expenses incurred during any workout, restructuring or negotiations in respect of such Loans and in connection with any enforcement or collection proceedings resulting from the occurrence of an Event of Default.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493.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Each Obligor, jointly and severally, hereby indemnifies the Administrative Agent (and any sub-agent thereof), the Lenders and their respective Affiliates, directors, officers, employees, attorneys, agents, advisors and controlling parties (each, an “</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xml:space="preserve">”) from and against, and agrees to hold them harmless against, any and all Claims and Losses of any kind including reasonable and documented out-of-pocket fees and disbursements of any counsel for each Indemnified Party (limited to one legal counsel in each relevant jurisdiction), that may be incurred by or asserted or awarded against any Indemnified Party, in each case arising out of or in connection with or relating to (i) this Agreement or any of the other Loan Documents or the Transactions, (ii) any use made or proposed to be made with the proceeds of the Loans, (iii) any actual or alleged presence or release of Hazardous Materials on or from any property owned or operated by any Obligor or any of its Subsidiaries, or (iv) any actual or prospective claim, investigation, litigation or proceeding relating to any of the foregoing, whether based on contract, tort, or any other theory, whether or not such investigation, litigation or proceeding is brought by any Obligor, any of its Subsidiaries, shareholders or creditors, an Indemnified Party or any other Person, or an Indemnified Party is otherwise a party thereto, and whether or not any of the conditions precedent set forth in </w:t>
      </w:r>
      <w:r>
        <w:rPr>
          <w:rFonts w:ascii="Times New Roman;Times;Serif" w:hAnsi="Times New Roman;Times;Serif"/>
          <w:b/>
          <w:i w:val="false"/>
          <w:caps w:val="false"/>
          <w:smallCaps w:val="false"/>
          <w:sz w:val="20"/>
        </w:rPr>
        <w:t>Section 6</w:t>
      </w:r>
      <w:r>
        <w:rPr>
          <w:rFonts w:ascii="Times New Roman;Times;Serif" w:hAnsi="Times New Roman;Times;Serif"/>
          <w:b w:val="false"/>
          <w:i w:val="false"/>
          <w:caps w:val="false"/>
          <w:smallCaps w:val="false"/>
          <w:sz w:val="20"/>
        </w:rPr>
        <w:t xml:space="preserve"> are satisfied or the other transactions contemplated by this Agreement are consummated, except to the extent such Claim or Loss is (i) found in a final, non-appealable judgment by a court of competent jurisdiction to have resulted from such Indemnified Party’s gross negligence or willful misconduct or (ii) is determined by a court of competent jurisdiction by final and non-appealable judgment to have resulted from a claim brought by any Obligor against an Indemnified Party for material breach in bad faith or reckless disregard of such Indemnified Party’s obligations hereunder or under any other Loan Document.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Loans. None of the Administrative Agent and the Lenders shall assert any claim against any Obligor, their Subsidiaries and Affiliates and their respective directors, officers, employees, attorneys, agents, advisors and controlling parties, on any theory of liability, for consequential, indirect, special or punitive damages arising out of or otherwise relating to this Agreement or any of the other Loan Documents or any of the Transactions or the actual or proposed use of the proceeds of the Loans. Notwithstanding the foregoing in this </w:t>
      </w:r>
      <w:r>
        <w:rPr>
          <w:rFonts w:ascii="Times New Roman;Times;Serif" w:hAnsi="Times New Roman;Times;Serif"/>
          <w:b/>
          <w:i w:val="false"/>
          <w:caps w:val="false"/>
          <w:smallCaps w:val="false"/>
          <w:sz w:val="20"/>
        </w:rPr>
        <w:t>Section 14.03(b)</w:t>
      </w:r>
      <w:r>
        <w:rPr>
          <w:rFonts w:ascii="Times New Roman;Times;Serif" w:hAnsi="Times New Roman;Times;Serif"/>
          <w:b w:val="false"/>
          <w:i w:val="false"/>
          <w:caps w:val="false"/>
          <w:smallCaps w:val="false"/>
          <w:sz w:val="20"/>
        </w:rPr>
        <w:t xml:space="preserve">, the Obligors shall not be liable for any settlement of any proceeding effected without the Obligors’ consent (which consent shall not be unreasonably withheld, delayed or conditioned), but if settled with the Obligors’ written consent, or if there is a judgment against an Indemnified Party in any such proceeding, the Obligors shall indemnify and hold harmless each Indemnified Party to the extent and in the manner set forth above. The Obligors shall not, without the prior written consent of an Indemnified Party (which consent shall not be unreasonably withheld, conditioned or delayed), effect any settlement of any pending or threatened proceeding against such Indemnified Party in respect of which indemnity could have been sought hereunder by such Indemnified Party unless (a) such settlement includes an unconditional release of such Indemnified Party from all liability or claims that are the subject matter of, or arise out of, such proceeding and (b) such settlement does not include any statement as to, or any admission of fault, culpability, wrongdoing or a failure to act by or on behalf of such Indemnified Party. This Section shall not apply with respect to (x) Taxes other than Taxes relating to a non-Tax Claim or Loss governed by this </w:t>
      </w:r>
      <w:r>
        <w:rPr>
          <w:rFonts w:ascii="Times New Roman;Times;Serif" w:hAnsi="Times New Roman;Times;Serif"/>
          <w:b/>
          <w:i w:val="false"/>
          <w:caps w:val="false"/>
          <w:smallCaps w:val="false"/>
          <w:sz w:val="20"/>
        </w:rPr>
        <w:t>Section 14.03(a)</w:t>
      </w:r>
      <w:r>
        <w:rPr>
          <w:rFonts w:ascii="Times New Roman;Times;Serif" w:hAnsi="Times New Roman;Times;Serif"/>
          <w:b w:val="false"/>
          <w:i w:val="false"/>
          <w:caps w:val="false"/>
          <w:smallCaps w:val="false"/>
          <w:sz w:val="20"/>
        </w:rPr>
        <w:t xml:space="preserve"> and (y) yield protection matters covered by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which shall be governed exclusively by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494.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Amendments, Etc.</w:t>
      </w:r>
      <w:r>
        <w:rPr>
          <w:rFonts w:ascii="Times New Roman;Times;Serif" w:hAnsi="Times New Roman;Times;Serif"/>
          <w:b w:val="false"/>
          <w:i w:val="false"/>
          <w:caps w:val="false"/>
          <w:smallCaps w:val="false"/>
          <w:sz w:val="20"/>
        </w:rPr>
        <w:t xml:space="preserve"> Except as otherwise expressly provided in this Agreement, any provision of this Agreement and any other Loan Document may be modified or supplemented only by an instrument in writing signed by the Borrower, the Administrative Agent and the Majority Lenders;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495.</w:t>
      </w:r>
      <w:r>
        <w:rPr>
          <w:rFonts w:ascii="Times New Roman;Times;Serif" w:hAnsi="Times New Roman;Times;Serif"/>
          <w:b w:val="false"/>
          <w:i w:val="false"/>
          <w:caps w:val="false"/>
          <w:smallCaps w:val="false"/>
          <w:sz w:val="20"/>
        </w:rPr>
        <w:t xml:space="preserve"> any such modification or supplement that is disproportionately adverse to any Lender as compared to other Lenders or subjects any Lender to any additional obligation shall not be effective without the consent of such affected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496. </w:t>
      </w:r>
      <w:r>
        <w:rPr>
          <w:rFonts w:ascii="Times New Roman;Times;Serif" w:hAnsi="Times New Roman;Times;Serif"/>
          <w:b w:val="false"/>
          <w:i w:val="false"/>
          <w:caps w:val="false"/>
          <w:smallCaps w:val="false"/>
          <w:sz w:val="20"/>
        </w:rPr>
        <w:t>the consent of all of the Lenders shall be required to:</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497.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amend, modify, discharge, terminate or waive any of the terms of this Agreement or any other Loan Agreement if such amendment, modification, discharge, termination or waiver would increase the amount of the Loans or Commitment, reduce the fees payable hereunder, reduce interest rates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that the Majority Lenders may rescind an imposition of default interest hereunder) or other amounts payable with respect to the Loans (excluding mandatory prepayments), extend any date fixed for payment of principal (excluding mandatory prepayments) (it being understood that the waiver of any prepayment of Loans shall not constitute an extension of any date fixed for payment of principal), interest or other amounts payable relating to the Loans or extend the repayment dates of the Loans (excluding mandatory prepayments);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that a waiver of any condition precedent set forth in Section 6.02 or of any Default or Event of Default or a mandatory reduction in Commitments is not considered an increase in Commitments of any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498. </w:t>
      </w:r>
      <w:r>
        <w:rPr>
          <w:rFonts w:ascii="Times New Roman;Times;Serif" w:hAnsi="Times New Roman;Times;Serif"/>
          <w:b/>
          <w:i w:val="false"/>
          <w:caps w:val="false"/>
          <w:smallCaps w:val="false"/>
          <w:sz w:val="20"/>
        </w:rPr>
        <w:t>amend, modify, discharge, terminate or waive any Security Document if the effect is to release all or substantially all of the Collateral subject thereto other than pursuant to the terms hereof or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499.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amend this Section 14.04 or the definition of “Majority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(A) the Administrative Agent and the Borrower may amend or modify this Agreement and any other Loan Document to (1) cure any factual or typographical error, omission, defect or inconsistency therein, or (2) grant a new Lien for the benefit of the Lenders, extend an additional Lien over additional property for the benefit of the Lenders or join additional Persons as Obligors and (B)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500. </w:t>
      </w:r>
      <w:r>
        <w:rPr>
          <w:rFonts w:ascii="Times New Roman;Times;Serif" w:hAnsi="Times New Roman;Times;Serif"/>
          <w:b/>
          <w:i/>
          <w:caps w:val="false"/>
          <w:smallCaps w:val="false"/>
          <w:sz w:val="20"/>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xml:space="preserve">. The provisions of this Agreement and the other Loan Documents shall be binding upon and inure to the benefit of the parties hereto or thereto and their respective successors and assigns permitted hereby or thereby, except that no Obligor may assign or otherwise transfer any of its rights or obligations hereunder or under any of the other Loan Documents (except in connection with an event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xml:space="preserve">) without the prior written consent of the Administrative Agent. Any Lender may assign or otherwise transfer any of its rights or obligations hereunder or under any of the other Loan Documents (i) to an assignee in accordance with the provisions of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(ii) by way of participation in accordance with the provisions of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xml:space="preserve">, or (iii) by way of pledge or assignment of a security interest subject to the restrictions of </w:t>
      </w:r>
      <w:r>
        <w:rPr>
          <w:rFonts w:ascii="Times New Roman;Times;Serif" w:hAnsi="Times New Roman;Times;Serif"/>
          <w:b/>
          <w:i w:val="false"/>
          <w:caps w:val="false"/>
          <w:smallCaps w:val="false"/>
          <w:sz w:val="20"/>
        </w:rPr>
        <w:t>Section 14.05(f)</w:t>
      </w:r>
      <w:r>
        <w:rPr>
          <w:rFonts w:ascii="Times New Roman;Times;Serif" w:hAnsi="Times New Roman;Times;Serif"/>
          <w:b w:val="false"/>
          <w:i w:val="false"/>
          <w:caps w:val="false"/>
          <w:smallCaps w:val="false"/>
          <w:sz w:val="20"/>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xml:space="preserve"> and, to the extent expressly contemplated hereby, the Indemnified Parties) any legal or equitable right, remedy or claim under or by reason of this Agreement.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Assignments by Lender</w:t>
      </w:r>
      <w:r>
        <w:rPr>
          <w:rFonts w:ascii="Times New Roman;Times;Serif" w:hAnsi="Times New Roman;Times;Serif"/>
          <w:b w:val="false"/>
          <w:i w:val="false"/>
          <w:caps w:val="false"/>
          <w:smallCaps w:val="false"/>
          <w:sz w:val="20"/>
        </w:rPr>
        <w:t xml:space="preserve">. Any Lender may at any time assign to one or more Eligible Transferees (or, (i) if an Event of Default under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has occurred and is continuing, to any Person that is not a Defaulting Lender and (ii) if an Event of Default that is not an Event of Default under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has occurred and is continuing (but no Event of Default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has occurred and is continuing), to any Person that is not a Defaulting Lender or a Company Competitor (that has been identified by name in writing by the Borrower to the Administrative Agent prior to the date of such Event of Default)) all or a portion of its rights and obligations under this Agreement (including all or a portion of the Loans at the time owing to it) and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assignment shall be made to any Obligor, any Affiliate of any Obligor, any employees or directors of any Obligor at any time and no such assignment shall be made without the prior written consent of the Administrative Agent. The consent of the Borrower (such consent not to be unreasonably withheld, conditioned or delayed) shall be required unless (x) an Event of Default has occurred and is continuing at the time of such assignment or (y) such assignment is to an Eligible Transferee;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deemed to have consented to any such assignment unless it shall object thereto by written notice to the Administrative Agent within five (5) Business Days after having received written notice thereof. Subject to the recording thereof by the Administrative Agent pursuant to </w:t>
      </w:r>
      <w:r>
        <w:rPr>
          <w:rFonts w:ascii="Times New Roman;Times;Serif" w:hAnsi="Times New Roman;Times;Serif"/>
          <w:b/>
          <w:i w:val="false"/>
          <w:caps w:val="false"/>
          <w:smallCaps w:val="false"/>
          <w:sz w:val="20"/>
        </w:rPr>
        <w:t>Section 14.05(d)</w:t>
      </w:r>
      <w:r>
        <w:rPr>
          <w:rFonts w:ascii="Times New Roman;Times;Serif" w:hAnsi="Times New Roman;Times;Serif"/>
          <w:b w:val="false"/>
          <w:i w:val="false"/>
          <w:caps w:val="false"/>
          <w:smallCaps w:val="false"/>
          <w:sz w:val="20"/>
        </w:rPr>
        <w:t>, and to receipt by the Administrative Agent of a processing and recordation fee in the amount of $3,500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in its sole discretion, elect to waive such processing and recordation fee in the case of any assignment) from and after the date such Assignment and Assumption is recorded in the Register, the assignee thereunder shall be a party to this Agreement and, to the extent of the interest assigned by such Assignment and Assumption, have the rights and obligations of the Lender under this Agreement and the other Loan Documents, and correspondingly the assigning Lender shall, to the extent of the interest assigned by such Assignment and Assumption, be released from its obligations under this Agreement (and, in the case of an Assignment and Assumption covering all of the Lender’s rights and obligations under this Agreement, such Lender shall cease to be a party hereto) and the other Loan Documents but shall continue to be entitled to the benefits of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xml:space="preserve">. Any assignment or transfer by the Lender of rights or obligations under this Agreement that does not comply with this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shall be treated for purposes of this Agreement as a sale by such Lender of a participation in such rights and obligations in accordance with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If an assignee is not a Lender, the assignee shall provide the Administrative Agent with all “know your customer” documents requested by the Administrative Agent pursuant to anti-money laundering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Amendments to Loan Documents</w:t>
      </w:r>
      <w:r>
        <w:rPr>
          <w:rFonts w:ascii="Times New Roman;Times;Serif" w:hAnsi="Times New Roman;Times;Serif"/>
          <w:b w:val="false"/>
          <w:i w:val="false"/>
          <w:caps w:val="false"/>
          <w:smallCaps w:val="false"/>
          <w:sz w:val="20"/>
        </w:rPr>
        <w:t xml:space="preserve">. Each of the Administrative Agent, the Lenders and the Obligors agrees to enter into such amendments to the Loan Documents, and such additional Security Documents and other instruments and agreements, in each case in form and substance reasonably acceptable to the Administrative Agent, the Lenders and the Obligors, as shall reasonably be necessary to implement and give effect to any assignment made under this </w:t>
      </w:r>
      <w:r>
        <w:rPr>
          <w:rFonts w:ascii="Times New Roman;Times;Serif" w:hAnsi="Times New Roman;Times;Serif"/>
          <w:b/>
          <w:i w:val="false"/>
          <w:caps w:val="false"/>
          <w:smallCaps w:val="false"/>
          <w:sz w:val="20"/>
        </w:rPr>
        <w:t>Section 14.05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504.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The Administrative Agent, acting solely for this purpose as a non-fiduciary agent of the Borrower, shall maintain at one of its offices in the United States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written notice. Notwithstanding anything to the contrary, any assignment of any Loan shall be effective only upon appropriate entries with respect thereto being made in the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505.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Participations</w:t>
      </w:r>
      <w:r>
        <w:rPr>
          <w:rFonts w:ascii="Times New Roman;Times;Serif" w:hAnsi="Times New Roman;Times;Serif"/>
          <w:b w:val="false"/>
          <w:i w:val="false"/>
          <w:caps w:val="false"/>
          <w:smallCaps w:val="false"/>
          <w:sz w:val="20"/>
        </w:rPr>
        <w:t>. Any Lender may at any time, without the consent of, or notice to, the Borrower, sell participations to any Eligible Transferee (other than a natural person, a Defaulting Lender or any Obligor or any of its Affiliates or Subsidiaries) (each, a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in all or a portion of the Lender’s rights and/or obligations under this Agreement (including all or a portion of the Commitment and/or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Lender’s obligations under this Agreement and the other Loan Documents shall remain unchanged, (ii) such Lender shall remain solely responsible to the other parties hereto for the performance of such obligations and (iii) the Borrower shall continue to deal solely and directly with such Lender in connection therewith. Any agreement or instrument pursuant to which any Lender sells such a participation shall provide that such Lender shall retain the sole right to enforce the Loan Documents and to approve any amendment, modification or waiver of any provision of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that would (i) increase or extend the term of such Lender’s Commitment (it being understood and agreed that a waiver of any condition precedent set forth in </w:t>
      </w:r>
      <w:r>
        <w:rPr>
          <w:rFonts w:ascii="Times New Roman;Times;Serif" w:hAnsi="Times New Roman;Times;Serif"/>
          <w:b/>
          <w:i w:val="false"/>
          <w:caps w:val="false"/>
          <w:smallCaps w:val="false"/>
          <w:sz w:val="20"/>
        </w:rPr>
        <w:t>Section 6.02</w:t>
      </w:r>
      <w:r>
        <w:rPr>
          <w:rFonts w:ascii="Times New Roman;Times;Serif" w:hAnsi="Times New Roman;Times;Serif"/>
          <w:b w:val="false"/>
          <w:i w:val="false"/>
          <w:caps w:val="false"/>
          <w:smallCaps w:val="false"/>
          <w:sz w:val="20"/>
        </w:rPr>
        <w:t xml:space="preserve"> or of any Default or Event of Default or a mandatory reduction in Commitments is not considered an increase of any Commitment), (ii) extend the date fixed for the payment of principal (excluding mandatory prepayments) of or interest on the Loans or any portion of any fee hereunder payable to the Participant, (iii) reduce the amount of any such payment of principal, or (iv) reduce the rate at which interest is payable thereon to a level below the rate at which the Participant is entitled to receive such interest (other than a waiver of default interest). Subject to </w:t>
      </w:r>
      <w:r>
        <w:rPr>
          <w:rFonts w:ascii="Times New Roman;Times;Serif" w:hAnsi="Times New Roman;Times;Serif"/>
          <w:b/>
          <w:i w:val="false"/>
          <w:caps w:val="false"/>
          <w:smallCaps w:val="false"/>
          <w:sz w:val="20"/>
        </w:rPr>
        <w:t>Section 14.05(f)</w:t>
      </w:r>
      <w:r>
        <w:rPr>
          <w:rFonts w:ascii="Times New Roman;Times;Serif" w:hAnsi="Times New Roman;Times;Serif"/>
          <w:b w:val="false"/>
          <w:i w:val="false"/>
          <w:caps w:val="false"/>
          <w:smallCaps w:val="false"/>
          <w:sz w:val="20"/>
        </w:rPr>
        <w:t xml:space="preserve">, the Borrower agrees that each Participant shall be entitled to the benefits of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i w:val="false"/>
          <w:caps w:val="false"/>
          <w:smallCaps w:val="false"/>
          <w:sz w:val="20"/>
        </w:rPr>
        <w:t>Section 5.03(f)</w:t>
      </w:r>
      <w:r>
        <w:rPr>
          <w:rFonts w:ascii="Times New Roman;Times;Serif" w:hAnsi="Times New Roman;Times;Serif"/>
          <w:b w:val="false"/>
          <w:i w:val="false"/>
          <w:caps w:val="false"/>
          <w:smallCaps w:val="false"/>
          <w:sz w:val="20"/>
        </w:rPr>
        <w:t xml:space="preserve"> (it being understood that the documentation required under </w:t>
      </w:r>
      <w:r>
        <w:rPr>
          <w:rFonts w:ascii="Times New Roman;Times;Serif" w:hAnsi="Times New Roman;Times;Serif"/>
          <w:b/>
          <w:i w:val="false"/>
          <w:caps w:val="false"/>
          <w:smallCaps w:val="false"/>
          <w:sz w:val="20"/>
        </w:rPr>
        <w:t xml:space="preserve">Section 5.03(f) </w:t>
      </w:r>
      <w:r>
        <w:rPr>
          <w:rFonts w:ascii="Times New Roman;Times;Serif" w:hAnsi="Times New Roman;Times;Serif"/>
          <w:b w:val="false"/>
          <w:i w:val="false"/>
          <w:caps w:val="false"/>
          <w:smallCaps w:val="false"/>
          <w:sz w:val="20"/>
        </w:rPr>
        <w:t xml:space="preserve">shall be delivered to the participating Lender)) to the same extent as if it were a Lender and had acquired its interest by assignment pursuant to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(i) shall not be entitled to such benefits unless such Participant agrees, for the benefit of the Borrower, to comply with the documentation requirements of </w:t>
      </w:r>
      <w:r>
        <w:rPr>
          <w:rFonts w:ascii="Times New Roman;Times;Serif" w:hAnsi="Times New Roman;Times;Serif"/>
          <w:b/>
          <w:i w:val="false"/>
          <w:caps w:val="false"/>
          <w:smallCaps w:val="false"/>
          <w:sz w:val="20"/>
        </w:rPr>
        <w:t>Section 5.03(e)(ii)</w:t>
      </w:r>
      <w:r>
        <w:rPr>
          <w:rFonts w:ascii="Times New Roman;Times;Serif" w:hAnsi="Times New Roman;Times;Serif"/>
          <w:b w:val="false"/>
          <w:i w:val="false"/>
          <w:caps w:val="false"/>
          <w:smallCaps w:val="false"/>
          <w:sz w:val="20"/>
        </w:rPr>
        <w:t xml:space="preserve"> as if it were a Lender and complies with such requirements, (ii) agrees to be subject to the provisions of </w:t>
      </w:r>
      <w:r>
        <w:rPr>
          <w:rFonts w:ascii="Times New Roman;Times;Serif" w:hAnsi="Times New Roman;Times;Serif"/>
          <w:b/>
          <w:i w:val="false"/>
          <w:caps w:val="false"/>
          <w:smallCaps w:val="false"/>
          <w:sz w:val="20"/>
        </w:rPr>
        <w:t>Section 5.04</w:t>
      </w:r>
      <w:r>
        <w:rPr>
          <w:rFonts w:ascii="Times New Roman;Times;Serif" w:hAnsi="Times New Roman;Times;Serif"/>
          <w:b w:val="false"/>
          <w:i w:val="false"/>
          <w:caps w:val="false"/>
          <w:smallCaps w:val="false"/>
          <w:sz w:val="20"/>
        </w:rPr>
        <w:t xml:space="preserve"> as if it were an assignee under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and (iii) shall not be entitled to receive any greater payment under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Times;Serif" w:hAnsi="Times New Roman;Times;Serif"/>
          <w:b/>
          <w:i w:val="false"/>
          <w:caps w:val="false"/>
          <w:smallCaps w:val="false"/>
          <w:sz w:val="20"/>
        </w:rPr>
        <w:t>Section 4.03(a)</w:t>
      </w:r>
      <w:r>
        <w:rPr>
          <w:rFonts w:ascii="Times New Roman;Times;Serif" w:hAnsi="Times New Roman;Times;Serif"/>
          <w:b w:val="false"/>
          <w:i w:val="false"/>
          <w:caps w:val="false"/>
          <w:smallCaps w:val="false"/>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506. </w:t>
      </w:r>
      <w:r>
        <w:rPr>
          <w:rFonts w:ascii="Times New Roman;Times;Serif" w:hAnsi="Times New Roman;Times;Serif"/>
          <w:b/>
          <w:i w:val="false"/>
          <w:caps w:val="false"/>
          <w:smallCaps w:val="false"/>
          <w:sz w:val="20"/>
        </w:rPr>
        <w:t>Limitations on Rights of Participants</w:t>
      </w:r>
      <w:r>
        <w:rPr>
          <w:rFonts w:ascii="Times New Roman;Times;Serif" w:hAnsi="Times New Roman;Times;Serif"/>
          <w:b w:val="false"/>
          <w:i w:val="false"/>
          <w:caps w:val="false"/>
          <w:smallCaps w:val="false"/>
          <w:sz w:val="20"/>
        </w:rPr>
        <w:t xml:space="preserve">. A Participant shall not be entitled to receive any greater payment under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than such Lender would have been entitled to receive with respect to the participation sold to such Participant, unless the sale of the participation to such Participant is made with the Borrower’s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the Loan Documents to secure obligations of such Lender, including any pledge or assignment to secure obligations to a Federal Reserve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508.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Certain Additional Payments</w:t>
      </w:r>
      <w:r>
        <w:rPr>
          <w:rFonts w:ascii="Times New Roman;Times;Serif" w:hAnsi="Times New Roman;Times;Serif"/>
          <w:b w:val="false"/>
          <w:i w:val="false"/>
          <w:caps w:val="false"/>
          <w:smallCaps w:val="false"/>
          <w:sz w:val="20"/>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Proportionate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Proportionate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509.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Survival</w:t>
      </w:r>
      <w:r>
        <w:rPr>
          <w:rFonts w:ascii="Times New Roman;Times;Serif" w:hAnsi="Times New Roman;Times;Serif"/>
          <w:b w:val="false"/>
          <w:i w:val="false"/>
          <w:caps w:val="false"/>
          <w:smallCaps w:val="false"/>
          <w:sz w:val="20"/>
        </w:rPr>
        <w:t xml:space="preserve">. The obligations of the Borrower under </w:t>
      </w:r>
      <w:r>
        <w:rPr>
          <w:rFonts w:ascii="Times New Roman;Times;Serif" w:hAnsi="Times New Roman;Times;Serif"/>
          <w:b/>
          <w:i w:val="false"/>
          <w:caps w:val="false"/>
          <w:smallCaps w:val="false"/>
          <w:sz w:val="20"/>
        </w:rPr>
        <w:t>Sections 5.01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14.14</w:t>
      </w:r>
      <w:r>
        <w:rPr>
          <w:rFonts w:ascii="Times New Roman;Times;Serif" w:hAnsi="Times New Roman;Times;Serif"/>
          <w:b w:val="false"/>
          <w:i w:val="false"/>
          <w:caps w:val="false"/>
          <w:smallCaps w:val="false"/>
          <w:sz w:val="20"/>
        </w:rPr>
        <w:t xml:space="preserve"> and the obligations of the Guarantors under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(solely to the extent guaranteeing any of the obligations under the foregoing Sections) shall survive the repayment of the Obligations and the termination of the Commitments and, in the case of the Lenders’ assignment of any interest in the Commitments or the Loans hereunder, shall survive, in the case of any event or circumstance that occurred prior to the effective date of such assignment, the making of such assignment, notwithstanding that the Lenders may cease to be “Lenders” hereunder. In addition, each representation and warranty made, or deemed to be made by a Borrowing Notice, herein or pursuant hereto shall survive the making of such representation and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Captions</w:t>
      </w:r>
      <w:r>
        <w:rPr>
          <w:rFonts w:ascii="Times New Roman;Times;Serif" w:hAnsi="Times New Roman;Times;Serif"/>
          <w:b w:val="false"/>
          <w:i w:val="false"/>
          <w:caps w:val="false"/>
          <w:smallCaps w:val="false"/>
          <w:sz w:val="20"/>
        </w:rPr>
        <w:t>. The table of contents and captions and section headings appearing herein are included solely for convenience of reference and are not intended to affect the interpretation of any provision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Counterparts, Effectiveness</w:t>
      </w:r>
      <w:r>
        <w:rPr>
          <w:rFonts w:ascii="Times New Roman;Times;Serif" w:hAnsi="Times New Roman;Times;Serif"/>
          <w:b w:val="false"/>
          <w:i w:val="false"/>
          <w:caps w:val="false"/>
          <w:smallCaps w:val="false"/>
          <w:sz w:val="20"/>
        </w:rPr>
        <w:t>. This Agreement may be executed in any number of counterparts (including electronic imaging means), all of which taken together shall constitute one and the same instrument and any of the parties hereto may execute this Agreement by signing any such counterpart. Delivery of an executed signature page of this Agreement by electronic transmission (e.g. “pdf” or “tif” format) shall be effective as delivery of a manually executed counterpart hereof. The words “execution,” “execute”, “signed,” “signature,” and words of like import in or related to any document to be signed in connection with this Agreement and the other Loan Documents and the transactions contemplated hereby and thereby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This Agreement and the rights and obligations of the parties hereunder shall be governed by, and construed in accordance with, the law of the State of New York, without regard to principles of conflicts of laws that would result in the application of the laws of any other jurisdiction; provided that Section 5-1401 of the New York General Obligations Law shall apply.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513.</w:t>
      </w:r>
      <w:r>
        <w:rPr>
          <w:rFonts w:ascii="Times New Roman;Times;Serif" w:hAnsi="Times New Roman;Times;Serif"/>
          <w:b/>
          <w:i/>
          <w:caps w:val="false"/>
          <w:smallCaps w:val="false"/>
          <w:sz w:val="20"/>
        </w:rPr>
        <w:t>Jurisdiction, Service of Process and 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514. </w:t>
      </w:r>
      <w:r>
        <w:rPr>
          <w:rFonts w:ascii="Times New Roman;Times;Serif" w:hAnsi="Times New Roman;Times;Serif"/>
          <w:b/>
          <w:i w:val="false"/>
          <w:caps w:val="false"/>
          <w:smallCaps w:val="false"/>
          <w:sz w:val="20"/>
        </w:rPr>
        <w:t>Submission to Jurisdiction</w:t>
      </w:r>
      <w:r>
        <w:rPr>
          <w:rFonts w:ascii="Times New Roman;Times;Serif" w:hAnsi="Times New Roman;Times;Serif"/>
          <w:b w:val="false"/>
          <w:i w:val="false"/>
          <w:caps w:val="false"/>
          <w:smallCaps w:val="false"/>
          <w:sz w:val="20"/>
        </w:rPr>
        <w:t>. Each party hereby irrevocably and unconditionally agrees that it will not commence any action, litigation or proceeding of any kind or description, whether in law or equity, whether in contract or tort or otherwise, against such other party in any way relating to this Agreement or any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Service of Process</w:t>
      </w:r>
      <w:r>
        <w:rPr>
          <w:rFonts w:ascii="Times New Roman;Times;Serif" w:hAnsi="Times New Roman;Times;Serif"/>
          <w:b w:val="false"/>
          <w:i w:val="false"/>
          <w:caps w:val="false"/>
          <w:smallCaps w:val="false"/>
          <w:sz w:val="20"/>
        </w:rPr>
        <w:t xml:space="preserve">. Each party hereto irrevocably consents to service of process in the manner provided for notices in </w:t>
      </w:r>
      <w:r>
        <w:rPr>
          <w:rFonts w:ascii="Times New Roman;Times;Serif" w:hAnsi="Times New Roman;Times;Serif"/>
          <w:b/>
          <w:i w:val="false"/>
          <w:caps w:val="false"/>
          <w:smallCaps w:val="false"/>
          <w:sz w:val="20"/>
        </w:rPr>
        <w:t>Section 14.02</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Nothing in this Agreement will affect the right of any party hereto to serve process in any other manner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Waiver of Venue, Etc</w:t>
      </w:r>
      <w:r>
        <w:rPr>
          <w:rFonts w:ascii="Times New Roman;Times;Serif" w:hAnsi="Times New Roman;Times;Serif"/>
          <w:b w:val="false"/>
          <w:i w:val="false"/>
          <w:caps w:val="false"/>
          <w:smallCaps w:val="false"/>
          <w:sz w:val="20"/>
        </w:rPr>
        <w:t>. Each party hereto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party is or may be subject, by suit upon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Waiver of Jury Trial</w:t>
      </w:r>
      <w:r>
        <w:rPr>
          <w:rFonts w:ascii="Times New Roman;Times;Serif" w:hAnsi="Times New Roman;Times;Serif"/>
          <w:b w:val="false"/>
          <w:i w:val="false"/>
          <w:caps w:val="false"/>
          <w:smallCaps w:val="false"/>
          <w:sz w:val="20"/>
        </w:rPr>
        <w:t>.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Waiver of Immunity</w:t>
      </w:r>
      <w:r>
        <w:rPr>
          <w:rFonts w:ascii="Times New Roman;Times;Serif" w:hAnsi="Times New Roman;Times;Serif"/>
          <w:b w:val="false"/>
          <w:i w:val="false"/>
          <w:caps w:val="false"/>
          <w:smallCaps w:val="false"/>
          <w:sz w:val="20"/>
        </w:rPr>
        <w:t>.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Entire Agreement</w:t>
      </w:r>
      <w:r>
        <w:rPr>
          <w:rFonts w:ascii="Times New Roman;Times;Serif" w:hAnsi="Times New Roman;Times;Serif"/>
          <w:b w:val="false"/>
          <w:i w:val="false"/>
          <w:caps w:val="false"/>
          <w:smallCaps w:val="false"/>
          <w:sz w:val="20"/>
        </w:rPr>
        <w:t>. This Agreement and the other Loan Documents constitute the entire agreement among the parties with respect to the subject matter hereof and thereof and supersede any and all previous agreements and understandings, oral or written, relating to the subject matter hereof, including any confidentiality (or similar) agreements.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ADMINISTRATIVE AGENT OR THE LENDERS OTHER THAN THOSE EXPRESSLY SET FORTH IN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520.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xml:space="preserve">. If any provision hereof is found by a court to be invalid or unenforceable, to the fullest extent permitted by any Law the parties agree that such invalidity or unenforceability shall not impair the validity or enforceability of any other provision hereof. Without limiting the foregoing provisions of this </w:t>
      </w:r>
      <w:r>
        <w:rPr>
          <w:rFonts w:ascii="Times New Roman;Times;Serif" w:hAnsi="Times New Roman;Times;Serif"/>
          <w:b/>
          <w:i w:val="false"/>
          <w:caps w:val="false"/>
          <w:smallCaps w:val="false"/>
          <w:sz w:val="20"/>
        </w:rPr>
        <w:t>Section 14.14</w:t>
      </w:r>
      <w:r>
        <w:rPr>
          <w:rFonts w:ascii="Times New Roman;Times;Serif" w:hAnsi="Times New Roman;Times;Serif"/>
          <w:b w:val="false"/>
          <w:i w:val="false"/>
          <w:caps w:val="false"/>
          <w:smallCaps w:val="false"/>
          <w:sz w:val="20"/>
        </w:rPr>
        <w:t>, if and to the extent that the enforceability of any provisions in this Agreement relating to Defaulting Lenders shall be limited by the Bankruptcy Code, or any other liquidation, conservatorship, bankruptcy, assignment for the benefit of creditors, examinership, moratorium, rearrangement, receivership, insolvency, reorganization, or similar debtor relief Laws of the United States or other applicable jurisdictions from time to time in effect, as determined in good faith by the Administrative Agent, then such provisions shall be deemed to be in effect only to the extent not so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521.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No Fiduciary Relationship</w:t>
      </w:r>
      <w:r>
        <w:rPr>
          <w:rFonts w:ascii="Times New Roman;Times;Serif" w:hAnsi="Times New Roman;Times;Serif"/>
          <w:b w:val="false"/>
          <w:i w:val="false"/>
          <w:caps w:val="false"/>
          <w:smallCaps w:val="false"/>
          <w:sz w:val="20"/>
        </w:rPr>
        <w:t>. The Borrower acknowledges that the Administrative Agent and the Lenders have no fiduciary relationship with, or fiduciary duty to, the Borrower arising out of or in connection with this Agreement or the other Loan Documents, and the relationship between the Lenders and the Borrower is solely that of creditor and debtor. This Agreement and the other Loan Documents do not create a joint venture among the parties.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522.</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Confidentiality</w:t>
      </w:r>
      <w:r>
        <w:rPr>
          <w:rFonts w:ascii="Times New Roman;Times;Serif" w:hAnsi="Times New Roman;Times;Serif"/>
          <w:b w:val="false"/>
          <w:i w:val="false"/>
          <w:caps w:val="false"/>
          <w:smallCaps w:val="false"/>
          <w:sz w:val="20"/>
        </w:rPr>
        <w:t xml:space="preserve">. The Administrative Agent and each Lender agree to keep confidential, and not disclose to any Person all non-public information provided to them by or on behalf of any Obligor pursuant to this Agreement that is designated by such Obligor as confidential in accordance with its customary procedures for handling its own confidential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prevent the Administrative Agent or any Lender from disclosing any such information (i) to the Administrative Agent, any other Lender, any Affiliate of a Lender or subject to an agreement to comply with the provisions of this Section, any Eligible Transferee or other assignee permitted under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(ii) subject to an agreement to comply with the provisions of this Section, to any actual or prospective direct or indirect counterparty to any Hedging Agreement (or any professional advisor to such counterparty), (iii) to its employees, officers, directors or agents (provided that such Persons were informed of the confidential nature of such confidential information and instructed to keep such information confidential), or its attorneys, accountants, trustees and other professional advisors or those of any of its affiliates (provided that such Persons were informed of the confidential nature of such confidential information and instructed to keep such information confidential or are otherwise subject to professional obligations to maintain the confidentiality of such confidential information) (collectively, its “</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xml:space="preserve">”), (iv) upon the request or demand of any Governmental Authority or any Regulatory Authority purporting to have jurisdiction over such Person or its Related Parties (including any self-regulatory authority, such as the National Association of Insurance Commissioners), (v) in response to any order of any court or other Governmental Authority or as may otherwise be required pursuant to any Law, (vi) if requested or required to do so in connection with any litigation or similar proceeding, (vii) that has been publicly disclosed (other than as a result of a disclosure in violation of this </w:t>
      </w:r>
      <w:r>
        <w:rPr>
          <w:rFonts w:ascii="Times New Roman;Times;Serif" w:hAnsi="Times New Roman;Times;Serif"/>
          <w:b/>
          <w:i w:val="false"/>
          <w:caps w:val="false"/>
          <w:smallCaps w:val="false"/>
          <w:sz w:val="20"/>
        </w:rPr>
        <w:t>Section 14.16</w:t>
      </w:r>
      <w:r>
        <w:rPr>
          <w:rFonts w:ascii="Times New Roman;Times;Serif" w:hAnsi="Times New Roman;Times;Serif"/>
          <w:b w:val="false"/>
          <w:i w:val="false"/>
          <w:caps w:val="false"/>
          <w:smallCaps w:val="false"/>
          <w:sz w:val="20"/>
        </w:rPr>
        <w:t xml:space="preserve">), (viii) to the National Association of Insurance Commissioners or any similar organization or any nationally recognized rating agency that requires access to information about a Lender’s investment portfolio in connection with ratings issued with respect to such Lender, (ix) in connection with the exercise of any remedy hereunder or under any other Loan Document, (x) on a confidential basis to (A) any rating agency in connection with rating the Borrower or its Subsidiaries or the Loans or (B) the CUSIP Service Bureau or any similar agency in connection with the issuance and monitoring of CUSIP numbers of other market identifiers with respect to the Loans or (xi) to any other party hereto;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in the case of disclosure pursuant to </w:t>
      </w:r>
      <w:r>
        <w:rPr>
          <w:rFonts w:ascii="Times New Roman;Times;Serif" w:hAnsi="Times New Roman;Times;Serif"/>
          <w:b/>
          <w:i w:val="false"/>
          <w:caps w:val="false"/>
          <w:smallCaps w:val="false"/>
          <w:sz w:val="20"/>
        </w:rPr>
        <w:t xml:space="preserve">clause (iv), (v)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above, the Administrative Agent or applicable Lender, as applicable, shall promptly provide notice to the Borrower to the extent reasonable and not prohibited by Law or any applicable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523.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that are treated as interest on such Loan under applicable Law (collectively, “</w:t>
      </w:r>
      <w:r>
        <w:rPr>
          <w:rFonts w:ascii="Times New Roman;Times;Serif" w:hAnsi="Times New Roman;Times;Serif"/>
          <w:b/>
          <w:i/>
          <w:caps w:val="false"/>
          <w:smallCaps w:val="false"/>
          <w:sz w:val="20"/>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that may be contracted for, charged, taken, received or reserved by the Administrative Agent and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so that at no time shall the interest and charges paid or payable in respect of such Loan exceed the maximum amount collectible at the Maximum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524. </w:t>
      </w:r>
      <w:r>
        <w:rPr>
          <w:rFonts w:ascii="Times New Roman;Times;Serif" w:hAnsi="Times New Roman;Times;Serif"/>
          <w:b/>
          <w:i/>
          <w:caps w:val="false"/>
          <w:smallCaps w:val="false"/>
          <w:sz w:val="20"/>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525.</w:t>
      </w:r>
      <w:r>
        <w:rPr>
          <w:rFonts w:ascii="Times New Roman;Times;Serif" w:hAnsi="Times New Roman;Times;Serif"/>
          <w:b w:val="false"/>
          <w:i w:val="false"/>
          <w:caps w:val="false"/>
          <w:smallCaps w:val="false"/>
          <w:sz w:val="20"/>
        </w:rPr>
        <w:t xml:space="preserve"> If, for the purposes of obtaining judgment in any court, it is necessary to convert a sum due hereunder in Dollars into another currency, the parties hereto agree, to the fullest extent permitted by Law, that the rate of exchange used shall be that at which, in accordance with normal banking procedures, the Administrative Agent could purchase Dollars with such other currency at the buying spot rate of exchange in the New York foreign exchange market on the Business Day immediately preceding that on which any such judgment, or any relevant part thereof, is given.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526.</w:t>
      </w:r>
      <w:r>
        <w:rPr>
          <w:rFonts w:ascii="Times New Roman;Times;Serif" w:hAnsi="Times New Roman;Times;Serif"/>
          <w:b w:val="false"/>
          <w:i w:val="false"/>
          <w:caps w:val="false"/>
          <w:smallCaps w:val="false"/>
          <w:sz w:val="20"/>
        </w:rPr>
        <w:t xml:space="preserve"> The obligations of the Obligors in respect of any sum due to the Administrative Agent hereunder and under the other Loan Documents shall, notwithstanding any judgment in a currency other than Dollars, be discharged only to the extent that on the Business Day following receipt by the Administrative Agent of any sum adjudged to be so due in such other currency the Administrative Agent may, in accordance with normal banking procedures, purchase Dollars with such other currency. If the amount of Dollars so purchased is less than the sum originally due to the Administrative Agent in Dollars, the Borrower agrees, to the fullest extent that it may effectively do so, as a separate obligation and notwithstanding any such judgment, to indemnify the Administrative Agent against such loss. If the amount of Dollars so purchased exceeds the sum originally due to the Administrative Agent in Dollars, the Administrative Agent shall remit such excess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527.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The Administrative Agent and the Lenders hereby notify the Obligors that pursuant to the requirements of the USA PATRIOT Act (Title III of Pub. L. 107-56 (signed into law October 26, 2001)) (the “</w:t>
      </w:r>
      <w:r>
        <w:rPr>
          <w:rFonts w:ascii="Times New Roman;Times;Serif" w:hAnsi="Times New Roman;Times;Serif"/>
          <w:b/>
          <w:i/>
          <w:caps w:val="false"/>
          <w:smallCaps w:val="false"/>
          <w:sz w:val="20"/>
        </w:rPr>
        <w:t>Patriot Act</w:t>
      </w:r>
      <w:r>
        <w:rPr>
          <w:rFonts w:ascii="Times New Roman;Times;Serif" w:hAnsi="Times New Roman;Times;Serif"/>
          <w:b w:val="false"/>
          <w:i w:val="false"/>
          <w:caps w:val="false"/>
          <w:smallCaps w:val="false"/>
          <w:sz w:val="20"/>
        </w:rPr>
        <w:t>”), they are required to obtain, verify and record information that identifies the Obligors, which information includes the name and address of each Obligor and other information that will allow such Person to identify such Obligor in accordance with the Patriot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Section 528.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529. </w:t>
      </w:r>
      <w:r>
        <w:rPr>
          <w:rFonts w:ascii="Times New Roman;Times;Serif" w:hAnsi="Times New Roman;Times;Serif"/>
          <w:b w:val="false"/>
          <w:i w:val="false"/>
          <w:caps w:val="false"/>
          <w:smallCaps w:val="false"/>
          <w:sz w:val="20"/>
        </w:rPr>
        <w:t>the application of any Write-Down and Conversion Powers by the applicable Resolution Authority to any such liabilities arising hereunder which may be payable to it by any party hereto that is an EEA Financial Institution;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530. </w:t>
      </w:r>
      <w:r>
        <w:rPr>
          <w:rFonts w:ascii="Times New Roman;Times;Serif" w:hAnsi="Times New Roman;Times;Serif"/>
          <w:b w:val="false"/>
          <w:i w:val="false"/>
          <w:caps w:val="false"/>
          <w:smallCaps w:val="false"/>
          <w:sz w:val="20"/>
        </w:rPr>
        <w:t>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 reduction in full or in part or cancellation of any such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any the applicable Resolution Authority.</w:t>
      </w:r>
    </w:p>
    <w:p>
      <w:pPr>
        <w:pStyle w:val="TextBody"/>
        <w:bidi w:val="0"/>
        <w:spacing w:before="0" w:after="0"/>
        <w:ind w:left="119"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sz w:val="20"/>
        </w:rPr>
        <w:t xml:space="preserve">Section 531. </w:t>
      </w:r>
      <w:r>
        <w:rPr>
          <w:rFonts w:ascii="Times New Roman;Times;Serif" w:hAnsi="Times New Roman;Times;Serif"/>
          <w:b/>
          <w:i/>
          <w:caps w:val="false"/>
          <w:smallCaps w:val="false"/>
          <w:sz w:val="20"/>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532. </w:t>
      </w:r>
      <w:r>
        <w:rPr>
          <w:rFonts w:ascii="Times New Roman;Times;Serif" w:hAnsi="Times New Roman;Times;Serif"/>
          <w:b w:val="false"/>
          <w:i w:val="false"/>
          <w:caps w:val="false"/>
          <w:smallCaps w:val="false"/>
          <w:sz w:val="20"/>
        </w:rPr>
        <w:t>Each Person that becomes party hereto after the date hereof as a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Obligors, that at least one of the following is and will be true: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533. </w:t>
      </w:r>
      <w:r>
        <w:rPr>
          <w:rFonts w:ascii="Times New Roman;Times;Serif" w:hAnsi="Times New Roman;Times;Serif"/>
          <w:b/>
          <w:i w:val="false"/>
          <w:caps w:val="false"/>
          <w:smallCaps w:val="false"/>
          <w:sz w:val="20"/>
        </w:rPr>
        <w:t>such Lender is not using “plan assets” (within the meaning of Section 3(42) of ERISA or otherwise) of one or more Employee Benefit Plans with respect to such Lender’s entrance into, participation in, administration of and performance of the Loans, the Notes or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534.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Notes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535. </w:t>
      </w:r>
      <w:r>
        <w:rPr>
          <w:rFonts w:ascii="Times New Roman;Times;Serif" w:hAnsi="Times New Roman;Times;Serif"/>
          <w:b/>
          <w:i w:val="false"/>
          <w:caps w:val="false"/>
          <w:smallCaps w:val="false"/>
          <w:sz w:val="20"/>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Notes and this Agreement, (C) the entrance into, participation in, administration of and performance of the Loans, the Notes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Notes and this Agreement;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Section 536. </w:t>
      </w:r>
      <w:r>
        <w:rPr>
          <w:rFonts w:ascii="Times New Roman;Times;Serif" w:hAnsi="Times New Roman;Times;Serif"/>
          <w:b/>
          <w:i w:val="false"/>
          <w:caps w:val="false"/>
          <w:smallCaps w:val="false"/>
          <w:sz w:val="20"/>
        </w:rPr>
        <w:t>such other representation, warranty and covenant as may be agreed in writing between the Administrative Agent, in its sole discretion, and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unless either (1) sub-clause (i) in the immediately preceding clause (a) is true with respect to a Lender making the representation in clause (a) or (2) a Lender making the representation in clause (a)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that none of the Administrative Agent or its Affiliates is a fiduciary with respect to the assets of such Lender involved in such Lender’s entrance into, participation in, administration of and performance of the Loans, the Notes and this Agreement (including in connection with the reservation or exercise of any rights by the Administrative Agent under this Agreement, any other Loan Documents or any documents related hereto 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as of the day and year first above written.</w:t>
      </w:r>
    </w:p>
    <w:p>
      <w:pPr>
        <w:pStyle w:val="TextBody"/>
        <w:bidi w:val="0"/>
        <w:spacing w:before="0" w:after="0"/>
        <w:ind w:left="0" w:right="0" w:firstLine="144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80"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HEALTH, INC.</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80"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Harrow Health,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Woodmont Blvd., Suite 610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37205</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Andrew R. Boll</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Union Street, Suite 2700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37219</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Elle McCulty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Credit Agreement and Guaranty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75"/>
        <w:gridCol w:w="958"/>
        <w:gridCol w:w="22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GUARANTOR(S):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caps w:val="false"/>
                <w:smallCaps w:val="false"/>
              </w:rPr>
            </w:pPr>
            <w:r>
              <w:rPr>
                <w:caps w:val="false"/>
                <w:smallCaps w:val="false"/>
              </w:rPr>
              <w:t> </w:t>
            </w:r>
          </w:p>
        </w:tc>
        <w:tc>
          <w:tcPr>
            <w:tcW w:w="22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IP, LLC</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HARROW EYE, LLC</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IMPRIMISRX, LLC</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 NJOF, LLC</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Jersey limited liability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IMPRIMISRX NJ, LLC</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Jersey limited liability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VISIONOLOGY EQUITY, LLC</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VISIONOLOGY, INC.</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VISIONOLOGY MSO, INC.</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IMPRIMISRX NASHVILLE, LLC</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4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caps w:val="false"/>
                <w:smallCaps w:val="false"/>
              </w:rPr>
            </w:pPr>
            <w:r>
              <w:rPr>
                <w:caps w:val="false"/>
                <w:smallCaps w:val="false"/>
              </w:rPr>
              <w:t> </w:t>
            </w:r>
          </w:p>
        </w:tc>
        <w:tc>
          <w:tcPr>
            <w:tcW w:w="22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Harrow Health,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Woodmont Blvd., Suite 610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37205</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Andrew R. Boll</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Union Street, Suite 2700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TN 37219</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Elle McCulty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Credit Agreement and Guaranty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934" w:type="dxa"/>
        <w:jc w:val="left"/>
        <w:tblInd w:w="0" w:type="dxa"/>
        <w:tblLayout w:type="fixed"/>
        <w:tblCellMar>
          <w:top w:w="0" w:type="dxa"/>
          <w:left w:w="0" w:type="dxa"/>
          <w:bottom w:w="0" w:type="dxa"/>
          <w:right w:w="0" w:type="dxa"/>
        </w:tblCellMar>
      </w:tblPr>
      <w:tblGrid>
        <w:gridCol w:w="75"/>
        <w:gridCol w:w="624"/>
        <w:gridCol w:w="32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caps w:val="false"/>
                <w:smallCaps w:val="false"/>
              </w:rPr>
            </w:pPr>
            <w:r>
              <w:rPr>
                <w:caps w:val="false"/>
                <w:smallCaps w:val="false"/>
              </w:rPr>
              <w:t> </w:t>
            </w:r>
          </w:p>
        </w:tc>
        <w:tc>
          <w:tcPr>
            <w:tcW w:w="3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FUND ADMINISTRATION,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caps w:val="false"/>
                <w:smallCaps w:val="false"/>
              </w:rPr>
            </w:pPr>
            <w:r>
              <w:rPr>
                <w:caps w:val="false"/>
                <w:smallCaps w:val="false"/>
              </w:rPr>
              <w:t> </w:t>
            </w:r>
          </w:p>
        </w:tc>
        <w:tc>
          <w:tcPr>
            <w:tcW w:w="3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caps w:val="false"/>
                <w:smallCaps w:val="false"/>
              </w:rPr>
            </w:pPr>
            <w:r>
              <w:rPr>
                <w:caps w:val="false"/>
                <w:smallCaps w:val="false"/>
              </w:rPr>
              <w:t> </w:t>
            </w:r>
          </w:p>
        </w:tc>
        <w:tc>
          <w:tcPr>
            <w:tcW w:w="3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caps w:val="false"/>
                <w:smallCaps w:val="false"/>
              </w:rPr>
            </w:pPr>
            <w:r>
              <w:rPr>
                <w:caps w:val="false"/>
                <w:smallCaps w:val="false"/>
              </w:rPr>
              <w:t> </w:t>
            </w:r>
          </w:p>
        </w:tc>
        <w:tc>
          <w:tcPr>
            <w:tcW w:w="3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left"/>
              <w:rPr>
                <w:caps w:val="false"/>
                <w:smallCaps w:val="false"/>
              </w:rPr>
            </w:pPr>
            <w:r>
              <w:rPr>
                <w:caps w:val="false"/>
                <w:smallCaps w:val="false"/>
              </w:rPr>
              <w:t> </w:t>
            </w:r>
          </w:p>
        </w:tc>
        <w:tc>
          <w:tcPr>
            <w:tcW w:w="3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5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tab/>
              <w:t>Oaktree Agency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Credit Agreement and Guaranty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234" w:type="dxa"/>
        <w:jc w:val="left"/>
        <w:tblInd w:w="0" w:type="dxa"/>
        <w:tblLayout w:type="fixed"/>
        <w:tblCellMar>
          <w:top w:w="0" w:type="dxa"/>
          <w:left w:w="0" w:type="dxa"/>
          <w:bottom w:w="0" w:type="dxa"/>
          <w:right w:w="0" w:type="dxa"/>
        </w:tblCellMar>
      </w:tblPr>
      <w:tblGrid>
        <w:gridCol w:w="75"/>
        <w:gridCol w:w="672"/>
        <w:gridCol w:w="34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34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INPRS STRATEGIC CREDIT HOLDINGS,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34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4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34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8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34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348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5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Credit Agreement and Guaranty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84" w:type="dxa"/>
        <w:jc w:val="left"/>
        <w:tblInd w:w="0" w:type="dxa"/>
        <w:tblLayout w:type="fixed"/>
        <w:tblCellMar>
          <w:top w:w="0" w:type="dxa"/>
          <w:left w:w="0" w:type="dxa"/>
          <w:bottom w:w="0" w:type="dxa"/>
          <w:right w:w="0" w:type="dxa"/>
        </w:tblCellMar>
      </w:tblPr>
      <w:tblGrid>
        <w:gridCol w:w="75"/>
        <w:gridCol w:w="864"/>
        <w:gridCol w:w="3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SPECIALTY LENDING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Advisors,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Advisor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0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Credit Agreement and Guaranty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679" w:type="dxa"/>
        <w:jc w:val="left"/>
        <w:tblInd w:w="0" w:type="dxa"/>
        <w:tblLayout w:type="fixed"/>
        <w:tblCellMar>
          <w:top w:w="0" w:type="dxa"/>
          <w:left w:w="0" w:type="dxa"/>
          <w:bottom w:w="0" w:type="dxa"/>
          <w:right w:w="0" w:type="dxa"/>
        </w:tblCellMar>
      </w:tblPr>
      <w:tblGrid>
        <w:gridCol w:w="75"/>
        <w:gridCol w:w="676"/>
        <w:gridCol w:w="2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OAKTREE STRATEGIC CREDIT FUND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29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Advisors,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2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Advisor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29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2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29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2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29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04"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Credit Agreement and Guaranty</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75"/>
        <w:gridCol w:w="596"/>
        <w:gridCol w:w="42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ROUTE 66 MULTI-STRATEGY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caps w:val="false"/>
                <w:smallCaps w:val="false"/>
              </w:rPr>
            </w:pPr>
            <w:r>
              <w:rPr>
                <w:caps w:val="false"/>
                <w:smallCaps w:val="false"/>
              </w:rPr>
              <w:t> </w:t>
            </w:r>
          </w:p>
        </w:tc>
        <w:tc>
          <w:tcPr>
            <w:tcW w:w="4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Route 66 Multi-Strategy Fund GP,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4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caps w:val="false"/>
                <w:smallCaps w:val="false"/>
              </w:rPr>
            </w:pPr>
            <w:r>
              <w:rPr>
                <w:caps w:val="false"/>
                <w:smallCaps w:val="false"/>
              </w:rPr>
              <w:t> </w:t>
            </w:r>
          </w:p>
        </w:tc>
        <w:tc>
          <w:tcPr>
            <w:tcW w:w="4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Route 66 Multi-Strategy Fund GP,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4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caps w:val="false"/>
                <w:smallCaps w:val="false"/>
              </w:rPr>
            </w:pPr>
            <w:r>
              <w:rPr>
                <w:caps w:val="false"/>
                <w:smallCaps w:val="false"/>
              </w:rPr>
              <w:t> </w:t>
            </w:r>
          </w:p>
        </w:tc>
        <w:tc>
          <w:tcPr>
            <w:tcW w:w="4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4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caps w:val="false"/>
                <w:smallCaps w:val="false"/>
              </w:rPr>
            </w:pPr>
            <w:r>
              <w:rPr>
                <w:caps w:val="false"/>
                <w:smallCaps w:val="false"/>
              </w:rPr>
              <w:t> </w:t>
            </w:r>
          </w:p>
        </w:tc>
        <w:tc>
          <w:tcPr>
            <w:tcW w:w="4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caps w:val="false"/>
                <w:smallCaps w:val="false"/>
              </w:rPr>
            </w:pPr>
            <w:r>
              <w:rPr>
                <w:caps w:val="false"/>
                <w:smallCaps w:val="false"/>
              </w:rPr>
              <w:t> </w:t>
            </w:r>
          </w:p>
        </w:tc>
        <w:tc>
          <w:tcPr>
            <w:tcW w:w="4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6" w:type="dxa"/>
            <w:tcBorders/>
            <w:vAlign w:val="center"/>
          </w:tcPr>
          <w:p>
            <w:pPr>
              <w:pStyle w:val="TableContents"/>
              <w:bidi w:val="0"/>
              <w:spacing w:before="0" w:after="283"/>
              <w:jc w:val="left"/>
              <w:rPr>
                <w:caps w:val="false"/>
                <w:smallCaps w:val="false"/>
              </w:rPr>
            </w:pPr>
            <w:r>
              <w:rPr>
                <w:caps w:val="false"/>
                <w:smallCaps w:val="false"/>
              </w:rPr>
              <w:t> </w:t>
            </w:r>
          </w:p>
        </w:tc>
        <w:tc>
          <w:tcPr>
            <w:tcW w:w="42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34"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Credit Agreement and Guaranty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75"/>
        <w:gridCol w:w="583"/>
        <w:gridCol w:w="38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AZ STRATEGIC LENDING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caps w:val="false"/>
                <w:smallCaps w:val="false"/>
              </w:rPr>
            </w:pPr>
            <w:r>
              <w:rPr>
                <w:caps w:val="false"/>
                <w:smallCaps w:val="false"/>
              </w:rPr>
              <w:t> </w:t>
            </w:r>
          </w:p>
        </w:tc>
        <w:tc>
          <w:tcPr>
            <w:tcW w:w="38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AZ Strategic Lending Fund GP,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caps w:val="false"/>
                <w:smallCaps w:val="false"/>
              </w:rPr>
            </w:pPr>
            <w:r>
              <w:rPr>
                <w:caps w:val="false"/>
                <w:smallCaps w:val="false"/>
              </w:rPr>
              <w:t> </w:t>
            </w:r>
          </w:p>
        </w:tc>
        <w:tc>
          <w:tcPr>
            <w:tcW w:w="38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GP IIA,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caps w:val="false"/>
                <w:smallCaps w:val="false"/>
              </w:rPr>
            </w:pPr>
            <w:r>
              <w:rPr>
                <w:caps w:val="false"/>
                <w:smallCaps w:val="false"/>
              </w:rPr>
              <w:t> </w:t>
            </w:r>
          </w:p>
        </w:tc>
        <w:tc>
          <w:tcPr>
            <w:tcW w:w="38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GP II,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caps w:val="false"/>
                <w:smallCaps w:val="false"/>
              </w:rPr>
            </w:pPr>
            <w:r>
              <w:rPr>
                <w:caps w:val="false"/>
                <w:smallCaps w:val="false"/>
              </w:rPr>
              <w:t> </w:t>
            </w:r>
          </w:p>
        </w:tc>
        <w:tc>
          <w:tcPr>
            <w:tcW w:w="38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caps w:val="false"/>
                <w:smallCaps w:val="false"/>
              </w:rPr>
            </w:pPr>
            <w:r>
              <w:rPr>
                <w:caps w:val="false"/>
                <w:smallCaps w:val="false"/>
              </w:rPr>
              <w:t> </w:t>
            </w:r>
          </w:p>
        </w:tc>
        <w:tc>
          <w:tcPr>
            <w:tcW w:w="38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83" w:type="dxa"/>
            <w:tcBorders/>
            <w:vAlign w:val="center"/>
          </w:tcPr>
          <w:p>
            <w:pPr>
              <w:pStyle w:val="TableContents"/>
              <w:bidi w:val="0"/>
              <w:spacing w:before="0" w:after="283"/>
              <w:jc w:val="left"/>
              <w:rPr>
                <w:caps w:val="false"/>
                <w:smallCaps w:val="false"/>
              </w:rPr>
            </w:pPr>
            <w:r>
              <w:rPr>
                <w:caps w:val="false"/>
                <w:smallCaps w:val="false"/>
              </w:rPr>
              <w:t> </w:t>
            </w:r>
          </w:p>
        </w:tc>
        <w:tc>
          <w:tcPr>
            <w:tcW w:w="38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5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Credit Agreement and Guaranty</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793"/>
        <w:gridCol w:w="317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LOAN ACQUISITION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31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GP IIA,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31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GP II,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31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31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317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65"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DeNelsky; Tim Markov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Credit Agreement and Guaranty</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94" w:type="dxa"/>
        <w:jc w:val="left"/>
        <w:tblInd w:w="0" w:type="dxa"/>
        <w:tblLayout w:type="fixed"/>
        <w:tblCellMar>
          <w:top w:w="0" w:type="dxa"/>
          <w:left w:w="0" w:type="dxa"/>
          <w:bottom w:w="0" w:type="dxa"/>
          <w:right w:w="0" w:type="dxa"/>
        </w:tblCellMar>
      </w:tblPr>
      <w:tblGrid>
        <w:gridCol w:w="75"/>
        <w:gridCol w:w="699"/>
        <w:gridCol w:w="4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OAKTREE LSL FUND DELAWARE HOLDINGS EURRC,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caps w:val="false"/>
                <w:smallCaps w:val="false"/>
              </w:rPr>
            </w:pPr>
            <w:r>
              <w:rPr>
                <w:caps w:val="false"/>
                <w:smallCaps w:val="false"/>
              </w:rPr>
              <w:t> </w:t>
            </w:r>
          </w:p>
        </w:tc>
        <w:tc>
          <w:tcPr>
            <w:tcW w:w="47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Life Sciences Lending Fund GP,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4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caps w:val="false"/>
                <w:smallCaps w:val="false"/>
              </w:rPr>
            </w:pPr>
            <w:r>
              <w:rPr>
                <w:caps w:val="false"/>
                <w:smallCaps w:val="false"/>
              </w:rPr>
              <w:t> </w:t>
            </w:r>
          </w:p>
        </w:tc>
        <w:tc>
          <w:tcPr>
            <w:tcW w:w="47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Life Sciences Lending Fund GP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4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caps w:val="false"/>
                <w:smallCaps w:val="false"/>
              </w:rPr>
            </w:pPr>
            <w:r>
              <w:rPr>
                <w:caps w:val="false"/>
                <w:smallCaps w:val="false"/>
              </w:rPr>
              <w:t> </w:t>
            </w:r>
          </w:p>
        </w:tc>
        <w:tc>
          <w:tcPr>
            <w:tcW w:w="47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4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caps w:val="false"/>
                <w:smallCaps w:val="false"/>
              </w:rPr>
            </w:pPr>
            <w:r>
              <w:rPr>
                <w:caps w:val="false"/>
                <w:smallCaps w:val="false"/>
              </w:rPr>
              <w:t> </w:t>
            </w:r>
          </w:p>
        </w:tc>
        <w:tc>
          <w:tcPr>
            <w:tcW w:w="47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7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7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caps w:val="false"/>
                <w:smallCaps w:val="false"/>
              </w:rPr>
            </w:pPr>
            <w:r>
              <w:rPr>
                <w:caps w:val="false"/>
                <w:smallCaps w:val="false"/>
              </w:rPr>
              <w:t> </w:t>
            </w:r>
          </w:p>
        </w:tc>
        <w:tc>
          <w:tcPr>
            <w:tcW w:w="47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7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7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left"/>
              <w:rPr>
                <w:caps w:val="false"/>
                <w:smallCaps w:val="false"/>
              </w:rPr>
            </w:pPr>
            <w:r>
              <w:rPr>
                <w:caps w:val="false"/>
                <w:smallCaps w:val="false"/>
              </w:rPr>
              <w:t> </w:t>
            </w:r>
          </w:p>
        </w:tc>
        <w:tc>
          <w:tcPr>
            <w:tcW w:w="47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1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Credit Agreement and Guaranty</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Schedule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Tranche A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Lenders and their respective Applicable Commitments: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68"/>
        <w:gridCol w:w="60"/>
        <w:gridCol w:w="280"/>
        <w:gridCol w:w="2805"/>
        <w:gridCol w:w="60"/>
        <w:gridCol w:w="60"/>
        <w:gridCol w:w="295"/>
        <w:gridCol w:w="2700"/>
        <w:gridCol w:w="77"/>
      </w:tblGrid>
      <w:tr>
        <w:trPr/>
        <w:tc>
          <w:tcPr>
            <w:tcW w:w="3868" w:type="dxa"/>
            <w:tcBorders>
              <w:bottom w:val="single" w:sz="8" w:space="0" w:color="000000"/>
            </w:tcBorders>
            <w:vAlign w:val="center"/>
          </w:tcPr>
          <w:p>
            <w:pPr>
              <w:pStyle w:val="TableContents"/>
              <w:bidi w:val="0"/>
              <w:spacing w:before="0" w:after="283"/>
              <w:jc w:val="left"/>
              <w:rPr>
                <w:b/>
              </w:rPr>
            </w:pPr>
            <w:r>
              <w:rPr>
                <w:b/>
              </w:rPr>
              <w:t>Lender</w:t>
            </w:r>
          </w:p>
        </w:tc>
        <w:tc>
          <w:tcPr>
            <w:tcW w:w="60" w:type="dxa"/>
            <w:tcBorders/>
            <w:tcMar>
              <w:bottom w:w="0" w:type="dxa"/>
            </w:tcMar>
            <w:vAlign w:val="center"/>
          </w:tcPr>
          <w:p>
            <w:pPr>
              <w:pStyle w:val="TableContents"/>
              <w:bidi w:val="0"/>
              <w:spacing w:before="0" w:after="283"/>
              <w:jc w:val="center"/>
              <w:rPr/>
            </w:pPr>
            <w:r>
              <w:rPr/>
              <w:t> </w:t>
            </w:r>
          </w:p>
        </w:tc>
        <w:tc>
          <w:tcPr>
            <w:tcW w:w="3085" w:type="dxa"/>
            <w:gridSpan w:val="2"/>
            <w:tcBorders>
              <w:bottom w:val="single" w:sz="8" w:space="0" w:color="000000"/>
            </w:tcBorders>
            <w:vAlign w:val="center"/>
          </w:tcPr>
          <w:p>
            <w:pPr>
              <w:pStyle w:val="TableContents"/>
              <w:bidi w:val="0"/>
              <w:spacing w:before="0" w:after="283"/>
              <w:jc w:val="left"/>
              <w:rPr>
                <w:b/>
              </w:rPr>
            </w:pPr>
            <w:r>
              <w:rPr>
                <w:b/>
              </w:rPr>
              <w:t>Closing Date Tranche A Commitment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95" w:type="dxa"/>
            <w:gridSpan w:val="2"/>
            <w:tcBorders>
              <w:bottom w:val="single" w:sz="8" w:space="0" w:color="000000"/>
            </w:tcBorders>
            <w:vAlign w:val="center"/>
          </w:tcPr>
          <w:p>
            <w:pPr>
              <w:pStyle w:val="TableContents"/>
              <w:bidi w:val="0"/>
              <w:spacing w:before="0" w:after="283"/>
              <w:jc w:val="left"/>
              <w:rPr>
                <w:b/>
              </w:rPr>
            </w:pPr>
            <w:r>
              <w:rPr>
                <w:b/>
              </w:rPr>
              <w:t>Incremental Tranche A Commitment</w:t>
            </w:r>
          </w:p>
        </w:tc>
        <w:tc>
          <w:tcPr>
            <w:tcW w:w="77" w:type="dxa"/>
            <w:tcBorders/>
            <w:tcMar>
              <w:bottom w:w="0" w:type="dxa"/>
            </w:tcMar>
            <w:vAlign w:val="center"/>
          </w:tcPr>
          <w:p>
            <w:pPr>
              <w:pStyle w:val="TableContents"/>
              <w:bidi w:val="0"/>
              <w:spacing w:before="0" w:after="283"/>
              <w:jc w:val="center"/>
              <w:rPr/>
            </w:pPr>
            <w:r>
              <w:rPr/>
              <w:t> </w:t>
            </w:r>
          </w:p>
        </w:tc>
      </w:tr>
      <w:tr>
        <w:trPr/>
        <w:tc>
          <w:tcPr>
            <w:tcW w:w="3868" w:type="dxa"/>
            <w:tcBorders/>
            <w:shd w:fill="CCEEFF" w:val="clear"/>
            <w:tcMar>
              <w:bottom w:w="0" w:type="dxa"/>
            </w:tcMar>
            <w:vAlign w:val="center"/>
          </w:tcPr>
          <w:p>
            <w:pPr>
              <w:pStyle w:val="TableContents"/>
              <w:bidi w:val="0"/>
              <w:spacing w:before="0" w:after="283"/>
              <w:jc w:val="left"/>
              <w:rPr/>
            </w:pPr>
            <w:r>
              <w:rPr/>
              <w:t>INPRS Strategic Credit Holdings,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w:t>
            </w:r>
          </w:p>
        </w:tc>
        <w:tc>
          <w:tcPr>
            <w:tcW w:w="2805" w:type="dxa"/>
            <w:tcBorders/>
            <w:shd w:fill="CCEEFF" w:val="clear"/>
            <w:tcMar>
              <w:bottom w:w="0" w:type="dxa"/>
            </w:tcMar>
            <w:vAlign w:val="center"/>
          </w:tcPr>
          <w:p>
            <w:pPr>
              <w:pStyle w:val="TableContents"/>
              <w:bidi w:val="0"/>
              <w:spacing w:before="0" w:after="283"/>
              <w:jc w:val="right"/>
              <w:rPr/>
            </w:pPr>
            <w:r>
              <w:rPr/>
              <w:t>662,000.00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2700" w:type="dxa"/>
            <w:tcBorders/>
            <w:shd w:fill="CCEEFF" w:val="clear"/>
            <w:tcMar>
              <w:bottom w:w="0" w:type="dxa"/>
            </w:tcMar>
            <w:vAlign w:val="center"/>
          </w:tcPr>
          <w:p>
            <w:pPr>
              <w:pStyle w:val="TableContents"/>
              <w:bidi w:val="0"/>
              <w:spacing w:before="0" w:after="283"/>
              <w:jc w:val="right"/>
              <w:rPr/>
            </w:pPr>
            <w:r>
              <w:rPr/>
              <w:t>127,307.69</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868" w:type="dxa"/>
            <w:tcBorders/>
            <w:shd w:fill="FFFFFF" w:val="clear"/>
            <w:tcMar>
              <w:bottom w:w="0" w:type="dxa"/>
            </w:tcMar>
            <w:vAlign w:val="center"/>
          </w:tcPr>
          <w:p>
            <w:pPr>
              <w:pStyle w:val="TableContents"/>
              <w:bidi w:val="0"/>
              <w:spacing w:before="0" w:after="283"/>
              <w:jc w:val="left"/>
              <w:rPr/>
            </w:pPr>
            <w:r>
              <w:rPr/>
              <w:t>Oaktree Specialty Lending 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jc w:val="left"/>
              <w:rPr/>
            </w:pPr>
            <w:r>
              <w:rPr/>
              <w:t>$</w:t>
            </w:r>
          </w:p>
        </w:tc>
        <w:tc>
          <w:tcPr>
            <w:tcW w:w="2805" w:type="dxa"/>
            <w:tcBorders/>
            <w:shd w:fill="FFFFFF" w:val="clear"/>
            <w:tcMar>
              <w:bottom w:w="0" w:type="dxa"/>
            </w:tcMar>
            <w:vAlign w:val="center"/>
          </w:tcPr>
          <w:p>
            <w:pPr>
              <w:pStyle w:val="TableContents"/>
              <w:bidi w:val="0"/>
              <w:spacing w:before="0" w:after="283"/>
              <w:jc w:val="right"/>
              <w:rPr/>
            </w:pPr>
            <w:r>
              <w:rPr/>
              <w:t>7,448,000.00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w:t>
            </w:r>
          </w:p>
        </w:tc>
        <w:tc>
          <w:tcPr>
            <w:tcW w:w="2700" w:type="dxa"/>
            <w:tcBorders/>
            <w:shd w:fill="FFFFFF" w:val="clear"/>
            <w:tcMar>
              <w:bottom w:w="0" w:type="dxa"/>
            </w:tcMar>
            <w:vAlign w:val="center"/>
          </w:tcPr>
          <w:p>
            <w:pPr>
              <w:pStyle w:val="TableContents"/>
              <w:bidi w:val="0"/>
              <w:spacing w:before="0" w:after="283"/>
              <w:jc w:val="right"/>
              <w:rPr/>
            </w:pPr>
            <w:r>
              <w:rPr/>
              <w:t>1,432,307.69</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868" w:type="dxa"/>
            <w:tcBorders/>
            <w:shd w:fill="CCEEFF" w:val="clear"/>
            <w:tcMar>
              <w:bottom w:w="0" w:type="dxa"/>
            </w:tcMar>
            <w:vAlign w:val="center"/>
          </w:tcPr>
          <w:p>
            <w:pPr>
              <w:pStyle w:val="TableContents"/>
              <w:bidi w:val="0"/>
              <w:spacing w:before="0" w:after="283"/>
              <w:jc w:val="left"/>
              <w:rPr/>
            </w:pPr>
            <w:r>
              <w:rPr/>
              <w:t>Oaktree Strategic Credit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w:t>
            </w:r>
          </w:p>
        </w:tc>
        <w:tc>
          <w:tcPr>
            <w:tcW w:w="2805" w:type="dxa"/>
            <w:tcBorders/>
            <w:shd w:fill="CCEEFF" w:val="clear"/>
            <w:tcMar>
              <w:bottom w:w="0" w:type="dxa"/>
            </w:tcMar>
            <w:vAlign w:val="center"/>
          </w:tcPr>
          <w:p>
            <w:pPr>
              <w:pStyle w:val="TableContents"/>
              <w:bidi w:val="0"/>
              <w:spacing w:before="0" w:after="283"/>
              <w:jc w:val="right"/>
              <w:rPr/>
            </w:pPr>
            <w:r>
              <w:rPr/>
              <w:t>9,319,000.00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2700" w:type="dxa"/>
            <w:tcBorders/>
            <w:shd w:fill="CCEEFF" w:val="clear"/>
            <w:tcMar>
              <w:bottom w:w="0" w:type="dxa"/>
            </w:tcMar>
            <w:vAlign w:val="center"/>
          </w:tcPr>
          <w:p>
            <w:pPr>
              <w:pStyle w:val="TableContents"/>
              <w:bidi w:val="0"/>
              <w:spacing w:before="0" w:after="283"/>
              <w:jc w:val="right"/>
              <w:rPr/>
            </w:pPr>
            <w:r>
              <w:rPr/>
              <w:t>1,792,115.38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868" w:type="dxa"/>
            <w:tcBorders/>
            <w:shd w:fill="FFFFFF" w:val="clear"/>
            <w:tcMar>
              <w:bottom w:w="0" w:type="dxa"/>
            </w:tcMar>
            <w:vAlign w:val="center"/>
          </w:tcPr>
          <w:p>
            <w:pPr>
              <w:pStyle w:val="TableContents"/>
              <w:bidi w:val="0"/>
              <w:spacing w:before="0" w:after="283"/>
              <w:jc w:val="left"/>
              <w:rPr/>
            </w:pPr>
            <w:r>
              <w:rPr/>
              <w:t>Oaktree Route 66 Multi-Strategy Fund,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jc w:val="left"/>
              <w:rPr/>
            </w:pPr>
            <w:r>
              <w:rPr/>
              <w:t>$</w:t>
            </w:r>
          </w:p>
        </w:tc>
        <w:tc>
          <w:tcPr>
            <w:tcW w:w="2805" w:type="dxa"/>
            <w:tcBorders/>
            <w:shd w:fill="FFFFFF" w:val="clear"/>
            <w:tcMar>
              <w:bottom w:w="0" w:type="dxa"/>
            </w:tcMar>
            <w:vAlign w:val="center"/>
          </w:tcPr>
          <w:p>
            <w:pPr>
              <w:pStyle w:val="TableContents"/>
              <w:bidi w:val="0"/>
              <w:spacing w:before="0" w:after="283"/>
              <w:jc w:val="right"/>
              <w:rPr/>
            </w:pPr>
            <w:r>
              <w:rPr/>
              <w:t>1,218,000.00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w:t>
            </w:r>
          </w:p>
        </w:tc>
        <w:tc>
          <w:tcPr>
            <w:tcW w:w="2700" w:type="dxa"/>
            <w:tcBorders/>
            <w:shd w:fill="FFFFFF" w:val="clear"/>
            <w:tcMar>
              <w:bottom w:w="0" w:type="dxa"/>
            </w:tcMar>
            <w:vAlign w:val="center"/>
          </w:tcPr>
          <w:p>
            <w:pPr>
              <w:pStyle w:val="TableContents"/>
              <w:bidi w:val="0"/>
              <w:spacing w:before="0" w:after="283"/>
              <w:jc w:val="right"/>
              <w:rPr/>
            </w:pPr>
            <w:r>
              <w:rPr/>
              <w:t>234,230.77</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868" w:type="dxa"/>
            <w:tcBorders/>
            <w:shd w:fill="CCEEFF" w:val="clear"/>
            <w:tcMar>
              <w:bottom w:w="0" w:type="dxa"/>
            </w:tcMar>
            <w:vAlign w:val="center"/>
          </w:tcPr>
          <w:p>
            <w:pPr>
              <w:pStyle w:val="TableContents"/>
              <w:bidi w:val="0"/>
              <w:spacing w:before="0" w:after="283"/>
              <w:jc w:val="left"/>
              <w:rPr/>
            </w:pPr>
            <w:r>
              <w:rPr/>
              <w:t>Oaktree AZ Strategic Lending Fund,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w:t>
            </w:r>
          </w:p>
        </w:tc>
        <w:tc>
          <w:tcPr>
            <w:tcW w:w="2805" w:type="dxa"/>
            <w:tcBorders/>
            <w:shd w:fill="CCEEFF" w:val="clear"/>
            <w:tcMar>
              <w:bottom w:w="0" w:type="dxa"/>
            </w:tcMar>
            <w:vAlign w:val="center"/>
          </w:tcPr>
          <w:p>
            <w:pPr>
              <w:pStyle w:val="TableContents"/>
              <w:bidi w:val="0"/>
              <w:spacing w:before="0" w:after="283"/>
              <w:jc w:val="right"/>
              <w:rPr/>
            </w:pPr>
            <w:r>
              <w:rPr/>
              <w:t>8,122,000.00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2700" w:type="dxa"/>
            <w:tcBorders/>
            <w:shd w:fill="CCEEFF" w:val="clear"/>
            <w:tcMar>
              <w:bottom w:w="0" w:type="dxa"/>
            </w:tcMar>
            <w:vAlign w:val="center"/>
          </w:tcPr>
          <w:p>
            <w:pPr>
              <w:pStyle w:val="TableContents"/>
              <w:bidi w:val="0"/>
              <w:spacing w:before="0" w:after="283"/>
              <w:jc w:val="right"/>
              <w:rPr/>
            </w:pPr>
            <w:r>
              <w:rPr/>
              <w:t>1,561,923.08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868" w:type="dxa"/>
            <w:tcBorders/>
            <w:shd w:fill="FFFFFF" w:val="clear"/>
            <w:tcMar>
              <w:bottom w:w="0" w:type="dxa"/>
            </w:tcMar>
            <w:vAlign w:val="center"/>
          </w:tcPr>
          <w:p>
            <w:pPr>
              <w:pStyle w:val="TableContents"/>
              <w:bidi w:val="0"/>
              <w:spacing w:before="0" w:after="283"/>
              <w:jc w:val="left"/>
              <w:rPr/>
            </w:pPr>
            <w:r>
              <w:rPr/>
              <w:t>Oaktree LSL Fund Holdings EURRC S.à r.l.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jc w:val="left"/>
              <w:rPr/>
            </w:pPr>
            <w:r>
              <w:rPr/>
              <w:t>$</w:t>
            </w:r>
          </w:p>
        </w:tc>
        <w:tc>
          <w:tcPr>
            <w:tcW w:w="2805" w:type="dxa"/>
            <w:tcBorders/>
            <w:shd w:fill="FFFFFF" w:val="clear"/>
            <w:tcMar>
              <w:bottom w:w="0" w:type="dxa"/>
            </w:tcMar>
            <w:vAlign w:val="center"/>
          </w:tcPr>
          <w:p>
            <w:pPr>
              <w:pStyle w:val="TableContents"/>
              <w:bidi w:val="0"/>
              <w:spacing w:before="0" w:after="283"/>
              <w:jc w:val="right"/>
              <w:rPr/>
            </w:pPr>
            <w:r>
              <w:rPr/>
              <w:t>31,869,000.00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w:t>
            </w:r>
          </w:p>
        </w:tc>
        <w:tc>
          <w:tcPr>
            <w:tcW w:w="2700" w:type="dxa"/>
            <w:tcBorders/>
            <w:shd w:fill="FFFFFF" w:val="clear"/>
            <w:tcMar>
              <w:bottom w:w="0" w:type="dxa"/>
            </w:tcMar>
            <w:vAlign w:val="center"/>
          </w:tcPr>
          <w:p>
            <w:pPr>
              <w:pStyle w:val="TableContents"/>
              <w:bidi w:val="0"/>
              <w:spacing w:before="0" w:after="283"/>
              <w:jc w:val="right"/>
              <w:rPr/>
            </w:pPr>
            <w:r>
              <w:rPr/>
              <w:t>6,128,653.85</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868" w:type="dxa"/>
            <w:tcBorders/>
            <w:shd w:fill="CCEEFF" w:val="clear"/>
            <w:tcMar>
              <w:bottom w:w="0" w:type="dxa"/>
            </w:tcMar>
            <w:vAlign w:val="center"/>
          </w:tcPr>
          <w:p>
            <w:pPr>
              <w:pStyle w:val="TableContents"/>
              <w:bidi w:val="0"/>
              <w:spacing w:before="0" w:after="283"/>
              <w:jc w:val="left"/>
              <w:rPr/>
            </w:pPr>
            <w:r>
              <w:rPr/>
              <w:t>Oaktree LSL Fund Delaware Holdings EURRC,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w:t>
            </w:r>
          </w:p>
        </w:tc>
        <w:tc>
          <w:tcPr>
            <w:tcW w:w="2805" w:type="dxa"/>
            <w:tcBorders/>
            <w:shd w:fill="CCEEFF" w:val="clear"/>
            <w:tcMar>
              <w:bottom w:w="0" w:type="dxa"/>
            </w:tcMar>
            <w:vAlign w:val="center"/>
          </w:tcPr>
          <w:p>
            <w:pPr>
              <w:pStyle w:val="TableContents"/>
              <w:bidi w:val="0"/>
              <w:spacing w:before="0" w:after="283"/>
              <w:jc w:val="right"/>
              <w:rPr/>
            </w:pPr>
            <w:r>
              <w:rPr/>
              <w:t>6,362,000.00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2700" w:type="dxa"/>
            <w:tcBorders/>
            <w:shd w:fill="CCEEFF" w:val="clear"/>
            <w:tcMar>
              <w:bottom w:w="0" w:type="dxa"/>
            </w:tcMar>
            <w:vAlign w:val="center"/>
          </w:tcPr>
          <w:p>
            <w:pPr>
              <w:pStyle w:val="TableContents"/>
              <w:bidi w:val="0"/>
              <w:spacing w:before="0" w:after="283"/>
              <w:jc w:val="right"/>
              <w:rPr/>
            </w:pPr>
            <w:r>
              <w:rPr/>
              <w:t>1,223,461.54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868"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jc w:val="left"/>
              <w:rPr>
                <w:b/>
              </w:rPr>
            </w:pPr>
            <w:r>
              <w:rPr>
                <w:b/>
              </w:rPr>
              <w:t>$</w:t>
            </w:r>
          </w:p>
        </w:tc>
        <w:tc>
          <w:tcPr>
            <w:tcW w:w="2805" w:type="dxa"/>
            <w:tcBorders/>
            <w:shd w:fill="FFFFFF" w:val="clear"/>
            <w:tcMar>
              <w:bottom w:w="0" w:type="dxa"/>
            </w:tcMar>
            <w:vAlign w:val="center"/>
          </w:tcPr>
          <w:p>
            <w:pPr>
              <w:pStyle w:val="TableContents"/>
              <w:bidi w:val="0"/>
              <w:spacing w:before="0" w:after="283"/>
              <w:jc w:val="right"/>
              <w:rPr>
                <w:b/>
              </w:rPr>
            </w:pPr>
            <w:r>
              <w:rPr>
                <w:b/>
              </w:rPr>
              <w:t>65,000,000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b/>
              </w:rPr>
            </w:pPr>
            <w:r>
              <w:rPr>
                <w:b/>
              </w:rPr>
              <w:t>$</w:t>
            </w:r>
          </w:p>
        </w:tc>
        <w:tc>
          <w:tcPr>
            <w:tcW w:w="2700" w:type="dxa"/>
            <w:tcBorders/>
            <w:shd w:fill="FFFFFF" w:val="clear"/>
            <w:tcMar>
              <w:bottom w:w="0" w:type="dxa"/>
            </w:tcMar>
            <w:vAlign w:val="center"/>
          </w:tcPr>
          <w:p>
            <w:pPr>
              <w:pStyle w:val="TableContents"/>
              <w:bidi w:val="0"/>
              <w:spacing w:before="0" w:after="283"/>
              <w:jc w:val="right"/>
              <w:rPr>
                <w:b/>
              </w:rPr>
            </w:pPr>
            <w:r>
              <w:rPr>
                <w:b/>
              </w:rPr>
              <w:t>12,500,000</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Tranche B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Lenders and their respective Applicable Commitments: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37"/>
        <w:gridCol w:w="60"/>
        <w:gridCol w:w="176"/>
        <w:gridCol w:w="1761"/>
        <w:gridCol w:w="60"/>
        <w:gridCol w:w="60"/>
        <w:gridCol w:w="461"/>
        <w:gridCol w:w="4613"/>
        <w:gridCol w:w="77"/>
      </w:tblGrid>
      <w:tr>
        <w:trPr/>
        <w:tc>
          <w:tcPr>
            <w:tcW w:w="2937" w:type="dxa"/>
            <w:tcBorders>
              <w:bottom w:val="single" w:sz="8" w:space="0" w:color="000000"/>
            </w:tcBorders>
            <w:vAlign w:val="center"/>
          </w:tcPr>
          <w:p>
            <w:pPr>
              <w:pStyle w:val="TableContents"/>
              <w:bidi w:val="0"/>
              <w:spacing w:before="0" w:after="283"/>
              <w:jc w:val="left"/>
              <w:rPr>
                <w:b/>
              </w:rPr>
            </w:pPr>
            <w:r>
              <w:rPr>
                <w:b/>
              </w:rPr>
              <w:t>Lender</w:t>
            </w:r>
          </w:p>
        </w:tc>
        <w:tc>
          <w:tcPr>
            <w:tcW w:w="60" w:type="dxa"/>
            <w:tcBorders/>
            <w:tcMar>
              <w:bottom w:w="0" w:type="dxa"/>
            </w:tcMar>
            <w:vAlign w:val="center"/>
          </w:tcPr>
          <w:p>
            <w:pPr>
              <w:pStyle w:val="TableContents"/>
              <w:bidi w:val="0"/>
              <w:spacing w:before="0" w:after="283"/>
              <w:jc w:val="left"/>
              <w:rPr/>
            </w:pPr>
            <w:r>
              <w:rPr/>
              <w:t> </w:t>
            </w:r>
          </w:p>
        </w:tc>
        <w:tc>
          <w:tcPr>
            <w:tcW w:w="1937" w:type="dxa"/>
            <w:gridSpan w:val="2"/>
            <w:tcBorders>
              <w:bottom w:val="single" w:sz="8" w:space="0" w:color="000000"/>
            </w:tcBorders>
            <w:vAlign w:val="center"/>
          </w:tcPr>
          <w:p>
            <w:pPr>
              <w:pStyle w:val="TableContents"/>
              <w:bidi w:val="0"/>
              <w:spacing w:before="0" w:after="283"/>
              <w:jc w:val="left"/>
              <w:rPr>
                <w:b/>
              </w:rPr>
            </w:pPr>
            <w:r>
              <w:rPr>
                <w:b/>
              </w:rPr>
              <w:t>Tranche B Commitment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74" w:type="dxa"/>
            <w:gridSpan w:val="2"/>
            <w:tcBorders>
              <w:bottom w:val="single" w:sz="8" w:space="0" w:color="000000"/>
            </w:tcBorders>
            <w:vAlign w:val="center"/>
          </w:tcPr>
          <w:p>
            <w:pPr>
              <w:pStyle w:val="TableContents"/>
              <w:bidi w:val="0"/>
              <w:spacing w:before="0" w:after="283"/>
              <w:jc w:val="left"/>
              <w:rPr>
                <w:b/>
              </w:rPr>
            </w:pPr>
            <w:r>
              <w:rPr>
                <w:b/>
              </w:rPr>
              <w:t>Tranche B Commitment (if reduced in accordance with the definition of “Tranche B Commitment”)</w:t>
            </w:r>
          </w:p>
        </w:tc>
        <w:tc>
          <w:tcPr>
            <w:tcW w:w="77" w:type="dxa"/>
            <w:tcBorders/>
            <w:tcMar>
              <w:bottom w:w="0" w:type="dxa"/>
            </w:tcMar>
            <w:vAlign w:val="center"/>
          </w:tcPr>
          <w:p>
            <w:pPr>
              <w:pStyle w:val="TableContents"/>
              <w:bidi w:val="0"/>
              <w:spacing w:before="0" w:after="283"/>
              <w:jc w:val="left"/>
              <w:rPr/>
            </w:pPr>
            <w:r>
              <w:rPr/>
              <w:t> </w:t>
            </w:r>
          </w:p>
        </w:tc>
      </w:tr>
      <w:tr>
        <w:trPr/>
        <w:tc>
          <w:tcPr>
            <w:tcW w:w="2937" w:type="dxa"/>
            <w:tcBorders/>
            <w:shd w:fill="CCEEFF" w:val="clear"/>
            <w:tcMar>
              <w:bottom w:w="0" w:type="dxa"/>
            </w:tcMar>
            <w:vAlign w:val="center"/>
          </w:tcPr>
          <w:p>
            <w:pPr>
              <w:pStyle w:val="TableContents"/>
              <w:bidi w:val="0"/>
              <w:spacing w:before="0" w:after="283"/>
              <w:jc w:val="left"/>
              <w:rPr/>
            </w:pPr>
            <w:r>
              <w:rPr/>
              <w:t>INPRS Strategic Credit Holdings,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1" w:type="dxa"/>
            <w:tcBorders/>
            <w:shd w:fill="CCEEFF" w:val="clear"/>
            <w:tcMar>
              <w:bottom w:w="0" w:type="dxa"/>
            </w:tcMar>
            <w:vAlign w:val="center"/>
          </w:tcPr>
          <w:p>
            <w:pPr>
              <w:pStyle w:val="TableContents"/>
              <w:bidi w:val="0"/>
              <w:spacing w:before="0" w:after="283"/>
              <w:jc w:val="right"/>
              <w:rPr/>
            </w:pPr>
            <w:r>
              <w:rPr/>
              <w:t>357,000.00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4613" w:type="dxa"/>
            <w:tcBorders/>
            <w:shd w:fill="CCEEFF" w:val="clear"/>
            <w:tcMar>
              <w:bottom w:w="0" w:type="dxa"/>
            </w:tcMar>
            <w:vAlign w:val="center"/>
          </w:tcPr>
          <w:p>
            <w:pPr>
              <w:pStyle w:val="TableContents"/>
              <w:bidi w:val="0"/>
              <w:spacing w:before="0" w:after="283"/>
              <w:jc w:val="right"/>
              <w:rPr/>
            </w:pPr>
            <w:r>
              <w:rPr/>
              <w:t>305,700.00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937" w:type="dxa"/>
            <w:tcBorders/>
            <w:shd w:fill="FFFFFF" w:val="clear"/>
            <w:tcMar>
              <w:bottom w:w="0" w:type="dxa"/>
            </w:tcMar>
            <w:vAlign w:val="center"/>
          </w:tcPr>
          <w:p>
            <w:pPr>
              <w:pStyle w:val="TableContents"/>
              <w:bidi w:val="0"/>
              <w:spacing w:before="0" w:after="283"/>
              <w:jc w:val="left"/>
              <w:rPr/>
            </w:pPr>
            <w:r>
              <w:rPr/>
              <w:t>Oaktree Specialty Lending 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761" w:type="dxa"/>
            <w:tcBorders/>
            <w:shd w:fill="FFFFFF" w:val="clear"/>
            <w:tcMar>
              <w:bottom w:w="0" w:type="dxa"/>
            </w:tcMar>
            <w:vAlign w:val="center"/>
          </w:tcPr>
          <w:p>
            <w:pPr>
              <w:pStyle w:val="TableContents"/>
              <w:bidi w:val="0"/>
              <w:spacing w:before="0" w:after="283"/>
              <w:jc w:val="right"/>
              <w:rPr/>
            </w:pPr>
            <w:r>
              <w:rPr/>
              <w:t>4,011,000.00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1" w:type="dxa"/>
            <w:tcBorders/>
            <w:shd w:fill="FFFFFF" w:val="clear"/>
            <w:tcMar>
              <w:bottom w:w="0" w:type="dxa"/>
            </w:tcMar>
            <w:vAlign w:val="center"/>
          </w:tcPr>
          <w:p>
            <w:pPr>
              <w:pStyle w:val="TableContents"/>
              <w:bidi w:val="0"/>
              <w:spacing w:before="0" w:after="283"/>
              <w:jc w:val="left"/>
              <w:rPr/>
            </w:pPr>
            <w:r>
              <w:rPr/>
              <w:t>$</w:t>
            </w:r>
          </w:p>
        </w:tc>
        <w:tc>
          <w:tcPr>
            <w:tcW w:w="4613" w:type="dxa"/>
            <w:tcBorders/>
            <w:shd w:fill="FFFFFF" w:val="clear"/>
            <w:tcMar>
              <w:bottom w:w="0" w:type="dxa"/>
            </w:tcMar>
            <w:vAlign w:val="center"/>
          </w:tcPr>
          <w:p>
            <w:pPr>
              <w:pStyle w:val="TableContents"/>
              <w:bidi w:val="0"/>
              <w:spacing w:before="0" w:after="283"/>
              <w:jc w:val="right"/>
              <w:rPr/>
            </w:pPr>
            <w:r>
              <w:rPr/>
              <w:t>3,437,700.00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937" w:type="dxa"/>
            <w:tcBorders/>
            <w:shd w:fill="CCEEFF" w:val="clear"/>
            <w:tcMar>
              <w:bottom w:w="0" w:type="dxa"/>
            </w:tcMar>
            <w:vAlign w:val="center"/>
          </w:tcPr>
          <w:p>
            <w:pPr>
              <w:pStyle w:val="TableContents"/>
              <w:bidi w:val="0"/>
              <w:spacing w:before="0" w:after="283"/>
              <w:jc w:val="left"/>
              <w:rPr/>
            </w:pPr>
            <w:r>
              <w:rPr/>
              <w:t>Oaktree Strategic Credit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1" w:type="dxa"/>
            <w:tcBorders/>
            <w:shd w:fill="CCEEFF" w:val="clear"/>
            <w:tcMar>
              <w:bottom w:w="0" w:type="dxa"/>
            </w:tcMar>
            <w:vAlign w:val="center"/>
          </w:tcPr>
          <w:p>
            <w:pPr>
              <w:pStyle w:val="TableContents"/>
              <w:bidi w:val="0"/>
              <w:spacing w:before="0" w:after="283"/>
              <w:jc w:val="right"/>
              <w:rPr/>
            </w:pPr>
            <w:r>
              <w:rPr/>
              <w:t>5,018,000.00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4613" w:type="dxa"/>
            <w:tcBorders/>
            <w:shd w:fill="CCEEFF" w:val="clear"/>
            <w:tcMar>
              <w:bottom w:w="0" w:type="dxa"/>
            </w:tcMar>
            <w:vAlign w:val="center"/>
          </w:tcPr>
          <w:p>
            <w:pPr>
              <w:pStyle w:val="TableContents"/>
              <w:bidi w:val="0"/>
              <w:spacing w:before="0" w:after="283"/>
              <w:jc w:val="right"/>
              <w:rPr/>
            </w:pPr>
            <w:r>
              <w:rPr/>
              <w:t>4,301,100.00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937" w:type="dxa"/>
            <w:tcBorders/>
            <w:shd w:fill="FFFFFF" w:val="clear"/>
            <w:tcMar>
              <w:bottom w:w="0" w:type="dxa"/>
            </w:tcMar>
            <w:vAlign w:val="center"/>
          </w:tcPr>
          <w:p>
            <w:pPr>
              <w:pStyle w:val="TableContents"/>
              <w:bidi w:val="0"/>
              <w:spacing w:before="0" w:after="283"/>
              <w:jc w:val="left"/>
              <w:rPr/>
            </w:pPr>
            <w:r>
              <w:rPr/>
              <w:t>Oaktree Route 66 Multi-Strategy Fund,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761" w:type="dxa"/>
            <w:tcBorders/>
            <w:shd w:fill="FFFFFF" w:val="clear"/>
            <w:tcMar>
              <w:bottom w:w="0" w:type="dxa"/>
            </w:tcMar>
            <w:vAlign w:val="center"/>
          </w:tcPr>
          <w:p>
            <w:pPr>
              <w:pStyle w:val="TableContents"/>
              <w:bidi w:val="0"/>
              <w:spacing w:before="0" w:after="283"/>
              <w:jc w:val="right"/>
              <w:rPr/>
            </w:pPr>
            <w:r>
              <w:rPr/>
              <w:t>656,000.00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1" w:type="dxa"/>
            <w:tcBorders/>
            <w:shd w:fill="FFFFFF" w:val="clear"/>
            <w:tcMar>
              <w:bottom w:w="0" w:type="dxa"/>
            </w:tcMar>
            <w:vAlign w:val="center"/>
          </w:tcPr>
          <w:p>
            <w:pPr>
              <w:pStyle w:val="TableContents"/>
              <w:bidi w:val="0"/>
              <w:spacing w:before="0" w:after="283"/>
              <w:jc w:val="left"/>
              <w:rPr/>
            </w:pPr>
            <w:r>
              <w:rPr/>
              <w:t>$</w:t>
            </w:r>
          </w:p>
        </w:tc>
        <w:tc>
          <w:tcPr>
            <w:tcW w:w="4613" w:type="dxa"/>
            <w:tcBorders/>
            <w:shd w:fill="FFFFFF" w:val="clear"/>
            <w:tcMar>
              <w:bottom w:w="0" w:type="dxa"/>
            </w:tcMar>
            <w:vAlign w:val="center"/>
          </w:tcPr>
          <w:p>
            <w:pPr>
              <w:pStyle w:val="TableContents"/>
              <w:bidi w:val="0"/>
              <w:spacing w:before="0" w:after="283"/>
              <w:jc w:val="right"/>
              <w:rPr/>
            </w:pPr>
            <w:r>
              <w:rPr/>
              <w:t>562,200.00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937" w:type="dxa"/>
            <w:tcBorders/>
            <w:shd w:fill="CCEEFF" w:val="clear"/>
            <w:tcMar>
              <w:bottom w:w="0" w:type="dxa"/>
            </w:tcMar>
            <w:vAlign w:val="center"/>
          </w:tcPr>
          <w:p>
            <w:pPr>
              <w:pStyle w:val="TableContents"/>
              <w:bidi w:val="0"/>
              <w:spacing w:before="0" w:after="283"/>
              <w:jc w:val="left"/>
              <w:rPr/>
            </w:pPr>
            <w:r>
              <w:rPr/>
              <w:t>Oaktree AZ Strategic Lending Fund,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1" w:type="dxa"/>
            <w:tcBorders/>
            <w:shd w:fill="CCEEFF" w:val="clear"/>
            <w:tcMar>
              <w:bottom w:w="0" w:type="dxa"/>
            </w:tcMar>
            <w:vAlign w:val="center"/>
          </w:tcPr>
          <w:p>
            <w:pPr>
              <w:pStyle w:val="TableContents"/>
              <w:bidi w:val="0"/>
              <w:spacing w:before="0" w:after="283"/>
              <w:jc w:val="right"/>
              <w:rPr/>
            </w:pPr>
            <w:r>
              <w:rPr/>
              <w:t>4,373,000.00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4613" w:type="dxa"/>
            <w:tcBorders/>
            <w:shd w:fill="CCEEFF" w:val="clear"/>
            <w:tcMar>
              <w:bottom w:w="0" w:type="dxa"/>
            </w:tcMar>
            <w:vAlign w:val="center"/>
          </w:tcPr>
          <w:p>
            <w:pPr>
              <w:pStyle w:val="TableContents"/>
              <w:bidi w:val="0"/>
              <w:spacing w:before="0" w:after="283"/>
              <w:jc w:val="right"/>
              <w:rPr/>
            </w:pPr>
            <w:r>
              <w:rPr/>
              <w:t>3,748,500.00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937" w:type="dxa"/>
            <w:tcBorders/>
            <w:shd w:fill="FFFFFF" w:val="clear"/>
            <w:tcMar>
              <w:bottom w:w="0" w:type="dxa"/>
            </w:tcMar>
            <w:vAlign w:val="center"/>
          </w:tcPr>
          <w:p>
            <w:pPr>
              <w:pStyle w:val="TableContents"/>
              <w:bidi w:val="0"/>
              <w:spacing w:before="0" w:after="283"/>
              <w:jc w:val="left"/>
              <w:rPr/>
            </w:pPr>
            <w:r>
              <w:rPr/>
              <w:t>Oaktree LSL Fund Holdings EURRC S.à r.l.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761" w:type="dxa"/>
            <w:tcBorders/>
            <w:shd w:fill="FFFFFF" w:val="clear"/>
            <w:tcMar>
              <w:bottom w:w="0" w:type="dxa"/>
            </w:tcMar>
            <w:vAlign w:val="center"/>
          </w:tcPr>
          <w:p>
            <w:pPr>
              <w:pStyle w:val="TableContents"/>
              <w:bidi w:val="0"/>
              <w:spacing w:before="0" w:after="283"/>
              <w:jc w:val="right"/>
              <w:rPr/>
            </w:pPr>
            <w:r>
              <w:rPr/>
              <w:t>17,160,000.00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1" w:type="dxa"/>
            <w:tcBorders/>
            <w:shd w:fill="FFFFFF" w:val="clear"/>
            <w:tcMar>
              <w:bottom w:w="0" w:type="dxa"/>
            </w:tcMar>
            <w:vAlign w:val="center"/>
          </w:tcPr>
          <w:p>
            <w:pPr>
              <w:pStyle w:val="TableContents"/>
              <w:bidi w:val="0"/>
              <w:spacing w:before="0" w:after="283"/>
              <w:jc w:val="left"/>
              <w:rPr/>
            </w:pPr>
            <w:r>
              <w:rPr/>
              <w:t>$</w:t>
            </w:r>
          </w:p>
        </w:tc>
        <w:tc>
          <w:tcPr>
            <w:tcW w:w="4613" w:type="dxa"/>
            <w:tcBorders/>
            <w:shd w:fill="FFFFFF" w:val="clear"/>
            <w:tcMar>
              <w:bottom w:w="0" w:type="dxa"/>
            </w:tcMar>
            <w:vAlign w:val="center"/>
          </w:tcPr>
          <w:p>
            <w:pPr>
              <w:pStyle w:val="TableContents"/>
              <w:bidi w:val="0"/>
              <w:spacing w:before="0" w:after="283"/>
              <w:jc w:val="right"/>
              <w:rPr/>
            </w:pPr>
            <w:r>
              <w:rPr/>
              <w:t>14,708,700.00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937" w:type="dxa"/>
            <w:tcBorders/>
            <w:shd w:fill="CCEEFF" w:val="clear"/>
            <w:tcMar>
              <w:bottom w:w="0" w:type="dxa"/>
            </w:tcMar>
            <w:vAlign w:val="center"/>
          </w:tcPr>
          <w:p>
            <w:pPr>
              <w:pStyle w:val="TableContents"/>
              <w:bidi w:val="0"/>
              <w:spacing w:before="0" w:after="283"/>
              <w:jc w:val="left"/>
              <w:rPr/>
            </w:pPr>
            <w:r>
              <w:rPr/>
              <w:t>Oaktree LSL Fund Delaware Holdings EURRC,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1" w:type="dxa"/>
            <w:tcBorders/>
            <w:shd w:fill="CCEEFF" w:val="clear"/>
            <w:tcMar>
              <w:bottom w:w="0" w:type="dxa"/>
            </w:tcMar>
            <w:vAlign w:val="center"/>
          </w:tcPr>
          <w:p>
            <w:pPr>
              <w:pStyle w:val="TableContents"/>
              <w:bidi w:val="0"/>
              <w:spacing w:before="0" w:after="283"/>
              <w:jc w:val="right"/>
              <w:rPr/>
            </w:pPr>
            <w:r>
              <w:rPr/>
              <w:t>3,425,000.00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4613" w:type="dxa"/>
            <w:tcBorders/>
            <w:shd w:fill="CCEEFF" w:val="clear"/>
            <w:tcMar>
              <w:bottom w:w="0" w:type="dxa"/>
            </w:tcMar>
            <w:vAlign w:val="center"/>
          </w:tcPr>
          <w:p>
            <w:pPr>
              <w:pStyle w:val="TableContents"/>
              <w:bidi w:val="0"/>
              <w:spacing w:before="0" w:after="283"/>
              <w:jc w:val="right"/>
              <w:rPr/>
            </w:pPr>
            <w:r>
              <w:rPr/>
              <w:t>2,936,100.00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937" w:type="dxa"/>
            <w:tcBorders/>
            <w:shd w:fill="FFFFFF" w:val="clear"/>
            <w:tcMar>
              <w:bottom w:w="0" w:type="dxa"/>
            </w:tcMar>
            <w:vAlign w:val="center"/>
          </w:tcPr>
          <w:p>
            <w:pPr>
              <w:pStyle w:val="TableContents"/>
              <w:bidi w:val="0"/>
              <w:spacing w:before="0" w:after="283"/>
              <w:jc w:val="left"/>
              <w:rPr>
                <w:b/>
              </w:rPr>
            </w:pPr>
            <w:r>
              <w:rPr>
                <w:b/>
              </w:rPr>
              <w:t>Tranche B Commitment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b/>
              </w:rPr>
            </w:pPr>
            <w:r>
              <w:rPr>
                <w:b/>
              </w:rPr>
              <w:t>$</w:t>
            </w:r>
          </w:p>
        </w:tc>
        <w:tc>
          <w:tcPr>
            <w:tcW w:w="1761" w:type="dxa"/>
            <w:tcBorders/>
            <w:shd w:fill="FFFFFF" w:val="clear"/>
            <w:tcMar>
              <w:bottom w:w="0" w:type="dxa"/>
            </w:tcMar>
            <w:vAlign w:val="center"/>
          </w:tcPr>
          <w:p>
            <w:pPr>
              <w:pStyle w:val="TableContents"/>
              <w:bidi w:val="0"/>
              <w:spacing w:before="0" w:after="283"/>
              <w:jc w:val="right"/>
              <w:rPr>
                <w:b/>
              </w:rPr>
            </w:pPr>
            <w:r>
              <w:rPr>
                <w:b/>
              </w:rPr>
              <w:t>35,000,000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1" w:type="dxa"/>
            <w:tcBorders/>
            <w:shd w:fill="FFFFFF" w:val="clear"/>
            <w:tcMar>
              <w:bottom w:w="0" w:type="dxa"/>
            </w:tcMar>
            <w:vAlign w:val="center"/>
          </w:tcPr>
          <w:p>
            <w:pPr>
              <w:pStyle w:val="TableContents"/>
              <w:bidi w:val="0"/>
              <w:spacing w:before="0" w:after="283"/>
              <w:jc w:val="left"/>
              <w:rPr>
                <w:b/>
              </w:rPr>
            </w:pPr>
            <w:r>
              <w:rPr>
                <w:b/>
              </w:rPr>
              <w:t>$</w:t>
            </w:r>
          </w:p>
        </w:tc>
        <w:tc>
          <w:tcPr>
            <w:tcW w:w="4613" w:type="dxa"/>
            <w:tcBorders/>
            <w:shd w:fill="FFFFFF" w:val="clear"/>
            <w:tcMar>
              <w:bottom w:w="0" w:type="dxa"/>
            </w:tcMar>
            <w:vAlign w:val="center"/>
          </w:tcPr>
          <w:p>
            <w:pPr>
              <w:pStyle w:val="TableContents"/>
              <w:bidi w:val="0"/>
              <w:spacing w:before="0" w:after="283"/>
              <w:jc w:val="right"/>
              <w:rPr>
                <w:b/>
              </w:rPr>
            </w:pPr>
            <w:r>
              <w:rPr>
                <w:b/>
              </w:rPr>
              <w:t>30,000,000</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defined terms apply to the Incremental Tranche A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Incremental Tranche A Availability Period</w:t>
      </w:r>
      <w:r>
        <w:rPr>
          <w:rFonts w:ascii="Times New Roman;Times;Serif" w:hAnsi="Times New Roman;Times;Serif"/>
          <w:b w:val="false"/>
          <w:i w:val="false"/>
          <w:caps w:val="false"/>
          <w:smallCaps w:val="false"/>
          <w:sz w:val="20"/>
        </w:rPr>
        <w:t>” means the period starting on the First Amendment Effective Date and ending on the applicable Commitment Termination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Tranche A Funding Condition</w:t>
      </w:r>
      <w:r>
        <w:rPr>
          <w:rFonts w:ascii="Times New Roman;Times;Serif" w:hAnsi="Times New Roman;Times;Serif"/>
          <w:b w:val="false"/>
          <w:i w:val="false"/>
          <w:caps w:val="false"/>
          <w:smallCaps w:val="false"/>
          <w:sz w:val="20"/>
        </w:rPr>
        <w:t xml:space="preserve">” means (a) the Eyevance Acquisition shall have been, or substantially concurrently with, or within one (1) Business Day of, the borrowing of the Incremental Tranche A Term Loans shall be, consummated on the terms and conditions set forth in the Eyevance Acquisition Agreements as in effect on the First Amendment Effective Date, or as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provided, that any increase in the consideration paid, whether in the form of Upfront Payment (as defined in the Eyevance APA), Lumpsum Payment (as defined in the Eyevance License Agreement), Deferred Acquisition Consideration or otherwise shall be deemed materially adverse to the Administrative Agent and the Lenders, in their respective capacities as such;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Eyevance Acquisition is not consummated as set forth above within one (1) Business Day of the borrowing of the Incremental Tranche A Term Loans, the Borrower shall forthwith return to the Lenders all Incremental Tranche A Term Loans in full in immediately available funds and (b) the Eyevance Specified Acquisition Agreement Representations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Incremental Tranche A Funding Date, except to the extent such representations and warranties specifically relate to an earlier date, in which case such representations and warranties shall have been true and correct in all material respects on and as of such earlier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defined terms apply to the Tranche B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Tranche B Availability Period</w:t>
      </w:r>
      <w:r>
        <w:rPr>
          <w:rFonts w:ascii="Times New Roman;Times;Serif" w:hAnsi="Times New Roman;Times;Serif"/>
          <w:b w:val="false"/>
          <w:i w:val="false"/>
          <w:caps w:val="false"/>
          <w:smallCaps w:val="false"/>
          <w:sz w:val="20"/>
        </w:rPr>
        <w:t>” means the period starting on the Closing Date and ending on the applicable Commitment Termination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Tranche B Funding Condition</w:t>
      </w:r>
      <w:r>
        <w:rPr>
          <w:rFonts w:ascii="Times New Roman;Times;Serif" w:hAnsi="Times New Roman;Times;Serif"/>
          <w:b w:val="false"/>
          <w:i w:val="false"/>
          <w:caps w:val="false"/>
          <w:smallCaps w:val="false"/>
          <w:sz w:val="20"/>
        </w:rPr>
        <w:t>” means that the Administrative Agent shall have received satisfactory evidence that (i) TRIESENCE has become commercially available in the United States, (ii) the Novartis Milestone Payment has become due and payable in accordance with the terms of the Novartis Purchase Agreement and (iii) the proceeds of the Tranche B Term Loan shall be used to pay a portion of the Novartis Milestone Payment substantially concurrently with the borrowing on the Tranche B Term Loan on the Tranche B Funding Date.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050" w:name="ex31-1.htm"/>
      <w:bookmarkStart w:id="1051" w:name="ksex311"/>
      <w:bookmarkEnd w:id="1050"/>
      <w:bookmarkEnd w:id="105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THE PRINCIPAL EXECUTIVE OFFICER 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OF THE SARBANES-OXLEY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Mark L. Baum, certify that:</w:t>
      </w:r>
    </w:p>
    <w:p>
      <w:pPr>
        <w:pStyle w:val="TextBody"/>
        <w:bidi w:val="0"/>
        <w:spacing w:before="0" w:after="0"/>
        <w:ind w:left="0" w:right="0" w:hanging="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245"/>
        <w:gridCol w:w="5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28" w:type="dxa"/>
          <w:right w:w="0" w:type="dxa"/>
        </w:tblCellMar>
      </w:tblPr>
      <w:tblGrid>
        <w:gridCol w:w="2120"/>
        <w:gridCol w:w="2240"/>
      </w:tblGrid>
      <w:tr>
        <w:trPr/>
        <w:tc>
          <w:tcPr>
            <w:tcW w:w="2120" w:type="dxa"/>
            <w:tcBorders>
              <w:bottom w:val="single" w:sz="8" w:space="0" w:color="FFFFFF"/>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2024</w:t>
            </w:r>
          </w:p>
        </w:tc>
        <w:tc>
          <w:tcPr>
            <w:tcW w:w="224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2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4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052" w:name="ex31-2.htm"/>
      <w:bookmarkStart w:id="1053" w:name="ksex312"/>
      <w:bookmarkEnd w:id="1052"/>
      <w:bookmarkEnd w:id="105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Andrew R. Boll, certify that:</w:t>
      </w:r>
    </w:p>
    <w:p>
      <w:pPr>
        <w:pStyle w:val="TextBody"/>
        <w:bidi w:val="0"/>
        <w:spacing w:before="0" w:after="0"/>
        <w:ind w:left="0" w:right="0" w:firstLine="8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2120"/>
        <w:gridCol w:w="3650"/>
      </w:tblGrid>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2024</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054" w:name="ex32-1.htm"/>
      <w:bookmarkStart w:id="1055" w:name="ksex321"/>
      <w:bookmarkEnd w:id="1054"/>
      <w:bookmarkEnd w:id="105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REQUIRED BY</w:t>
        <w:br/>
        <w:t>SECTION 1350 OF TITLE 18 OF THE UNITED STATES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each of the undersigned hereby certifies in his capacity as the specified officer of Harrow, Inc. (the “Company”), that, to the best of his knowledge, the Quarterly Report of the Company on Form 10-Q for the fiscal quarter ended September 30, 2024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pStyle w:val="TextBody"/>
        <w:bidi w:val="0"/>
        <w:spacing w:before="0" w:after="0"/>
        <w:ind w:left="0" w:right="0" w:hanging="0"/>
        <w:jc w:val="both"/>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2390"/>
        <w:gridCol w:w="75"/>
      </w:tblGrid>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 L. Baum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3755"/>
        <w:gridCol w:w="75"/>
      </w:tblGrid>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Andrew R. Boll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101342</Words>
  <Characters>552272</Characters>
  <CharactersWithSpaces>655643</CharactersWithSpaces>
  <Paragraphs>12215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