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tdlp_10q.htm"/>
      <w:bookmarkStart w:id="1" w:name="kstdlp_10q"/>
      <w:bookmarkStart w:id="2" w:name="tdlp_10q.htm"/>
      <w:bookmarkStart w:id="3" w:name="kstdlp_10q"/>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Wingdings" w:hAnsi="Wingdings"/>
          <w:b/>
          <w:sz w:val="20"/>
        </w:rPr>
        <w:t>o</w:t>
      </w:r>
      <w:r>
        <w:rPr>
          <w:rFonts w:ascii="Times New Roman" w:hAnsi="Times New Roman"/>
          <w:sz w:val="20"/>
        </w:rPr>
        <w:t>    </w:t>
      </w:r>
      <w:r>
        <w:rPr>
          <w:rFonts w:ascii="Times New Roman" w:hAnsi="Times New Roman"/>
          <w:b/>
          <w:sz w:val="20"/>
        </w:rPr>
        <w:t>TRANSITION REPORT PURSUANT TO SECTION 13 OR 15(d) OF THE SECURITIES EXCHANGE ACT OF 1934</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 the transition period from ___________ to _____________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000-52998</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Transdel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15" w:type="dxa"/>
            <w:tcBorders/>
            <w:shd w:fill="auto" w:val="clear"/>
            <w:tcMar>
              <w:bottom w:w="0" w:type="dxa"/>
            </w:tcMar>
          </w:tcPr>
          <w:p>
            <w:pPr>
              <w:pStyle w:val="TableContents"/>
              <w:spacing w:before="0" w:after="283"/>
              <w:rPr/>
            </w:pPr>
            <w:r>
              <w:rPr/>
              <w:t>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437 S. Hwy 101, Suite 209</w:t>
      </w:r>
    </w:p>
    <w:p>
      <w:pPr>
        <w:pStyle w:val="TextBody"/>
        <w:spacing w:before="0" w:after="0"/>
        <w:ind w:left="0" w:right="0" w:hanging="0"/>
        <w:jc w:val="center"/>
        <w:rPr>
          <w:rFonts w:ascii="Times New Roman" w:hAnsi="Times New Roman"/>
          <w:b/>
          <w:sz w:val="20"/>
        </w:rPr>
      </w:pPr>
      <w:r>
        <w:rPr>
          <w:rFonts w:ascii="Times New Roman" w:hAnsi="Times New Roman"/>
          <w:b/>
          <w:sz w:val="20"/>
        </w:rPr>
        <w:t>Solana Beach, CA  92075</w:t>
      </w:r>
    </w:p>
    <w:p>
      <w:pPr>
        <w:pStyle w:val="TextBody"/>
        <w:spacing w:before="0" w:after="0"/>
        <w:ind w:left="0" w:right="0" w:hanging="0"/>
        <w:jc w:val="center"/>
        <w:rPr/>
      </w:pPr>
      <w:r>
        <w:rPr/>
        <w:t> </w:t>
      </w:r>
      <w:r>
        <w:rPr>
          <w:rFonts w:ascii="Times New Roman" w:hAnsi="Times New Roman"/>
          <w:sz w:val="20"/>
        </w:rPr>
        <w:t>(Address, including zip code,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4275 Executive Square, Suite 485, La Jolla, CA</w:t>
      </w:r>
    </w:p>
    <w:p>
      <w:pPr>
        <w:pStyle w:val="TextBody"/>
        <w:spacing w:before="0" w:after="0"/>
        <w:ind w:left="0" w:right="0" w:hanging="0"/>
        <w:jc w:val="center"/>
        <w:rPr/>
      </w:pPr>
      <w:r>
        <w:rPr/>
        <w:t> </w:t>
      </w: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Registrant’s telephone number, including area code:        </w:t>
      </w:r>
      <w:r>
        <w:rPr>
          <w:rFonts w:ascii="Times New Roman" w:hAnsi="Times New Roman"/>
          <w:b/>
          <w:sz w:val="20"/>
        </w:rPr>
        <w:t>(858) 433-2800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o</w:t>
      </w:r>
      <w:r>
        <w:rPr>
          <w:rFonts w:ascii="Times New Roman" w:hAnsi="Times New Roman"/>
          <w:sz w:val="20"/>
        </w:rPr>
        <w:t>     No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o</w:t>
      </w:r>
      <w:r>
        <w:rPr>
          <w:rFonts w:ascii="Times New Roman" w:hAnsi="Times New Roman"/>
          <w:sz w:val="20"/>
        </w:rPr>
        <w:t>    No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 reporting company.</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195"/>
        <w:gridCol w:w="4781"/>
        <w:gridCol w:w="2584"/>
        <w:gridCol w:w="645"/>
      </w:tblGrid>
      <w:tr>
        <w:trPr/>
        <w:tc>
          <w:tcPr>
            <w:tcW w:w="21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4781"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25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w:t>
            </w:r>
          </w:p>
        </w:tc>
        <w:tc>
          <w:tcPr>
            <w:tcW w:w="645"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r>
      <w:tr>
        <w:trPr/>
        <w:tc>
          <w:tcPr>
            <w:tcW w:w="21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4781" w:type="dxa"/>
            <w:tcBorders/>
            <w:shd w:fill="auto" w:val="clear"/>
          </w:tcPr>
          <w:p>
            <w:pPr>
              <w:pStyle w:val="TableContents"/>
              <w:spacing w:before="0" w:after="0"/>
              <w:ind w:left="0" w:right="0" w:hanging="0"/>
              <w:jc w:val="left"/>
              <w:rPr>
                <w:rFonts w:ascii="times new roman" w:hAnsi="times new roman"/>
                <w:sz w:val="20"/>
              </w:rPr>
            </w:pPr>
            <w:r>
              <w:rPr>
                <w:rFonts w:ascii="wingdings" w:hAnsi="wingdings"/>
                <w:sz w:val="20"/>
              </w:rPr>
              <w:t>o</w:t>
            </w:r>
            <w:r>
              <w:rPr>
                <w:rFonts w:ascii="times new roman" w:hAnsi="times new roman"/>
                <w:sz w:val="20"/>
              </w:rPr>
              <w:t xml:space="preserve"> (Do not check if a smaller reporting company)</w:t>
            </w:r>
          </w:p>
        </w:tc>
        <w:tc>
          <w:tcPr>
            <w:tcW w:w="25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645" w:type="dxa"/>
            <w:tcBorders/>
            <w:shd w:fill="auto" w:val="clear"/>
          </w:tcPr>
          <w:p>
            <w:pPr>
              <w:pStyle w:val="TableContents"/>
              <w:spacing w:before="0" w:after="0"/>
              <w:ind w:left="0" w:right="0" w:hanging="0"/>
              <w:jc w:val="left"/>
              <w:rPr/>
            </w:pPr>
            <w:r>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a check mark whether the registrant is a shell company (as defined in Rule 12b-2 of the Exchange Act. Yes  </w:t>
      </w:r>
      <w:r>
        <w:rPr>
          <w:rFonts w:ascii="Wingdings" w:hAnsi="Wingdings"/>
          <w:sz w:val="20"/>
        </w:rPr>
        <w:t>o</w:t>
      </w:r>
      <w:r>
        <w:rPr>
          <w:rFonts w:ascii="Times New Roman" w:hAnsi="Times New Roman"/>
          <w:sz w:val="20"/>
        </w:rPr>
        <w:t>     No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ISSUERS INVOLVED IN BANKRUPTCY</w:t>
      </w:r>
    </w:p>
    <w:p>
      <w:pPr>
        <w:pStyle w:val="TextBody"/>
        <w:spacing w:before="0" w:after="0"/>
        <w:ind w:left="0" w:right="0" w:hanging="0"/>
        <w:jc w:val="center"/>
        <w:rPr>
          <w:rFonts w:ascii="Times New Roman" w:hAnsi="Times New Roman"/>
          <w:sz w:val="20"/>
        </w:rPr>
      </w:pPr>
      <w:r>
        <w:rPr>
          <w:rFonts w:ascii="Times New Roman" w:hAnsi="Times New Roman"/>
          <w:sz w:val="20"/>
        </w:rPr>
        <w:t>PROCEEDINGS DURING THE PRECEDING FIVE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Check whether the registrant filed all documents and reports required to be filed by Section 12, 13, or 15(d) of the Exchange Act of 1934 after the distribution of securities under a plan confirmed by a court. Yes  </w:t>
      </w:r>
      <w:r>
        <w:rPr>
          <w:rFonts w:ascii="Wingdings" w:hAnsi="Wingdings"/>
          <w:sz w:val="20"/>
        </w:rPr>
        <w:t xml:space="preserve">o </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CORPORATE ISSUERS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State the number of shares outstanding of each of the issuer’s classes of common equity, as of the latest practicable date: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February 22, 2012, 15,900,811 shares of issuer’s common stock, with $0.001 par value per share were outstanding.</w:t>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432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0" w:hanging="0"/>
        <w:jc w:val="both"/>
        <w:rPr/>
      </w:pPr>
      <w:r>
        <w:rPr/>
        <w:t> </w:t>
      </w:r>
      <w:bookmarkStart w:id="4" w:name="item_1_3_1"/>
      <w:bookmarkStart w:id="5" w:name="part_1_2_1"/>
      <w:bookmarkEnd w:id="4"/>
      <w:bookmarkEnd w:id="5"/>
    </w:p>
    <w:tbl>
      <w:tblPr>
        <w:tblW w:w="5000" w:type="pct"/>
        <w:jc w:val="left"/>
        <w:tblInd w:w="0" w:type="dxa"/>
        <w:tblCellMar>
          <w:top w:w="0" w:type="dxa"/>
          <w:left w:w="0" w:type="dxa"/>
          <w:bottom w:w="0" w:type="dxa"/>
          <w:right w:w="0" w:type="dxa"/>
        </w:tblCellMar>
      </w:tblPr>
      <w:tblGrid>
        <w:gridCol w:w="815"/>
        <w:gridCol w:w="204"/>
        <w:gridCol w:w="8574"/>
        <w:gridCol w:w="612"/>
      </w:tblGrid>
      <w:tr>
        <w:trPr/>
        <w:tc>
          <w:tcPr>
            <w:tcW w:w="815" w:type="dxa"/>
            <w:tcBorders/>
            <w:shd w:fill="auto" w:val="clear"/>
            <w:vAlign w:val="bottom"/>
          </w:tcPr>
          <w:p>
            <w:pPr>
              <w:pStyle w:val="TableContents"/>
              <w:spacing w:before="0" w:after="283"/>
              <w:jc w:val="left"/>
              <w:rPr/>
            </w:pPr>
            <w:r>
              <w:rPr/>
              <w:t xml:space="preserve">  </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283"/>
              <w:jc w:val="left"/>
              <w:rPr/>
            </w:pPr>
            <w:r>
              <w:rPr/>
              <w:t xml:space="preserve">  </w:t>
            </w:r>
          </w:p>
        </w:tc>
        <w:tc>
          <w:tcPr>
            <w:tcW w:w="61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15" w:type="dxa"/>
            <w:tcBorders/>
            <w:shd w:fill="auto"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Part I</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INFORMATION</w:t>
            </w:r>
          </w:p>
        </w:tc>
        <w:tc>
          <w:tcPr>
            <w:tcW w:w="61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815" w:type="dxa"/>
            <w:tcBorders/>
            <w:shd w:fill="auto" w:val="clear"/>
            <w:vAlign w:val="bottom"/>
          </w:tcPr>
          <w:p>
            <w:pPr>
              <w:pStyle w:val="TableContents"/>
              <w:spacing w:before="0" w:after="283"/>
              <w:jc w:val="left"/>
              <w:rPr/>
            </w:pPr>
            <w:r>
              <w:rPr/>
              <w:t xml:space="preserve">  </w:t>
            </w:r>
          </w:p>
        </w:tc>
        <w:tc>
          <w:tcPr>
            <w:tcW w:w="204" w:type="dxa"/>
            <w:tcBorders/>
            <w:shd w:fill="auto" w:val="clear"/>
            <w:vAlign w:val="center"/>
          </w:tcPr>
          <w:p>
            <w:pPr>
              <w:pStyle w:val="TableContents"/>
              <w:spacing w:before="0" w:after="283"/>
              <w:jc w:val="left"/>
              <w:rPr/>
            </w:pPr>
            <w:r>
              <w:rPr/>
              <w:t xml:space="preserve">  </w:t>
            </w:r>
          </w:p>
        </w:tc>
        <w:tc>
          <w:tcPr>
            <w:tcW w:w="8574" w:type="dxa"/>
            <w:tcBorders/>
            <w:shd w:fill="auto" w:val="clear"/>
            <w:vAlign w:val="bottom"/>
          </w:tcPr>
          <w:p>
            <w:pPr>
              <w:pStyle w:val="TableContents"/>
              <w:spacing w:before="0" w:after="283"/>
              <w:jc w:val="left"/>
              <w:rPr/>
            </w:pPr>
            <w:r>
              <w:rPr/>
              <w:t xml:space="preserve">  </w:t>
            </w:r>
          </w:p>
        </w:tc>
        <w:tc>
          <w:tcPr>
            <w:tcW w:w="612" w:type="dxa"/>
            <w:tcBorders/>
            <w:shd w:fill="auto"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Balance Sheets – September 30, 2011 (Unaudited) and December 31, 2010</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Operations for the three and nine month periods  ended September 30, 2011 and 2010 and for the Period from July 24, 1998 (Inception) Through September 30, 2011</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Cash Flows for the  nine month periods  ended September 30, 2011 and 2010 and for the Period from July 24, 1998 (Inception) Through September 30, 2011</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283"/>
              <w:jc w:val="left"/>
              <w:rPr/>
            </w:pPr>
            <w:r>
              <w:rPr/>
              <w:t xml:space="preserve">  </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the Unaudited Condensed Consolidated Financial Statements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4.</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Part II</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612" w:type="dxa"/>
            <w:tcBorders/>
            <w:shd w:fill="FFFFFF" w:val="clear"/>
            <w:vAlign w:val="bottom"/>
          </w:tcPr>
          <w:p>
            <w:pPr>
              <w:pStyle w:val="TableContents"/>
              <w:spacing w:before="0" w:after="283"/>
              <w:rPr/>
            </w:pPr>
            <w:r>
              <w:rPr/>
              <w:t xml:space="preserve">  </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204" w:type="dxa"/>
            <w:tcBorders/>
            <w:shd w:fill="CCEEFF" w:val="clear"/>
            <w:vAlign w:val="center"/>
          </w:tcPr>
          <w:p>
            <w:pPr>
              <w:pStyle w:val="TableContents"/>
              <w:spacing w:before="0" w:after="283"/>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815" w:type="dxa"/>
            <w:tcBorders/>
            <w:shd w:fill="FFFFFF" w:val="clear"/>
            <w:vAlign w:val="bottom"/>
          </w:tcPr>
          <w:p>
            <w:pPr>
              <w:pStyle w:val="TableContents"/>
              <w:spacing w:before="0" w:after="283"/>
              <w:rPr/>
            </w:pPr>
            <w:r>
              <w:rPr/>
              <w:t xml:space="preserve">  </w:t>
            </w:r>
          </w:p>
        </w:tc>
        <w:tc>
          <w:tcPr>
            <w:tcW w:w="204" w:type="dxa"/>
            <w:tcBorders/>
            <w:shd w:fill="FFFFFF" w:val="clear"/>
            <w:vAlign w:val="center"/>
          </w:tcPr>
          <w:p>
            <w:pPr>
              <w:pStyle w:val="TableContents"/>
              <w:spacing w:before="0" w:after="283"/>
              <w:rPr/>
            </w:pPr>
            <w:r>
              <w:rPr/>
              <w:t xml:space="preserve">  </w:t>
            </w:r>
          </w:p>
        </w:tc>
        <w:tc>
          <w:tcPr>
            <w:tcW w:w="8574" w:type="dxa"/>
            <w:tcBorders/>
            <w:shd w:fill="FFFFFF" w:val="clear"/>
            <w:vAlign w:val="bottom"/>
          </w:tcPr>
          <w:p>
            <w:pPr>
              <w:pStyle w:val="TableContents"/>
              <w:spacing w:before="0" w:after="283"/>
              <w:rPr/>
            </w:pPr>
            <w:r>
              <w:rPr/>
              <w:t xml:space="preserve">  </w:t>
            </w:r>
          </w:p>
        </w:tc>
        <w:tc>
          <w:tcPr>
            <w:tcW w:w="612" w:type="dxa"/>
            <w:tcBorders/>
            <w:shd w:fill="FFFFFF"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1A.</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Unregistered Sales of Equity Securities and Use of Proceeds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815" w:type="dxa"/>
            <w:tcBorders/>
            <w:shd w:fill="FFFFFF" w:val="clear"/>
            <w:vAlign w:val="bottom"/>
          </w:tcPr>
          <w:p>
            <w:pPr>
              <w:pStyle w:val="TableContents"/>
              <w:spacing w:before="0" w:after="283"/>
              <w:jc w:val="left"/>
              <w:rPr/>
            </w:pPr>
            <w:r>
              <w:rPr/>
              <w:t xml:space="preserve">  </w:t>
            </w:r>
          </w:p>
        </w:tc>
        <w:tc>
          <w:tcPr>
            <w:tcW w:w="204" w:type="dxa"/>
            <w:tcBorders/>
            <w:shd w:fill="FFFFFF" w:val="clear"/>
            <w:vAlign w:val="center"/>
          </w:tcPr>
          <w:p>
            <w:pPr>
              <w:pStyle w:val="TableContents"/>
              <w:spacing w:before="0" w:after="283"/>
              <w:jc w:val="left"/>
              <w:rPr/>
            </w:pPr>
            <w:r>
              <w:rPr/>
              <w:t xml:space="preserve">  </w:t>
            </w:r>
          </w:p>
        </w:tc>
        <w:tc>
          <w:tcPr>
            <w:tcW w:w="8574" w:type="dxa"/>
            <w:tcBorders/>
            <w:shd w:fill="FFFFFF" w:val="clear"/>
            <w:vAlign w:val="bottom"/>
          </w:tcPr>
          <w:p>
            <w:pPr>
              <w:pStyle w:val="TableContents"/>
              <w:spacing w:before="0" w:after="283"/>
              <w:jc w:val="left"/>
              <w:rPr/>
            </w:pPr>
            <w:r>
              <w:rPr/>
              <w:t xml:space="preserve">  </w:t>
            </w:r>
          </w:p>
        </w:tc>
        <w:tc>
          <w:tcPr>
            <w:tcW w:w="612" w:type="dxa"/>
            <w:tcBorders/>
            <w:shd w:fill="FFFFFF" w:val="clear"/>
            <w:vAlign w:val="bottom"/>
          </w:tcPr>
          <w:p>
            <w:pPr>
              <w:pStyle w:val="TableContents"/>
              <w:spacing w:before="0" w:after="283"/>
              <w:jc w:val="right"/>
              <w:rPr/>
            </w:pPr>
            <w:r>
              <w:rPr/>
              <w:t xml:space="preserve">  </w:t>
            </w:r>
          </w:p>
        </w:tc>
      </w:tr>
      <w:tr>
        <w:trPr/>
        <w:tc>
          <w:tcPr>
            <w:tcW w:w="815"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6.</w:t>
            </w:r>
          </w:p>
        </w:tc>
        <w:tc>
          <w:tcPr>
            <w:tcW w:w="204" w:type="dxa"/>
            <w:tcBorders/>
            <w:shd w:fill="CCEEFF" w:val="clear"/>
            <w:vAlign w:val="center"/>
          </w:tcPr>
          <w:p>
            <w:pPr>
              <w:pStyle w:val="TableContents"/>
              <w:spacing w:before="0" w:after="283"/>
              <w:jc w:val="left"/>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815" w:type="dxa"/>
            <w:tcBorders/>
            <w:shd w:fill="FFFFFF" w:val="clear"/>
            <w:vAlign w:val="bottom"/>
          </w:tcPr>
          <w:p>
            <w:pPr>
              <w:pStyle w:val="TableContents"/>
              <w:spacing w:before="0" w:after="283"/>
              <w:rPr/>
            </w:pPr>
            <w:r>
              <w:rPr/>
              <w:t xml:space="preserve">  </w:t>
            </w:r>
          </w:p>
        </w:tc>
        <w:tc>
          <w:tcPr>
            <w:tcW w:w="204" w:type="dxa"/>
            <w:tcBorders/>
            <w:shd w:fill="FFFFFF" w:val="clear"/>
            <w:vAlign w:val="center"/>
          </w:tcPr>
          <w:p>
            <w:pPr>
              <w:pStyle w:val="TableContents"/>
              <w:spacing w:before="0" w:after="283"/>
              <w:rPr/>
            </w:pPr>
            <w:r>
              <w:rPr/>
              <w:t xml:space="preserve">  </w:t>
            </w:r>
          </w:p>
        </w:tc>
        <w:tc>
          <w:tcPr>
            <w:tcW w:w="8574" w:type="dxa"/>
            <w:tcBorders/>
            <w:shd w:fill="FFFFFF" w:val="clear"/>
            <w:vAlign w:val="bottom"/>
          </w:tcPr>
          <w:p>
            <w:pPr>
              <w:pStyle w:val="TableContents"/>
              <w:spacing w:before="0" w:after="283"/>
              <w:rPr/>
            </w:pPr>
            <w:r>
              <w:rPr/>
              <w:t xml:space="preserve">  </w:t>
            </w:r>
          </w:p>
        </w:tc>
        <w:tc>
          <w:tcPr>
            <w:tcW w:w="612" w:type="dxa"/>
            <w:tcBorders/>
            <w:shd w:fill="FFFFFF" w:val="clear"/>
            <w:vAlign w:val="bottom"/>
          </w:tcPr>
          <w:p>
            <w:pPr>
              <w:pStyle w:val="TableContents"/>
              <w:spacing w:before="0" w:after="283"/>
              <w:rPr/>
            </w:pPr>
            <w:r>
              <w:rPr/>
              <w:t xml:space="preserve">  </w:t>
            </w:r>
          </w:p>
        </w:tc>
      </w:tr>
      <w:tr>
        <w:trPr/>
        <w:tc>
          <w:tcPr>
            <w:tcW w:w="815" w:type="dxa"/>
            <w:tcBorders/>
            <w:shd w:fill="CCEEFF" w:val="clear"/>
            <w:vAlign w:val="bottom"/>
          </w:tcPr>
          <w:p>
            <w:pPr>
              <w:pStyle w:val="TableContents"/>
              <w:spacing w:before="0" w:after="283"/>
              <w:rPr/>
            </w:pPr>
            <w:r>
              <w:rPr/>
              <w:t xml:space="preserve">  </w:t>
            </w:r>
          </w:p>
        </w:tc>
        <w:tc>
          <w:tcPr>
            <w:tcW w:w="204" w:type="dxa"/>
            <w:tcBorders/>
            <w:shd w:fill="CCEEFF" w:val="clear"/>
            <w:vAlign w:val="center"/>
          </w:tcPr>
          <w:p>
            <w:pPr>
              <w:pStyle w:val="TableContents"/>
              <w:spacing w:before="0" w:after="283"/>
              <w:rPr/>
            </w:pPr>
            <w:r>
              <w:rPr/>
              <w:t xml:space="preserve">  </w:t>
            </w:r>
          </w:p>
        </w:tc>
        <w:tc>
          <w:tcPr>
            <w:tcW w:w="85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Signatures</w:t>
            </w:r>
          </w:p>
        </w:tc>
        <w:tc>
          <w:tcPr>
            <w:tcW w:w="61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PART I</w:t>
      </w:r>
    </w:p>
    <w:p>
      <w:pPr>
        <w:pStyle w:val="TextBody"/>
        <w:spacing w:before="0" w:after="0"/>
        <w:ind w:left="0" w:right="0" w:hanging="0"/>
        <w:jc w:val="center"/>
        <w:rPr>
          <w:rFonts w:ascii="Times New Roman" w:hAnsi="Times New Roman"/>
          <w:b/>
          <w:sz w:val="20"/>
        </w:rPr>
      </w:pPr>
      <w:r>
        <w:rPr>
          <w:rFonts w:ascii="Times New Roman" w:hAnsi="Times New Roman"/>
          <w:b/>
          <w:sz w:val="20"/>
        </w:rPr>
        <w:t>FINANCIAL INFORMATION</w:t>
      </w:r>
      <w:bookmarkStart w:id="15" w:name="fis_financial_statements"/>
      <w:bookmarkEnd w:id="15"/>
    </w:p>
    <w:p>
      <w:pPr>
        <w:pStyle w:val="TextBody"/>
        <w:spacing w:before="0" w:after="0"/>
        <w:ind w:left="0" w:right="0" w:hanging="0"/>
        <w:jc w:val="both"/>
        <w:rPr/>
      </w:pPr>
      <w:r>
        <w:rPr/>
        <w:t> </w:t>
      </w:r>
      <w:bookmarkStart w:id="16" w:name="item_1_3_2"/>
      <w:bookmarkEnd w:id="16"/>
    </w:p>
    <w:p>
      <w:pPr>
        <w:pStyle w:val="TextBody"/>
        <w:spacing w:before="0" w:after="0"/>
        <w:ind w:left="0" w:right="0" w:hanging="0"/>
        <w:jc w:val="left"/>
        <w:rPr>
          <w:rFonts w:ascii="Times New Roman" w:hAnsi="Times New Roman"/>
          <w:b/>
          <w:sz w:val="20"/>
        </w:rPr>
      </w:pPr>
      <w:r>
        <w:rPr>
          <w:rFonts w:ascii="Times New Roman" w:hAnsi="Times New Roman"/>
          <w:b/>
          <w:sz w:val="20"/>
        </w:rPr>
        <w:t>ITEM 1. FINANCIAL STATEMENTS.</w:t>
      </w:r>
      <w:bookmarkStart w:id="17" w:name="fis_balance_sheet"/>
      <w:bookmarkEnd w:id="17"/>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18" w:name="range!a1%3Ag48"/>
            <w:bookmarkEnd w:id="18"/>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September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74,368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60,492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76,522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351,954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 net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76,522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178,411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73,632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118,367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69,532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portion of convertible note payable and accrued interest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1,111,574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1,647,760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335,035</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1,055,479</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bookmarkStart w:id="19" w:name="TAB2"/>
            <w:bookmarkEnd w:id="19"/>
            <w:r>
              <w:rPr>
                <w:spacing w:val="180"/>
              </w:rPr>
              <w:t>   </w:t>
            </w:r>
            <w:r>
              <w:rPr/>
              <w:t> </w:t>
            </w:r>
            <w:r>
              <w:rPr>
                <w:rFonts w:ascii="times new roman" w:hAnsi="times new roman"/>
                <w:sz w:val="20"/>
              </w:rPr>
              <w:t>TOTAL LIABILITIES</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1,647,760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1,390,514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5,000,000 shares authorized, $0.001 par value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50,000,000 shares authorized, $0.001 par value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15,900,811 and 15,932,061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September 30, 2011 and December 31, 2010, respectively.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16,561,836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16,412,643</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(18,148,975</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(1,571,238</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76,522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1"/>
      <w:bookmarkStart w:id="21" w:name="PGBRK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1"/>
      <w:bookmarkStart w:id="23" w:name="FT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1"/>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1"/>
      <w:bookmarkEnd w:id="2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1"/>
      <w:bookmarkStart w:id="27" w:name="HD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1"/>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29" w:name="range!a1%3Ah59"/>
            <w:bookmarkEnd w:id="29"/>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78"/>
        <w:gridCol w:w="95"/>
        <w:gridCol w:w="125"/>
        <w:gridCol w:w="1052"/>
        <w:gridCol w:w="104"/>
        <w:gridCol w:w="95"/>
        <w:gridCol w:w="125"/>
        <w:gridCol w:w="1052"/>
        <w:gridCol w:w="104"/>
        <w:gridCol w:w="95"/>
        <w:gridCol w:w="125"/>
        <w:gridCol w:w="1051"/>
        <w:gridCol w:w="104"/>
        <w:gridCol w:w="95"/>
        <w:gridCol w:w="125"/>
        <w:gridCol w:w="1052"/>
        <w:gridCol w:w="104"/>
        <w:gridCol w:w="95"/>
        <w:gridCol w:w="125"/>
        <w:gridCol w:w="1080"/>
        <w:gridCol w:w="124"/>
      </w:tblGrid>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Three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Three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Nine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Nine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rFonts w:ascii="times new roman" w:hAnsi="times new roman"/>
                <w:b/>
                <w:sz w:val="16"/>
              </w:rPr>
              <w:t>For the Period From</w:t>
            </w:r>
            <w:r>
              <w:rPr/>
              <w:t xml:space="preserve"> </w:t>
            </w:r>
            <w:r>
              <w:rPr>
                <w:rFonts w:ascii="times new roman" w:hAnsi="times new roman"/>
                <w:b/>
                <w:sz w:val="16"/>
              </w:rPr>
              <w:t>July 24, 1998</w:t>
            </w:r>
            <w:r>
              <w:rPr/>
              <w:t> </w:t>
            </w:r>
            <w:r>
              <w:rPr>
                <w:rFonts w:ascii="times new roman" w:hAnsi="times new roman"/>
                <w:b/>
                <w:sz w:val="16"/>
              </w:rPr>
              <w:t>(Inception)through 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vMerge w:val="continue"/>
            <w:tcBorders>
              <w:bottom w:val="single" w:sz="12" w:space="0" w:color="000000"/>
            </w:tcBorders>
            <w:shd w:fill="auto" w:val="clear"/>
            <w:tcMar>
              <w:bottom w:w="28" w:type="dxa"/>
            </w:tcMar>
            <w:vAlign w:val="bottom"/>
          </w:tcPr>
          <w:p>
            <w:pPr>
              <w:pStyle w:val="Normal"/>
              <w:rPr/>
            </w:pPr>
            <w:r>
              <w:rPr/>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vMerge w:val="continue"/>
            <w:tcBorders>
              <w:bottom w:val="single" w:sz="12" w:space="0" w:color="000000"/>
            </w:tcBorders>
            <w:shd w:fill="auto" w:val="clear"/>
            <w:tcMar>
              <w:bottom w:w="28" w:type="dxa"/>
            </w:tcMar>
            <w:vAlign w:val="bottom"/>
          </w:tcPr>
          <w:p>
            <w:pPr>
              <w:pStyle w:val="Normal"/>
              <w:rPr/>
            </w:pPr>
            <w:r>
              <w:rPr/>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vMerge w:val="continue"/>
            <w:tcBorders>
              <w:bottom w:val="single" w:sz="12" w:space="0" w:color="000000"/>
            </w:tcBorders>
            <w:shd w:fill="auto" w:val="clear"/>
            <w:tcMar>
              <w:bottom w:w="28" w:type="dxa"/>
            </w:tcM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vMerge w:val="continue"/>
            <w:tcBorders>
              <w:bottom w:val="single" w:sz="12" w:space="0" w:color="000000"/>
            </w:tcBorders>
            <w:shd w:fill="auto" w:val="clear"/>
            <w:tcMar>
              <w:bottom w:w="28" w:type="dxa"/>
            </w:tcMar>
            <w:vAlign w:val="bottom"/>
          </w:tcPr>
          <w:p>
            <w:pPr>
              <w:pStyle w:val="Normal"/>
              <w:rPr/>
            </w:pPr>
            <w:r>
              <w:rPr/>
            </w:r>
          </w:p>
        </w:tc>
        <w:tc>
          <w:tcPr>
            <w:tcW w:w="124" w:type="dxa"/>
            <w:tcBorders/>
            <w:shd w:fill="auto" w:val="clear"/>
            <w:vAlign w:val="bottom"/>
          </w:tcPr>
          <w:p>
            <w:pPr>
              <w:pStyle w:val="TableContents"/>
              <w:spacing w:before="0" w:after="283"/>
              <w:jc w:val="left"/>
              <w:rPr/>
            </w:pPr>
            <w:r>
              <w:rPr/>
              <w:t> </w:t>
            </w:r>
          </w:p>
        </w:tc>
      </w:tr>
      <w:tr>
        <w:trPr/>
        <w:tc>
          <w:tcPr>
            <w:tcW w:w="327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66,496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584,983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514,529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1,750,380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9,260,182</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142,788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344,900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7,820,258</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(66,496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(727,771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(626,083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(2,095,280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(17,080,440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FFFFFF" w:val="clear"/>
            <w:vAlign w:val="bottom"/>
          </w:tcPr>
          <w:p>
            <w:pPr>
              <w:pStyle w:val="TableContents"/>
              <w:spacing w:before="0" w:after="283"/>
              <w:rPr/>
            </w:pPr>
            <w:r>
              <w:rPr/>
              <w:t xml:space="preserve">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(18,904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(18,904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(56,095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(36,575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(1,687,329</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127,581</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expenses, net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(18,904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(18,689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(56,095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(1,068,535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(746,460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(682,178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(2,105,073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(18,148,975</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common share, 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common shares outstanding,</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2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15,900,811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15,859,887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15,915,921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15,739,240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2"/>
      <w:bookmarkStart w:id="31" w:name="PGBRK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2"/>
      <w:bookmarkStart w:id="33" w:name="FT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 w:name="PN2"/>
      <w:bookmarkEnd w:id="35"/>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2"/>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TRANSDEL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013"/>
        <w:gridCol w:w="104"/>
        <w:gridCol w:w="125"/>
        <w:gridCol w:w="1012"/>
        <w:gridCol w:w="111"/>
        <w:gridCol w:w="104"/>
        <w:gridCol w:w="125"/>
        <w:gridCol w:w="1058"/>
        <w:gridCol w:w="111"/>
        <w:gridCol w:w="103"/>
        <w:gridCol w:w="125"/>
        <w:gridCol w:w="1091"/>
        <w:gridCol w:w="123"/>
      </w:tblGrid>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Nine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Nine Months Ended</w:t>
            </w:r>
          </w:p>
          <w:p>
            <w:pPr>
              <w:pStyle w:val="TableContents"/>
              <w:spacing w:before="0" w:after="0"/>
              <w:jc w:val="center"/>
              <w:rPr/>
            </w:pPr>
            <w:r>
              <w:rPr>
                <w:rFonts w:ascii="times new roman" w:hAnsi="times new roman"/>
                <w:b/>
                <w:sz w:val="16"/>
              </w:rPr>
              <w:t>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rFonts w:ascii="times new roman" w:hAnsi="times new roman"/>
                <w:b/>
                <w:sz w:val="16"/>
              </w:rPr>
              <w:t>For the Period From</w:t>
            </w:r>
            <w:r>
              <w:rPr/>
              <w:t xml:space="preserve"> </w:t>
            </w:r>
            <w:r>
              <w:rPr>
                <w:rFonts w:ascii="times new roman" w:hAnsi="times new roman"/>
                <w:b/>
                <w:sz w:val="16"/>
              </w:rPr>
              <w:t>July 24, 1998</w:t>
            </w:r>
            <w:r>
              <w:rPr/>
              <w:t> </w:t>
            </w:r>
            <w:r>
              <w:rPr>
                <w:rFonts w:ascii="times new roman" w:hAnsi="times new roman"/>
                <w:b/>
                <w:sz w:val="16"/>
              </w:rPr>
              <w:t>(Inception)through September 30,</w:t>
            </w: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vMerge w:val="continue"/>
            <w:tcBorders>
              <w:bottom w:val="single" w:sz="12" w:space="0" w:color="000000"/>
            </w:tcBorders>
            <w:shd w:fill="auto" w:val="clear"/>
            <w:tcMar>
              <w:bottom w:w="28" w:type="dxa"/>
            </w:tcMar>
            <w:vAlign w:val="bottom"/>
          </w:tcPr>
          <w:p>
            <w:pPr>
              <w:pStyle w:val="Normal"/>
              <w:rPr/>
            </w:pPr>
            <w:r>
              <w:rPr/>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vMerge w:val="continue"/>
            <w:tcBorders>
              <w:bottom w:val="single" w:sz="12" w:space="0" w:color="000000"/>
            </w:tcBorders>
            <w:shd w:fill="auto" w:val="clear"/>
            <w:tcMar>
              <w:bottom w:w="28" w:type="dxa"/>
            </w:tcMar>
            <w:vAlign w:val="bottom"/>
          </w:tcPr>
          <w:p>
            <w:pPr>
              <w:pStyle w:val="Normal"/>
              <w:rPr/>
            </w:pPr>
            <w:r>
              <w:rPr/>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vMerge w:val="continue"/>
            <w:tcBorders>
              <w:bottom w:val="single" w:sz="12" w:space="0" w:color="000000"/>
            </w:tcBorders>
            <w:shd w:fill="auto" w:val="clear"/>
            <w:tcMar>
              <w:bottom w:w="28" w:type="dxa"/>
            </w:tcMar>
            <w:vAlign w:val="bottom"/>
          </w:tcPr>
          <w:p>
            <w:pPr>
              <w:pStyle w:val="Normal"/>
              <w:rPr/>
            </w:pPr>
            <w:r>
              <w:rPr/>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01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(682,178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(2,105,073</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(18,148,975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operating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217,200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56,095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36,575</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1,687,329</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149,162</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471,864</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2,085,825</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(13,876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(12,180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(74,369</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104,779</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(578,856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268,326</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(208,493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expenses and payroll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48,835</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81,975</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144,666</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(316,845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(2,122,495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(10,795,778</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1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purchase of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226,300</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related parties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of warrants and stock options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99,450</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Private Placements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7,779,092</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10,801,086</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(289,308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(1,122,495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beginning of period</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end of period</w:t>
            </w:r>
          </w:p>
        </w:tc>
        <w:tc>
          <w:tcPr>
            <w:tcW w:w="104"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467,278</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235,600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23"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 stockholders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3"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3"/>
      <w:bookmarkStart w:id="40" w:name="PGBRK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FTR3"/>
      <w:bookmarkStart w:id="42" w:name="FT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 w:name="GLFTR3"/>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 w:name="PN3"/>
      <w:bookmarkEnd w:id="4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HDR3"/>
      <w:bookmarkStart w:id="46" w:name="HD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 w:name="GLHDR3"/>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bookmarkStart w:id="48" w:name="FIS_NOTES_TO_FINANCIAL_STATEMENT"/>
      <w:bookmarkEnd w:id="48"/>
    </w:p>
    <w:p>
      <w:pPr>
        <w:pStyle w:val="TextBody"/>
        <w:spacing w:before="0" w:after="0"/>
        <w:ind w:left="0" w:right="0" w:hanging="0"/>
        <w:jc w:val="center"/>
        <w:rPr>
          <w:rFonts w:ascii="Times New Roman" w:hAnsi="Times New Roman"/>
          <w:b/>
          <w:sz w:val="20"/>
        </w:rPr>
      </w:pPr>
      <w:r>
        <w:rPr>
          <w:rFonts w:ascii="Times New Roman" w:hAnsi="Times New Roman"/>
          <w:b/>
          <w:sz w:val="20"/>
        </w:rPr>
        <w:t>NOTES TO THE UNAUDITED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nine months ended September 30, 2011 and 2010 and the period from July 24, 1998 (Inception) through September 30, 2011</w:t>
      </w:r>
    </w:p>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1.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Transdel Pharmaceuticals, Inc. (“Transdel” or the “Company”) has prepared the accompanying condensed unaudited consolidated financial statements in accordance with generally accepted accounting principles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nine months ended September 30, 2011 are not necessarily indicative of the results that may be expected for the year ended December 31, 2011.  For further information, refer to the Company’s audited consolidated financial statements and footnotes thereto included in the Company’s annual report on Form 10-K for the year ended December 31, 2010.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on September 17, 2007, and for all reporting periods thereafter, Transdel’s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expenses all costs related to research and development as they are incurred.</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4"/>
      <w:bookmarkStart w:id="50" w:name="PGBRK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4"/>
      <w:bookmarkStart w:id="52" w:name="FTR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4"/>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4"/>
      <w:bookmarkEnd w:id="5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4"/>
      <w:bookmarkStart w:id="56" w:name="HDR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4"/>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2011, the Company has received initial non-refundable royalty advances of $100,000, these revenues have been deferred until certain royalty considerations are met.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September 30,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Income Taxes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 income tax benefit (expense) was recognized for the nine months ended September 30, 2011 as a result of tax losses in this period and because deferred tax benefits, derived from the Company’s prior net operating losses, were previously fully reserved, the Company had federal and California net operating loss carryforwards of approximately $ 12.1 million and $11.9 million, respectively.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September 30, 2011, there were no uninsured deposits.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Computer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and nine months ended September 30, 2011 and 2010, the Company recorded $0 and $338, $264 and $792, respectively, in depreciation expense.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5"/>
      <w:bookmarkStart w:id="59" w:name="PGBRK5"/>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5"/>
      <w:bookmarkStart w:id="61" w:name="FTR5"/>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5"/>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5"/>
      <w:bookmarkEnd w:id="6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5"/>
      <w:bookmarkStart w:id="65" w:name="HDR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5"/>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3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3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fair values of the Company’s cash and cash equivalents, accounts payable, due to related parties, accrued expenses and notes payable approximate carrying values due to their short term maturities.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Based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consolidated balance sheets.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stock options and warrants were 3,166,771 and 3,753,980 at September 30, 2011 and 2010, respectively, are excluded from the calculation of diluted net loss per share for all periods presented because the effect is anti-dilutive.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May 2011, the FASB issued ASU 2011-04, </w:t>
      </w:r>
      <w:r>
        <w:rPr>
          <w:rFonts w:ascii="Times New Roman" w:hAnsi="Times New Roman"/>
          <w:i/>
          <w:sz w:val="20"/>
        </w:rPr>
        <w:t xml:space="preserve">Fair Value Measurement </w:t>
      </w:r>
      <w:r>
        <w:rPr>
          <w:rFonts w:ascii="Times New Roman" w:hAnsi="Times New Roman"/>
          <w:sz w:val="20"/>
        </w:rPr>
        <w:t>(Topic 820), Amendments to Achieve Common Fair Value Measurement and Disclosure Requirements in GAAP and International Financial Reporting Standards (“IFRS”). The update contains the results of the work of the FASB and the International Accounting Standards Board to develop common requirements for measuring fair value and for disclosing fair value measurements in accordance with GAAP and IFRSs. The amendments in this update are effective for periods beginning after December 15, 2011 and as a result are not yet applicable to the Company. The Company is evaluating the impact of the update on its condensed consolidated financial statements.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6"/>
      <w:bookmarkStart w:id="68" w:name="PGBRK6"/>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6"/>
      <w:bookmarkStart w:id="70" w:name="FTR6"/>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6"/>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6"/>
      <w:bookmarkEnd w:id="7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6"/>
      <w:bookmarkStart w:id="74" w:name="HDR6"/>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6"/>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approximately $18.2 million at September 30, 2011. These factors raise substantial doubt about the Company’s ability to continue as a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Ketotransdel®, which are required by the U.S. Food and Drug Administration (“FDA”) to obtain final regulatory approval for Ketotransdel®,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3.  BANKRUPTCY PETETION AND ASSET PURCHASE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As described in Note 11, the Chapter 11 Case has subsequently been dismissed.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NOTES PAYABLE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$111,574 at September 30, 2011 and interest expense for the three and nine months ended September 30, 2011 was $18,904 and $56,095, respectively and $18,904 and $36,575 for the three and nine months ended September 30. 2010, respectively.  Following the Company’s bankruptcy petition filed June 26, 2011, and subsequent to the period ended September 30, 2011, the change in ownership control following the issuance of preferred stock (see Note 11), the entire unpaid principal sum of this Note, together with its accrued and unpaid interest became immediately due and payable.  Subsequent to the period ended September 30, 2011, the Company, the noteholder and its assignee entered into a waiver and settlement agreement described in Note 11.</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7"/>
      <w:bookmarkStart w:id="77" w:name="PGBRK7"/>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7"/>
      <w:bookmarkStart w:id="79" w:name="FTR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7"/>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 w:name="PN7"/>
      <w:bookmarkEnd w:id="8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7"/>
      <w:bookmarkStart w:id="83" w:name="HDR7"/>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7"/>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5.  CASH ADVANCES FROM RELATED PARTIES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During the nine months ended September 30, 2011, the Company received cash advances from its Board members, Mr. Thornley and Dr. Abrams, in the amount of $27,537 to extend insurance policies of the Company.  During the nine months ended September 30, 2011 no amount had been paid back to Mr. Thornley and Dr. Abrams.   This liability is recorded as due to related parties on the Company’s condensed consolidated balance sheet.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6.  STOCKHOLDERS’ EQUITY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The restricted stock was valued at $0.80 per share, the reported closing price of the Company’s common stock on October 20, 2010. On May 13, 2011 the Board accepted the resignation of Dr. Bonfiglio, Ph.D. as Chief Executive Officer and President of the Company and as a director on the Board.  As a result of Dr. Bonfiglio’s resignation, of the 50,000 shares of restricted stock awarded to him, 18,750 shares had vested and 31,250 shares were returned to treasury and cancelled effective his date of resignation.   For the nine months ended September 30, 2011, the Company recorded a stock-based compensation expense related to the issuance and partial vesting of the restricted stock award of $3,332.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the three and nine months ended  September 30, 2011, 2010 and for the period from Inception through September 30, 2011, the Company recorded stock-based compensation expense for employees, directors and consultants of  $36,798, $149,162, $125,676, $471,864 and  $2,085,825, respectively, for options and restricted stock granted and vested which is included in selling, general and administrative expenses and research and development expenses for the three and nine months ended  September 30, 2011, 2010 and for the period from Inception through September 30, 2011 in the amount of $36,798 and $0, $111,408 and $37,754, $107,310 and $18,366, $389,627 and $82,237 and $1,471,154, and $614,671, respectively.  For the three and nine months ended  September 30, 2011, 2010 and for the period from Inception through September 30, 2011, the Company amortized $0 and $0, $163,334 and $217,200 and $807,608, respectively, of prepaid consulting fees which is included as part of selling, general and administrative expenses.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7.  STOCK OPTION PLAN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for the nine months ended September 30, 2011 is as follows:</w:t>
      </w:r>
    </w:p>
    <w:tbl>
      <w:tblPr>
        <w:tblW w:w="5000" w:type="pct"/>
        <w:jc w:val="left"/>
        <w:tblInd w:w="0" w:type="dxa"/>
        <w:tblCellMar>
          <w:top w:w="0" w:type="dxa"/>
          <w:left w:w="0" w:type="dxa"/>
          <w:bottom w:w="0" w:type="dxa"/>
          <w:right w:w="0" w:type="dxa"/>
        </w:tblCellMar>
      </w:tblPr>
      <w:tblGrid>
        <w:gridCol w:w="3968"/>
        <w:gridCol w:w="111"/>
        <w:gridCol w:w="111"/>
        <w:gridCol w:w="1325"/>
        <w:gridCol w:w="129"/>
        <w:gridCol w:w="111"/>
        <w:gridCol w:w="212"/>
        <w:gridCol w:w="999"/>
        <w:gridCol w:w="111"/>
        <w:gridCol w:w="110"/>
        <w:gridCol w:w="167"/>
        <w:gridCol w:w="1217"/>
        <w:gridCol w:w="111"/>
        <w:gridCol w:w="111"/>
        <w:gridCol w:w="479"/>
        <w:gridCol w:w="798"/>
        <w:gridCol w:w="135"/>
      </w:tblGrid>
      <w:tr>
        <w:trPr/>
        <w:tc>
          <w:tcPr>
            <w:tcW w:w="3968" w:type="dxa"/>
            <w:tcBorders/>
            <w:shd w:fill="auto" w:val="clear"/>
            <w:vAlign w:val="bottom"/>
          </w:tcPr>
          <w:p>
            <w:pPr>
              <w:pStyle w:val="TableContents"/>
              <w:spacing w:before="0" w:after="283"/>
              <w:jc w:val="left"/>
              <w:rPr/>
            </w:pPr>
            <w:r>
              <w:rPr/>
              <w:t xml:space="preserve">  </w:t>
            </w:r>
          </w:p>
        </w:tc>
        <w:tc>
          <w:tcPr>
            <w:tcW w:w="111" w:type="dxa"/>
            <w:tcBorders/>
            <w:shd w:fill="auto" w:val="clear"/>
            <w:vAlign w:val="bottom"/>
          </w:tcPr>
          <w:p>
            <w:pPr>
              <w:pStyle w:val="TableContents"/>
              <w:spacing w:before="0" w:after="283"/>
              <w:rPr/>
            </w:pPr>
            <w:r>
              <w:rPr/>
              <w:t> </w:t>
            </w:r>
          </w:p>
        </w:tc>
        <w:tc>
          <w:tcPr>
            <w:tcW w:w="14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29"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Exercise Price</w:t>
            </w:r>
          </w:p>
        </w:tc>
        <w:tc>
          <w:tcPr>
            <w:tcW w:w="111"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 Contractual Life</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 Intrinsic Value</w:t>
            </w:r>
          </w:p>
        </w:tc>
        <w:tc>
          <w:tcPr>
            <w:tcW w:w="135" w:type="dxa"/>
            <w:tcBorders/>
            <w:shd w:fill="auto" w:val="clear"/>
            <w:vAlign w:val="bottom"/>
          </w:tcPr>
          <w:p>
            <w:pPr>
              <w:pStyle w:val="TableContents"/>
              <w:spacing w:before="0" w:after="283"/>
              <w:jc w:val="left"/>
              <w:rPr/>
            </w:pPr>
            <w:r>
              <w:rPr/>
              <w:t> </w:t>
            </w:r>
          </w:p>
        </w:tc>
      </w:tr>
      <w:tr>
        <w:trPr/>
        <w:tc>
          <w:tcPr>
            <w:tcW w:w="396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January 1, 2011</w:t>
            </w:r>
          </w:p>
        </w:tc>
        <w:tc>
          <w:tcPr>
            <w:tcW w:w="111"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2,506,217</w:t>
            </w:r>
          </w:p>
        </w:tc>
        <w:tc>
          <w:tcPr>
            <w:tcW w:w="129"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384" w:type="dxa"/>
            <w:gridSpan w:val="2"/>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7" w:type="dxa"/>
            <w:gridSpan w:val="2"/>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r>
      <w:tr>
        <w:trPr/>
        <w:tc>
          <w:tcPr>
            <w:tcW w:w="396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1"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13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jc w:val="left"/>
              <w:rPr/>
            </w:pPr>
            <w:r>
              <w:rPr/>
              <w:t> </w:t>
            </w:r>
          </w:p>
        </w:tc>
        <w:tc>
          <w:tcPr>
            <w:tcW w:w="99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384" w:type="dxa"/>
            <w:gridSpan w:val="2"/>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77" w:type="dxa"/>
            <w:gridSpan w:val="2"/>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r>
      <w:tr>
        <w:trPr/>
        <w:tc>
          <w:tcPr>
            <w:tcW w:w="396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1"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999"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384" w:type="dxa"/>
            <w:gridSpan w:val="2"/>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7" w:type="dxa"/>
            <w:gridSpan w:val="2"/>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r>
      <w:tr>
        <w:trPr/>
        <w:tc>
          <w:tcPr>
            <w:tcW w:w="396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Cancelled/Forfeited</w:t>
            </w:r>
          </w:p>
        </w:tc>
        <w:tc>
          <w:tcPr>
            <w:tcW w:w="111"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(1,215,000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rPr/>
            </w:pPr>
            <w:r>
              <w:rPr/>
              <w:t> </w:t>
            </w:r>
          </w:p>
        </w:tc>
        <w:tc>
          <w:tcPr>
            <w:tcW w:w="2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384"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77"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r>
      <w:tr>
        <w:trPr/>
        <w:tc>
          <w:tcPr>
            <w:tcW w:w="396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September 30, 2011</w:t>
            </w:r>
          </w:p>
        </w:tc>
        <w:tc>
          <w:tcPr>
            <w:tcW w:w="111"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1,291,217</w:t>
            </w:r>
          </w:p>
        </w:tc>
        <w:tc>
          <w:tcPr>
            <w:tcW w:w="129"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21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4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r>
      <w:tr>
        <w:trPr/>
        <w:tc>
          <w:tcPr>
            <w:tcW w:w="396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Exercisable - September 30, 2011</w:t>
            </w:r>
          </w:p>
        </w:tc>
        <w:tc>
          <w:tcPr>
            <w:tcW w:w="111" w:type="dxa"/>
            <w:tcBorders/>
            <w:shd w:fill="FFFFFF" w:val="clear"/>
            <w:vAlign w:val="bottom"/>
          </w:tcPr>
          <w:p>
            <w:pPr>
              <w:pStyle w:val="TableContents"/>
              <w:spacing w:before="0" w:after="283"/>
              <w:rPr/>
            </w:pPr>
            <w:r>
              <w:rPr/>
              <w:t> </w:t>
            </w:r>
          </w:p>
        </w:tc>
        <w:tc>
          <w:tcPr>
            <w:tcW w:w="11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1,183,217</w:t>
            </w:r>
          </w:p>
        </w:tc>
        <w:tc>
          <w:tcPr>
            <w:tcW w:w="129"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21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6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4.84</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47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FFFFFF" w:val="clear"/>
            <w:vAlign w:val="bottom"/>
          </w:tcPr>
          <w:p>
            <w:pPr>
              <w:pStyle w:val="TableContents"/>
              <w:spacing w:before="0" w:after="283"/>
              <w:jc w:val="left"/>
              <w:rPr/>
            </w:pPr>
            <w:r>
              <w:rPr/>
              <w:t> </w:t>
            </w:r>
          </w:p>
        </w:tc>
      </w:tr>
      <w:tr>
        <w:trPr/>
        <w:tc>
          <w:tcPr>
            <w:tcW w:w="396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 and expected to vest - September 30, 2011</w:t>
            </w:r>
          </w:p>
        </w:tc>
        <w:tc>
          <w:tcPr>
            <w:tcW w:w="111"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1,280,417</w:t>
            </w:r>
          </w:p>
        </w:tc>
        <w:tc>
          <w:tcPr>
            <w:tcW w:w="129"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21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5.01</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4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2011, based on the closing price of the Company’s common stock of $0.08 on that date.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8"/>
      <w:bookmarkStart w:id="86" w:name="PGBRK8"/>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8"/>
      <w:bookmarkStart w:id="88" w:name="FTR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 w:name="GLFTR8"/>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8"/>
      <w:bookmarkEnd w:id="90"/>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8"/>
      <w:bookmarkStart w:id="92" w:name="HDR8"/>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 w:name="GLHDR8"/>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Company did not issue any options during the nine months ended September 30, 2011 and the Company cancelled 1,215,000 stock options during the nine months ended September 30, 2011.  These options were cancelled due to the resignation of the optionees during the nine months ended September 30, 2011.  The Company recorded stock-based compensation related to stock options for employees and directors of $145,830, which is included in selling, general and administrative expenses and research and development expenses in the amount of $108,036 and $37,794,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September 30, 2011, there was approximately $107,162 of total unrecognized compensation expense related to unvested stock options under the Plan. That expense is expected to be recognized over the weighted-average period of 1.42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8.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issued warrants to purchase shares of its common stock in conjunction with private placement offerings in 2007 and 2008 and a consulting agreement in 2008. The expiration of the outstanding warrants occurs through May 2013 at various periods.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status of the warrants for the nine months ended September 30, 2011 is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24"/>
        <w:gridCol w:w="118"/>
        <w:gridCol w:w="124"/>
        <w:gridCol w:w="1224"/>
        <w:gridCol w:w="128"/>
        <w:gridCol w:w="118"/>
        <w:gridCol w:w="178"/>
        <w:gridCol w:w="1060"/>
        <w:gridCol w:w="131"/>
      </w:tblGrid>
      <w:tr>
        <w:trPr/>
        <w:tc>
          <w:tcPr>
            <w:tcW w:w="7124"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2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Exercise Price</w:t>
            </w:r>
          </w:p>
        </w:tc>
        <w:tc>
          <w:tcPr>
            <w:tcW w:w="131" w:type="dxa"/>
            <w:tcBorders/>
            <w:shd w:fill="auto" w:val="clear"/>
            <w:vAlign w:val="bottom"/>
          </w:tcPr>
          <w:p>
            <w:pPr>
              <w:pStyle w:val="TableContents"/>
              <w:spacing w:before="0" w:after="283"/>
              <w:jc w:val="left"/>
              <w:rPr/>
            </w:pPr>
            <w:r>
              <w:rPr/>
              <w:t> </w:t>
            </w:r>
          </w:p>
        </w:tc>
      </w:tr>
      <w:tr>
        <w:trPr/>
        <w:tc>
          <w:tcPr>
            <w:tcW w:w="7124"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48"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71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2011</w:t>
            </w:r>
          </w:p>
        </w:tc>
        <w:tc>
          <w:tcPr>
            <w:tcW w:w="11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768,980</w:t>
            </w:r>
          </w:p>
        </w:tc>
        <w:tc>
          <w:tcPr>
            <w:tcW w:w="12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131" w:type="dxa"/>
            <w:tcBorders/>
            <w:shd w:fill="CCEEFF" w:val="clear"/>
            <w:vAlign w:val="bottom"/>
          </w:tcPr>
          <w:p>
            <w:pPr>
              <w:pStyle w:val="TableContents"/>
              <w:spacing w:before="0" w:after="283"/>
              <w:jc w:val="left"/>
              <w:rPr/>
            </w:pPr>
            <w:r>
              <w:rPr/>
              <w:t> </w:t>
            </w:r>
          </w:p>
        </w:tc>
      </w:tr>
      <w:tr>
        <w:trPr/>
        <w:tc>
          <w:tcPr>
            <w:tcW w:w="71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71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r>
      <w:tr>
        <w:trPr/>
        <w:tc>
          <w:tcPr>
            <w:tcW w:w="71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8"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rPr/>
            </w:pPr>
            <w:r>
              <w:rPr/>
              <w:t> </w:t>
            </w:r>
          </w:p>
        </w:tc>
        <w:tc>
          <w:tcPr>
            <w:tcW w:w="17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1" w:type="dxa"/>
            <w:tcBorders/>
            <w:shd w:fill="FFFFFF" w:val="clear"/>
            <w:vAlign w:val="bottom"/>
          </w:tcPr>
          <w:p>
            <w:pPr>
              <w:pStyle w:val="TableContents"/>
              <w:spacing w:before="0" w:after="283"/>
              <w:jc w:val="left"/>
              <w:rPr/>
            </w:pPr>
            <w:r>
              <w:rPr/>
              <w:t> </w:t>
            </w:r>
          </w:p>
        </w:tc>
      </w:tr>
      <w:tr>
        <w:trPr/>
        <w:tc>
          <w:tcPr>
            <w:tcW w:w="712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September 30, 2011</w:t>
            </w:r>
          </w:p>
        </w:tc>
        <w:tc>
          <w:tcPr>
            <w:tcW w:w="118"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763,980</w:t>
            </w:r>
          </w:p>
        </w:tc>
        <w:tc>
          <w:tcPr>
            <w:tcW w:w="12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31" w:type="dxa"/>
            <w:tcBorders/>
            <w:shd w:fill="CCEEFF" w:val="clear"/>
            <w:vAlign w:val="bottom"/>
          </w:tcPr>
          <w:p>
            <w:pPr>
              <w:pStyle w:val="TableContents"/>
              <w:spacing w:before="0" w:after="283"/>
              <w:jc w:val="left"/>
              <w:rPr/>
            </w:pPr>
            <w:r>
              <w:rPr/>
              <w:t> </w:t>
            </w:r>
          </w:p>
        </w:tc>
      </w:tr>
      <w:tr>
        <w:trPr/>
        <w:tc>
          <w:tcPr>
            <w:tcW w:w="712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September 30, 2011</w:t>
            </w:r>
          </w:p>
        </w:tc>
        <w:tc>
          <w:tcPr>
            <w:tcW w:w="118"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2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9.  GAIN ON FORGIVENESS OF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senior convertible promissory note (the “Note”) in April 2010 (see Note 5). When the Note was issued, the final installment payment of $13,149 was paid and the $26,299 was recognized as a gain by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 w:name="PGBRK9"/>
      <w:bookmarkStart w:id="95" w:name="PGBRK9"/>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FTR9"/>
      <w:bookmarkStart w:id="97" w:name="FTR9"/>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 w:name="GLFTR9"/>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 w:name="PN9"/>
      <w:bookmarkEnd w:id="9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HDR9"/>
      <w:bookmarkStart w:id="101" w:name="HDR9"/>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 w:name="GLHDR9"/>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10.  COMMITMENTS AND CONTINGENCIES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leased its office facilities under a noncancelable operating lease, which expired in December 31, 2010. The Company renewed the lease from January 1, 2011 to June 30, 2011, with a monthly amount due of $3,835.  For the remaining fiscal year 2011, the Company’s lease commitment is approximately $0.  Rent expense for the three and nine months ended September 30, 2011 was $0 and $24,384. The Company entered into a new lease agreement for office facilities effective February 15, 2012 to February 28, 2014.  Monthly rent begins on March 1, 2012 in the amount of $2,972 for the first 12 months, and $3,715 is due monthly for the next 12 months.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center"/>
        <w:rPr/>
      </w:pPr>
      <w:r>
        <w:rPr/>
      </w:r>
      <w:bookmarkStart w:id="103" w:name="FIS_SUBSEQUENT_EVENTS"/>
      <w:bookmarkStart w:id="104" w:name="FIS_SUBSEQUENT_EVENTS"/>
      <w:bookmarkEnd w:id="104"/>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Products Consulting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The June 2011 agreement automatically terminated on August 12, 2011, no revenues or amounts were or are expected to be paid to or on behalf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License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September 30,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or are expected to be paid to or on behalf of the Company related to this agreement.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10"/>
      <w:bookmarkStart w:id="106" w:name="PGBRK10"/>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10"/>
      <w:bookmarkStart w:id="108" w:name="FTR10"/>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10"/>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10"/>
      <w:bookmarkEnd w:id="110"/>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10"/>
      <w:bookmarkStart w:id="112" w:name="HDR1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10"/>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the Company recorded a total expense of approximately $174,000 for the value of the modifications to the stock options. As of September 30, 2011, no amounts were due under the 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Suspension of Payroll – March 1,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March 1, 2011, the Board of Directors of the Company suspended all payroll.  Any time incurred and billed for projects or follow-up performed by the employees will be accrued based on their current hourly amount.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performed an evaluation of events occurring subsequent to the period end through the issuance date of this report. Based on our evaluation, nothing other than the events described below need to be disclosed.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Management and Board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December 16, 2011, upon the unanimous consent of the Board, Mark L. Baum and Dr. Robert J. Kammer joined the Board of Directors, each to serve until his resignation or removal or until his successor is duly elected and qualified.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Effective December 16, 2011, Anthony S. Thornley resigned as a director from the Company’s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16, 2011, Terry Nida resigned as Principal Executive Officer and Principal Financial Officer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January 1, 2012, the Board appointed Balbir Brar, D.V.M., Ph.D. as President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 2012, the Board appointed Andrew R. Boll as Vice-President of Accounting and Public Reporting and Principal Accounting and Financial Officer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15, 2012, the Board appointed Joachim Schupp, M.D. as Chief Medical Officer of the Company, Paul Finnegan, M.D. as a director of the Company and Balbir Brar as a director of the Company.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Bankruptcy Petition and Dismissal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described in Note 3, 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11"/>
      <w:bookmarkStart w:id="115" w:name="PGBRK11"/>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11"/>
      <w:bookmarkStart w:id="117" w:name="FTR11"/>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11"/>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11"/>
      <w:bookmarkEnd w:id="119"/>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11"/>
      <w:bookmarkStart w:id="121" w:name="HDR11"/>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11"/>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Change in Control - Preferred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Convertible Preferred Stock (the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however, following shareholder action and approval to increase the number of authorized shares of Common Stock through an amendment to the Company’s Amended and Restated Certificate of Incorporation,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Secured Line of Credit – Related Party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January 25, 2012, the Board of Directors of the Company approved, and the Company entered into, separate waiver and settlement agreements with the two parties holding a $1,000,000 7.5% convertible promissory note (the “Convertible Note”) issued by the Company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$0.01667 (“DermaStar Conversion Price”). Additionally, DermaStar agreed to a mandatory conversion of an additional $56,087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Convertible Note held by Mr. Ladonnikov, at such time as (and not until) the Company has a sufficient number of authorized common shares to effect such a conversion, into the common stock of the Company at a conversion price of $0.015. Additionally, Mr. Ladonnikov agreed to make a one-time payment to the Company, at such time as the Convertible Note is converted into Company common stock, of $50,000.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any time prior to the automatic conversions of the Convertible Note, the Company retains the right to pay the Convertible Note off in full. As of February 14, 2012, the balance of the Convertible Note, including principal and accrued and unpaid interest, equals approximately $1,139,932. At maturity, to the extent the number of authorized Company common shares was increased, the conversion of the Convertible Note and AP Conversion would result in the issuance of approximately 73,269,391 additional shares of the Company’s common stock. A conversion of the Convertible Note would eliminate all amounts due to DermaStar and Alexej Ladonnikov in connection with the Convertible Note.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12"/>
      <w:bookmarkStart w:id="124" w:name="PGBRK1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12"/>
      <w:bookmarkStart w:id="126" w:name="FTR12"/>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 w:name="GLFTR12"/>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12"/>
      <w:bookmarkEnd w:id="12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12"/>
      <w:bookmarkStart w:id="130" w:name="HDR12"/>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 w:name="GLHDR12"/>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 to Certificate of Incorporation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Amendments to 2007 Incentive Stock and Awards Plan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13"/>
      <w:bookmarkStart w:id="133" w:name="PGBRK13"/>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13"/>
      <w:bookmarkStart w:id="135" w:name="FTR13"/>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 w:name="GLFTR13"/>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 w:name="PN13"/>
      <w:bookmarkEnd w:id="13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HDR13"/>
      <w:bookmarkStart w:id="139" w:name="HDR13"/>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 w:name="GLHDR13"/>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rPr/>
      </w:pPr>
      <w:r>
        <w:rPr/>
      </w:r>
    </w:p>
    <w:p>
      <w:pPr>
        <w:pStyle w:val="TextBody"/>
        <w:spacing w:before="0" w:after="0"/>
        <w:ind w:left="0" w:right="0" w:firstLine="720"/>
        <w:jc w:val="left"/>
        <w:rPr/>
      </w:pPr>
      <w:r>
        <w:rPr/>
        <w:t> </w:t>
      </w:r>
      <w:r>
        <w:rPr>
          <w:rFonts w:ascii="Times New Roman" w:hAnsi="Times New Roman"/>
          <w:sz w:val="20"/>
        </w:rPr>
        <w:t>For the next twelve months, our current operating plan is focused on the development of our lead drug, Ketotransdel® for the indication of acute pain, inflammation and swelling associated with soft tissue injuries, development of cosmetic products and co-development opportunities in other therapeutic areas utilizing our Transdel™ platform technology.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Clinical Program for Ketotransdel®</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As we reported in October 2009, the top-line results showed that the study demonstrated failed to meet its primary endpoint, although a post-hoc analysis revealed that a modified intent-to-treat analysis showed statistical significance favoring Ketotransdel®..  There were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January 2010, we reported on further post-hoc analyses of the ITT data from the Ketotransdel®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 compared to placebo vehicle)..  This post-hoc analysis was confirmed by a third-party statistical expert.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4"/>
      <w:bookmarkStart w:id="142" w:name="PGBRK14"/>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4"/>
      <w:bookmarkStart w:id="144" w:name="FTR14"/>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 w:name="GLFTR14"/>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4"/>
      <w:bookmarkEnd w:id="14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4"/>
      <w:bookmarkStart w:id="148" w:name="HDR14"/>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 w:name="GLHDR14"/>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Based on discussions with the FDA at least two adequate and well-controlled Phase 3 studies are required in order to obtain  regulatory approval to market Ketotransdel®.  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505(b)(2)application in a timely manner.  We expect that Ketotransdel®, if and when approved by the FDA, could become the first topical ketoprofen and the first NSAID cream product available by prescription in the United States for acute, localized pain management.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 Development Program</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expanded our product development programs to include cosmetic products, which utilize our patented transdermal delivery system technology, TransdelTM.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The June 12, 2011agreement automatically terminated on August 12, 2011, no revenues or amounts were paid to or on behalf of the Company.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Times New Roman" w:hAnsi="Times New Roman"/>
          <w:b/>
          <w:sz w:val="20"/>
        </w:rPr>
        <w:t>.  </w:t>
      </w:r>
      <w:r>
        <w:rPr>
          <w:rFonts w:ascii="Times New Roman" w:hAnsi="Times New Roman"/>
          <w:sz w:val="20"/>
        </w:rPr>
        <w:t>As of December 31, 2010, we received $80,000 in advance non-refundable royalty payments and $20,000 during April 2011.  The Company has exercised its termination rights under the license agreement and terminated this contract effective January 30, 2012.</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The Company and JMSR mutually terminated this contract effective January 30, 2012.  No revenues or amounts were paid to or on behalf of the Company related to this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Product Development Programs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 or the use of consultants.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15"/>
      <w:bookmarkStart w:id="151" w:name="PGBRK15"/>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15"/>
      <w:bookmarkStart w:id="153" w:name="FTR15"/>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4" w:name="GLFTR15"/>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15"/>
      <w:bookmarkEnd w:id="155"/>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HDR15"/>
      <w:bookmarkStart w:id="157" w:name="HDR15"/>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 w:name="GLHDR15"/>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Summary of Recent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Secured Line of Credit – Related Party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Change in Control – Preferred Stock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Effective as of January 25, 2012, we entered into separate waiver and settlement agreements with the two parties holding a $1,000,000 7.5% convertible promissory note (the “</w:t>
      </w:r>
      <w:r>
        <w:rPr>
          <w:rFonts w:ascii="Times New Roman" w:hAnsi="Times New Roman"/>
          <w:sz w:val="20"/>
          <w:u w:val="single"/>
        </w:rPr>
        <w:t>Convertible Note</w:t>
      </w:r>
      <w:r>
        <w:rPr>
          <w:rFonts w:ascii="Times New Roman" w:hAnsi="Times New Roman"/>
          <w:sz w:val="20"/>
        </w:rPr>
        <w:t>”) issued by us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 w:name="PGBRK16"/>
      <w:bookmarkStart w:id="160" w:name="PGBRK16"/>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 w:name="FTR16"/>
      <w:bookmarkStart w:id="162" w:name="FTR16"/>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3" w:name="GLFTR16"/>
      <w:bookmarkEnd w:id="1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4" w:name="PN16"/>
      <w:bookmarkEnd w:id="164"/>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HDR16"/>
      <w:bookmarkStart w:id="166" w:name="HDR16"/>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7" w:name="GLHDR16"/>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68" w:name="TAB1"/>
      <w:bookmarkEnd w:id="168"/>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Times New Roman" w:hAnsi="Times New Roman"/>
          <w:sz w:val="20"/>
          <w:u w:val="single"/>
        </w:rPr>
        <w:t>DermaStar Waiver Agreement</w:t>
      </w:r>
      <w:r>
        <w:rPr>
          <w:rFonts w:ascii="Times New Roman" w:hAnsi="Times New Roman"/>
          <w:sz w:val="20"/>
        </w:rPr>
        <w:t>”), we and DermaStar agreed to the mandatory conversion of the 80% of the principal and accrued and unpaid interest of the Convertible Note held by DermaStar, at such time as we have a sufficient number of authorized common shares to effect such a conversion, into our common stock at a conversion price of $0.01667 (“</w:t>
      </w:r>
      <w:r>
        <w:rPr>
          <w:rFonts w:ascii="Times New Roman" w:hAnsi="Times New Roman"/>
          <w:sz w:val="20"/>
          <w:u w:val="single"/>
        </w:rPr>
        <w:t>DermaStar Conversion Price</w:t>
      </w:r>
      <w:r>
        <w:rPr>
          <w:rFonts w:ascii="Times New Roman" w:hAnsi="Times New Roman"/>
          <w:sz w:val="20"/>
        </w:rPr>
        <w:t>”).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waiver and settlement agreement with Mr. Ladonnikov (the “Ladonnikov Waiver Agreement”), we and Mr. Ladonnikov agreed to the mandatory conversion of the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At any time prior to the automatic conversions of the Convertible Note we retain the right to prepay the Convertible Note in full. As of February 14,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 to Certificate of Incorporation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Amendments to 2007 Incentive Stock and Awards Plan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 w:name="PGBRK17"/>
      <w:bookmarkStart w:id="170" w:name="PGBRK17"/>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FTR17"/>
      <w:bookmarkStart w:id="172" w:name="FTR17"/>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3" w:name="GLFTR17"/>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4" w:name="PN17"/>
      <w:bookmarkEnd w:id="17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HDR17"/>
      <w:bookmarkStart w:id="176" w:name="HDR17"/>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 w:name="GLHDR17"/>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Changes in Management and Board of Directors</w:t>
      </w:r>
    </w:p>
    <w:p>
      <w:pPr>
        <w:pStyle w:val="TextBody"/>
        <w:spacing w:before="0" w:after="0"/>
        <w:ind w:left="0" w:right="0" w:hanging="0"/>
        <w:rPr/>
      </w:pPr>
      <w:r>
        <w:rPr/>
      </w:r>
    </w:p>
    <w:p>
      <w:pPr>
        <w:pStyle w:val="TextBody"/>
        <w:spacing w:before="0" w:after="0"/>
        <w:ind w:left="0" w:right="0" w:firstLine="540"/>
        <w:jc w:val="left"/>
        <w:rPr>
          <w:rFonts w:ascii="Times New Roman" w:hAnsi="Times New Roman"/>
          <w:sz w:val="20"/>
        </w:rPr>
      </w:pPr>
      <w:r>
        <w:rPr>
          <w:rFonts w:ascii="Times New Roman" w:hAnsi="Times New Roman"/>
          <w:sz w:val="20"/>
        </w:rPr>
        <w:t>As a result of the Chapter 11 Case, our management team has undergone significant changes during the fiscal year ending December 31, 2011.  The Board accepted the resignation of John N. Bonfiglio, Ph.D. as Chief Executive Officer and President of the Company and as a director on the Board, effective May 13, 2011. On the same date, the Board appointed John T. Lomoro, to serve as the Company’s Principal Executive Officer.  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rPr/>
      </w:pPr>
      <w:r>
        <w:rPr/>
      </w:r>
    </w:p>
    <w:p>
      <w:pPr>
        <w:pStyle w:val="TextBody"/>
        <w:spacing w:before="0" w:after="0"/>
        <w:ind w:left="0" w:right="0" w:firstLine="540"/>
        <w:jc w:val="left"/>
        <w:rPr>
          <w:rFonts w:ascii="Times New Roman" w:hAnsi="Times New Roman"/>
          <w:sz w:val="20"/>
        </w:rPr>
      </w:pPr>
      <w:r>
        <w:rPr>
          <w:rFonts w:ascii="Times New Roman" w:hAnsi="Times New Roman"/>
          <w:sz w:val="20"/>
        </w:rPr>
        <w:t>Our Board of Directors has also undergone significant change.  Effective December 16, 2011, Mark L. Baum and Dr. Robert J. Kammer joined the Board of Directors.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  Also effective December 16, 2011, Anthony S. Thornley resigned as a director from the Company’s Board of Directors.  Effective February 15, 2012, Paul Finnegan, M.D. and Dr. Brar, our President, were appointed as directors of the Company.  We currently have five directors:  Jeffrey Abrams, M.D., Mr. Baum, Dr. Kammer, Dr. Finnegan and Dr. Brar.  Mr. Baum serves as the Chairman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543"/>
        <w:gridCol w:w="96"/>
        <w:gridCol w:w="125"/>
        <w:gridCol w:w="895"/>
        <w:gridCol w:w="96"/>
        <w:gridCol w:w="96"/>
        <w:gridCol w:w="125"/>
        <w:gridCol w:w="940"/>
        <w:gridCol w:w="96"/>
        <w:gridCol w:w="96"/>
        <w:gridCol w:w="96"/>
        <w:gridCol w:w="966"/>
        <w:gridCol w:w="104"/>
        <w:gridCol w:w="96"/>
        <w:gridCol w:w="125"/>
        <w:gridCol w:w="940"/>
        <w:gridCol w:w="96"/>
        <w:gridCol w:w="96"/>
        <w:gridCol w:w="125"/>
        <w:gridCol w:w="1006"/>
        <w:gridCol w:w="96"/>
        <w:gridCol w:w="96"/>
        <w:gridCol w:w="96"/>
        <w:gridCol w:w="1032"/>
        <w:gridCol w:w="127"/>
      </w:tblGrid>
      <w:tr>
        <w:trPr/>
        <w:tc>
          <w:tcPr>
            <w:tcW w:w="2543"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227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September 30,</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966"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04"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238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Nine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September 30,</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032"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7" w:type="dxa"/>
            <w:tcBorders/>
            <w:shd w:fill="auto" w:val="clear"/>
            <w:vAlign w:val="bottom"/>
          </w:tcPr>
          <w:p>
            <w:pPr>
              <w:pStyle w:val="TableContents"/>
              <w:spacing w:before="0" w:after="283"/>
              <w:jc w:val="center"/>
              <w:rPr/>
            </w:pPr>
            <w:r>
              <w:rPr/>
              <w:t> </w:t>
            </w:r>
          </w:p>
        </w:tc>
      </w:tr>
      <w:tr>
        <w:trPr/>
        <w:tc>
          <w:tcPr>
            <w:tcW w:w="2543" w:type="dxa"/>
            <w:tcBorders/>
            <w:shd w:fill="auto" w:val="clear"/>
            <w:vAlign w:val="bottom"/>
          </w:tcPr>
          <w:p>
            <w:pPr>
              <w:pStyle w:val="TableContents"/>
              <w:spacing w:before="0" w:after="283"/>
              <w:jc w:val="center"/>
              <w:rPr/>
            </w:pPr>
            <w:r>
              <w:rPr/>
              <w:t xml:space="preserve">  </w:t>
            </w:r>
          </w:p>
        </w:tc>
        <w:tc>
          <w:tcPr>
            <w:tcW w:w="96" w:type="dxa"/>
            <w:tcBorders/>
            <w:shd w:fill="auto" w:val="clear"/>
            <w:vAlign w:val="bottom"/>
          </w:tcPr>
          <w:p>
            <w:pPr>
              <w:pStyle w:val="TableContents"/>
              <w:spacing w:before="0" w:after="283"/>
              <w:jc w:val="center"/>
              <w:rPr/>
            </w:pPr>
            <w:r>
              <w:rPr/>
              <w:t> </w:t>
            </w:r>
          </w:p>
        </w:tc>
        <w:tc>
          <w:tcPr>
            <w:tcW w:w="10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0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06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4"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940"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2011</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1006"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2010</w:t>
            </w:r>
          </w:p>
        </w:tc>
        <w:tc>
          <w:tcPr>
            <w:tcW w:w="9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1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7" w:type="dxa"/>
            <w:tcBorders/>
            <w:shd w:fill="auto" w:val="clear"/>
            <w:vAlign w:val="bottom"/>
          </w:tcPr>
          <w:p>
            <w:pPr>
              <w:pStyle w:val="TableContents"/>
              <w:spacing w:before="0" w:after="283"/>
              <w:jc w:val="left"/>
              <w:rPr/>
            </w:pPr>
            <w:r>
              <w:rPr/>
              <w:t> </w:t>
            </w:r>
          </w:p>
        </w:tc>
      </w:tr>
      <w:tr>
        <w:trPr/>
        <w:tc>
          <w:tcPr>
            <w:tcW w:w="2543"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Selling, general and administrative</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66,496</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584,983</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(518,487</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514,529</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1,750,380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(1,235,851</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78" w:name="TAB11"/>
      <w:bookmarkEnd w:id="178"/>
      <w:r>
        <w:rPr>
          <w:rFonts w:ascii="Times New Roman" w:hAnsi="Times New Roman"/>
          <w:sz w:val="20"/>
        </w:rPr>
        <w:t>For the three months ended and nine months ended September 30, 2011 the decrease of $518,487 and $1,235,851, respectively, in selling, general and administrative expense, as compared to the same periods in the prior year, were primarily a result of the suspension of payroll and primary business operations at and about March 1, 2011 and resignations of three staff members.  In addition, we recognized aggregate one-time expenses of approximately $416,000 during the same period in 2010 related to the separation agreement.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research and development expenses primarily include costs for the Ketotransdel®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317"/>
        <w:gridCol w:w="99"/>
        <w:gridCol w:w="256"/>
        <w:gridCol w:w="556"/>
        <w:gridCol w:w="99"/>
        <w:gridCol w:w="99"/>
        <w:gridCol w:w="151"/>
        <w:gridCol w:w="1017"/>
        <w:gridCol w:w="99"/>
        <w:gridCol w:w="98"/>
        <w:gridCol w:w="99"/>
        <w:gridCol w:w="1066"/>
        <w:gridCol w:w="115"/>
        <w:gridCol w:w="99"/>
        <w:gridCol w:w="151"/>
        <w:gridCol w:w="1017"/>
        <w:gridCol w:w="99"/>
        <w:gridCol w:w="99"/>
        <w:gridCol w:w="151"/>
        <w:gridCol w:w="1017"/>
        <w:gridCol w:w="98"/>
        <w:gridCol w:w="99"/>
        <w:gridCol w:w="99"/>
        <w:gridCol w:w="1066"/>
        <w:gridCol w:w="139"/>
      </w:tblGrid>
      <w:tr>
        <w:trPr/>
        <w:tc>
          <w:tcPr>
            <w:tcW w:w="2317"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jc w:val="center"/>
              <w:rPr/>
            </w:pPr>
            <w:r>
              <w:rPr/>
              <w:t> </w:t>
            </w:r>
          </w:p>
        </w:tc>
        <w:tc>
          <w:tcPr>
            <w:tcW w:w="217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September 30,</w:t>
            </w:r>
          </w:p>
        </w:tc>
        <w:tc>
          <w:tcPr>
            <w:tcW w:w="99"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066"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15"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253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Nine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September 30,</w:t>
            </w:r>
          </w:p>
        </w:tc>
        <w:tc>
          <w:tcPr>
            <w:tcW w:w="98"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066" w:type="dxa"/>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39" w:type="dxa"/>
            <w:tcBorders/>
            <w:shd w:fill="auto" w:val="clear"/>
            <w:vAlign w:val="bottom"/>
          </w:tcPr>
          <w:p>
            <w:pPr>
              <w:pStyle w:val="TableContents"/>
              <w:spacing w:before="0" w:after="283"/>
              <w:jc w:val="center"/>
              <w:rPr/>
            </w:pPr>
            <w:r>
              <w:rPr/>
              <w:t> </w:t>
            </w:r>
          </w:p>
        </w:tc>
      </w:tr>
      <w:tr>
        <w:trPr/>
        <w:tc>
          <w:tcPr>
            <w:tcW w:w="2317"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8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9"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99" w:type="dxa"/>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jc w:val="center"/>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15"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1017"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2011</w:t>
            </w:r>
          </w:p>
        </w:tc>
        <w:tc>
          <w:tcPr>
            <w:tcW w:w="99"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center"/>
              <w:rPr/>
            </w:pPr>
            <w:r>
              <w:rPr/>
              <w:t> </w:t>
            </w:r>
          </w:p>
        </w:tc>
        <w:tc>
          <w:tcPr>
            <w:tcW w:w="1017"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2010</w:t>
            </w:r>
          </w:p>
        </w:tc>
        <w:tc>
          <w:tcPr>
            <w:tcW w:w="98"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39" w:type="dxa"/>
            <w:tcBorders/>
            <w:shd w:fill="auto" w:val="clear"/>
            <w:vAlign w:val="bottom"/>
          </w:tcPr>
          <w:p>
            <w:pPr>
              <w:pStyle w:val="TableContents"/>
              <w:spacing w:before="0" w:after="283"/>
              <w:jc w:val="left"/>
              <w:rPr/>
            </w:pPr>
            <w:r>
              <w:rPr/>
              <w:t> </w:t>
            </w:r>
          </w:p>
        </w:tc>
      </w:tr>
      <w:tr>
        <w:trPr/>
        <w:tc>
          <w:tcPr>
            <w:tcW w:w="2317"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Research and development</w:t>
            </w:r>
          </w:p>
        </w:tc>
        <w:tc>
          <w:tcPr>
            <w:tcW w:w="99" w:type="dxa"/>
            <w:tcBorders/>
            <w:shd w:fill="CCEEFF" w:val="clear"/>
            <w:vAlign w:val="bottom"/>
          </w:tcPr>
          <w:p>
            <w:pPr>
              <w:pStyle w:val="TableContents"/>
              <w:spacing w:before="0" w:after="283"/>
              <w:rPr/>
            </w:pPr>
            <w:r>
              <w:rPr/>
              <w:t> </w:t>
            </w:r>
          </w:p>
        </w:tc>
        <w:tc>
          <w:tcPr>
            <w:tcW w:w="2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142,788</w:t>
            </w:r>
          </w:p>
        </w:tc>
        <w:tc>
          <w:tcPr>
            <w:tcW w:w="99"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(142,788</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344,900</w:t>
            </w:r>
          </w:p>
        </w:tc>
        <w:tc>
          <w:tcPr>
            <w:tcW w:w="9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(233,346</w:t>
            </w:r>
          </w:p>
        </w:tc>
        <w:tc>
          <w:tcPr>
            <w:tcW w:w="13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For the three and nine months ended September 30, 2011, the decrease of $142,788 and $233,346, respectively, in research and development expense, as compared to the same periods in the prior year, was primarily related to a decrease of activities for the Phase 3 study, clinical trials and staff/consulting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Expense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April 2010, we issued a two year Senior Convertible Promissory Note (the “Note”) to an existing investor through a private placement.  The Note includes an annual interest rate of 7.5 percent; therefore, interest expense on the Note was $18,904 for the three months ended September 30, 2011 and 2010 and $56,095 and $36,575 for the nine months ended September 30, 2011 and 2010, respectively.</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 w:name="PGBRK18"/>
      <w:bookmarkStart w:id="180" w:name="PGBRK18"/>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FTR18"/>
      <w:bookmarkStart w:id="182" w:name="FTR18"/>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3" w:name="GLFTR18"/>
      <w:bookmarkEnd w:id="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4" w:name="PN18"/>
      <w:bookmarkEnd w:id="184"/>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HDR18"/>
      <w:bookmarkStart w:id="186" w:name="HDR18"/>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7" w:name="GLHDR18"/>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Interest income was $0 and $215 for the three months ended, September 30, 2011 and 2010, respectively and $0 and $483 for the nine months ended September 30, 2011 and 2010, respectively. The decrease was due to a lower average cash balance during the three and nine month periods ended September 30, 2011, as compared to the same period in the prior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rPr/>
      </w:pPr>
      <w:r>
        <w:rPr/>
      </w:r>
    </w:p>
    <w:p>
      <w:pPr>
        <w:pStyle w:val="TextBody"/>
        <w:spacing w:before="0" w:after="0"/>
        <w:ind w:left="0" w:right="0" w:firstLine="720"/>
        <w:jc w:val="left"/>
        <w:rPr/>
      </w:pPr>
      <w:r>
        <w:rPr/>
        <w:t> </w:t>
      </w:r>
      <w:r>
        <w:rPr>
          <w:rFonts w:ascii="Times New Roman" w:hAnsi="Times New Roman"/>
          <w:sz w:val="20"/>
        </w:rPr>
        <w:t>Our cash on hand at September 30, 2011 and 2010 was $2,154 and $467,278, respectively.  The decrease in cash is primarily attributable the lack of financing commitments made during the nine months ended September 30, 2011 and the years ended December 31, 2010 and 2009 as compared to years prior, compounded by a lower beginning cash balance for the current period.  Since inception through September 30, 2011, we have incurred losses of approximately $18.1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further described under the “Recent Developments” heading of this Item, 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provides detailed information about our net cash flow for all financial statement periods presented in this Report.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63"/>
        <w:gridCol w:w="109"/>
        <w:gridCol w:w="127"/>
        <w:gridCol w:w="1046"/>
        <w:gridCol w:w="114"/>
        <w:gridCol w:w="109"/>
        <w:gridCol w:w="127"/>
        <w:gridCol w:w="1087"/>
        <w:gridCol w:w="123"/>
      </w:tblGrid>
      <w:tr>
        <w:trPr/>
        <w:tc>
          <w:tcPr>
            <w:tcW w:w="7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 xml:space="preserve">Cash Flow </w:t>
            </w:r>
            <w:r>
              <w:rPr>
                <w:rFonts w:ascii="times new roman" w:hAnsi="times new roman"/>
                <w:sz w:val="20"/>
              </w:rPr>
              <w:t>(All amounts in U.S. dollars)</w:t>
            </w:r>
          </w:p>
        </w:tc>
        <w:tc>
          <w:tcPr>
            <w:tcW w:w="109" w:type="dxa"/>
            <w:tcBorders/>
            <w:shd w:fill="auto" w:val="clear"/>
            <w:vAlign w:val="bottom"/>
          </w:tcPr>
          <w:p>
            <w:pPr>
              <w:pStyle w:val="TableContents"/>
              <w:spacing w:before="0" w:after="283"/>
              <w:rPr/>
            </w:pPr>
            <w:r>
              <w:rPr/>
              <w:t> </w:t>
            </w:r>
          </w:p>
        </w:tc>
        <w:tc>
          <w:tcPr>
            <w:tcW w:w="261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The Nine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September 30,</w:t>
            </w:r>
          </w:p>
        </w:tc>
        <w:tc>
          <w:tcPr>
            <w:tcW w:w="123" w:type="dxa"/>
            <w:tcBorders/>
            <w:shd w:fill="auto" w:val="clear"/>
            <w:vAlign w:val="bottom"/>
          </w:tcPr>
          <w:p>
            <w:pPr>
              <w:pStyle w:val="TableContents"/>
              <w:spacing w:before="0" w:after="283"/>
              <w:jc w:val="left"/>
              <w:rPr/>
            </w:pPr>
            <w:r>
              <w:rPr/>
              <w:t> </w:t>
            </w:r>
          </w:p>
        </w:tc>
      </w:tr>
      <w:tr>
        <w:trPr/>
        <w:tc>
          <w:tcPr>
            <w:tcW w:w="7363"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11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3" w:type="dxa"/>
            <w:tcBorders/>
            <w:shd w:fill="auto"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(316,845</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(2,122,495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23" w:type="dxa"/>
            <w:tcBorders/>
            <w:shd w:fill="CCEEFF" w:val="clear"/>
            <w:vAlign w:val="bottom"/>
          </w:tcPr>
          <w:p>
            <w:pPr>
              <w:pStyle w:val="TableContents"/>
              <w:spacing w:before="0" w:after="283"/>
              <w:jc w:val="left"/>
              <w:rPr/>
            </w:pPr>
            <w:r>
              <w:rPr/>
              <w:t> </w:t>
            </w:r>
          </w:p>
        </w:tc>
      </w:tr>
      <w:tr>
        <w:trPr/>
        <w:tc>
          <w:tcPr>
            <w:tcW w:w="7363"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(289,308</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(1,122,495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the Period</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23" w:type="dxa"/>
            <w:tcBorders/>
            <w:shd w:fill="FFFFFF" w:val="clear"/>
            <w:vAlign w:val="bottom"/>
          </w:tcPr>
          <w:p>
            <w:pPr>
              <w:pStyle w:val="TableContents"/>
              <w:spacing w:before="0" w:after="283"/>
              <w:jc w:val="left"/>
              <w:rPr/>
            </w:pPr>
            <w:r>
              <w:rPr/>
              <w:t> </w:t>
            </w:r>
          </w:p>
        </w:tc>
      </w:tr>
      <w:tr>
        <w:trPr/>
        <w:tc>
          <w:tcPr>
            <w:tcW w:w="73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the Period</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467,278</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Operating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operating activities was $316,845 for the nine months ended September 30, 2011, as compared to $2,122,495 used in operating activities during the same period for the prior year. The decrease in net cash used in operating activities was mainly due to management minimizing certain administrative expenses, suspension of payroll at March 1, 2011, and lengthening our accounts payable payment process.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Investing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investing activities for the nine months ended September 30, 2011 and 2010 was $0, as the Company is currently devoting almost all of its cash resources to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88" w:name="page_48"/>
      <w:bookmarkEnd w:id="188"/>
      <w:r>
        <w:rPr>
          <w:rFonts w:ascii="Times New Roman" w:hAnsi="Times New Roman"/>
          <w:b/>
          <w:sz w:val="20"/>
        </w:rPr>
        <w:t>Financing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provided by financing activities for the nine months ended September 30, 2011 and 2010 was $27,537 and $1,000,000, respectively.  The decrease of net cash provided by financing activities was attributable to the issuance of a Senior Convertible Note with a principal balance of $1,000,000 issued in exchange for cash of the same amount during April of 2010.  During the nine months ended September 30, 2011, the Company received cash advances from its Board members, Mr. Thornley and Abrams, in the amount of $27,537 to pay for insurance policies of the Company.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limited funds to support our operations.  We have prepared our condensed consolidated financial statements in this Form 10-Q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   In order to conduct the second Phase 3 trial and the other routine supportive safety studies that are required in order to obtain regulatory approval to market Ketotransdel®, we will need to secure additional funds.  We intend to seek additional financing to fund the clinical requirements for Ketotransdel® as well as to continue our cosmetic program and to explore co-development opportunities.  If adequate financing is not available, we will not be able to meet the FDA’s requirements to obtain regulatory approval to market Ketotransdel®.</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9"/>
      <w:bookmarkStart w:id="190" w:name="PGBRK19"/>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9"/>
      <w:bookmarkStart w:id="192" w:name="FTR19"/>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9"/>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9"/>
      <w:bookmarkEnd w:id="194"/>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9"/>
      <w:bookmarkStart w:id="196" w:name="HDR19"/>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9"/>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left"/>
        <w:rPr/>
      </w:pPr>
      <w:r>
        <w:rPr/>
      </w:r>
      <w:bookmarkStart w:id="198" w:name="eolPage15"/>
      <w:bookmarkStart w:id="199" w:name="eolPage15"/>
      <w:bookmarkEnd w:id="199"/>
    </w:p>
    <w:p>
      <w:pPr>
        <w:pStyle w:val="TextBody"/>
        <w:spacing w:before="0" w:after="0"/>
        <w:ind w:left="0" w:right="0" w:firstLine="720"/>
        <w:jc w:val="left"/>
        <w:rPr>
          <w:rFonts w:ascii="Times New Roman" w:hAnsi="Times New Roman"/>
          <w:sz w:val="20"/>
        </w:rPr>
      </w:pPr>
      <w:r>
        <w:rPr>
          <w:rFonts w:ascii="Times New Roman" w:hAnsi="Times New Roman"/>
          <w:sz w:val="20"/>
        </w:rPr>
        <w:t>As reported in the Report of Independent Registered Public Accounting Firm on our December 31, 2010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fifteen months, this too factored into our public accounting firm’s doubt we will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00" w:name="V122485_10Q_HTM_EOLPAGE16"/>
      <w:bookmarkStart w:id="201" w:name="eolPage16"/>
      <w:bookmarkEnd w:id="200"/>
      <w:bookmarkEnd w:id="201"/>
      <w:r>
        <w:rPr>
          <w:rFonts w:ascii="Times New Roman" w:hAnsi="Times New Roman"/>
          <w:b/>
          <w:sz w:val="20"/>
        </w:rPr>
        <w:t>Critical Accounting Policies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Our </w:t>
      </w:r>
      <w:bookmarkStart w:id="202" w:name="V122485_10Q_HTM_V113417_10Q_HTM_EOLPAGE2"/>
      <w:bookmarkEnd w:id="202"/>
      <w:r>
        <w:rPr>
          <w:rFonts w:ascii="Times New Roman" w:hAnsi="Times New Roman"/>
          <w:sz w:val="20"/>
        </w:rPr>
        <w:t>most critical accounting policies and estimates that may materially impact our results of operations include: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i/>
          <w:sz w:val="20"/>
        </w:rPr>
        <w:t>Stock-Based Compensation.</w:t>
      </w:r>
      <w:r>
        <w:rPr>
          <w:rFonts w:ascii="Times New Roman" w:hAnsi="Times New Roman"/>
          <w:sz w:val="20"/>
        </w:rPr>
        <w:t>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i/>
          <w:sz w:val="20"/>
        </w:rPr>
        <w:t>Tax Liabilities.</w:t>
      </w:r>
      <w:r>
        <w:rPr>
          <w:rFonts w:ascii="Times New Roman" w:hAnsi="Times New Roman"/>
          <w:sz w:val="20"/>
        </w:rPr>
        <w:t>  As part of the process of preparing our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20"/>
      <w:bookmarkStart w:id="204" w:name="PGBRK20"/>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FTR20"/>
      <w:bookmarkStart w:id="206" w:name="FTR20"/>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7" w:name="GLFTR20"/>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8" w:name="PN20"/>
      <w:bookmarkEnd w:id="208"/>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HDR20"/>
      <w:bookmarkStart w:id="210" w:name="HDR20"/>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1" w:name="GLHDR20"/>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w:t>
      </w:r>
    </w:p>
    <w:p>
      <w:pPr>
        <w:pStyle w:val="TextBody"/>
        <w:spacing w:before="0" w:after="0"/>
        <w:ind w:left="0" w:right="0" w:hanging="0"/>
        <w:jc w:val="both"/>
        <w:rPr/>
      </w:pPr>
      <w:r>
        <w:rPr/>
      </w:r>
      <w:bookmarkStart w:id="212" w:name="V122485_10Q_HTM_EOLPAGE17"/>
      <w:bookmarkStart w:id="213" w:name="V122485_10Q_HTM_EOLPAGE17"/>
      <w:bookmarkEnd w:id="213"/>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Times New Roman" w:hAnsi="Times New Roman"/>
          <w:sz w:val="20"/>
        </w:rPr>
        <w:t>Recent accounting pronouncements issued by the FASB did not or are not believed by management to have a material impact on our present or future condensed consolidated financial statements.</w:t>
      </w:r>
    </w:p>
    <w:p>
      <w:pPr>
        <w:pStyle w:val="TextBody"/>
        <w:spacing w:before="0" w:after="0"/>
        <w:ind w:left="0" w:right="0" w:hanging="0"/>
        <w:jc w:val="left"/>
        <w:rPr/>
      </w:pPr>
      <w:r>
        <w:rPr/>
      </w:r>
      <w:bookmarkStart w:id="214" w:name="v122485_10q_htm_v113417_10q_htm_"/>
      <w:bookmarkStart w:id="215" w:name="item_1_3_4"/>
      <w:bookmarkStart w:id="216" w:name="v122485_10q_htm_v113417_10q_htm_"/>
      <w:bookmarkStart w:id="217" w:name="item_1_3_4"/>
      <w:bookmarkEnd w:id="216"/>
      <w:bookmarkEnd w:id="217"/>
    </w:p>
    <w:p>
      <w:pPr>
        <w:pStyle w:val="TextBody"/>
        <w:spacing w:before="0" w:after="0"/>
        <w:ind w:left="0" w:right="0" w:hanging="0"/>
        <w:jc w:val="left"/>
        <w:rPr>
          <w:rFonts w:ascii="Times New Roman" w:hAnsi="Times New Roman"/>
          <w:b/>
          <w:sz w:val="20"/>
        </w:rPr>
      </w:pPr>
      <w:r>
        <w:rPr>
          <w:rFonts w:ascii="Times New Roman" w:hAnsi="Times New Roman"/>
          <w:b/>
          <w:sz w:val="20"/>
        </w:rPr>
        <w:t>ITEM 4. CONTROLS AND PROCEDURES.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required by Rule 13a-15 under the Exchange Act, our management, including our Principal Executive Officer and Principal Accounting and Financial Officer, evaluated the effectiveness of the design and operation of our disclosure controls and procedures as of September 30, 2011.  Based on that evaluation, our Principal Executive Officer and Principal Accounting and Financial Officer concluded that as of September 30, 2011, and as of the date that the evaluation of the effectiveness of our disclosure controls and procedures was completed, our disclosure controls and procedures are not effective to satisfy the objectives for which they are intended due to the material weakness noted in our internal controls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our Principal Executive Officer and Principal Accounting and Financial Officer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p>
      <w:pPr>
        <w:pStyle w:val="Normal"/>
        <w:spacing w:before="0" w:after="0"/>
        <w:rPr>
          <w:sz w:val="4"/>
          <w:szCs w:val="4"/>
        </w:rPr>
      </w:pPr>
      <w:r>
        <w:rPr>
          <w:sz w:val="4"/>
          <w:szCs w:val="4"/>
        </w:rPr>
      </w:r>
      <w:bookmarkStart w:id="218" w:name="list"/>
      <w:bookmarkStart w:id="219" w:name="list"/>
      <w:bookmarkEnd w:id="21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220" w:name="list1"/>
      <w:bookmarkStart w:id="221" w:name="list1"/>
      <w:bookmarkEnd w:id="22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22" w:name="list2"/>
      <w:bookmarkStart w:id="223" w:name="list2"/>
      <w:bookmarkEnd w:id="22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regarding prevention or timely detection of unauthorized acquisition, use or disposition of our assets that could have a material effect on our financial statements.</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including the Principal Executive Officer and Principal Accounting and Financial Officer, does not expect that our internal controls over financial reporting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The design of any system of controls is based in part upon certain assumptions about the likelihood of future events, and there can be no assurance that any design will succeed in achieving its stated goals under all potential future conditions.</w:t>
      </w:r>
    </w:p>
    <w:p>
      <w:pPr>
        <w:pStyle w:val="TextBody"/>
        <w:spacing w:before="0" w:after="0"/>
        <w:ind w:left="0" w:right="0" w:firstLine="36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 w:name="PGBRK21"/>
      <w:bookmarkStart w:id="225" w:name="PGBRK21"/>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 w:name="FTR21"/>
      <w:bookmarkStart w:id="227" w:name="FTR21"/>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8" w:name="GLFTR21"/>
      <w:bookmarkEnd w:id="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9" w:name="PN21"/>
      <w:bookmarkEnd w:id="229"/>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HDR21"/>
      <w:bookmarkStart w:id="231" w:name="HDR21"/>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2" w:name="GLHDR21"/>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Management assessed the effectiveness of our internal control over financial reporting as of September 30, 2011. In making this assessment, management used the framework set forth in the report entitled Internal Control - Integrated Framework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September 30, 2011, our internal controls over financial reporting are not effective at the reasonable assurance level based on those criteria.  See our Annual Report included in our Form 10-K for the year ended December 31, 2010, for a complete description of the material weaknesses identified.</w:t>
      </w:r>
    </w:p>
    <w:p>
      <w:pPr>
        <w:pStyle w:val="TextBody"/>
        <w:spacing w:before="0" w:after="0"/>
        <w:ind w:left="0" w:right="0" w:firstLine="36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Report does not include an attestation report of our registered public accounting firm regarding internal control over financial reporting. Management’s report was not subject to attestation by our registered public accounting firm pursuant to rules of the SEC that permit the Company to provide only management’s report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firstLine="18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During the fiscal quarter ended September 30, 2011 our former Principal Accounting and Financial Officer resigned and as a result our internal control procedures have been materially affected.   The Company also had resignations of several other members of its executive management team and its Board of Directors that affected its internal control process throughout the fiscal year ending December 31, 2011.</w:t>
      </w:r>
    </w:p>
    <w:p>
      <w:pPr>
        <w:pStyle w:val="TextBody"/>
        <w:spacing w:before="0" w:after="0"/>
        <w:ind w:left="0" w:right="0" w:firstLine="18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During the first quarter of fiscal 2012, we began taking the necessary actions to remediate material weaknesses described above.  We expect to implement the following corrective actions, including testing, during the year ending December 31,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3" w:name="hangingindent"/>
      <w:bookmarkStart w:id="234" w:name="hangingindent"/>
      <w:bookmarkEnd w:id="234"/>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 w:name="hangingindent1"/>
      <w:bookmarkStart w:id="236" w:name="hangingindent1"/>
      <w:bookmarkEnd w:id="236"/>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237" w:name="part_1_2_3"/>
      <w:bookmarkEnd w:id="237"/>
      <w:r>
        <w:rPr>
          <w:rFonts w:ascii="Times New Roman" w:hAnsi="Times New Roman"/>
          <w:b/>
          <w:sz w:val="20"/>
        </w:rPr>
        <w:t>[Remainder of Page Intentionally Left Blank]</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8" w:name="PGBRK22"/>
      <w:bookmarkStart w:id="239" w:name="PGBRK22"/>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 w:name="FTR22"/>
      <w:bookmarkStart w:id="241" w:name="FTR22"/>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2" w:name="GLFTR22"/>
      <w:bookmarkEnd w:id="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3" w:name="PN22"/>
      <w:bookmarkEnd w:id="243"/>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HDR22"/>
      <w:bookmarkStart w:id="245" w:name="HDR22"/>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6" w:name="GLHDR22"/>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center"/>
        <w:rPr>
          <w:rFonts w:ascii="Times New Roman" w:hAnsi="Times New Roman"/>
          <w:b/>
          <w:sz w:val="20"/>
        </w:rPr>
      </w:pPr>
      <w:r>
        <w:rPr>
          <w:rFonts w:ascii="Times New Roman" w:hAnsi="Times New Roman"/>
          <w:b/>
          <w:sz w:val="20"/>
        </w:rPr>
        <w:t>OTHER INFORMATION</w:t>
      </w:r>
      <w:bookmarkStart w:id="247" w:name="fis_changes_in_securities"/>
      <w:bookmarkStart w:id="248" w:name="fis_part_ii_2"/>
      <w:bookmarkEnd w:id="247"/>
      <w:bookmarkEnd w:id="248"/>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Company, on June 26, 2011, filed a voluntary petition for reorganization relief under Chapter 11 of the United States Bankruptcy Code in the United States Bankruptcy Court for the Southern District of California (the “Bankruptcy Court”), Case No. 11-10497-11 (the “Chapter 11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Chapter 11 Case, the Company, as seller, and Cardium Healthcare, Inc., a wholly-owned subsidiary of Cardium Therapeutics, Inc., as purchaser (the “Purchaser”), entered into an Asset Purchase Agreement dated June 26, 2011 (the “Asset Purchase Agreement”) pursuant to which the Company had agreed to sell substantially all of the assets of the Company pursuant to Sections 105, 363 and 365 of the Bankruptcy Code, subject to court approval and the satisfaction of certain conditions set forth in the Asset Purchase Agreement.</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Asset Purchase Agreement, the Purchaser agreed to purchase the Company’s assets for up to 6 million shares of Cardium Therapeutics, Inc. common stock (“Cardium Stock”) based upon the then current price of the Cardium Stock on the NYSE Amex. The actual number of shares of Cardium Stock provided to the Company at closing was subject to adjustment based on the closing price of the Cardium Stock as of the date of such closing.</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also subject to obtaining an order of approval from the Bankruptcy Court (the “Sale Order”). The Asset Purchase Agreement was terminable by the Purchaser under a number of circumstances, including the Company’s breach of certain representations and covenants and failure to obtain certain Bankruptcy Court orders by agreed dates.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20, 2011, the Company’s Motion to Sell Substantially all Assets of the Estate Free and Clear of Liens Claims and Interests and Assume and Assign Certain Executory Contracts Without Overbid (“Motion to Sell”) was set for a hearing on July 18, 2011.</w:t>
      </w:r>
    </w:p>
    <w:p>
      <w:pPr>
        <w:pStyle w:val="TextBody"/>
        <w:spacing w:before="0" w:after="0"/>
        <w:ind w:left="0" w:right="0" w:firstLine="720"/>
        <w:jc w:val="left"/>
        <w:rPr>
          <w:rFonts w:ascii="Times New Roman" w:hAnsi="Times New Roman"/>
          <w:sz w:val="20"/>
        </w:rPr>
      </w:pPr>
      <w:r>
        <w:rPr>
          <w:rFonts w:ascii="Times New Roman" w:hAnsi="Times New Roman"/>
          <w:sz w:val="20"/>
        </w:rPr>
        <w:t>The Debtor’s Motion to Sell, after proper notice to creditors and parties in interest came on for sequential hearings on July 18, 2011 and July 26, 2011 before the Honorable Peter W. Bowie, United States Bankruptcy Judge, presiding, was heard.  The Court having read all documents filed in support and in opposition to the Motion, having heard oral argument of counsel, and good cause appearing, ordered that the Company’s Motion to Sell was denied.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in connection with the transactions described below,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there are no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ITEM 1A. RISK FACTORS</w:t>
      </w:r>
    </w:p>
    <w:p>
      <w:pPr>
        <w:pStyle w:val="TextBody"/>
        <w:spacing w:before="0" w:after="0"/>
        <w:rPr/>
      </w:pPr>
      <w:r>
        <w:rPr/>
      </w:r>
    </w:p>
    <w:p>
      <w:pPr>
        <w:pStyle w:val="TextBody"/>
        <w:spacing w:before="0" w:after="0"/>
        <w:ind w:left="0" w:right="0" w:firstLine="720"/>
        <w:jc w:val="left"/>
        <w:rPr>
          <w:rFonts w:ascii="Times New Roman" w:hAnsi="Times New Roman"/>
          <w:sz w:val="20"/>
        </w:rPr>
      </w:pPr>
      <w:bookmarkStart w:id="249" w:name="hangingindent2"/>
      <w:bookmarkEnd w:id="249"/>
      <w:r>
        <w:rPr>
          <w:rFonts w:ascii="Times New Roman" w:hAnsi="Times New Roman"/>
          <w:sz w:val="20"/>
        </w:rPr>
        <w:t>There were no material changes to our risk factors during the period covered by this report. See the discussion of risk factors in Item 1A of our Annual Report on Form 10-K for the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bookmarkStart w:id="250" w:name="hangingindent3"/>
      <w:bookmarkEnd w:id="250"/>
      <w:r>
        <w:rPr>
          <w:rFonts w:ascii="Times New Roman" w:hAnsi="Times New Roman"/>
          <w:sz w:val="20"/>
        </w:rPr>
        <w:t>None.</w:t>
      </w:r>
    </w:p>
    <w:p>
      <w:pPr>
        <w:pStyle w:val="TextBody"/>
        <w:spacing w:before="0" w:after="0"/>
        <w:ind w:left="0" w:right="0" w:hanging="0"/>
        <w:rPr/>
      </w:pPr>
      <w:r>
        <w:rPr/>
      </w:r>
    </w:p>
    <w:p>
      <w:pPr>
        <w:pStyle w:val="TextBody"/>
        <w:spacing w:before="0" w:after="0"/>
        <w:ind w:left="0" w:right="0" w:firstLine="720"/>
        <w:jc w:val="center"/>
        <w:rPr>
          <w:rFonts w:ascii="Times New Roman" w:hAnsi="Times New Roman"/>
          <w:b/>
          <w:sz w:val="20"/>
        </w:rPr>
      </w:pPr>
      <w:r>
        <w:rPr>
          <w:rFonts w:ascii="Times New Roman" w:hAnsi="Times New Roman"/>
          <w:b/>
          <w:sz w:val="20"/>
        </w:rPr>
        <w:t>[Remainder of Page Intentionally Left Blank]</w:t>
      </w:r>
    </w:p>
    <w:p>
      <w:pPr>
        <w:pStyle w:val="TextBody"/>
        <w:spacing w:before="0" w:after="0"/>
        <w:ind w:left="0" w:right="0" w:firstLine="72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23"/>
      <w:bookmarkStart w:id="252" w:name="PGBRK2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23"/>
      <w:bookmarkStart w:id="254" w:name="FTR23"/>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5" w:name="GLFTR23"/>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6" w:name="PN23"/>
      <w:bookmarkEnd w:id="25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23"/>
      <w:bookmarkStart w:id="258" w:name="HDR23"/>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9" w:name="GLHDR23"/>
      <w:bookmarkEnd w:id="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6. EXHIBITS</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731"/>
        <w:gridCol w:w="60"/>
        <w:gridCol w:w="9414"/>
      </w:tblGrid>
      <w:tr>
        <w:trPr/>
        <w:tc>
          <w:tcPr>
            <w:tcW w:w="731" w:type="dxa"/>
            <w:tcBorders>
              <w:bottom w:val="single" w:sz="12" w:space="0" w:color="000000"/>
            </w:tcBorders>
            <w:shd w:fill="auto" w:val="clear"/>
          </w:tcPr>
          <w:p>
            <w:pPr>
              <w:pStyle w:val="TableContents"/>
              <w:spacing w:before="0" w:after="0"/>
              <w:jc w:val="left"/>
              <w:rPr>
                <w:rFonts w:ascii="times new roman" w:hAnsi="times new roman"/>
                <w:b/>
                <w:sz w:val="20"/>
              </w:rPr>
            </w:pPr>
            <w:r>
              <w:rPr>
                <w:rFonts w:ascii="times new roman" w:hAnsi="times new roman"/>
                <w:b/>
                <w:sz w:val="20"/>
              </w:rPr>
              <w:t>Exhibit</w:t>
            </w:r>
          </w:p>
          <w:p>
            <w:pPr>
              <w:pStyle w:val="TableContents"/>
              <w:spacing w:before="0" w:after="0"/>
              <w:jc w:val="left"/>
              <w:rPr>
                <w:rFonts w:ascii="times new roman" w:hAnsi="times new roman"/>
                <w:b/>
                <w:sz w:val="20"/>
              </w:rPr>
            </w:pPr>
            <w:r>
              <w:rPr>
                <w:rFonts w:ascii="times new roman" w:hAnsi="times new roman"/>
                <w:b/>
                <w:sz w:val="20"/>
              </w:rPr>
              <w:t>Number</w:t>
            </w:r>
          </w:p>
        </w:tc>
        <w:tc>
          <w:tcPr>
            <w:tcW w:w="60" w:type="dxa"/>
            <w:tcBorders/>
            <w:shd w:fill="auto" w:val="clear"/>
            <w:tcMar>
              <w:bottom w:w="0" w:type="dxa"/>
            </w:tcMar>
          </w:tcPr>
          <w:p>
            <w:pPr>
              <w:pStyle w:val="TableContents"/>
              <w:spacing w:before="0" w:after="283"/>
              <w:jc w:val="left"/>
              <w:rPr/>
            </w:pPr>
            <w:r>
              <w:rPr/>
              <w:t> </w:t>
            </w:r>
          </w:p>
        </w:tc>
        <w:tc>
          <w:tcPr>
            <w:tcW w:w="9414" w:type="dxa"/>
            <w:tcBorders>
              <w:bottom w:val="single" w:sz="12" w:space="0" w:color="000000"/>
            </w:tcBorders>
            <w:shd w:fill="auto" w:val="clear"/>
          </w:tcPr>
          <w:p>
            <w:pPr>
              <w:pStyle w:val="TableContents"/>
              <w:spacing w:before="0" w:after="0"/>
              <w:jc w:val="left"/>
              <w:rPr/>
            </w:pPr>
            <w:r>
              <w:rPr/>
              <w:t xml:space="preserve">  </w:t>
            </w:r>
          </w:p>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r>
      <w:tr>
        <w:trPr/>
        <w:tc>
          <w:tcPr>
            <w:tcW w:w="731" w:type="dxa"/>
            <w:tcBorders/>
            <w:shd w:fill="auto" w:val="clear"/>
            <w:tcMar>
              <w:bottom w:w="0" w:type="dxa"/>
            </w:tcMar>
          </w:tcPr>
          <w:p>
            <w:pPr>
              <w:pStyle w:val="TableContents"/>
              <w:spacing w:before="0" w:after="283"/>
              <w:jc w:val="left"/>
              <w:rPr/>
            </w:pPr>
            <w:r>
              <w:rPr/>
              <w:t> </w:t>
            </w:r>
          </w:p>
        </w:tc>
        <w:tc>
          <w:tcPr>
            <w:tcW w:w="60" w:type="dxa"/>
            <w:tcBorders/>
            <w:shd w:fill="auto" w:val="clear"/>
            <w:tcMar>
              <w:bottom w:w="0" w:type="dxa"/>
            </w:tcMar>
          </w:tcPr>
          <w:p>
            <w:pPr>
              <w:pStyle w:val="TableContents"/>
              <w:spacing w:before="0" w:after="283"/>
              <w:jc w:val="left"/>
              <w:rPr/>
            </w:pPr>
            <w:r>
              <w:rPr/>
              <w:t> </w:t>
            </w:r>
          </w:p>
        </w:tc>
        <w:tc>
          <w:tcPr>
            <w:tcW w:w="9414" w:type="dxa"/>
            <w:tcBorders/>
            <w:shd w:fill="auto"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11.htm">
              <w:r>
                <w:rPr>
                  <w:rStyle w:val="InternetLink"/>
                  <w:rFonts w:ascii="times new roman" w:hAnsi="times new roman"/>
                  <w:sz w:val="20"/>
                </w:rPr>
                <w:t>31.1</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xml:space="preserve">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12.htm">
              <w:r>
                <w:rPr>
                  <w:rStyle w:val="InternetLink"/>
                  <w:rFonts w:ascii="times new roman" w:hAnsi="times new roman"/>
                  <w:sz w:val="20"/>
                </w:rPr>
                <w:t>31.2</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xml:space="preserve">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21.htm">
              <w:r>
                <w:rPr>
                  <w:rStyle w:val="InternetLink"/>
                  <w:rFonts w:ascii="times new roman" w:hAnsi="times new roman"/>
                  <w:sz w:val="20"/>
                </w:rPr>
                <w:t>32.1</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xml:space="preserve">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22.htm">
              <w:r>
                <w:rPr>
                  <w:rStyle w:val="InternetLink"/>
                  <w:rFonts w:ascii="times new roman" w:hAnsi="times new roman"/>
                  <w:sz w:val="20"/>
                </w:rPr>
                <w:t>32.2</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xml:space="preserve">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Officer</w:t>
            </w:r>
          </w:p>
        </w:tc>
      </w:tr>
    </w:tbl>
    <w:p>
      <w:pPr>
        <w:pStyle w:val="TextBody"/>
        <w:spacing w:before="0" w:after="0"/>
        <w:ind w:left="0" w:right="0" w:hanging="0"/>
        <w:rPr>
          <w:rFonts w:ascii="Times New Roman" w:hAnsi="Times New Roman"/>
          <w:sz w:val="20"/>
        </w:rPr>
      </w:pPr>
      <w:r>
        <w:rPr>
          <w:rFonts w:ascii="Times New Roman" w:hAnsi="Times New Roman"/>
          <w:sz w:val="20"/>
        </w:rPr>
        <w:t>________________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0" w:name="PGBRK24"/>
      <w:bookmarkStart w:id="261" w:name="PGBRK2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 w:name="FTR24"/>
      <w:bookmarkStart w:id="263" w:name="FTR24"/>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4" w:name="GLFTR24"/>
      <w:bookmarkEnd w:id="2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24"/>
      <w:bookmarkEnd w:id="265"/>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HDR24"/>
      <w:bookmarkStart w:id="267" w:name="HDR24"/>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8" w:name="GLHDR24"/>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Transdel Pharmaceuticals,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Chairman of the Board of Directors (Principal Executive Officer)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bookmarkStart w:id="269" w:name="part_1_2_5"/>
      <w:bookmarkEnd w:id="269"/>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 w:name="PGBRK25"/>
      <w:bookmarkStart w:id="271" w:name="PGBRK25"/>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FTR25"/>
      <w:bookmarkStart w:id="273" w:name="FTR25"/>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4" w:name="GLFTR25"/>
      <w:bookmarkEnd w:id="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5" w:name="PN25"/>
      <w:bookmarkEnd w:id="275"/>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HDR25"/>
      <w:bookmarkStart w:id="277" w:name="HDR25"/>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8" w:name="GLHDR25"/>
      <w:bookmarkEnd w:id="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INDEX</w:t>
      </w:r>
      <w:bookmarkStart w:id="279" w:name="fis_unidentified_table_6"/>
      <w:bookmarkEnd w:id="279"/>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731"/>
        <w:gridCol w:w="60"/>
        <w:gridCol w:w="9414"/>
      </w:tblGrid>
      <w:tr>
        <w:trPr/>
        <w:tc>
          <w:tcPr>
            <w:tcW w:w="731" w:type="dxa"/>
            <w:tcBorders>
              <w:bottom w:val="single" w:sz="12" w:space="0" w:color="000000"/>
            </w:tcBorders>
            <w:shd w:fill="auto" w:val="clear"/>
          </w:tcPr>
          <w:p>
            <w:pPr>
              <w:pStyle w:val="TableContents"/>
              <w:spacing w:before="0" w:after="0"/>
              <w:jc w:val="left"/>
              <w:rPr>
                <w:rFonts w:ascii="times new roman" w:hAnsi="times new roman"/>
                <w:b/>
                <w:sz w:val="20"/>
              </w:rPr>
            </w:pPr>
            <w:r>
              <w:rPr>
                <w:rFonts w:ascii="times new roman" w:hAnsi="times new roman"/>
                <w:b/>
                <w:sz w:val="20"/>
              </w:rPr>
              <w:t>Exhibit</w:t>
            </w:r>
          </w:p>
          <w:p>
            <w:pPr>
              <w:pStyle w:val="TableContents"/>
              <w:spacing w:before="0" w:after="0"/>
              <w:jc w:val="left"/>
              <w:rPr>
                <w:rFonts w:ascii="times new roman" w:hAnsi="times new roman"/>
                <w:b/>
                <w:sz w:val="20"/>
              </w:rPr>
            </w:pPr>
            <w:r>
              <w:rPr>
                <w:rFonts w:ascii="times new roman" w:hAnsi="times new roman"/>
                <w:b/>
                <w:sz w:val="20"/>
              </w:rPr>
              <w:t>Number</w:t>
            </w:r>
          </w:p>
        </w:tc>
        <w:tc>
          <w:tcPr>
            <w:tcW w:w="60" w:type="dxa"/>
            <w:tcBorders/>
            <w:shd w:fill="auto" w:val="clear"/>
            <w:tcMar>
              <w:bottom w:w="0" w:type="dxa"/>
            </w:tcMar>
          </w:tcPr>
          <w:p>
            <w:pPr>
              <w:pStyle w:val="TableContents"/>
              <w:spacing w:before="0" w:after="283"/>
              <w:jc w:val="left"/>
              <w:rPr/>
            </w:pPr>
            <w:r>
              <w:rPr/>
              <w:t> </w:t>
            </w:r>
          </w:p>
        </w:tc>
        <w:tc>
          <w:tcPr>
            <w:tcW w:w="9414"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r>
      <w:tr>
        <w:trPr/>
        <w:tc>
          <w:tcPr>
            <w:tcW w:w="731" w:type="dxa"/>
            <w:tcBorders/>
            <w:shd w:fill="auto" w:val="clear"/>
            <w:tcMar>
              <w:bottom w:w="0" w:type="dxa"/>
            </w:tcMar>
          </w:tcPr>
          <w:p>
            <w:pPr>
              <w:pStyle w:val="TableContents"/>
              <w:spacing w:before="0" w:after="283"/>
              <w:jc w:val="left"/>
              <w:rPr/>
            </w:pPr>
            <w:r>
              <w:rPr/>
              <w:t> </w:t>
            </w:r>
          </w:p>
        </w:tc>
        <w:tc>
          <w:tcPr>
            <w:tcW w:w="60" w:type="dxa"/>
            <w:tcBorders/>
            <w:shd w:fill="auto" w:val="clear"/>
            <w:tcMar>
              <w:bottom w:w="0" w:type="dxa"/>
            </w:tcMar>
          </w:tcPr>
          <w:p>
            <w:pPr>
              <w:pStyle w:val="TableContents"/>
              <w:spacing w:before="0" w:after="283"/>
              <w:jc w:val="left"/>
              <w:rPr/>
            </w:pPr>
            <w:r>
              <w:rPr/>
              <w:t> </w:t>
            </w:r>
          </w:p>
        </w:tc>
        <w:tc>
          <w:tcPr>
            <w:tcW w:w="9414" w:type="dxa"/>
            <w:tcBorders/>
            <w:shd w:fill="auto"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11.htm">
              <w:r>
                <w:rPr>
                  <w:rStyle w:val="InternetLink"/>
                  <w:rFonts w:ascii="times new roman" w:hAnsi="times new roman"/>
                  <w:sz w:val="20"/>
                </w:rPr>
                <w:t>31.1</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12.htm">
              <w:r>
                <w:rPr>
                  <w:rStyle w:val="InternetLink"/>
                  <w:rFonts w:ascii="times new roman" w:hAnsi="times new roman"/>
                  <w:sz w:val="20"/>
                </w:rPr>
                <w:t>31.2</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21.htm">
              <w:r>
                <w:rPr>
                  <w:rStyle w:val="InternetLink"/>
                  <w:rFonts w:ascii="times new roman" w:hAnsi="times new roman"/>
                  <w:sz w:val="20"/>
                </w:rPr>
                <w:t>32.1</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731" w:type="dxa"/>
            <w:tcBorders/>
            <w:shd w:fill="FFFFFF" w:val="clear"/>
            <w:tcMar>
              <w:bottom w:w="0" w:type="dxa"/>
            </w:tcMar>
          </w:tcPr>
          <w:p>
            <w:pPr>
              <w:pStyle w:val="TableContents"/>
              <w:spacing w:before="0" w:after="283"/>
              <w:jc w:val="left"/>
              <w:rPr/>
            </w:pPr>
            <w:r>
              <w:rPr/>
              <w:t> </w:t>
            </w:r>
          </w:p>
        </w:tc>
        <w:tc>
          <w:tcPr>
            <w:tcW w:w="60" w:type="dxa"/>
            <w:tcBorders/>
            <w:shd w:fill="FFFFFF" w:val="clear"/>
            <w:tcMar>
              <w:bottom w:w="0" w:type="dxa"/>
            </w:tcMar>
          </w:tcPr>
          <w:p>
            <w:pPr>
              <w:pStyle w:val="TableContents"/>
              <w:spacing w:before="0" w:after="283"/>
              <w:jc w:val="left"/>
              <w:rPr/>
            </w:pPr>
            <w:r>
              <w:rPr/>
              <w:t> </w:t>
            </w:r>
          </w:p>
        </w:tc>
        <w:tc>
          <w:tcPr>
            <w:tcW w:w="9414" w:type="dxa"/>
            <w:tcBorders/>
            <w:shd w:fill="FFFFFF" w:val="clear"/>
            <w:tcMar>
              <w:bottom w:w="0" w:type="dxa"/>
            </w:tcMar>
          </w:tcPr>
          <w:p>
            <w:pPr>
              <w:pStyle w:val="TableContents"/>
              <w:spacing w:before="0" w:after="283"/>
              <w:jc w:val="left"/>
              <w:rPr/>
            </w:pPr>
            <w:r>
              <w:rPr/>
              <w:t> </w:t>
            </w:r>
          </w:p>
        </w:tc>
      </w:tr>
      <w:tr>
        <w:trPr/>
        <w:tc>
          <w:tcPr>
            <w:tcW w:w="731" w:type="dxa"/>
            <w:tcBorders/>
            <w:shd w:fill="CCEEFF" w:val="clear"/>
            <w:tcMar>
              <w:bottom w:w="0" w:type="dxa"/>
            </w:tcMar>
          </w:tcPr>
          <w:p>
            <w:pPr>
              <w:pStyle w:val="TableContents"/>
              <w:spacing w:before="0" w:after="0"/>
              <w:ind w:left="0" w:right="16" w:hanging="0"/>
              <w:jc w:val="left"/>
              <w:rPr/>
            </w:pPr>
            <w:hyperlink w:anchor="tdlp_ex322.htm">
              <w:r>
                <w:rPr>
                  <w:rStyle w:val="InternetLink"/>
                  <w:rFonts w:ascii="times new roman" w:hAnsi="times new roman"/>
                  <w:sz w:val="20"/>
                </w:rPr>
                <w:t>32.2</w:t>
              </w:r>
            </w:hyperlink>
            <w:r>
              <w:rPr>
                <w:rFonts w:ascii="times new roman" w:hAnsi="times new roman"/>
                <w:sz w:val="20"/>
              </w:rPr>
              <w:t>*</w:t>
            </w:r>
          </w:p>
        </w:tc>
        <w:tc>
          <w:tcPr>
            <w:tcW w:w="60" w:type="dxa"/>
            <w:tcBorders/>
            <w:shd w:fill="CCEEFF" w:val="clear"/>
            <w:tcMar>
              <w:bottom w:w="0" w:type="dxa"/>
            </w:tcMar>
          </w:tcPr>
          <w:p>
            <w:pPr>
              <w:pStyle w:val="TableContents"/>
              <w:spacing w:before="0" w:after="283"/>
              <w:jc w:val="left"/>
              <w:rPr/>
            </w:pPr>
            <w:r>
              <w:rPr/>
              <w:t> </w:t>
            </w:r>
          </w:p>
        </w:tc>
        <w:tc>
          <w:tcPr>
            <w:tcW w:w="941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Officer</w:t>
            </w:r>
          </w:p>
        </w:tc>
      </w:tr>
    </w:tbl>
    <w:p>
      <w:pPr>
        <w:pStyle w:val="TextBody"/>
        <w:spacing w:before="0" w:after="0"/>
        <w:ind w:left="0" w:right="0" w:hanging="0"/>
        <w:jc w:val="left"/>
        <w:rPr>
          <w:rFonts w:ascii="Times New Roman" w:hAnsi="Times New Roman"/>
          <w:sz w:val="20"/>
        </w:rPr>
      </w:pPr>
      <w:r>
        <w:rPr>
          <w:rFonts w:ascii="Times New Roman" w:hAnsi="Times New Roman"/>
          <w:sz w:val="20"/>
        </w:rPr>
        <w:t>________________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jc w:val="center"/>
        <w:rPr/>
      </w:pPr>
      <w:r>
        <w:rPr/>
        <w:t>27</w:t>
      </w:r>
    </w:p>
    <w:p>
      <w:pPr>
        <w:pStyle w:val="HorizontalLine"/>
        <w:pBdr>
          <w:bottom w:val="single" w:sz="12" w:space="0" w:color="808080"/>
        </w:pBdr>
        <w:rPr/>
      </w:pPr>
      <w:r>
        <w:rPr/>
      </w:r>
    </w:p>
    <w:p>
      <w:pPr>
        <w:pStyle w:val="TextBody"/>
        <w:ind w:left="0" w:right="0" w:hanging="0"/>
        <w:rPr/>
      </w:pPr>
      <w:r>
        <w:rPr/>
        <w:t> </w:t>
      </w:r>
      <w:r>
        <w:br w:type="page"/>
      </w:r>
    </w:p>
    <w:p>
      <w:pPr>
        <w:pStyle w:val="TextBody"/>
        <w:spacing w:before="0" w:after="0"/>
        <w:ind w:left="0" w:right="0" w:hanging="0"/>
        <w:jc w:val="right"/>
        <w:rPr>
          <w:rFonts w:ascii="Times New Roman" w:hAnsi="Times New Roman"/>
          <w:sz w:val="20"/>
        </w:rPr>
      </w:pPr>
      <w:bookmarkStart w:id="280" w:name="tdlp_ex311.htm"/>
      <w:bookmarkStart w:id="281" w:name="kstdlp_ex311"/>
      <w:bookmarkEnd w:id="280"/>
      <w:bookmarkEnd w:id="281"/>
      <w:r>
        <w:rPr>
          <w:rFonts w:ascii="Times New Roman" w:hAnsi="Times New Roman"/>
          <w:sz w:val="20"/>
        </w:rPr>
        <w:t>EXHIBIT 31.1</w:t>
      </w:r>
    </w:p>
    <w:p>
      <w:pPr>
        <w:pStyle w:val="TextBody"/>
        <w:spacing w:before="0" w:after="0"/>
        <w:ind w:left="0" w:right="0" w:hanging="0"/>
        <w:rPr/>
      </w:pPr>
      <w:r>
        <w:rPr/>
        <w:t> </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OF THE PRINCIPAL EXECUTIVE OFFICER UNDER</w:t>
      </w:r>
    </w:p>
    <w:p>
      <w:pPr>
        <w:pStyle w:val="TextBody"/>
        <w:spacing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before="0" w:after="0"/>
        <w:ind w:left="0" w:right="0" w:hanging="0"/>
        <w:jc w:val="center"/>
        <w:rPr/>
      </w:pPr>
      <w:r>
        <w:rPr/>
        <w:t>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 Mark L. Baum, Principal Executive Officer of Transdel Pharmaceuticals, Inc., certify that:</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tcPr>
          <w:p>
            <w:pPr>
              <w:pStyle w:val="TableContents"/>
              <w:spacing w:before="0" w:after="283"/>
              <w:jc w:val="left"/>
              <w:rPr/>
            </w:pPr>
            <w:r>
              <w:rPr/>
              <w:t> </w:t>
            </w:r>
          </w:p>
        </w:tc>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283"/>
              <w:jc w:val="left"/>
              <w:rPr/>
            </w:pPr>
            <w:r>
              <w:rPr/>
              <w:t> </w:t>
            </w:r>
          </w:p>
        </w:tc>
        <w:tc>
          <w:tcPr>
            <w:tcW w:w="8960" w:type="dxa"/>
            <w:tcBorders/>
            <w:shd w:fill="auto" w:val="clear"/>
          </w:tcPr>
          <w:p>
            <w:pPr>
              <w:pStyle w:val="TableContents"/>
              <w:spacing w:before="0" w:after="283"/>
              <w:rPr/>
            </w:pPr>
            <w:r>
              <w:rPr/>
              <w:t> </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ind w:left="0" w:right="0" w:hanging="0"/>
        <w:jc w:val="left"/>
        <w:rPr/>
      </w:pPr>
      <w:r>
        <w:rPr/>
        <w:t xml:space="preserve">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4" w:type="dxa"/>
            <w:tcBorders/>
            <w:shd w:fill="auto" w:val="clear"/>
          </w:tcPr>
          <w:p>
            <w:pPr>
              <w:pStyle w:val="TableContents"/>
              <w:spacing w:before="0" w:after="283"/>
              <w:rPr/>
            </w:pPr>
            <w:r>
              <w:rPr/>
              <w:t> </w:t>
            </w:r>
          </w:p>
        </w:tc>
      </w:tr>
    </w:tbl>
    <w:p>
      <w:pPr>
        <w:pStyle w:val="TextBody"/>
        <w:ind w:left="0" w:right="0" w:hanging="0"/>
        <w:rPr/>
      </w:pPr>
      <w:r>
        <w:rPr/>
        <w:t> </w:t>
      </w:r>
      <w:r>
        <w:br w:type="page"/>
      </w:r>
    </w:p>
    <w:p>
      <w:pPr>
        <w:pStyle w:val="TextBody"/>
        <w:spacing w:before="0" w:after="0"/>
        <w:ind w:left="0" w:right="0" w:hanging="0"/>
        <w:jc w:val="right"/>
        <w:rPr>
          <w:rFonts w:ascii="Times New Roman" w:hAnsi="Times New Roman"/>
          <w:sz w:val="20"/>
        </w:rPr>
      </w:pPr>
      <w:bookmarkStart w:id="282" w:name="tdlp_ex312.htm"/>
      <w:bookmarkStart w:id="283" w:name="kstdlp_ex312"/>
      <w:bookmarkEnd w:id="282"/>
      <w:bookmarkEnd w:id="283"/>
      <w:r>
        <w:rPr>
          <w:rFonts w:ascii="Times New Roman" w:hAnsi="Times New Roman"/>
          <w:sz w:val="20"/>
        </w:rPr>
        <w:t>EXHIBIT 31.</w:t>
      </w:r>
      <w:bookmarkStart w:id="284" w:name="fis_certification"/>
      <w:bookmarkEnd w:id="284"/>
      <w:r>
        <w:rPr>
          <w:rFonts w:ascii="Times New Roman" w:hAnsi="Times New Roman"/>
          <w:sz w:val="20"/>
        </w:rPr>
        <w:t>2</w:t>
      </w:r>
    </w:p>
    <w:p>
      <w:pPr>
        <w:pStyle w:val="TextBody"/>
        <w:spacing w:before="0" w:after="0"/>
        <w:ind w:left="0" w:right="0" w:hanging="0"/>
        <w:rPr/>
      </w:pPr>
      <w:r>
        <w:rPr/>
        <w:t> </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OF THE PRINCIPAL FINANCIAL OFFICER UNDER</w:t>
      </w:r>
    </w:p>
    <w:p>
      <w:pPr>
        <w:pStyle w:val="TextBody"/>
        <w:spacing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before="0" w:after="0"/>
        <w:ind w:left="0" w:right="0" w:hanging="0"/>
        <w:jc w:val="center"/>
        <w:rPr/>
      </w:pPr>
      <w:r>
        <w:rPr/>
        <w:t> </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 Andrew R. Boll, Principal Accounting and Financial Officer of Transdel Pharmaceuticals, Inc., certify that:</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tcPr>
          <w:p>
            <w:pPr>
              <w:pStyle w:val="TableContents"/>
              <w:spacing w:before="0" w:after="283"/>
              <w:jc w:val="left"/>
              <w:rPr/>
            </w:pPr>
            <w:r>
              <w:rPr/>
              <w:t> </w:t>
            </w:r>
          </w:p>
        </w:tc>
        <w:tc>
          <w:tcPr>
            <w:tcW w:w="4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tcPr>
          <w:p>
            <w:pPr>
              <w:pStyle w:val="TableContents"/>
              <w:spacing w:before="0" w:after="283"/>
              <w:jc w:val="left"/>
              <w:rPr/>
            </w:pPr>
            <w:r>
              <w:rPr/>
              <w:t>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283"/>
              <w:jc w:val="left"/>
              <w:rPr/>
            </w:pPr>
            <w:r>
              <w:rPr/>
              <w:t> </w:t>
            </w:r>
          </w:p>
        </w:tc>
        <w:tc>
          <w:tcPr>
            <w:tcW w:w="8960" w:type="dxa"/>
            <w:tcBorders/>
            <w:shd w:fill="auto" w:val="clear"/>
          </w:tcPr>
          <w:p>
            <w:pPr>
              <w:pStyle w:val="TableContents"/>
              <w:spacing w:before="0" w:after="283"/>
              <w:rPr/>
            </w:pPr>
            <w:r>
              <w:rPr/>
              <w:t> </w:t>
            </w:r>
          </w:p>
        </w:tc>
      </w:tr>
      <w:tr>
        <w:trPr/>
        <w:tc>
          <w:tcPr>
            <w:tcW w:w="792"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pStyle w:val="TableContents"/>
              <w:spacing w:before="0" w:after="0"/>
              <w:ind w:left="0" w:right="0" w:hanging="0"/>
              <w:jc w:val="both"/>
              <w:rPr/>
            </w:pPr>
            <w:r>
              <w:rPr/>
              <w:t> </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p>
      <w:pPr>
        <w:pStyle w:val="TextBody"/>
        <w:spacing w:before="0" w:after="0"/>
        <w:ind w:left="0" w:right="0" w:hanging="0"/>
        <w:jc w:val="left"/>
        <w:rPr/>
      </w:pPr>
      <w:r>
        <w:rPr/>
        <w:t xml:space="preserve">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Accounting and Financial Officer)</w:t>
            </w:r>
          </w:p>
        </w:tc>
        <w:tc>
          <w:tcPr>
            <w:tcW w:w="1225" w:type="dxa"/>
            <w:tcBorders/>
            <w:shd w:fill="auto" w:val="clear"/>
          </w:tcPr>
          <w:p>
            <w:pPr>
              <w:pStyle w:val="TableContents"/>
              <w:spacing w:before="0" w:after="283"/>
              <w:rPr/>
            </w:pPr>
            <w:r>
              <w:rPr/>
              <w:t> </w:t>
            </w:r>
          </w:p>
        </w:tc>
      </w:tr>
    </w:tbl>
    <w:p>
      <w:pPr>
        <w:pStyle w:val="TextBody"/>
        <w:ind w:left="0" w:right="0" w:hanging="0"/>
        <w:jc w:val="left"/>
        <w:rPr/>
      </w:pPr>
      <w:r>
        <w:rPr/>
        <w:t> </w:t>
      </w:r>
      <w:r>
        <w:br w:type="page"/>
      </w:r>
    </w:p>
    <w:p>
      <w:pPr>
        <w:pStyle w:val="TextBody"/>
        <w:spacing w:before="0" w:after="0"/>
        <w:ind w:left="0" w:right="0" w:hanging="0"/>
        <w:jc w:val="right"/>
        <w:rPr>
          <w:rFonts w:ascii="Times New Roman" w:hAnsi="Times New Roman"/>
          <w:sz w:val="20"/>
        </w:rPr>
      </w:pPr>
      <w:bookmarkStart w:id="285" w:name="tdlp_ex321.htm"/>
      <w:bookmarkStart w:id="286" w:name="kstdlp_ex321"/>
      <w:bookmarkEnd w:id="285"/>
      <w:bookmarkEnd w:id="286"/>
      <w:r>
        <w:rPr>
          <w:rFonts w:ascii="Times New Roman" w:hAnsi="Times New Roman"/>
          <w:sz w:val="20"/>
        </w:rPr>
        <w:t>EXHIBIT 32.1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Mark L. Baum, Principal Executive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287" w:name="list3"/>
      <w:bookmarkStart w:id="288" w:name="list3"/>
      <w:bookmarkEnd w:id="288"/>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September 30,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89" w:name="list4"/>
      <w:bookmarkStart w:id="290" w:name="list4"/>
      <w:bookmarkEnd w:id="290"/>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080"/>
        <w:gridCol w:w="6125"/>
      </w:tblGrid>
      <w:tr>
        <w:trPr/>
        <w:tc>
          <w:tcPr>
            <w:tcW w:w="4080"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Mark L. Baum</w:t>
            </w:r>
          </w:p>
        </w:tc>
        <w:tc>
          <w:tcPr>
            <w:tcW w:w="6125" w:type="dxa"/>
            <w:tcBorders/>
            <w:shd w:fill="auto" w:val="clear"/>
            <w:tcMar>
              <w:bottom w:w="0" w:type="dxa"/>
            </w:tcMar>
          </w:tcPr>
          <w:p>
            <w:pPr>
              <w:pStyle w:val="TableContents"/>
              <w:spacing w:before="0" w:after="283"/>
              <w:rPr/>
            </w:pPr>
            <w:r>
              <w:rPr/>
              <w:t> </w:t>
            </w:r>
          </w:p>
        </w:tc>
      </w:tr>
      <w:tr>
        <w:trPr/>
        <w:tc>
          <w:tcPr>
            <w:tcW w:w="408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Mark L. Baum, Esq.</w:t>
            </w:r>
          </w:p>
          <w:p>
            <w:pPr>
              <w:pStyle w:val="TableContents"/>
              <w:spacing w:before="0" w:after="0"/>
              <w:ind w:left="0" w:right="0" w:hanging="0"/>
              <w:jc w:val="left"/>
              <w:rPr>
                <w:rFonts w:ascii="times new roman" w:hAnsi="times new roman"/>
                <w:sz w:val="20"/>
              </w:rPr>
            </w:pPr>
            <w:r>
              <w:rPr>
                <w:rFonts w:ascii="times new roman" w:hAnsi="times new roman"/>
                <w:sz w:val="20"/>
              </w:rPr>
              <w:t>Secretary and Chairman of the Board of Directors</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6125" w:type="dxa"/>
            <w:tcBorders/>
            <w:shd w:fill="auto" w:val="clear"/>
            <w:tcMar>
              <w:bottom w:w="0" w:type="dxa"/>
            </w:tcM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ind w:left="0" w:right="0" w:hanging="0"/>
        <w:rPr/>
      </w:pPr>
      <w:r>
        <w:rPr/>
        <w:t> </w:t>
      </w:r>
      <w:r>
        <w:br w:type="page"/>
      </w:r>
    </w:p>
    <w:p>
      <w:pPr>
        <w:pStyle w:val="TextBody"/>
        <w:spacing w:before="0" w:after="0"/>
        <w:ind w:left="0" w:right="0" w:hanging="0"/>
        <w:rPr/>
      </w:pPr>
      <w:r>
        <w:rPr/>
      </w:r>
      <w:bookmarkStart w:id="291" w:name="tdlp_ex322.htm"/>
      <w:bookmarkStart w:id="292" w:name="kstdlp_ex322"/>
      <w:bookmarkStart w:id="293" w:name="tdlp_ex322.htm"/>
      <w:bookmarkStart w:id="294" w:name="kstdlp_ex322"/>
      <w:bookmarkEnd w:id="293"/>
      <w:bookmarkEnd w:id="294"/>
    </w:p>
    <w:p>
      <w:pPr>
        <w:pStyle w:val="TextBody"/>
        <w:spacing w:before="0" w:after="0"/>
        <w:ind w:left="0" w:right="0" w:hanging="0"/>
        <w:jc w:val="right"/>
        <w:rPr>
          <w:rFonts w:ascii="Times New Roman" w:hAnsi="Times New Roman"/>
          <w:sz w:val="20"/>
        </w:rPr>
      </w:pPr>
      <w:r>
        <w:rPr>
          <w:rFonts w:ascii="Times New Roman" w:hAnsi="Times New Roman"/>
          <w:sz w:val="20"/>
        </w:rPr>
        <w:t>EXHIBIT 32.2</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Andrew R. Boll, Principal Accounting and Financial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295" w:name="list5"/>
      <w:bookmarkStart w:id="296" w:name="list5"/>
      <w:bookmarkEnd w:id="296"/>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September 30,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97" w:name="list6"/>
      <w:bookmarkStart w:id="298" w:name="list6"/>
      <w:bookmarkEnd w:id="298"/>
    </w:p>
    <w:tbl>
      <w:tblPr>
        <w:tblW w:w="5000" w:type="pct"/>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t>
      </w:r>
    </w:p>
    <w:tbl>
      <w:tblPr>
        <w:tblW w:w="5000" w:type="pct"/>
        <w:jc w:val="left"/>
        <w:tblInd w:w="0" w:type="dxa"/>
        <w:tblCellMar>
          <w:top w:w="0" w:type="dxa"/>
          <w:left w:w="0" w:type="dxa"/>
          <w:bottom w:w="28" w:type="dxa"/>
          <w:right w:w="0" w:type="dxa"/>
        </w:tblCellMar>
      </w:tblPr>
      <w:tblGrid>
        <w:gridCol w:w="4081"/>
        <w:gridCol w:w="6124"/>
      </w:tblGrid>
      <w:tr>
        <w:trPr/>
        <w:tc>
          <w:tcPr>
            <w:tcW w:w="4081" w:type="dxa"/>
            <w:tcBorders>
              <w:bottom w:val="single" w:sz="12"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 Andrew R. Boll</w:t>
            </w:r>
          </w:p>
        </w:tc>
        <w:tc>
          <w:tcPr>
            <w:tcW w:w="6124" w:type="dxa"/>
            <w:tcBorders/>
            <w:shd w:fill="auto" w:val="clear"/>
            <w:tcMar>
              <w:bottom w:w="0" w:type="dxa"/>
            </w:tcMar>
          </w:tcPr>
          <w:p>
            <w:pPr>
              <w:pStyle w:val="TableContents"/>
              <w:spacing w:before="0" w:after="283"/>
              <w:rPr/>
            </w:pPr>
            <w:r>
              <w:rPr/>
              <w:t> </w:t>
            </w:r>
          </w:p>
        </w:tc>
      </w:tr>
      <w:tr>
        <w:trPr/>
        <w:tc>
          <w:tcPr>
            <w:tcW w:w="408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Andrew R. Boll</w:t>
            </w:r>
          </w:p>
          <w:p>
            <w:pPr>
              <w:pStyle w:val="TableContents"/>
              <w:spacing w:before="0" w:after="0"/>
              <w:ind w:left="0" w:right="0" w:hanging="0"/>
              <w:jc w:val="left"/>
              <w:rPr>
                <w:rFonts w:ascii="times new roman" w:hAnsi="times new roman"/>
                <w:sz w:val="20"/>
              </w:rPr>
            </w:pPr>
            <w:r>
              <w:rPr>
                <w:rFonts w:ascii="times new roman" w:hAnsi="times new roman"/>
                <w:sz w:val="20"/>
              </w:rPr>
              <w:t>Vice-President of Accounting and Public Reporting</w:t>
            </w:r>
          </w:p>
          <w:p>
            <w:pPr>
              <w:pStyle w:val="TableContents"/>
              <w:spacing w:before="0" w:after="0"/>
              <w:ind w:left="0" w:right="0" w:hanging="0"/>
              <w:jc w:val="left"/>
              <w:rPr>
                <w:rFonts w:ascii="times new roman" w:hAnsi="times new roman"/>
                <w:sz w:val="20"/>
              </w:rPr>
            </w:pPr>
            <w:r>
              <w:rPr>
                <w:rFonts w:ascii="times new roman" w:hAnsi="times new roman"/>
                <w:sz w:val="20"/>
              </w:rPr>
              <w:t>(Principal Accounting and Financial Officer)</w:t>
            </w:r>
          </w:p>
        </w:tc>
        <w:tc>
          <w:tcPr>
            <w:tcW w:w="6124" w:type="dxa"/>
            <w:tcBorders/>
            <w:shd w:fill="auto" w:val="clear"/>
            <w:tcMar>
              <w:bottom w:w="0" w:type="dxa"/>
            </w:tcM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ind w:left="0" w:right="0" w:hanging="0"/>
        <w:rPr/>
      </w:pPr>
      <w:r>
        <w:rPr/>
      </w:r>
    </w:p>
    <w:p>
      <w:pPr>
        <w:pStyle w:val="TextBody"/>
        <w:spacing w:before="0" w:after="283"/>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 w:name="symbol">
    <w:altName w:val="serif"/>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18617</Words>
  <CharactersWithSpaces>122322</CharactersWithSpaces>
  <Paragraphs>2705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