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10,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1616710</wp:posOffset>
            </wp:positionH>
            <wp:positionV relativeFrom="paragraph">
              <wp:posOffset>19685</wp:posOffset>
            </wp:positionV>
            <wp:extent cx="39173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52"/>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Attached as Exhibit 99.1 to this Item 7.01 is a presentation of Harrow Health, Inc. (the “Company”), that is being used by the management of the Company at investor conferences and at meetings describing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10, 2020, Imprimis NJOF, LLC (“Imprimis”), a wholly-owned subsidiary of the Company, received correspondence from the Centers of Medicare and Medicaid Services (“CMS”) that rejected Imprimis’ application for transitional pass-through status under CMS’s hospital outpatient prospective payment system for one of Imprimis’ compounded products.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decision does not affect the Company’s current operations, revenues, cash flows, or the availability of this compounded product, which the Company will continue to sell in its current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980" w:hanging="972"/>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Harrow Health, Inc. Corporate Presentation dated September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September 14,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Andrew R. Boll</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90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3540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0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2020-09-14T15:34:53Z</dcterms:created>
  <dcterms:modified xsi:type="dcterms:W3CDTF">2020-09-14T15:34:53Z</dcterms:modified>
</cp:coreProperties>
</file>