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1940"/>
        <w:gridCol w:w="230"/>
        <w:gridCol w:w="3395"/>
        <w:gridCol w:w="245"/>
      </w:tblGrid>
      <w:tr>
        <w:trPr/>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by the Registrant </w:t>
            </w:r>
          </w:p>
        </w:tc>
        <w:tc>
          <w:tcPr>
            <w:tcW w:w="23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by a Party other than the Registrant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230" w:right="0" w:hanging="230"/>
        <w:jc w:val="both"/>
        <w:rPr>
          <w:caps w:val="false"/>
          <w:smallCaps w:val="false"/>
        </w:rPr>
      </w:pPr>
      <w:r>
        <w:rPr>
          <w:caps w:val="false"/>
          <w:smallCaps w:val="false"/>
        </w:rPr>
        <w:t> </w:t>
      </w:r>
    </w:p>
    <w:p>
      <w:pPr>
        <w:pStyle w:val="TextBody"/>
        <w:bidi w:val="0"/>
        <w:spacing w:before="0" w:after="0"/>
        <w:ind w:left="230" w:right="0" w:hanging="2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230" w:right="0" w:hanging="23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305"/>
        <w:gridCol w:w="5960"/>
      </w:tblGrid>
      <w:tr>
        <w:trPr/>
        <w:tc>
          <w:tcPr>
            <w:tcW w:w="30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 </w:t>
            </w:r>
          </w:p>
        </w:tc>
        <w:tc>
          <w:tcPr>
            <w:tcW w:w="5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 </w:t>
            </w:r>
          </w:p>
        </w:tc>
        <w:tc>
          <w:tcPr>
            <w:tcW w:w="5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below per Exchange Act Rules 14c-5(g) and 0-11.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1200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1200150"/>
                    </a:xfrm>
                    <a:prstGeom prst="rect">
                      <a:avLst/>
                    </a:prstGeom>
                  </pic:spPr>
                </pic:pic>
              </a:graphicData>
            </a:graphic>
          </wp:inline>
        </w:drawing>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Annual Meeting of Stockholders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Friday, June 14, 2024, 8:00 a.m. 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Location: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Harrow’s Corporate Office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1A Burton Hills Blvd., Suite 200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Nashville, TN 37215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1200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1200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2024 Annual Meeting of Stockholders of Harrow, Inc., which will be held at our corporate office located at 1A Burton Hills Blvd., Suite 200, Nashville, TN 37215, on June 14, 2024, at 8:00 a.m. (Central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adopted by the Securities and Exchange Commission, we are mailing to many of our stockholders a Notice of Internet Availability of Proxy Materials instead of a paper copy of the Proxy Statement and our Annual Report for the fiscal year ended December 31, 2023 (the “Annual Report”). The Notice of Internet Availability of Proxy Materials contains instructions on how stockholders can access the proxy documents over the Internet as well as how stockholders can receive a paper copy of our proxy materials, including the Proxy Statement, the Annual Report and a form of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meeting and Proxy Statement describe the matters to be acted upon at the Annual Meeting. If you plan to attend the Annual Meeting and your shares are held in street name (by a broker, for example), you should ask the record holder for a legal proxy and bring it with you to the Annual Meeting, so that we can verify your ownership of Harrow, Inc. stock. Please note that if your shares are held in street name and you do not bring a legal proxy from the record holder, although you will be able to attend the Annual Meeting, you will not be able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Annual Meeting personally, and regardless of the number of shares you own, it is important that your shares be represented at the Annual Meeting. Accordingly, we urge you to promptly complete the proxy card and return it to our Corporate Secretary at 102 Woodmont Blvd., Suite 610, Nashville, TN 37205, or to promptly use the telephone or Internet voting system. If you do attend the Annual Meeting and wish to vote in person, you may withdraw a previously submitted proxy at that time.</w:t>
      </w:r>
    </w:p>
    <w:p>
      <w:pPr>
        <w:pStyle w:val="TextBody"/>
        <w:bidi w:val="0"/>
        <w:spacing w:before="0" w:after="0"/>
        <w:ind w:left="0" w:right="0" w:hanging="0"/>
        <w:jc w:val="both"/>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75"/>
        <w:gridCol w:w="52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Chairman of the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1200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86000" cy="1200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1A BURTON HILLS BLVD., SUITE 200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NASHVILLE, TN 37215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June 14,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Harrow,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Annual Meeting of Stockholders of Harrow, Inc. (the “Company”) will be held on June 14, 2024, at 8:00 a.m. (Central Time), at the Company’s corporate office located at 1A Burton Hills Blvd., Suite 200, Nashville, TN 37215,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elect to the Board of Directors the five (5) director nominees named in the accompanying proxy statement to serve until the 2025 Annual Meeting of Stockholders and until their successors are duly elected and qualified.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caps w:val="false"/>
                <w:smallCaps w:val="false"/>
              </w:rPr>
            </w:pPr>
            <w:r>
              <w:rPr>
                <w:caps w:val="false"/>
                <w:smallCaps w:val="false"/>
              </w:rPr>
              <w:t> </w:t>
            </w:r>
          </w:p>
        </w:tc>
        <w:tc>
          <w:tcPr>
            <w:tcW w:w="99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selection of KMJ Corbin &amp; Company LLP, or its successor, as the Company’s independent registered public accounting firm for the fiscal year ending December 31, 2024.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caps w:val="false"/>
                <w:smallCaps w:val="false"/>
              </w:rPr>
            </w:pPr>
            <w:r>
              <w:rPr>
                <w:caps w:val="false"/>
                <w:smallCaps w:val="false"/>
              </w:rPr>
              <w:t> </w:t>
            </w:r>
          </w:p>
        </w:tc>
        <w:tc>
          <w:tcPr>
            <w:tcW w:w="99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the compensation of the Company’s named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caps w:val="false"/>
                <w:smallCaps w:val="false"/>
              </w:rPr>
            </w:pPr>
            <w:r>
              <w:rPr>
                <w:caps w:val="false"/>
                <w:smallCaps w:val="false"/>
              </w:rPr>
              <w:t> </w:t>
            </w:r>
          </w:p>
        </w:tc>
        <w:tc>
          <w:tcPr>
            <w:tcW w:w="99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meeting or any adjournment or postponement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more fully described in the proxy statement accompanying this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fixed the close of business on April 16, 2024, as the record date for the determination of stockholders entitled to notice of and to vote at the Annual Meeting and at any adjournment or postponement thereof. All stockholders are invited to attend the meeting.</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745"/>
        <w:gridCol w:w="5255"/>
      </w:tblGrid>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Chairman of the Board of Directors</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tc>
        <w:tc>
          <w:tcPr>
            <w:tcW w:w="5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26, 2024</w:t>
            </w:r>
          </w:p>
        </w:tc>
        <w:tc>
          <w:tcPr>
            <w:tcW w:w="525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283"/>
              <w:jc w:val="both"/>
              <w:rPr/>
            </w:pPr>
            <w:hyperlink w:anchor="nd_001">
              <w:r>
                <w:rPr>
                  <w:rStyle w:val="InternetLink"/>
                  <w:rFonts w:ascii="Times New Roman;Times;Serif" w:hAnsi="Times New Roman;Times;Serif"/>
                  <w:b/>
                  <w:i w:val="false"/>
                  <w:caps/>
                  <w:sz w:val="20"/>
                </w:rPr>
                <w:t>PROXY STATEMENT</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w:t>
            </w:r>
          </w:p>
        </w:tc>
      </w:tr>
      <w:tr>
        <w:trPr/>
        <w:tc>
          <w:tcPr>
            <w:tcW w:w="9960" w:type="dxa"/>
            <w:tcBorders/>
            <w:shd w:fill="FFFFFF" w:val="clear"/>
            <w:vAlign w:val="center"/>
          </w:tcPr>
          <w:p>
            <w:pPr>
              <w:pStyle w:val="TableContents"/>
              <w:bidi w:val="0"/>
              <w:spacing w:before="0" w:after="283"/>
              <w:jc w:val="both"/>
              <w:rPr/>
            </w:pPr>
            <w:hyperlink w:anchor="nd_002">
              <w:r>
                <w:rPr>
                  <w:rStyle w:val="InternetLink"/>
                  <w:rFonts w:ascii="Times New Roman;Times;Serif" w:hAnsi="Times New Roman;Times;Serif"/>
                  <w:b/>
                  <w:i w:val="false"/>
                  <w:caps/>
                  <w:sz w:val="20"/>
                </w:rPr>
                <w:t>PROPOSAL NO. 1: ELECTION OF DIRECTORS</w:t>
              </w:r>
            </w:hyperlink>
            <w:r>
              <w:rPr>
                <w:rFonts w:ascii="Times New Roman;Times;Serif" w:hAnsi="Times New Roman;Times;Serif"/>
                <w:b/>
                <w:i w:val="false"/>
                <w:caps/>
                <w:sz w:val="20"/>
              </w:rPr>
              <w:t xml:space="preserve"> </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4</w:t>
            </w:r>
          </w:p>
        </w:tc>
      </w:tr>
      <w:tr>
        <w:trPr/>
        <w:tc>
          <w:tcPr>
            <w:tcW w:w="9960" w:type="dxa"/>
            <w:tcBorders/>
            <w:shd w:fill="CCEEFF" w:val="clear"/>
            <w:vAlign w:val="center"/>
          </w:tcPr>
          <w:p>
            <w:pPr>
              <w:pStyle w:val="TableContents"/>
              <w:bidi w:val="0"/>
              <w:spacing w:before="0" w:after="283"/>
              <w:jc w:val="both"/>
              <w:rPr/>
            </w:pPr>
            <w:hyperlink w:anchor="nd_003">
              <w:r>
                <w:rPr>
                  <w:rStyle w:val="InternetLink"/>
                  <w:rFonts w:ascii="Times New Roman;Times;Serif" w:hAnsi="Times New Roman;Times;Serif"/>
                  <w:b/>
                  <w:i w:val="false"/>
                  <w:caps/>
                  <w:sz w:val="20"/>
                </w:rPr>
                <w:t>PROPOSAL NO. 2: RATIFICATION OF SELECTION OF INDEPENDENT REGISTERED PUBLIC ACCOUNTING FIRM</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7</w:t>
            </w:r>
          </w:p>
        </w:tc>
      </w:tr>
      <w:tr>
        <w:trPr/>
        <w:tc>
          <w:tcPr>
            <w:tcW w:w="9960" w:type="dxa"/>
            <w:tcBorders/>
            <w:shd w:fill="FFFFFF" w:val="clear"/>
            <w:vAlign w:val="center"/>
          </w:tcPr>
          <w:p>
            <w:pPr>
              <w:pStyle w:val="TableContents"/>
              <w:bidi w:val="0"/>
              <w:spacing w:before="0" w:after="283"/>
              <w:jc w:val="both"/>
              <w:rPr/>
            </w:pPr>
            <w:hyperlink w:anchor="nd_004">
              <w:r>
                <w:rPr>
                  <w:rStyle w:val="InternetLink"/>
                  <w:rFonts w:ascii="Times New Roman;Times;Serif" w:hAnsi="Times New Roman;Times;Serif"/>
                  <w:b/>
                  <w:i w:val="false"/>
                  <w:caps/>
                  <w:sz w:val="20"/>
                </w:rPr>
                <w:t>PROPOSAL NO. 3: ADVISORY VOTE ON NAMED EXECUTIVE OFFICER COMPENSATION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8</w:t>
            </w:r>
          </w:p>
        </w:tc>
      </w:tr>
      <w:tr>
        <w:trPr/>
        <w:tc>
          <w:tcPr>
            <w:tcW w:w="9960" w:type="dxa"/>
            <w:tcBorders/>
            <w:shd w:fill="CCEEFF" w:val="clear"/>
            <w:vAlign w:val="center"/>
          </w:tcPr>
          <w:p>
            <w:pPr>
              <w:pStyle w:val="TableContents"/>
              <w:bidi w:val="0"/>
              <w:spacing w:before="0" w:after="283"/>
              <w:jc w:val="both"/>
              <w:rPr/>
            </w:pPr>
            <w:hyperlink w:anchor="nd_005">
              <w:r>
                <w:rPr>
                  <w:rStyle w:val="InternetLink"/>
                  <w:rFonts w:ascii="Times New Roman;Times;Serif" w:hAnsi="Times New Roman;Times;Serif"/>
                  <w:b/>
                  <w:i w:val="false"/>
                  <w:caps/>
                  <w:sz w:val="20"/>
                </w:rPr>
                <w:t>CORPORATE GOVERNANCE</w:t>
              </w:r>
            </w:hyperlink>
            <w:r>
              <w:rPr>
                <w:rFonts w:ascii="Times New Roman;Times;Serif" w:hAnsi="Times New Roman;Times;Serif"/>
                <w:b/>
                <w:i w:val="false"/>
                <w:caps/>
                <w:sz w:val="20"/>
              </w:rPr>
              <w:t xml:space="preserve"> </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9</w:t>
            </w:r>
          </w:p>
        </w:tc>
      </w:tr>
      <w:tr>
        <w:trPr/>
        <w:tc>
          <w:tcPr>
            <w:tcW w:w="9960" w:type="dxa"/>
            <w:tcBorders/>
            <w:shd w:fill="FFFFFF" w:val="clear"/>
            <w:vAlign w:val="center"/>
          </w:tcPr>
          <w:p>
            <w:pPr>
              <w:pStyle w:val="TableContents"/>
              <w:bidi w:val="0"/>
              <w:spacing w:before="0" w:after="283"/>
              <w:jc w:val="both"/>
              <w:rPr/>
            </w:pPr>
            <w:hyperlink w:anchor="m_001">
              <w:r>
                <w:rPr>
                  <w:rStyle w:val="InternetLink"/>
                  <w:rFonts w:ascii="Times New Roman;Times;Serif" w:hAnsi="Times New Roman;Times;Serif"/>
                  <w:b/>
                  <w:i w:val="false"/>
                  <w:caps/>
                  <w:sz w:val="20"/>
                </w:rPr>
                <w:t>DIRECTOR COMPENSATION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17</w:t>
            </w:r>
          </w:p>
        </w:tc>
      </w:tr>
      <w:tr>
        <w:trPr/>
        <w:tc>
          <w:tcPr>
            <w:tcW w:w="9960" w:type="dxa"/>
            <w:tcBorders/>
            <w:shd w:fill="CCEEFF" w:val="clear"/>
            <w:vAlign w:val="center"/>
          </w:tcPr>
          <w:p>
            <w:pPr>
              <w:pStyle w:val="TableContents"/>
              <w:bidi w:val="0"/>
              <w:spacing w:before="0" w:after="283"/>
              <w:jc w:val="both"/>
              <w:rPr/>
            </w:pPr>
            <w:hyperlink w:anchor="m_002">
              <w:r>
                <w:rPr>
                  <w:rStyle w:val="InternetLink"/>
                  <w:rFonts w:ascii="Times New Roman;Times;Serif" w:hAnsi="Times New Roman;Times;Serif"/>
                  <w:b/>
                  <w:i w:val="false"/>
                  <w:caps/>
                  <w:sz w:val="20"/>
                </w:rPr>
                <w:t>EXECUTIVE COMPENSATION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18</w:t>
            </w:r>
          </w:p>
        </w:tc>
      </w:tr>
      <w:tr>
        <w:trPr/>
        <w:tc>
          <w:tcPr>
            <w:tcW w:w="9960" w:type="dxa"/>
            <w:tcBorders/>
            <w:shd w:fill="FFFFFF" w:val="clear"/>
            <w:vAlign w:val="center"/>
          </w:tcPr>
          <w:p>
            <w:pPr>
              <w:pStyle w:val="TableContents"/>
              <w:bidi w:val="0"/>
              <w:spacing w:before="0" w:after="283"/>
              <w:jc w:val="both"/>
              <w:rPr/>
            </w:pPr>
            <w:hyperlink w:anchor="m_003">
              <w:r>
                <w:rPr>
                  <w:rStyle w:val="InternetLink"/>
                  <w:rFonts w:ascii="Times New Roman;Times;Serif" w:hAnsi="Times New Roman;Times;Serif"/>
                  <w:b/>
                  <w:i w:val="false"/>
                  <w:caps/>
                  <w:sz w:val="20"/>
                </w:rPr>
                <w:t>SECURITY OWNERSHIP OF CERTAIN BENEFICIAL OWNERS AND MANAGEMENT AND RELATED STOCKHOLDER MATTERS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29</w:t>
            </w:r>
          </w:p>
        </w:tc>
      </w:tr>
      <w:tr>
        <w:trPr/>
        <w:tc>
          <w:tcPr>
            <w:tcW w:w="9960" w:type="dxa"/>
            <w:tcBorders/>
            <w:shd w:fill="CCEEFF" w:val="clear"/>
            <w:vAlign w:val="center"/>
          </w:tcPr>
          <w:p>
            <w:pPr>
              <w:pStyle w:val="TableContents"/>
              <w:bidi w:val="0"/>
              <w:spacing w:before="0" w:after="283"/>
              <w:jc w:val="both"/>
              <w:rPr/>
            </w:pPr>
            <w:hyperlink w:anchor="m_004">
              <w:r>
                <w:rPr>
                  <w:rStyle w:val="InternetLink"/>
                  <w:rFonts w:ascii="Times New Roman;Times;Serif" w:hAnsi="Times New Roman;Times;Serif"/>
                  <w:b/>
                  <w:i w:val="false"/>
                  <w:caps/>
                  <w:sz w:val="20"/>
                </w:rPr>
                <w:t>REPORT OF THE AUDIT COMMITTEE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30</w:t>
            </w:r>
          </w:p>
        </w:tc>
      </w:tr>
      <w:tr>
        <w:trPr/>
        <w:tc>
          <w:tcPr>
            <w:tcW w:w="9960" w:type="dxa"/>
            <w:tcBorders/>
            <w:shd w:fill="FFFFFF" w:val="clear"/>
            <w:vAlign w:val="center"/>
          </w:tcPr>
          <w:p>
            <w:pPr>
              <w:pStyle w:val="TableContents"/>
              <w:bidi w:val="0"/>
              <w:spacing w:before="0" w:after="283"/>
              <w:jc w:val="both"/>
              <w:rPr/>
            </w:pPr>
            <w:hyperlink w:anchor="m_005">
              <w:r>
                <w:rPr>
                  <w:rStyle w:val="InternetLink"/>
                  <w:rFonts w:ascii="Times New Roman;Times;Serif" w:hAnsi="Times New Roman;Times;Serif"/>
                  <w:b/>
                  <w:i w:val="false"/>
                  <w:caps/>
                  <w:sz w:val="20"/>
                </w:rPr>
                <w:t>HOUSEHOLDING OF PROXY MATERIALS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31</w:t>
            </w:r>
          </w:p>
        </w:tc>
      </w:tr>
      <w:tr>
        <w:trPr/>
        <w:tc>
          <w:tcPr>
            <w:tcW w:w="9960" w:type="dxa"/>
            <w:tcBorders/>
            <w:shd w:fill="CCEEFF" w:val="clear"/>
            <w:vAlign w:val="center"/>
          </w:tcPr>
          <w:p>
            <w:pPr>
              <w:pStyle w:val="TableContents"/>
              <w:bidi w:val="0"/>
              <w:spacing w:before="0" w:after="283"/>
              <w:jc w:val="both"/>
              <w:rPr/>
            </w:pPr>
            <w:hyperlink w:anchor="m_006">
              <w:r>
                <w:rPr>
                  <w:rStyle w:val="InternetLink"/>
                  <w:rFonts w:ascii="Times New Roman;Times;Serif" w:hAnsi="Times New Roman;Times;Serif"/>
                  <w:b/>
                  <w:i w:val="false"/>
                  <w:caps/>
                  <w:sz w:val="20"/>
                </w:rPr>
                <w:t>STOCKHOLDER PROPOSALS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31</w:t>
            </w:r>
          </w:p>
        </w:tc>
      </w:tr>
      <w:tr>
        <w:trPr/>
        <w:tc>
          <w:tcPr>
            <w:tcW w:w="9960" w:type="dxa"/>
            <w:tcBorders/>
            <w:shd w:fill="FFFFFF" w:val="clear"/>
            <w:vAlign w:val="center"/>
          </w:tcPr>
          <w:p>
            <w:pPr>
              <w:pStyle w:val="TableContents"/>
              <w:bidi w:val="0"/>
              <w:spacing w:before="0" w:after="283"/>
              <w:jc w:val="both"/>
              <w:rPr/>
            </w:pPr>
            <w:hyperlink w:anchor="m_007">
              <w:r>
                <w:rPr>
                  <w:rStyle w:val="InternetLink"/>
                  <w:rFonts w:ascii="Times New Roman;Times;Serif" w:hAnsi="Times New Roman;Times;Serif"/>
                  <w:b/>
                  <w:i w:val="false"/>
                  <w:caps/>
                  <w:sz w:val="20"/>
                </w:rPr>
                <w:t>ANNUAL REPORT</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32</w:t>
            </w:r>
          </w:p>
        </w:tc>
      </w:tr>
      <w:tr>
        <w:trPr/>
        <w:tc>
          <w:tcPr>
            <w:tcW w:w="9960" w:type="dxa"/>
            <w:tcBorders/>
            <w:shd w:fill="CCEEFF" w:val="clear"/>
            <w:vAlign w:val="center"/>
          </w:tcPr>
          <w:p>
            <w:pPr>
              <w:pStyle w:val="TableContents"/>
              <w:bidi w:val="0"/>
              <w:spacing w:before="0" w:after="283"/>
              <w:jc w:val="both"/>
              <w:rPr/>
            </w:pPr>
            <w:hyperlink w:anchor="m_008">
              <w:r>
                <w:rPr>
                  <w:rStyle w:val="InternetLink"/>
                  <w:rFonts w:ascii="Times New Roman;Times;Serif" w:hAnsi="Times New Roman;Times;Serif"/>
                  <w:b/>
                  <w:i w:val="false"/>
                  <w:caps/>
                  <w:sz w:val="20"/>
                </w:rPr>
                <w:t>OTHER MATTERS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32</w:t>
            </w:r>
          </w:p>
        </w:tc>
      </w:tr>
    </w:tbl>
    <w:p>
      <w:pPr>
        <w:pStyle w:val="TextBody"/>
        <w:bidi w:val="0"/>
        <w:spacing w:before="0" w:after="0"/>
        <w:ind w:left="0" w:right="0" w:hanging="0"/>
        <w:jc w:val="both"/>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1200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86000" cy="1200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Burton Hills Blvd., Suite 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nd_001"/>
      <w:bookmarkEnd w:id="2"/>
      <w:r>
        <w:rPr>
          <w:rFonts w:ascii="Times New Roman;Times;Serif" w:hAnsi="Times New Roman;Times;Serif"/>
          <w:b/>
          <w:i w:val="false"/>
          <w:caps w:val="false"/>
          <w:smallCaps w:val="false"/>
          <w:sz w:val="20"/>
        </w:rPr>
        <w:t>PROXY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Annual Meeting of Stockholders to be held on June 14,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(this “Proxy Statement”) is furnished in connection with the solicitation by the Board of Directors (the “Board” or “Board of Directors”) of Harrow, Inc. (the “Company”) of proxies for use at the Annual Meeting of Stockholders (the “Annual Meeting”) to be held at the Company’s corporate office located at 1A Burton Hills Blvd., Suite 200, Nashville, Tennessee 37215, on June 14, 2024, at 8:00 a.m. (Central Time), or at any adjournment or postponement thereof, for the purposes set forth herein and in the accompanying Notice of Annual Meeting of Stockholders (the “Notice”). We expect to mail or make available this Proxy Statement and the accompanying materials, including our Annual Report for the fiscal year ended December 31, 2023 (the “Annual Report”), the Notice and a proxy card, to our stockholders on or about April 26,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“us,” “we,” “our,” and the “Company” refer to Harrow,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this Proxy Statement, the Notice and the Annual Report can be accessed electronically at: </w:t>
      </w:r>
      <w:r>
        <w:rPr>
          <w:rFonts w:ascii="Times New Roman;Times;Serif" w:hAnsi="Times New Roman;Times;Serif"/>
          <w:b w:val="false"/>
          <w:i w:val="false"/>
          <w:caps w:val="false"/>
          <w:smallCaps w:val="false"/>
          <w:sz w:val="20"/>
          <w:u w:val="single"/>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soliciting proxies to vote at the Annual Meeting. In accordance with unanimous recommendations of our Board, the individuals named in the proxy card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card are authorized to vote on any other matters that may properly come before the Annual Meeting and at any postponement or adjournment of the Annual Meeting. As of the date of this Proxy Statement, the Board does not know of any items of business that will be presented for consideration at the Annual Meeting other than those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shares of our common stock at the close of business on the record date, April 16, 2024, will be entitled to notice of and to vote at the Annual Meeting and any postponement or adjournment thereof. At the close of business on April 16, 2024, the Company had 35,381,611 shares of common stock outstanding and entitled to vote, held by 67 stockholders of record. Each holder of record of shares of our common stock on the record date will be entitled to one vote for each share held on all matters to be voted upon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a valid meeting. A quorum will be present if at least a majority of the shares of common stock entitled to vote are represented at the Annual Meeting, either in person or by proxy.</w:t>
      </w:r>
    </w:p>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and Method of Counting Votes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pStyle w:val="TextBody"/>
        <w:bidi w:val="0"/>
        <w:spacing w:before="0" w:after="0"/>
        <w:ind w:left="0" w:right="0" w:hanging="0"/>
        <w:jc w:val="both"/>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5735"/>
        <w:gridCol w:w="60"/>
        <w:gridCol w:w="1235"/>
        <w:gridCol w:w="60"/>
        <w:gridCol w:w="1865"/>
      </w:tblGrid>
      <w:tr>
        <w:trPr/>
        <w:tc>
          <w:tcPr>
            <w:tcW w:w="573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tc>
        <w:tc>
          <w:tcPr>
            <w:tcW w:w="60" w:type="dxa"/>
            <w:tcBorders/>
            <w:tcMar>
              <w:bottom w:w="0" w:type="dxa"/>
            </w:tcMar>
            <w:vAlign w:val="center"/>
          </w:tcPr>
          <w:p>
            <w:pPr>
              <w:pStyle w:val="TableContents"/>
              <w:bidi w:val="0"/>
              <w:spacing w:before="0" w:after="283"/>
              <w:jc w:val="left"/>
              <w:rPr/>
            </w:pPr>
            <w:r>
              <w:rPr/>
              <w:t> </w:t>
            </w:r>
          </w:p>
        </w:tc>
        <w:tc>
          <w:tcPr>
            <w:tcW w:w="186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Discretionary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Allowed</w:t>
            </w:r>
          </w:p>
        </w:tc>
      </w:tr>
      <w:tr>
        <w:trPr/>
        <w:tc>
          <w:tcPr>
            <w:tcW w:w="5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 Election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Plurality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Cast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573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 Ratification of selection of independent registered public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firm for the 2024 fiscal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Cast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r>
        <w:trPr/>
        <w:tc>
          <w:tcPr>
            <w:tcW w:w="5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 – Advisory vote on named executive officer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Cast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3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 1, you may vote FOR or WITHHOLD for any or all director nominees. With respect to Proposals 2 and 3, you may vote FOR, AGAINST or ABSTAIN. As specified in our Amended and Restated Bylaws (“Bylaws”), abstentions and broker non-votes are not considered to be a vote cast and, therefore, will have no direct impact on any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102 Woodmont Blvd., Suite 610, Nashville, TN 37205 or by using the telephone or Internet voting systems set forth in the proxy card or Notice of Internet Availability.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Revocation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 stockholder of record if, at the close of business on the record date, your shares were registered directly in your name with Securities Transfer Corporation, our transfer agent. If you are a stockholder of record and submit your vote by proxy, you may revoke it at any time before its use, either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it in person at the Annual Meeting;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written notice to our Corporate Secretary at 102 Woodmont Blvd., Suite 610, Nashville, TN 37205 before the proxy is used;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later dated proxy card to us at the address noted above before the proxy is used.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presence at the Annual Meeting will not revoke your proxy, but if you attend the meeting and cast a ballot, your proxy will be revoked as to the matters on which the ballot is cast.</w:t>
      </w:r>
    </w:p>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and Method of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entire cost of solicitation of proxies, including preparation, assembly, printing and mailing of this Proxy Statement, the Notice, the proxy card and any additional information furnished to our stockholders. Solicitation of proxies by mail may be supplemented by telephone or personal solicitation by our directors, officers or other employees. No additional compensation will be paid to directors, officers or other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registered stockholders entitled to vote at the Annual Meeting will be available for examination by any stockholder for any purpose related to the Annual Meeting during the ten days prior to the Annual Meeting during ordinary business hours at our principal offices located at 1A Burton Hills Blvd., Suite 200, Nashville, TN 37215.</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nd_002"/>
      <w:bookmarkEnd w:id="3"/>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six directors. Upon the recommendation of the Company’s Nomination and Corporate Governance Committee, our Board has selected five director nominees for election at the Annual Meeting. Each of the nominees is currently a director of the Company and was elected or re-elected by our stockholders at our 2023 Annual Meeting of Stockholders (the “2023 Annual Meeting”), with the exception of Adrienne L. Graves and Lauren P. Silvernail, both of whom were appointed as directors in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Teresa F. Sparks currently serves as a director of the Company and is not being nominated for re-election, causing her term as a member of the Board to expire at the Annual Meeting. Ms. Sparks is currently Chair of the Audit Committee of the Board and will continue to serve as Chair of the Audit Committee until such time as her term expires. The Audit Committee has designated Ms. Silvernail to become Chair of the Audit Committee following the expiration of Ms. Sparks’ term, contingent upon Ms. Silvernail’s re-election to the Board. As a result of Ms. Sparks not being nominated for re-election, the Board reduced the number of directors serving on the Board from six to five effective following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selected the five persons listed below as nominees for election to the Board at the Annual Meeting. Each of these nominees has indicated that he or she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nominees for directors and such persons, if elected at the Annual Meeting, will serve as directors until the earlier of the 2025 Annual Meeting of Stockholders (the “2025 Annual Meeting”) or until their successors are duly elected and qualified.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66"/>
        <w:gridCol w:w="60"/>
        <w:gridCol w:w="350"/>
        <w:gridCol w:w="60"/>
        <w:gridCol w:w="8269"/>
      </w:tblGrid>
      <w:tr>
        <w:trPr/>
        <w:tc>
          <w:tcPr>
            <w:tcW w:w="1466"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8269"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&amp; Committees</w:t>
            </w:r>
          </w:p>
        </w:tc>
      </w:tr>
      <w:tr>
        <w:trPr/>
        <w:tc>
          <w:tcPr>
            <w:tcW w:w="146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Chief Executive Officer</w:t>
            </w:r>
          </w:p>
        </w:tc>
      </w:tr>
      <w:tr>
        <w:trPr/>
        <w:tc>
          <w:tcPr>
            <w:tcW w:w="146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Adrienne L. Graves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6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 Audit Committee, Compensation Committee*, Nomination and Corporate Governance Committee</w:t>
            </w:r>
          </w:p>
        </w:tc>
      </w:tr>
      <w:tr>
        <w:trPr/>
        <w:tc>
          <w:tcPr>
            <w:tcW w:w="146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A. Makary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6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 Audit Committee, Compensation Committee, Nomination and Corporate Governance Committee*</w:t>
            </w:r>
          </w:p>
        </w:tc>
      </w:tr>
      <w:tr>
        <w:trPr/>
        <w:tc>
          <w:tcPr>
            <w:tcW w:w="146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P. Silvernail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6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 Audit Committee*, Compensation Committee, Nomination and Corporate Governance Committee</w:t>
            </w:r>
          </w:p>
        </w:tc>
      </w:tr>
      <w:tr>
        <w:trPr/>
        <w:tc>
          <w:tcPr>
            <w:tcW w:w="146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J. Sternberg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6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 Audit Committee, Compensation Committee, Nomination and Corporate Governance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committee chair. In the case of the Audit Committee, Ms. Silvernail will serve as Chair following, and conditioned upon her re-election at, the Annual Meeting.</w:t>
      </w:r>
    </w:p>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Mark L. Baum </w:t>
      </w:r>
      <w:r>
        <w:rPr>
          <w:rFonts w:ascii="Times New Roman;Times;Serif" w:hAnsi="Times New Roman;Times;Serif"/>
          <w:b w:val="false"/>
          <w:i w:val="false"/>
          <w:caps w:val="false"/>
          <w:smallCaps w:val="false"/>
          <w:sz w:val="20"/>
        </w:rPr>
        <w:t xml:space="preserve">is a founder, Chairman of the Board of Directors and Chief Executive Officer of the Company. In 2011, Mr. Baum led the restructuring and reorganization of the Company and since that time has directed the key operational and strategic activities of the Company. Mr. Baum was appointed as a director of the Company in December 2011, served as the Chairman of the Board of Directors from December 2011 to April 2012, was appointed Chief Executive Officer in April 2012, and was again appointed and has served as the Chairman of the Board since August 2021. Prior to Mr. Baum’s involvement with the Company, from 2001 to 2011, he was the founder and managing director of TBLF, LLC, a consulting firm and fund manager, where he managed a series of three funds and acted as a principal investor in financing publicly-traded companies or bridge-to-public equity transactions. Before his fund management experience, Mr. Baum founded and served as the president of YesRx, an online pharmacy business, and practiced as a securities lawyer focused on public company reporting requirements and finance-related matters. Mr. Baum is also a founder and board member of Melt Pharmaceuticals, Inc. and is a founder and former board member of both Surface Ophthalmics, Inc., and Eton Pharmaceuticals, Inc. From November 2012 until December 2017, Mr. Baum served on the board of directors of Ideal Power, Inc., an energy-focused technology company, where he also served as the chair of its audit committee. Mr. Baum is a graduate, </w:t>
      </w:r>
      <w:r>
        <w:rPr>
          <w:rFonts w:ascii="Times New Roman;Times;Serif" w:hAnsi="Times New Roman;Times;Serif"/>
          <w:b w:val="false"/>
          <w:i/>
          <w:caps w:val="false"/>
          <w:smallCaps w:val="false"/>
          <w:sz w:val="20"/>
        </w:rPr>
        <w:t>cum laude</w:t>
      </w:r>
      <w:r>
        <w:rPr>
          <w:rFonts w:ascii="Times New Roman;Times;Serif" w:hAnsi="Times New Roman;Times;Serif"/>
          <w:b w:val="false"/>
          <w:i w:val="false"/>
          <w:caps w:val="false"/>
          <w:smallCaps w:val="false"/>
          <w:sz w:val="20"/>
        </w:rPr>
        <w:t>, of The University of Texas at Arlington and a graduate of California Western School of Law. Mr. Baum brings years of public company executive and board experience, including knowledge of securities laws, reporting requirements, and public company finance-related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Adrienne L. Graves</w:t>
      </w:r>
      <w:r>
        <w:rPr>
          <w:rFonts w:ascii="Times New Roman;Times;Serif" w:hAnsi="Times New Roman;Times;Serif"/>
          <w:b w:val="false"/>
          <w:i w:val="false"/>
          <w:caps w:val="false"/>
          <w:smallCaps w:val="false"/>
          <w:sz w:val="20"/>
        </w:rPr>
        <w:t xml:space="preserve"> has served as a director of the Company since January 2024. She previously served as President and Chief Executive Officer of Santen Inc., the United States subsidiary of a publicly-traded Japanese pharmaceutical company, from 2002 to 2010 and as Senior Vice President of Worldwide Clinical Development (U.S., Europe, and Japan) from 1995 to 2002. Ms. Graves has served as a member of the boards of directors of Ocular Therapeutix, Inc., a publicly-traded biopharmaceutical company, since July 2023; and Surface Ophthalmics, Inc., a development stage ophthalmology pharmaceutical company and former subsidiary of the Company, since 2018. Previously, Ms. Graves served as a member of the board of directors of Nicox S.A., a French ophthalmology company, from 2014 to 2024; IVERIC bio, Inc., a biopharmaceutical company, from 2018 to 2021, and as the chairman of IVERIC’s board from 2021 to 2023; Greenbrook TMS Inc., a Canadian neurology and medical device company, from 2018 to 2023; Oxurion NV, a Belgian biopharmaceutical company, from 2018 until 2023; Akorn Inc., a pharmaceutical company, from 2012 to 2018; and TearLab Corporation (now Trukera Medical), a biopharmaceutical company, from 2005 to 2018. Ms. Graves received a Bachelor of Arts degree in Psychology from Brown University and a Ph.D. in Psychobiology from the University of Michigan and completed a Postdoctoral Fellowship in Visual Neuroscience at the University of Paris. Ms. Graves brings to the Board remarkable leadership skills and pharmaceutical development and operational expertise across the pharmaceutical industry, including having contributed to bringing multiple ophthalmic products through development to approval and commercialization as well as having been responsible for numerous successful acquisitions and partnerships.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Martin A. Makary </w:t>
      </w:r>
      <w:r>
        <w:rPr>
          <w:rFonts w:ascii="Times New Roman;Times;Serif" w:hAnsi="Times New Roman;Times;Serif"/>
          <w:b w:val="false"/>
          <w:i w:val="false"/>
          <w:caps w:val="false"/>
          <w:smallCaps w:val="false"/>
          <w:sz w:val="20"/>
        </w:rPr>
        <w:t xml:space="preserve">has served as a member of our Board of Directors since March 2022. Mr. Makary is a healthcare expert and is Chief of Islet Transplant Surgery at The Johns Hopkins Hospital, where he has been employed since 2002. Mr. Makary is a frequent public policy expert in the media and a leading voice for physicians, writing for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He is the author of two New York Times bestselling books on healthcare and has published over 250 scientific peer-reviewed articles, including articles on organizational culture, surgical innovation, vulnerable populations, and the re-design of healthcare delivery. Mr. Makary has served in leadership at the World Health Organization and has been elected to the National Academy of Medicine. Mr. Makary has been a visiting professor at over 25 medical schools and is the recipient of the Nobility in Science Award from the National Pancreas Foundation. Mr. Makary speaks frequently on the future of healthcare and what it means for everyday Americans, business leaders, and healthcare professionals. His current research focuses on the appropriateness of medical care and the impact of the healthcare cost crisis on low-income populations. He has a Bachelor of Science degree from Bucknell University, an M.D. degree from Thomas Jefferson University, and a Master of Public Health degree, with a concentration in Health Policy, from Harvard University. Mr. Makary brings to the Board extensive experience as a surgeon, corporate advisor, and healthcare policy thought leader.</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Lauren P. Silvernail</w:t>
      </w:r>
      <w:r>
        <w:rPr>
          <w:rFonts w:ascii="Times New Roman;Times;Serif" w:hAnsi="Times New Roman;Times;Serif"/>
          <w:b w:val="false"/>
          <w:i w:val="false"/>
          <w:caps w:val="false"/>
          <w:smallCaps w:val="false"/>
          <w:sz w:val="20"/>
        </w:rPr>
        <w:t xml:space="preserve"> has served as a director of the Company since January 2024. From 2018 to 2022, she was Chief Financial Officer and Executive Vice President, Corporate Development of Evolus, Inc., an aesthetic medicines company. Prior to that time, Ms. Silvernail served as the Chief Financial Officer and Chief Business Officer of Revance Therapeutics, Inc., a development stage aesthetic medicine company, from 2015 to 2018 and as Chief Financial Officer and Executive Vice President, Corporate Development from 2013 to 2015. From 2003 to 2012, Ms. Silvernail was Chief Financial Officer and Vice President of Corporate Development at ISTA Pharmaceuticals, Inc., a commercial pharmaceutical company that was acquired by Bausch &amp; Lomb. From 1995 to 2003, Ms. Silvernail served in various operating and corporate development positions at Allergan, a pharmaceutical company, including Vice President, Business Development. Prior to joining Allergan, Ms. Silvernail worked at Glenwood Ventures, an investment firm, as a General Partner. She currently serves on the board of directors and as chair of the audit committee at Harpoon Therapeutics, Inc., an immuno-oncology company that was recently acquired by Merck &amp; Co., Inc. In addition, she served on the board of directors, as a member of the audit and compensation committees and as the chair of the corporate governance committee of Nicox S.A. from 2017 to 2024. Ms. Silvernail holds a Bachelor of Arts degree in Biophysics from the University of California, Berkeley and a Master of Business Administration degree from the Anderson Graduate School of Management at the University of California, Los Angeles. Ms. Silvernail brings to the Board a successful track record in operational, financial, and business development within the life sciences industry.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Perry J. Sternberg</w:t>
      </w:r>
      <w:r>
        <w:rPr>
          <w:rFonts w:ascii="Times New Roman;Times;Serif" w:hAnsi="Times New Roman;Times;Serif"/>
          <w:b w:val="false"/>
          <w:i w:val="false"/>
          <w:caps w:val="false"/>
          <w:smallCaps w:val="false"/>
          <w:sz w:val="20"/>
        </w:rPr>
        <w:t xml:space="preserve"> has served as a member of our Board of Directors since March 2022. Mr. Sternberg has served as the President and Chief Executive Officer of Corium, Inc., a commercial stage biopharmaceutical company leading the development and commercialization of novel central nervous system (“CNS”) therapies, since 2019. Prior to joining Corium, he served from 2013 to 2019 as Executive Vice President and Head of U.S. Commercial for Shire Plc’s ophthalmology business unit as well as six other Shire business units, which, during his tenure, in the aggregate, generated more than $8 billion in annual revenues. Mr. Sternberg also served as Chief Commercial Officer and Global Head of Shire’s CNS Business. Mr. Sternberg previously served as Vice President and General Manager, U.S. and Canada Pharmaceuticals at Bausch &amp; Lomb, as well as various leadership roles at Novartis Ophthalmics, Novartis Pharmaceuticals and Merck &amp; Co., Inc. In his 25 years of experience in biotechnology and pharmaceuticals, Mr. Sternberg has had direct responsibility for the launch and commercialization of more than 20 products across a wide range of therapeutic areas in diverse markets, including ophthalmic pharmaceuticals. Mr. Sternberg is also a member of the board of directors of privately held Surface Ophthalmics, Inc. He received a Bachelor of Science degree in Animal Bioscience from Penn State University in 1990. Mr. Sternberg brings to the Board 25 years of experience in biotechnology and pharmaceuticals, including the development of a strategic marketing vision, implementation of tactical sales plans that drive revenue growth, and effective leadership of teams to achieve as well as exceed growth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proxy card will vote the proxies they receive FOR the election of the nominees named above unless a particular proxy card withholds authorization to do so or provides contrary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THAT STOCKHOLDERS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ELECTION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EACH OF THE NOMINEES FOR DIRECTOR.</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nd_003"/>
      <w:bookmarkEnd w:id="4"/>
      <w:r>
        <w:rPr>
          <w:rFonts w:ascii="Times New Roman;Times;Serif" w:hAnsi="Times New Roman;Times;Serif"/>
          <w:b/>
          <w:i w:val="false"/>
          <w:caps w:val="false"/>
          <w:smallCaps w:val="false"/>
          <w:sz w:val="20"/>
        </w:rPr>
        <w:t xml:space="preserve">PROPOSAL NO. 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SELECTION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has selected KMJ Corbin &amp; Company LLP (“KMJ”) to serve as our independent registered public accounting firm for the fiscal year ending December 31, 2024, and has further directed that the selection of KMJ, or its successor, be submitted for ratification by our stockholders at our Annual Meeting. KMJ has served as our independent registered public accounting firm since September 17, 2007.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11, 2024, a registered public accounting firm (the “KMJ Successor”) announced that it entered into an agreement to acquire KMJ, with the acquisition expected to close in May 2024. Following the closing of the acquisition (if it closes), the Audit Committee expects to select and engage the KMJ Successor to serve as the Company’s independent registered public accounting firm for the fiscal year ending December 31, 2024. If the acquisition becomes effective prior to the Annual Meeting, ratification of the selection of the independent registered public accounting firm will be of the KMJ Successor.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KMJ (or the KMJ Successor if the acquisition of KMJ has been completed) are expected to be present at the Annual Meeting, will have an opportunity to make a statement if they so desire and will be available to respond to appropriate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selection of KMJ, or its successor, as our independent registered public accounting firm is not required by our Bylaws or otherwise. However, the Board is submitting the selection of KMJ to the stockholders for ratification as a matter of good corporate practice. If the stockholders do not ratify the selection, our Audit Committee will reconsider whether or not to retain KMJ. Even if the selection is ratified, the Audit Committee may, in its discretion, direct the appointment of a different independent registered public accounting firm at any time during the year if it determines that such a change would be in our and our stockholders’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and 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fees for professional services billed to the Company by KMJ for the years ended December 31, 2023 and 2022 were as follows:</w:t>
      </w:r>
    </w:p>
    <w:p>
      <w:pPr>
        <w:pStyle w:val="TextBody"/>
        <w:bidi w:val="0"/>
        <w:spacing w:before="0" w:after="0"/>
        <w:ind w:left="0" w:right="0" w:hanging="0"/>
        <w:jc w:val="left"/>
        <w:rPr>
          <w:caps w:val="false"/>
          <w:smallCaps w:val="false"/>
        </w:rPr>
      </w:pPr>
      <w:r>
        <w:rPr>
          <w:caps w:val="false"/>
          <w:smallCaps w:val="false"/>
        </w:rPr>
        <w:t> </w:t>
      </w:r>
    </w:p>
    <w:tbl>
      <w:tblPr>
        <w:tblW w:w="4808" w:type="dxa"/>
        <w:jc w:val="center"/>
        <w:tblInd w:w="0" w:type="dxa"/>
        <w:tblLayout w:type="fixed"/>
        <w:tblCellMar>
          <w:top w:w="0" w:type="dxa"/>
          <w:left w:w="0" w:type="dxa"/>
          <w:bottom w:w="0" w:type="dxa"/>
          <w:right w:w="0" w:type="dxa"/>
        </w:tblCellMar>
      </w:tblPr>
      <w:tblGrid>
        <w:gridCol w:w="1865"/>
        <w:gridCol w:w="60"/>
        <w:gridCol w:w="196"/>
        <w:gridCol w:w="1124"/>
        <w:gridCol w:w="84"/>
        <w:gridCol w:w="84"/>
        <w:gridCol w:w="196"/>
        <w:gridCol w:w="1124"/>
        <w:gridCol w:w="75"/>
      </w:tblGrid>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center"/>
              <w:rPr/>
            </w:pPr>
            <w:r>
              <w:rPr/>
              <w:t> </w:t>
            </w:r>
          </w:p>
        </w:tc>
      </w:tr>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4"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13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1865"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312,928</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220,926</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124" w:type="dxa"/>
            <w:tcBorders/>
            <w:shd w:fill="FFFFFF" w:val="clear"/>
            <w:vAlign w:val="center"/>
          </w:tcPr>
          <w:p>
            <w:pPr>
              <w:pStyle w:val="TableContents"/>
              <w:bidi w:val="0"/>
              <w:spacing w:before="0" w:after="283"/>
              <w:jc w:val="right"/>
              <w:rPr/>
            </w:pPr>
            <w:r>
              <w:rPr/>
              <w:t>13,200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12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Other Fees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326,128</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220,926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represent fees for professional services provided in connection with the audit of our annual consolidated financial statements, and the review of our consolidated financial statements included in our quarterly reports. “Audit-Related Fees” represent fees for assurance and related services that are reasonably related to the performance of the audit or review of our financial statements and are not reported under audit fees. There were no fees billed by or paid to our principal accountant during the years ended December 31, 2023 and 2022 for tax compliance, advice or planning services, or for financial information systems design and implementation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pre-approves all services to be provided by KMJ. All fees paid to KMJ for services performed in 2023 and 2022 were pre-approved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requires the affirmative vote of a majority of the votes cast on the proposal at a meeting at which a quorum is present. Abstentions will be counted as present for purposes of determining the presence of a quorum, but are not considered votes for or against a proposal and, therefore, will have no direct impact on this proposal. Broker non-votes are not expected to result from the vote on this proposal. The persons named in the proxy will vote the proxies they receive FOR the ratification of the selection of KMJ, or its successor, as our independent registered public accounting firm unless a particular proxy card withholds authorization to do so or provides contrary instructions.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THAT STOCKHOLDERS VOTE </w:t>
      </w:r>
      <w:r>
        <w:rPr>
          <w:rFonts w:ascii="Times New Roman;Times;Serif" w:hAnsi="Times New Roman;Times;Serif"/>
          <w:b/>
          <w:i w:val="false"/>
          <w:caps w:val="false"/>
          <w:smallCaps w:val="false"/>
          <w:sz w:val="20"/>
          <w:u w:val="single"/>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RATIFICATION OF THE SELECTION OF KMJ CORBIN &amp; COMPANY LLP, OR ITS SUCCESSOR,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THE COMPANY’S INDEPENDENT REGISTERED PUBLIC ACCOUNTING FIRM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ENDING DECEMBER 31, 2024.</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nd_004"/>
      <w:bookmarkEnd w:id="5"/>
      <w:r>
        <w:rPr>
          <w:rFonts w:ascii="Times New Roman;Times;Serif" w:hAnsi="Times New Roman;Times;Serif"/>
          <w:b/>
          <w:i w:val="false"/>
          <w:caps w:val="false"/>
          <w:smallCaps w:val="false"/>
          <w:sz w:val="20"/>
        </w:rPr>
        <w:t xml:space="preserve">PROPOSAL NO. 3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NAMED EXECUTIVE OFFICER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of 2010 (the “Dodd-Frank Act”) added Section 14A to the Securities Exchange Act of 1934, as amended (the “Exchange Act”), which enables our stockholders to vote to approve, on an advisory, non-binding basis, the compensation of our named executive officers as disclosed in this Proxy Statement in accordance with Securities and Exchange Commission (“SEC”) rules.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in this Proxy Statement,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Company’s stockholders approve, on an advisory basis, the compensation of the named executive officers, as disclosed in the Company’s Proxy Statement for the 2024 Annual Meeting of Stockholders pursuant to the compensation disclosure rules of the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requires the affirmative vote of a majority of the votes cast at a meeting at which a quorum is present. Abstentions and broker non-votes will be counted as present for purposes of determining the presence of a quorum, but are not considered votes for or against a proposal and, therefore, will have no direct impact on this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THAT STOCKHOLDERS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APPROVAL OF THE COMPENSATION OF OUR NAMED EXECUTIVE OFFICERS ON AN ADVISORY BASIS, AS DISCLOSED IN THIS PROXY STATEMENT PURSUANT TO THE COMPENSATION DISCLOSURE RULES OF THE SEC.</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6" w:name="nd_005"/>
      <w:bookmarkEnd w:id="6"/>
      <w:r>
        <w:rPr>
          <w:rFonts w:ascii="Times New Roman;Times;Serif" w:hAnsi="Times New Roman;Times;Serif"/>
          <w:b/>
          <w:i w:val="false"/>
          <w:caps w:val="false"/>
          <w:smallCaps w:val="false"/>
          <w:sz w:val="20"/>
        </w:rPr>
        <w:t xml:space="preserve">CORPORATE 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corporate governance guidelines to assist it in the exercise of its responsibilities and to serve the interests of the Company and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currently consists of the following six members: Mark L. Baum (Chair), Adrienne L. Graves, Martin A. Makary, Lauren P. Silvernail, Teresa F. Sparks, and Perry J. Sternberg (Lead Independent Director). The Board has determined that Ms. Graves, Mr. Makary, Ms. Silvernail, Ms. Sparks, and Mr. Sternberg, comprising a majority of our current Board, are “independent” directors, as that term is defined by Nasdaq Marketplace Rule 5605(a)(2). Mr. Baum is not independent because he currently serves as our Chief Executive Officer. R. Lawrence Van Horn, who served on the Board until his resignation on November 3, 2023, was deemed by the Board to be independent during his service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Nominations for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the Nomination and Corporate Governance Committee believes that the Board of Directors requires additional candidates for nomination, it may explore alternative sources for identifying additional candidates. This may include engaging, as appropriate, a third-party search firm to assist in identifying qualified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Inc., c/o Corporate Secretary, 102 Woodmont Blvd., Suite 610, Nashville, TN 37205, or by accessing the exhibits to our Annual Report on Form 10-K for the year ended December 31, 2023, filed with the SEC.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410"/>
        <w:gridCol w:w="155"/>
      </w:tblGrid>
      <w:tr>
        <w:trPr/>
        <w:tc>
          <w:tcPr>
            <w:tcW w:w="3410" w:type="dxa"/>
            <w:tcBorders/>
            <w:vAlign w:val="center"/>
          </w:tcPr>
          <w:p>
            <w:pPr>
              <w:pStyle w:val="TableContents"/>
              <w:bidi w:val="0"/>
              <w:spacing w:before="0" w:after="283"/>
              <w:jc w:val="left"/>
              <w:rPr/>
            </w:pPr>
            <w:r>
              <w:rPr/>
              <w:t>Harrow, Inc. 2024 Proxy Statement</w:t>
            </w:r>
          </w:p>
        </w:tc>
        <w:tc>
          <w:tcPr>
            <w:tcW w:w="155"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Nasdaq’s Board Diversity Rule, the Company is providing the following diversity information on the composition of its Board of Directors. Of the past four new members elected to the Board, two have been women and one has been of Middle Eastern / North African descent. Although Nasdaq’s classification system does not include Middle Eastern or North African individuals as an underrepresented demographic, other classification systems and the Company’s Board consider them to be diverse. For further details about the diversity of the Board, please refer to the following matrix: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 (as of April 16, 2024)</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2960"/>
        <w:gridCol w:w="60"/>
        <w:gridCol w:w="650"/>
        <w:gridCol w:w="60"/>
        <w:gridCol w:w="470"/>
      </w:tblGrid>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Female</w:t>
            </w:r>
          </w:p>
        </w:tc>
        <w:tc>
          <w:tcPr>
            <w:tcW w:w="60" w:type="dxa"/>
            <w:tcBorders/>
            <w:vAlign w:val="center"/>
          </w:tcPr>
          <w:p>
            <w:pPr>
              <w:pStyle w:val="TableContents"/>
              <w:bidi w:val="0"/>
              <w:spacing w:before="0" w:after="283"/>
              <w:jc w:val="center"/>
              <w:rPr/>
            </w:pPr>
            <w:r>
              <w:rPr/>
              <w:t> </w:t>
            </w:r>
          </w:p>
        </w:tc>
        <w:tc>
          <w:tcPr>
            <w:tcW w:w="4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Male</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Directors</w:t>
            </w:r>
          </w:p>
        </w:tc>
        <w:tc>
          <w:tcPr>
            <w:tcW w:w="60" w:type="dxa"/>
            <w:tcBorders/>
            <w:shd w:fill="CCEEFF" w:val="clear"/>
            <w:vAlign w:val="center"/>
          </w:tcPr>
          <w:p>
            <w:pPr>
              <w:pStyle w:val="TableContents"/>
              <w:bidi w:val="0"/>
              <w:spacing w:before="0" w:after="283"/>
              <w:jc w:val="left"/>
              <w:rPr/>
            </w:pPr>
            <w:r>
              <w:rPr/>
              <w:t> </w:t>
            </w:r>
          </w:p>
        </w:tc>
        <w:tc>
          <w:tcPr>
            <w:tcW w:w="1180"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Gender Identity</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4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center"/>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Demographic Background</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4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African/Middle Eastern</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vAlign w:val="center"/>
          </w:tcPr>
          <w:p>
            <w:pPr>
              <w:pStyle w:val="TableContents"/>
              <w:bidi w:val="0"/>
              <w:spacing w:before="0" w:after="283"/>
              <w:jc w:val="center"/>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center"/>
              <w:rPr/>
            </w:pPr>
            <w:r>
              <w:rPr/>
              <w:t> </w:t>
            </w:r>
          </w:p>
        </w:tc>
        <w:tc>
          <w:tcPr>
            <w:tcW w:w="47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see our Board Diversity Matrix as of April 24, 2023, please see our proxy statement filed with the SEC on April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Communications with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communicate with the Board of Directors by sending a letter to the Corporate Secretary, Harrow, Inc., 102 Woodmont Blvd., Suite 610, Nashville, TN 37205.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Any communications that concern accounting, internal control or auditing matters will be handled in accordance with procedures adopted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Code of Business Conduct and Ethics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adopted a Code of Business Conduct and Ethics, which is available for review on the Investors section of the Company’s website, </w:t>
      </w:r>
      <w:r>
        <w:rPr>
          <w:rFonts w:ascii="Times New Roman;Times;Serif" w:hAnsi="Times New Roman;Times;Serif"/>
          <w:b w:val="false"/>
          <w:i w:val="false"/>
          <w:caps w:val="false"/>
          <w:smallCaps w:val="false"/>
          <w:sz w:val="20"/>
          <w:u w:val="single"/>
        </w:rPr>
        <w:t>www.harrow.com</w:t>
      </w:r>
      <w:r>
        <w:rPr>
          <w:rFonts w:ascii="Times New Roman;Times;Serif" w:hAnsi="Times New Roman;Times;Serif"/>
          <w:b w:val="false"/>
          <w:i w:val="false"/>
          <w:caps w:val="false"/>
          <w:smallCaps w:val="false"/>
          <w:sz w:val="20"/>
        </w:rPr>
        <w:t>, under Corporate Governance, and is also available in print, without charge, to any stockholder who requests a copy by writing to us at Harrow, Inc., 102 Woodmont Blvd., Suite 610, Nashville, TN 37205, Attention: Investor Relations. Each of our directors, employees and officers, including our Chief Executive Officer, Chief Financial Officer, and all of our other executive officers, are required to comply with the Code of Business Conduct and Ethics. There have not been any waivers of the Code of Business Conduct and Ethics relating to any of our executive officers or directors in the past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and Committees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Attendance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generally holds meetings on a quarterly basis, along with monthly update calls, but may hold additional meetings as required. In 2023, the Board held five meetings. Each of our directors attended 100% of the Board meetings that were held during the periods when they were a director and 100% of the meetings of each committee of the Board on which they served that were held during the periods that they served on such committee. We do not have a policy requiring that directors attend our annual meeting of stockholders, but encourage attendance by each director. All of our directors in office at the time attended our 2023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has three standing committees to facilitate and assist the Board in the execution of its responsibilities: the Audit Committee, the Compensation Committee and the Nomination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Audit Committee was composed of Teresa F. Sparks (Chair), Martin A. Makary, and R. Lawrence Van Horn, until his resignation from the Board in November 2023. Perry J. Sternberg joined the committee upon Mr. Van Horn’s resignation. Our Board has affirmatively determined that each member who serves on the Audit Committee is independent under applicable Nasdaq Marketplace Rules and satisfies all other qualifications under Nasdaq Marketplace Rules and the applicable rules of the SEC. Our Board also affirmatively determined that Ms. Sparks qualifies as an “audit committee financial expert,” as such term is defined in Regulation S-K under the Securities Act of 1933, as amended (the “Securities Act”). The Audit Committee held seven meetings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acts pursuant to a written charter that has been adopted by the Board, which is available for review on the Investors section of the Company’s website, </w:t>
      </w:r>
      <w:r>
        <w:rPr>
          <w:rFonts w:ascii="Times New Roman;Times;Serif" w:hAnsi="Times New Roman;Times;Serif"/>
          <w:b w:val="false"/>
          <w:i w:val="false"/>
          <w:caps w:val="false"/>
          <w:smallCaps w:val="false"/>
          <w:sz w:val="20"/>
          <w:u w:val="single"/>
        </w:rPr>
        <w:t>www.harrow.com</w:t>
      </w:r>
      <w:r>
        <w:rPr>
          <w:rFonts w:ascii="Times New Roman;Times;Serif" w:hAnsi="Times New Roman;Times;Serif"/>
          <w:b w:val="false"/>
          <w:i w:val="false"/>
          <w:caps w:val="false"/>
          <w:smallCaps w:val="false"/>
          <w:sz w:val="20"/>
        </w:rPr>
        <w:t>, under Corporate Governance.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Compensation Committee was composed of Teresa F. Sparks, Perry J. Sternberg, and R. Lawrence Van Horn (Chair), until his resignation from the Board in November 2023. Martin A. Makary joined the committee upon Mr. Van Horn’s resignation. Our Board has affirmatively determined that each member who serves on the Compensation Committee is independent under applicable Nasdaq Marketplace Rules and satisfies all other qualifications under Nasdaq Marketplace Rules and the applicable rules of the SEC. The Compensation Committee held four meetings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Committee acts pursuant to a written charter that has been adopted by the Board, which is available for review on the Investors section of the Company’s website, </w:t>
      </w:r>
      <w:r>
        <w:rPr>
          <w:rFonts w:ascii="Times New Roman;Times;Serif" w:hAnsi="Times New Roman;Times;Serif"/>
          <w:b w:val="false"/>
          <w:i w:val="false"/>
          <w:caps w:val="false"/>
          <w:smallCaps w:val="false"/>
          <w:sz w:val="20"/>
          <w:u w:val="single"/>
        </w:rPr>
        <w:t>www.harrow.com</w:t>
      </w:r>
      <w:r>
        <w:rPr>
          <w:rFonts w:ascii="Times New Roman;Times;Serif" w:hAnsi="Times New Roman;Times;Serif"/>
          <w:b w:val="false"/>
          <w:i w:val="false"/>
          <w:caps w:val="false"/>
          <w:smallCaps w:val="false"/>
          <w:sz w:val="20"/>
        </w:rPr>
        <w:t>, under Corporate Governance.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Nomination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Nomination and Corporate Governance Committee was composed of Teresa F. Sparks and R. Lawrence Van Horn (Chair), until his resignation from the Board in November 2023. Martin A. Makary and Perry J. Sternberg joined the committee upon Mr. Van Horn’s resignation. Our Board has affirmatively determined that each member who serves on the Nomination and Corporate Governance Committee is independent under applicable Nasdaq Marketplace Rules and satisfies all other qualifications under Nasdaq Marketplace Rules and the applicable rules of the SEC. The Nomination and Corporate Governance Committee held four meetings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Nomination and Corporate Governance Committee acts pursuant to a written charter that has been adopted by the Board, which is available for review on the Investors section of the Company’s website, </w:t>
      </w:r>
      <w:r>
        <w:rPr>
          <w:rFonts w:ascii="Times New Roman;Times;Serif" w:hAnsi="Times New Roman;Times;Serif"/>
          <w:b w:val="false"/>
          <w:i w:val="false"/>
          <w:caps w:val="false"/>
          <w:smallCaps w:val="false"/>
          <w:sz w:val="20"/>
          <w:u w:val="single"/>
        </w:rPr>
        <w:t>www.harrow.com</w:t>
      </w:r>
      <w:r>
        <w:rPr>
          <w:rFonts w:ascii="Times New Roman;Times;Serif" w:hAnsi="Times New Roman;Times;Serif"/>
          <w:b w:val="false"/>
          <w:i w:val="false"/>
          <w:caps w:val="false"/>
          <w:smallCaps w:val="false"/>
          <w:sz w:val="20"/>
        </w:rPr>
        <w:t>, under Corporate Governance. The responsibilities of the Nomination and Corporate Governance Committee include evaluating and making recommendations to the Board with respect to director nominees and providing oversight of our corporate governance policies and practices.</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both filled by Mark L. Baum. As a result of his in-depth knowledge of the Company’s operations gained by serving as Chief Executive Officer, Mr. Baum is well positioned to identify and lead Board deliberations regarding important matters relating to the Company’s operations, strategic priorities, and overall development. The Board believes that serving as both Chief Executive Officer and Chairman of the Board enables Mr. Baum to facilitate effective communication between Company management and the Board and to ensure key issues and recommendations are brought to the attention of the Board. The Board believes that this leadership structure, in conjunction with the appointment of a Lead Independent Director, is the most effective for the Company at this time, and that our existing corporate governance practices effectively achieve independent oversight and management accountability.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also provide that, if the same individual serves as Chairman of the Board and Chief Executive Officer, or if the Chairman of the Board is otherwise not independent, our Board shall appoint a Lead Independent Director. Mr. Van Horn served as our Lead Independent Director from 2021 until his resignation in November 2023. Following Mr. Van Horn’s resignation, Perry J. Sternberg was appointed to serve as Lead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Lead Independent Director include: (i) fostering processes that allow the Board to function independently of management and encouraging open and effective communication between the Board and management of the Company; (ii) providing input to the Chairman on behalf of the independent directors with respect to Board agendas; (iii) presiding at all meetings of the Board at which the Chairman is not present, as well as regularly scheduled executive sessions of independent directors; (iv) in the case of a conflict of interest involving a director, if appropriate, asking the conflicted director to leave the room during discussion concerning such matter and, if appropriate, asking such director to recuse himself or herself from voting on the relevant matter; (v) communicating with the Chairman and the Chief Executive Officer, as appropriate, regarding meetings of the independent directors and resources and information necessary for the Board to effectively carry out its duties and responsibilities; (vi) serving as liaison between the Chairman and the independent directors; (vii) being available to directors who have concerns that cannot be addressed through the Chairman; (viii) calling meetings of the independent directors, as needed or when appropriate; and (ix) performing other functions as may reasonably be requested by the Board or the Chairman. In the event the Company appoints an independent Chairman of the Board, the responsibilities of the Lead Independent Director will be assumed by the independent Chairman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Role in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5"/>
        <w:gridCol w:w="60"/>
        <w:gridCol w:w="8090"/>
      </w:tblGrid>
      <w:tr>
        <w:trPr/>
        <w:tc>
          <w:tcPr>
            <w:tcW w:w="205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Board/Committee</w:t>
            </w:r>
          </w:p>
        </w:tc>
        <w:tc>
          <w:tcPr>
            <w:tcW w:w="60" w:type="dxa"/>
            <w:tcBorders/>
            <w:tcMar>
              <w:bottom w:w="0" w:type="dxa"/>
            </w:tcMar>
            <w:vAlign w:val="center"/>
          </w:tcPr>
          <w:p>
            <w:pPr>
              <w:pStyle w:val="TableContents"/>
              <w:bidi w:val="0"/>
              <w:spacing w:before="0" w:after="283"/>
              <w:jc w:val="left"/>
              <w:rPr/>
            </w:pPr>
            <w:r>
              <w:rPr/>
              <w:t> </w:t>
            </w:r>
          </w:p>
        </w:tc>
        <w:tc>
          <w:tcPr>
            <w:tcW w:w="8090"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Areas of Risk Oversight</w:t>
            </w:r>
          </w:p>
        </w:tc>
      </w:tr>
      <w:tr>
        <w:trPr/>
        <w:tc>
          <w:tcPr>
            <w:tcW w:w="2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Full Board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exposures associated with our business strategy and other current matters that may present material risk to our financial performance, operations, prospects or reputation.</w:t>
            </w:r>
          </w:p>
        </w:tc>
      </w:tr>
      <w:tr>
        <w:trPr/>
        <w:tc>
          <w:tcPr>
            <w:tcW w:w="20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Audit Committee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Overall policies with respect to risk assessment and risk management, material pending legal proceedings involving the Company and other contingent liabilities, any potential related party or conflict of interest transactions, as well as other risks and exposures that may have a material impact on our financial statements. </w:t>
            </w:r>
          </w:p>
        </w:tc>
      </w:tr>
      <w:tr>
        <w:trPr/>
        <w:tc>
          <w:tcPr>
            <w:tcW w:w="2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Committee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and exposures associated with management succession planning and executive compensation programs and arrangements, including incentive plans. </w:t>
            </w:r>
          </w:p>
        </w:tc>
      </w:tr>
      <w:tr>
        <w:trPr/>
        <w:tc>
          <w:tcPr>
            <w:tcW w:w="20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Nomination and Corporate Governance Committee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and exposures associated with director succession planning, corporate governance, and overall Board effectiveness. </w:t>
            </w:r>
          </w:p>
        </w:tc>
      </w:tr>
    </w:tbl>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Policy Regarding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Financial Accounting Standards Board (FASB) and SEC rules and regulations. Management advises the Audit Committee and the full Board of Directors on a regular basis of any such transaction that is proposed to be entered into or continued and seeks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Transactions with Related Persons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Klarity License Agreement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L. Lindstrom served as a director of the Company from January 2015 until the 2023 Annual Meeting. Following the end of his term at the 2023 Annual Meeting, Mr. Lindstrom entered into a consulting agreement to continue working with the Company as senior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2017, the Company entered into a license agreement (the “Klarity License Agreement”) with Mr. Lindstrom. Pursuant to the terms of the Klarity License Agreement, the Company licensed certain intellectual property and related rights from Mr. Lindstrom to develop, formulate, make, sell, and sub-license the topical ophthalmic solution Klarity designed to protect and rehabilitate the ocular surface (the “Klarity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Klarity License Agreement, the Company is required to make royalty payments to Mr. Lindstrom ranging from 3% to 6% of net sales, dependent upon the final formulation of the Klarity Product sold. In addition, the Company is required to make certain milestone payments to Mr.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All of the above referenced milestone payments were payable at the Company’s election in cash or shares of the Company’s restricted common stock. Mr. Lindstrom was paid $292,000 and $274,000 in cash during the years ended December 31, 2023 and 2022, respectively, and was due an additional $67,000 and $71,000 at December 31, 2023 and 2022, respectively. The Company incurred $287,000 and $315,000 for royalty expenses related to the Klarity License Agreement during the years ended December 31, 2023 and 2022, respectively, which are included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Injectable Asset Purchase Agreement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Company entered into an asset purchase agreement (the “Lindstrom APA”) with Mr. Lindstrom. Pursuant to the terms of the Lindstrom APA, the Company acquired certain intellectual property and related rights from Mr. Lindstrom to develop, formulate, make, sell, and sub-license an ophthalmic injectable product (the “Lindstrom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Lindstrom APA, the Company is required to make royalty payments to Mr. Lindstrom ranging from 2% to 3% of net sales, dependent upon the final formulation and patent protection of the Lindstrom Product sold. In addition, the Company is required to make certain milestone payments to Mr. Lindstrom including an initial payment of $33,000 upon execution of the Lindstrom APA. Mr. Lindstrom was paid $35,000 and $32,000 in cash during the years ended December 31, 2023 and 2022, respectively, and was due an additional $6,000 and $9,000 at December 31, 2023 and 2022, respectively. The Company incurred $32,000 and $33,000 for royalty expenses related to the Lindstrom APA during the years ended December 31, 2023 and 2022, respectively, which are included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Presbyopia Asset Purchase Agreement – Related Party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Company entered into an asset purchase agreement (the “Presbyopia APA”) with Mr. Lindstrom. Pursuant to the terms of the Presbyopia APA, the Company acquired certain intellectual property and related rights from Mr. Lindstrom to develop, formulate, make, sell, and sub-license an ophthalmic topical product to treat presbyopia (the “Presbyopia Product”).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Presbyopia APA, the Company is required to make royalty payments to Mr. Lindstrom ranging from 2% to 4% of net sales, dependent upon the final formulation and patent protection of the Presbyopia Product sold. The Company neither paid nor incurred any royalty expenses related to the Presbyopia APA during the years ended December 31, 2023 and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Surface Pharmaceuticals, Inc. and Related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2017, the Company formed Surface Pharmaceuticals, Inc. (“Surface”). In May and July 2018, Surface closed an offering of its Series A Preferred Stock. At that time, the Company lost its controlling interest and deconsolidated Surface from the Company’s consolidated financial statements. </w:t>
      </w:r>
      <w:r>
        <w:rPr>
          <w:rFonts w:ascii="Times New Roman;Times;Serif" w:hAnsi="Times New Roman;Times;Serif"/>
          <w:b w:val="false"/>
          <w:i w:val="false"/>
          <w:caps w:val="false"/>
          <w:smallCaps w:val="false"/>
          <w:sz w:val="20"/>
          <w:shd w:fill="FFFFFF" w:val="clear"/>
        </w:rPr>
        <w:t>The Company owns 3,500,000 shares of common stock of Surface, which represented approximately 20% of Surface’s equity and voting interests as of December 31, 2023,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asset purchase and license agreement with Surface in 2017 and amended it in April 2018 (the “Surface License Agreement”). Pursuant to the terms of the Surface License Agreement, the Company assigned and licensed to Surface certain intellectual property and related rights associated with Surface’s drug candidates (collectively, the “Surface Products”). Surface is required to make mid-single-digit royalty payments to the Company on net sales of the Surface Products while any patent rights remain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L. Baum was a director of Surface until March 31, 2023. Adrienne L. Graves and Perry J. Sternberg, directors of the Company, also are directors of Surface.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Melt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2018, the Company formed Melt Pharmaceuticals, Inc. (“Melt”) as a wholly-owned subsidiary. In December 2018, the Company entered into an asset purchase agreement with Melt (the “Melt APA”). Pursuant to the terms of the Melt APA, Melt was assigned certain intellectual property and related rights from the Company to develop, formulate, make, sell, and sub-license certain Company conscious sedation and analgesia-related formulations (collectively, the “Melt Products”). Under the terms of the Melt APA, Melt is required to make mid-single digit royalty payments to the Company on net sales of the Melt Products while any patent rights remain outstanding, as well as other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and March of 2019, Melt entered into definitive stock purchase agreements (collectively, the “Melt Series A Preferred Stock Agreement”) with certain investors and closed on the purchase and sale of Melt’s Series A Preferred Stock (the “Melt Series A Stock”), generating approximately $11,400,000 of proceeds (collectively, the “Melt Series A Round”) at a purchase price of $5.00 per share. As a result, the Company lost voting and ownership control of Melt and ceased consolidating Melt’s financial statements. In January 2019, the Company deconsolidated Melt and recorded a gain of $5,810,000 and adjusted the carrying value in Melt to reflect the increased valuation of Melt and the Company’s new ownership interest in accordance with Accounting Standards Codification (“ASC”) 810-10-40-4(c),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February 2019, the Company and Melt entered into a management services agreement (the “Melt MSA”), whereby the Company provided to Melt certain administrative services and support, including bookkeeping, web services and human resources-related activities, and Melt was required to pay the Company a monthly amount of $10,000. The Melt MSA was terminated effective July 1, 2023. </w:t>
      </w:r>
      <w:r>
        <w:rPr>
          <w:rFonts w:ascii="Times New Roman;Times;Serif" w:hAnsi="Times New Roman;Times;Serif"/>
          <w:b w:val="false"/>
          <w:i w:val="false"/>
          <w:caps w:val="false"/>
          <w:smallCaps w:val="false"/>
          <w:sz w:val="20"/>
        </w:rPr>
        <w:t xml:space="preserve">During the years ended December 31, 2023 and 2022, the Company recorded $89,000 and $91,000, respectively, due from Melt for reimbursable expenses and amounts payable pursuant to the Melt MSA, which are included in prepaid expenses and other current assets in the accompanying condensed consolidated balance sheets. </w:t>
      </w:r>
      <w:r>
        <w:rPr>
          <w:rFonts w:ascii="Times New Roman;Times;Serif" w:hAnsi="Times New Roman;Times;Serif"/>
          <w:b w:val="false"/>
          <w:i w:val="false"/>
          <w:caps w:val="false"/>
          <w:smallCaps w:val="false"/>
          <w:sz w:val="20"/>
          <w:shd w:fill="FFFFFF" w:val="clear"/>
        </w:rPr>
        <w:t>As of December 31, 2023 and 2022, the Company was due $228,000 and $139,000, respectively, from Melt for reimbursable expenses and amounts due under the Melt MSA. Melt did not make any payments to the Company during the year ended December 31, 2022. The Company made a cash advance to Melt of $500,000 and Melt repaid the $500,000 cash advance during the year ended December 31,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Melt is required to make mid-single digit royalty payments to the Company on net sales of MELT-300 while any patent rights </w:t>
      </w:r>
      <w:r>
        <w:rPr>
          <w:rFonts w:ascii="Times New Roman;Times;Serif" w:hAnsi="Times New Roman;Times;Serif"/>
          <w:b w:val="false"/>
          <w:i w:val="false"/>
          <w:caps w:val="false"/>
          <w:smallCaps w:val="false"/>
          <w:sz w:val="20"/>
        </w:rPr>
        <w:t xml:space="preserve">remain </w:t>
      </w:r>
      <w:r>
        <w:rPr>
          <w:rFonts w:ascii="Times New Roman;Times;Serif" w:hAnsi="Times New Roman;Times;Serif"/>
          <w:b w:val="false"/>
          <w:i w:val="false"/>
          <w:caps w:val="false"/>
          <w:smallCaps w:val="false"/>
          <w:sz w:val="20"/>
          <w:shd w:fill="FFFFFF" w:val="clear"/>
        </w:rPr>
        <w:t xml:space="preserve">outstanding, subject to other conditions. Melt can require the Company to cease compounding like products at the time of U.S. Food and Drug Administration approval of MELT-300. If approved, we do not expect a cessation of compounding like products to have a material impact on our operations and financial performance.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reduced the carrying value of its common stock investment in Melt to $0 as a result of the Company recording its share of equity losses in Melt since its deconsolidation in 2019. As of December 31, 2022, and at the time of entering into the Melt Loan Agreement (as defined below),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treated interest paid-in-kind on the Melt Loan Agreement as an in-substance capital contribution and reduced its investment in Melt accordingly, rather than recording interest income. The Company has no other requirements to advance funds to Melt.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2021, the Company entered into a loan and security agreement in the principal amount of $13,500,000 (the “Melt Loan Agreement”), as lender, with Melt, as borrower. Amounts borrowed under the Melt Loan Agreement bore interest at 12.50% per annum, which interest could have been paid in-kind at the option of Melt until the maturity date. The Melt Loan Agreement permitted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September 1, 2023, which could have been extended further to September 1, 2026, upon Melt completing a qualifying financing of a minimum amount of $10,000,000 from third-party investors, (ii) added conditions related to minimum cash amounts following a qualifying financing, and (iii) clarified the definition of material adverse effects. Melt could have elected to prepay all, but not less than all, of the amounts owed prior to the maturity date at any time without penalty. The net funds received by Melt excluded $908,000 owed to the Company for reimbursable expenses and amounts due under the Melt MSA prior to the effective date of the note receivable.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2023, the Company terminated the Melt Loan Agreement. As of the date of termination, approximately $18,395,000 remained outstanding under the Melt Loan Agreement. Pursuant to the terms of a Settlement and Payoff Agreement, dated as of December 28, 2023, by and between the Company and Melt (the “Settlement Agreement”), the Company received 2,260,000 shares of Melt’s Series B-1 Preferred Stock and 74,256 shares of Melt’s Series B Preferred Stock (collectively, the “Melt Preferred Stock”) (which both series have similar rights and preferences) in consideration for the full payment of all amounts outstanding under the Melt Loan Agreement. The Settlement Agreement contains customary representations, warranties and releases of the parties and requires the parties to enter into a registration rights agreement providing the Company with rights consistent with other holders of preferred stock of Melt. The Company concluded the Settlement Agreement is in substance a funding of the Company’s share of prior unrecorded losses and, therefore, those suspended losses must be recognized first against the value of the new Melt Preferred Stock investments. This resulted in reducing the carrying value of the Company’s investment in Melt, including the carrying value of the Melt Preferred Stock received, to zero (the consideration received in the form of an equivalent fair value of the Melt Preferred Stock to settle the full outstanding note receivable balance of $18,400,000 is essentially offset by an equal amount of the funding of prior unrecorded losses). Accordingly, this settlement transaction had no quantitative effect on either the Company’s consolidated balance sheet or consolidated statement of operations for the year ended December 31,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323, </w:t>
      </w:r>
      <w:r>
        <w:rPr>
          <w:rFonts w:ascii="Times New Roman;Times;Serif" w:hAnsi="Times New Roman;Times;Serif"/>
          <w:b w:val="false"/>
          <w:i/>
          <w:caps w:val="false"/>
          <w:smallCaps w:val="false"/>
          <w:sz w:val="20"/>
        </w:rPr>
        <w:t>Investments – Equity Method and Joint Ventures</w:t>
      </w:r>
      <w:r>
        <w:rPr>
          <w:rFonts w:ascii="Times New Roman;Times;Serif" w:hAnsi="Times New Roman;Times;Serif"/>
          <w:b w:val="false"/>
          <w:i w:val="false"/>
          <w:caps w:val="false"/>
          <w:smallCaps w:val="false"/>
          <w:sz w:val="20"/>
        </w:rPr>
        <w:t>, the carrying amount of the note receivable and other investments in Melt have been reduced by the Company’s allocated share of Melt’s losses based on its ownership of Melt and its total indebtedness.</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3,500,000 shares of common stock and 2,334,256 shares of preferred stock of Melt (representing in aggregate approximately 47% of Melt’s equity and voting interests as of December 31, 2023).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consolidated financial statements and adjusts the carrying amount of its investment in Melt accordingly. Any intra-entity profits and losses are eliminated.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Chief Executive Officer, Mark L. Baum, was a member of the Melt board of directors until his resignation in 2021. Following Mr. Baum’s departure, the Company did not have any representation on Melt’s board of directors until January 2023, when Mr. Baum re-joined the Melt board of directors. At the time Mr. Baum re-joined the Melt board of directors, the board consisted of five members, including Mr. Baum.</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Hedging, Pledging and Similar Activities</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insider trading policy that governs transactions in our securities by directors, officers and other employees. Among other provisions, the policy prohibits “short-selling” of any equity security of the Company and transactions in put options, call options or other derivative securities, on an exchange or in any other organized market. Hedging or monetization transactions, including through the use of financial instruments such as prepaid variable forwards, equity swaps, collars and exchange funds, are strongly discouraged and must be submitted for approval by the Company’s compliance officer prior to any proposed execution of such a transaction. Directors and officers are also prohibited from holding our securities in a margin account or otherwise pledging our securities as collateral for a loan. In addition, the policy discourages placing standing or limit orders on Company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firstLine="46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are appointed by our Board and serve at its discretion. Set forth below is information regarding our executive officers as of April 16, 2024.</w:t>
      </w:r>
    </w:p>
    <w:p>
      <w:pPr>
        <w:pStyle w:val="TextBody"/>
        <w:bidi w:val="0"/>
        <w:spacing w:before="0" w:after="0"/>
        <w:ind w:left="0" w:right="0" w:firstLine="461"/>
        <w:jc w:val="both"/>
        <w:rPr>
          <w:caps w:val="false"/>
          <w:smallCaps w:val="false"/>
        </w:rPr>
      </w:pPr>
      <w:r>
        <w:rPr>
          <w:caps w:val="false"/>
          <w:smallCaps w:val="false"/>
        </w:rPr>
        <w:t> </w:t>
      </w:r>
    </w:p>
    <w:tbl>
      <w:tblPr>
        <w:tblW w:w="9585" w:type="dxa"/>
        <w:jc w:val="center"/>
        <w:tblInd w:w="0" w:type="dxa"/>
        <w:tblLayout w:type="fixed"/>
        <w:tblCellMar>
          <w:top w:w="0" w:type="dxa"/>
          <w:left w:w="0" w:type="dxa"/>
          <w:bottom w:w="28" w:type="dxa"/>
          <w:right w:w="0" w:type="dxa"/>
        </w:tblCellMar>
      </w:tblPr>
      <w:tblGrid>
        <w:gridCol w:w="1565"/>
        <w:gridCol w:w="60"/>
        <w:gridCol w:w="7460"/>
        <w:gridCol w:w="60"/>
        <w:gridCol w:w="440"/>
      </w:tblGrid>
      <w:tr>
        <w:trPr/>
        <w:tc>
          <w:tcPr>
            <w:tcW w:w="1565" w:type="dxa"/>
            <w:tcBorders>
              <w:bottom w:val="single" w:sz="12"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7460" w:type="dxa"/>
            <w:tcBorders>
              <w:bottom w:val="single" w:sz="12" w:space="0" w:color="000000"/>
            </w:tcBorders>
            <w:vAlign w:val="center"/>
          </w:tcPr>
          <w:p>
            <w:pPr>
              <w:pStyle w:val="TableContents"/>
              <w:bidi w:val="0"/>
              <w:spacing w:before="0" w:after="283"/>
              <w:jc w:val="center"/>
              <w:rPr>
                <w:b/>
              </w:rPr>
            </w:pPr>
            <w:r>
              <w:rPr>
                <w:b/>
              </w:rPr>
              <w:t>Position</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2" w:space="0" w:color="000000"/>
            </w:tcBorders>
            <w:vAlign w:val="center"/>
          </w:tcPr>
          <w:p>
            <w:pPr>
              <w:pStyle w:val="TableContents"/>
              <w:bidi w:val="0"/>
              <w:spacing w:before="0" w:after="283"/>
              <w:jc w:val="center"/>
              <w:rPr>
                <w:b/>
              </w:rPr>
            </w:pPr>
            <w:r>
              <w:rPr>
                <w:b/>
              </w:rPr>
              <w:t>Age</w:t>
            </w:r>
          </w:p>
        </w:tc>
      </w:tr>
      <w:tr>
        <w:trPr/>
        <w:tc>
          <w:tcPr>
            <w:tcW w:w="1565" w:type="dxa"/>
            <w:tcBorders/>
            <w:shd w:fill="CCEEFF" w:val="clear"/>
            <w:tcMar>
              <w:bottom w:w="0" w:type="dxa"/>
            </w:tcMar>
            <w:vAlign w:val="center"/>
          </w:tcPr>
          <w:p>
            <w:pPr>
              <w:pStyle w:val="TableContents"/>
              <w:bidi w:val="0"/>
              <w:spacing w:before="0" w:after="283"/>
              <w:jc w:val="left"/>
              <w:rPr/>
            </w:pPr>
            <w:r>
              <w:rPr/>
              <w:t>Mark L. Baum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60" w:type="dxa"/>
            <w:tcBorders/>
            <w:shd w:fill="CCEEFF" w:val="clear"/>
            <w:tcMar>
              <w:bottom w:w="0" w:type="dxa"/>
            </w:tcMar>
            <w:vAlign w:val="center"/>
          </w:tcPr>
          <w:p>
            <w:pPr>
              <w:pStyle w:val="TableContents"/>
              <w:bidi w:val="0"/>
              <w:spacing w:before="0" w:after="283"/>
              <w:jc w:val="left"/>
              <w:rPr/>
            </w:pPr>
            <w:r>
              <w:rPr/>
              <w:t>Chief Executive Officer and Chairman of the Board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pPr>
            <w:r>
              <w:rPr/>
              <w:t>51</w:t>
            </w:r>
          </w:p>
        </w:tc>
      </w:tr>
      <w:tr>
        <w:trPr/>
        <w:tc>
          <w:tcPr>
            <w:tcW w:w="1565" w:type="dxa"/>
            <w:tcBorders/>
            <w:shd w:fill="FFFFFF" w:val="clear"/>
            <w:tcMar>
              <w:bottom w:w="0" w:type="dxa"/>
            </w:tcMar>
            <w:vAlign w:val="center"/>
          </w:tcPr>
          <w:p>
            <w:pPr>
              <w:pStyle w:val="TableContents"/>
              <w:bidi w:val="0"/>
              <w:spacing w:before="0" w:after="283"/>
              <w:jc w:val="left"/>
              <w:rPr/>
            </w:pPr>
            <w:r>
              <w:rPr/>
              <w:t>Andrew R. Boll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60" w:type="dxa"/>
            <w:tcBorders/>
            <w:shd w:fill="FFFFFF" w:val="clear"/>
            <w:tcMar>
              <w:bottom w:w="0" w:type="dxa"/>
            </w:tcMar>
            <w:vAlign w:val="center"/>
          </w:tcPr>
          <w:p>
            <w:pPr>
              <w:pStyle w:val="TableContents"/>
              <w:bidi w:val="0"/>
              <w:spacing w:before="0" w:after="283"/>
              <w:jc w:val="left"/>
              <w:rPr/>
            </w:pPr>
            <w:r>
              <w:rPr/>
              <w:t>Chief Financial Officer and Corporate Secretary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pPr>
            <w:r>
              <w:rPr/>
              <w:t>41</w:t>
            </w:r>
          </w:p>
        </w:tc>
      </w:tr>
      <w:tr>
        <w:trPr/>
        <w:tc>
          <w:tcPr>
            <w:tcW w:w="1565" w:type="dxa"/>
            <w:tcBorders/>
            <w:shd w:fill="CCEEFF" w:val="clear"/>
            <w:tcMar>
              <w:bottom w:w="0" w:type="dxa"/>
            </w:tcMar>
            <w:vAlign w:val="center"/>
          </w:tcPr>
          <w:p>
            <w:pPr>
              <w:pStyle w:val="TableContents"/>
              <w:bidi w:val="0"/>
              <w:spacing w:before="0" w:after="283"/>
              <w:jc w:val="left"/>
              <w:rPr/>
            </w:pPr>
            <w:r>
              <w:rPr/>
              <w:t>John P. Saharek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60" w:type="dxa"/>
            <w:tcBorders/>
            <w:shd w:fill="CCEEFF" w:val="clear"/>
            <w:tcMar>
              <w:bottom w:w="0" w:type="dxa"/>
            </w:tcMar>
            <w:vAlign w:val="center"/>
          </w:tcPr>
          <w:p>
            <w:pPr>
              <w:pStyle w:val="TableContents"/>
              <w:bidi w:val="0"/>
              <w:spacing w:before="0" w:after="283"/>
              <w:jc w:val="left"/>
              <w:rPr/>
            </w:pPr>
            <w:r>
              <w:rPr/>
              <w:t>Chief Commercial Officer; President and Chief Executive Officer, ImprimisRx</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pPr>
            <w:r>
              <w:rPr/>
              <w:t>64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Baum’s biographical information is included with such information for the other members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Andrew R. Boll</w:t>
      </w:r>
      <w:r>
        <w:rPr>
          <w:rFonts w:ascii="Times New Roman;Times;Serif" w:hAnsi="Times New Roman;Times;Serif"/>
          <w:b w:val="false"/>
          <w:i w:val="false"/>
          <w:caps w:val="false"/>
          <w:smallCaps w:val="false"/>
          <w:sz w:val="20"/>
        </w:rPr>
        <w:t xml:space="preserve"> is a founder of Harrow and has worked with the Company since December 2011 and has served as our Chief Financial Officer and Corporate Secretary since his promotion to that role in February 2015. He oversees the Company’s accounting, financial, and market access departments, along with corporate and business development initiatives. In addition, Mr. Boll helped found Eton Pharmaceuticals, Inc., Surface, Melt and ImprimisRx. Prior to co-founding Harrow, from 2007 to 2011, Mr. Boll worked for an investment company and its series of funds where he oversaw the fund’s accounting, financial analysis, and reporting. He was also closely involved with the financial operations of a number of the fund’s portfolio companies (public and private). Prior to 2007, Mr. Boll held various accounting roles at Welsh Companies, LLC, a commercial real estate company, its fund and its other subsidiaries. Mr. Boll is a CFA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charterholder, Certified Management Accountant and earned his Bachelor of Science degree, </w:t>
      </w:r>
      <w:r>
        <w:rPr>
          <w:rFonts w:ascii="Times New Roman;Times;Serif" w:hAnsi="Times New Roman;Times;Serif"/>
          <w:b w:val="false"/>
          <w:i/>
          <w:caps w:val="false"/>
          <w:smallCaps w:val="false"/>
          <w:sz w:val="20"/>
        </w:rPr>
        <w:t>summa cum laude</w:t>
      </w:r>
      <w:r>
        <w:rPr>
          <w:rFonts w:ascii="Times New Roman;Times;Serif" w:hAnsi="Times New Roman;Times;Serif"/>
          <w:b w:val="false"/>
          <w:i w:val="false"/>
          <w:caps w:val="false"/>
          <w:smallCaps w:val="false"/>
          <w:sz w:val="20"/>
        </w:rPr>
        <w:t>, in Corporate and Public Finance at Huron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John P. Saharek </w:t>
      </w:r>
      <w:r>
        <w:rPr>
          <w:rFonts w:ascii="Times New Roman;Times;Serif" w:hAnsi="Times New Roman;Times;Serif"/>
          <w:b w:val="false"/>
          <w:i w:val="false"/>
          <w:caps w:val="false"/>
          <w:smallCaps w:val="false"/>
          <w:sz w:val="20"/>
        </w:rPr>
        <w:t>has served as our Chief Commercial Officer since February 2015 and as ImprimisRx’s President since February 2019, adding the title of Chief Executive Officer of ImprimisRx in 2023. He was previously our Vice-President of Commercialization, Ophthalmology from November 2013 until February 2015. He is a senior healthcare industry executive with over 30 years of broad experience developing and commercializing pharmaceutical, biotechnology, surgical device and diagnostic product portfolios. Prior to joining the Company,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Earlier in his career, he held positions of increasing responsibility in both marketing and sales at a number of companies, including his tenure with Bausch &amp; Lomb. Mr. Saharek has a Master of Business Administration in Finance from the University of Hartford and a Bachelor of Arts in Business from Central Connecticut State University.</w:t>
      </w:r>
    </w:p>
    <w:p>
      <w:pPr>
        <w:pStyle w:val="TextBody"/>
        <w:bidi w:val="0"/>
        <w:spacing w:before="0" w:after="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m_001"/>
      <w:bookmarkEnd w:id="7"/>
      <w:r>
        <w:rPr>
          <w:rFonts w:ascii="Times New Roman;Times;Serif" w:hAnsi="Times New Roman;Times;Serif"/>
          <w:b/>
          <w:i w:val="false"/>
          <w:caps w:val="false"/>
          <w:smallCaps w:val="false"/>
          <w:sz w:val="20"/>
        </w:rPr>
        <w:t xml:space="preserve">DIRECTOR COMPENSATION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Program for Year Ended December 31,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non-employee director compensation arrangements for 2023 is set forth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Compensation</w:t>
      </w:r>
    </w:p>
    <w:p>
      <w:pPr>
        <w:pStyle w:val="TextBody"/>
        <w:bidi w:val="0"/>
        <w:spacing w:before="0" w:after="0"/>
        <w:jc w:val="center"/>
        <w:rPr>
          <w:caps w:val="false"/>
          <w:smallCaps w:val="false"/>
        </w:rPr>
      </w:pPr>
      <w:r>
        <w:rPr>
          <w:caps w:val="false"/>
          <w:smallCaps w:val="false"/>
        </w:rPr>
        <w:t> </w:t>
      </w:r>
    </w:p>
    <w:tbl>
      <w:tblPr>
        <w:tblW w:w="7854" w:type="dxa"/>
        <w:jc w:val="left"/>
        <w:tblInd w:w="0" w:type="dxa"/>
        <w:tblLayout w:type="fixed"/>
        <w:tblCellMar>
          <w:top w:w="0" w:type="dxa"/>
          <w:left w:w="0" w:type="dxa"/>
          <w:bottom w:w="0" w:type="dxa"/>
          <w:right w:w="0" w:type="dxa"/>
        </w:tblCellMar>
      </w:tblPr>
      <w:tblGrid>
        <w:gridCol w:w="6590"/>
        <w:gridCol w:w="60"/>
        <w:gridCol w:w="192"/>
        <w:gridCol w:w="937"/>
        <w:gridCol w:w="75"/>
      </w:tblGrid>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Retainer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Fees</w:t>
            </w:r>
          </w:p>
        </w:tc>
        <w:tc>
          <w:tcPr>
            <w:tcW w:w="75"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b/>
              </w:rPr>
            </w:pPr>
            <w:r>
              <w:rPr>
                <w:b/>
              </w:rPr>
              <w:t>Annual Board Retainer Fee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b/>
              </w:rPr>
            </w:pPr>
            <w:r>
              <w:rPr>
                <w:b/>
              </w:rPr>
              <w:t>Annual Chair Retainer Fees*: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Non-Employee Chairman of the Board or Lead Independent Director</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30,000</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Audit Committee Chair</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Compensation Committee Chair</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Nomination and Corporate Governance Committee Chair</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b/>
              </w:rPr>
            </w:pPr>
            <w:r>
              <w:rPr>
                <w:b/>
              </w:rPr>
              <w:t>Annual Committee Member Retainer Fees*: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Audit Committee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Compensation Committee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7,500</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Nomination and Corporate Governance Committee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ind w:left="1080" w:right="0" w:hanging="0"/>
        <w:jc w:val="left"/>
        <w:rPr>
          <w:bdr w:val="single" w:sz="12" w:space="1" w:color="000000"/>
        </w:rPr>
      </w:pPr>
      <w:r>
        <w:rPr>
          <w:bdr w:val="single" w:sz="12" w:space="1" w:color="000000"/>
        </w:rPr>
        <w:t> </w:t>
      </w:r>
    </w:p>
    <w:tbl>
      <w:tblPr>
        <w:tblW w:w="6310" w:type="dxa"/>
        <w:jc w:val="left"/>
        <w:tblInd w:w="0" w:type="dxa"/>
        <w:tblLayout w:type="fixed"/>
        <w:tblCellMar>
          <w:top w:w="0" w:type="dxa"/>
          <w:left w:w="0" w:type="dxa"/>
          <w:bottom w:w="0" w:type="dxa"/>
          <w:right w:w="0" w:type="dxa"/>
        </w:tblCellMar>
      </w:tblPr>
      <w:tblGrid>
        <w:gridCol w:w="75"/>
        <w:gridCol w:w="125"/>
        <w:gridCol w:w="611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fees are in addition to the Annual Board Retainer Fee, as applicable.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also reimbursed for their reasonable out-of-pocket expenses incurred in connection with attending Board and committee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eligible to receive an annual award of restricted stock units (“RSUs”) valued at $150,000, as well as an initial award of RSUs at the time of their appointment to the Board. These RSUs will vest in equal quarterly installments over a one-year period subject to the director’s continued service, but the issuance and delivery of the shares subject to the RSUs are deferred until the director resigns or otherwise terminates his or her service as a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shows the compensation earned by, awarded or paid in 2023 to the individuals who served as our non-employee directors during such period and the number of shares underlying RSUs held by each non-employee director at year-end. Mr. Van Horn resigned from the Board effective November 13, 2023. Mr. Lindstrom was a Board member until our 2023 Annual Meeting. Ms. Graves and Ms. Silvernail were added to the Board in January 2024 and, therefore, are not included in the table below. Mr. Baum did not receive any additional compensation for his services as a director and his compensation received as an executive officer is disclosed in the Summary Compensation Table in this Proxy Statement. </w:t>
      </w:r>
    </w:p>
    <w:p>
      <w:pPr>
        <w:pStyle w:val="TextBody"/>
        <w:bidi w:val="0"/>
        <w:spacing w:before="0" w:after="0"/>
        <w:ind w:left="0" w:right="0" w:firstLine="720"/>
        <w:jc w:val="both"/>
        <w:rPr>
          <w:caps w:val="false"/>
          <w:smallCaps w:val="false"/>
        </w:rPr>
      </w:pPr>
      <w:r>
        <w:rPr>
          <w:caps w:val="false"/>
          <w:smallCaps w:val="false"/>
        </w:rPr>
        <w:t> </w:t>
      </w:r>
    </w:p>
    <w:tbl>
      <w:tblPr>
        <w:tblW w:w="9692" w:type="dxa"/>
        <w:jc w:val="left"/>
        <w:tblInd w:w="0" w:type="dxa"/>
        <w:tblLayout w:type="fixed"/>
        <w:tblCellMar>
          <w:top w:w="0" w:type="dxa"/>
          <w:left w:w="0" w:type="dxa"/>
          <w:bottom w:w="28" w:type="dxa"/>
          <w:right w:w="0" w:type="dxa"/>
        </w:tblCellMar>
      </w:tblPr>
      <w:tblGrid>
        <w:gridCol w:w="2615"/>
        <w:gridCol w:w="60"/>
        <w:gridCol w:w="269"/>
        <w:gridCol w:w="1310"/>
        <w:gridCol w:w="60"/>
        <w:gridCol w:w="60"/>
        <w:gridCol w:w="157"/>
        <w:gridCol w:w="1002"/>
        <w:gridCol w:w="290"/>
        <w:gridCol w:w="60"/>
        <w:gridCol w:w="140"/>
        <w:gridCol w:w="890"/>
        <w:gridCol w:w="290"/>
        <w:gridCol w:w="60"/>
        <w:gridCol w:w="140"/>
        <w:gridCol w:w="800"/>
        <w:gridCol w:w="60"/>
        <w:gridCol w:w="60"/>
        <w:gridCol w:w="89"/>
        <w:gridCol w:w="1205"/>
        <w:gridCol w:w="75"/>
      </w:tblGrid>
      <w:tr>
        <w:trPr/>
        <w:tc>
          <w:tcPr>
            <w:tcW w:w="261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579" w:type="dxa"/>
            <w:gridSpan w:val="2"/>
            <w:tcBorders>
              <w:bottom w:val="single" w:sz="12" w:space="0" w:color="000000"/>
            </w:tcBorders>
            <w:vAlign w:val="center"/>
          </w:tcPr>
          <w:p>
            <w:pPr>
              <w:pStyle w:val="TableContents"/>
              <w:bidi w:val="0"/>
              <w:jc w:val="center"/>
              <w:rPr>
                <w:b/>
              </w:rPr>
            </w:pPr>
            <w:r>
              <w:rPr>
                <w:b/>
              </w:rPr>
              <w:t>Fees Earned or</w:t>
            </w:r>
          </w:p>
          <w:p>
            <w:pPr>
              <w:pStyle w:val="TableContents"/>
              <w:bidi w:val="0"/>
              <w:jc w:val="center"/>
              <w:rPr>
                <w:b/>
              </w:rPr>
            </w:pPr>
            <w:r>
              <w:rPr>
                <w:b/>
              </w:rPr>
              <w:t>Paid in Cash</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jc w:val="center"/>
              <w:rPr>
                <w:b/>
              </w:rPr>
            </w:pPr>
            <w:r>
              <w:rPr>
                <w:b/>
              </w:rPr>
              <w:t>Stock</w:t>
            </w:r>
          </w:p>
          <w:p>
            <w:pPr>
              <w:pStyle w:val="TableContents"/>
              <w:bidi w:val="0"/>
              <w:jc w:val="center"/>
              <w:rPr>
                <w:b/>
              </w:rPr>
            </w:pPr>
            <w:r>
              <w:rPr>
                <w:b/>
              </w:rPr>
              <w:t>Awards ($)</w:t>
            </w:r>
          </w:p>
          <w:p>
            <w:pPr>
              <w:pStyle w:val="TableContents"/>
              <w:bidi w:val="0"/>
              <w:spacing w:before="0" w:after="283"/>
              <w:jc w:val="center"/>
              <w:rPr>
                <w:b/>
              </w:rPr>
            </w:pPr>
            <w:r>
              <w:rPr>
                <w:b/>
              </w:rPr>
              <w:t>(1)(2)</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0" w:type="dxa"/>
            <w:gridSpan w:val="2"/>
            <w:tcBorders>
              <w:bottom w:val="single" w:sz="12" w:space="0" w:color="000000"/>
            </w:tcBorders>
            <w:vAlign w:val="center"/>
          </w:tcPr>
          <w:p>
            <w:pPr>
              <w:pStyle w:val="TableContents"/>
              <w:bidi w:val="0"/>
              <w:spacing w:before="0" w:after="283"/>
              <w:jc w:val="center"/>
              <w:rPr>
                <w:b/>
              </w:rPr>
            </w:pPr>
            <w:r>
              <w:rPr>
                <w:b/>
              </w:rPr>
              <w:t>Other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jc w:val="center"/>
              <w:rPr>
                <w:b/>
              </w:rPr>
            </w:pPr>
            <w:r>
              <w:rPr>
                <w:b/>
              </w:rPr>
              <w:t>Aggregate</w:t>
            </w:r>
          </w:p>
          <w:p>
            <w:pPr>
              <w:pStyle w:val="TableContents"/>
              <w:bidi w:val="0"/>
              <w:jc w:val="center"/>
              <w:rPr>
                <w:b/>
              </w:rPr>
            </w:pPr>
            <w:r>
              <w:rPr>
                <w:b/>
              </w:rPr>
              <w:t>Shares</w:t>
            </w:r>
          </w:p>
          <w:p>
            <w:pPr>
              <w:pStyle w:val="TableContents"/>
              <w:bidi w:val="0"/>
              <w:jc w:val="center"/>
              <w:rPr>
                <w:b/>
              </w:rPr>
            </w:pPr>
            <w:r>
              <w:rPr>
                <w:b/>
              </w:rPr>
              <w:t>Underlying</w:t>
            </w:r>
          </w:p>
          <w:p>
            <w:pPr>
              <w:pStyle w:val="TableContents"/>
              <w:bidi w:val="0"/>
              <w:jc w:val="center"/>
              <w:rPr>
                <w:b/>
              </w:rPr>
            </w:pPr>
            <w:r>
              <w:rPr>
                <w:b/>
              </w:rPr>
              <w:t>RSUs</w:t>
            </w:r>
          </w:p>
          <w:p>
            <w:pPr>
              <w:pStyle w:val="TableContents"/>
              <w:bidi w:val="0"/>
              <w:jc w:val="center"/>
              <w:rPr>
                <w:b/>
              </w:rPr>
            </w:pPr>
            <w:r>
              <w:rPr>
                <w:b/>
              </w:rPr>
              <w:t>Held by</w:t>
            </w:r>
          </w:p>
          <w:p>
            <w:pPr>
              <w:pStyle w:val="TableContents"/>
              <w:bidi w:val="0"/>
              <w:spacing w:before="0" w:after="283"/>
              <w:jc w:val="center"/>
              <w:rPr>
                <w:b/>
              </w:rPr>
            </w:pPr>
            <w:r>
              <w:rPr>
                <w:b/>
              </w:rPr>
              <w:t>Directors (3)</w:t>
            </w:r>
          </w:p>
        </w:tc>
        <w:tc>
          <w:tcPr>
            <w:tcW w:w="75" w:type="dxa"/>
            <w:tcBorders/>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283"/>
              <w:jc w:val="left"/>
              <w:rPr/>
            </w:pPr>
            <w:r>
              <w:rPr/>
              <w:t>Teresa F. Sparks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jc w:val="right"/>
              <w:rPr/>
            </w:pPr>
            <w:r>
              <w:rPr/>
              <w:t>77,500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02" w:type="dxa"/>
            <w:tcBorders/>
            <w:shd w:fill="CCEEFF" w:val="clear"/>
            <w:tcMar>
              <w:bottom w:w="0" w:type="dxa"/>
            </w:tcMar>
            <w:vAlign w:val="center"/>
          </w:tcPr>
          <w:p>
            <w:pPr>
              <w:pStyle w:val="TableContents"/>
              <w:bidi w:val="0"/>
              <w:spacing w:before="0" w:after="283"/>
              <w:jc w:val="right"/>
              <w:rPr/>
            </w:pPr>
            <w:r>
              <w:rPr/>
              <w:t>150,000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227,500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57,517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283"/>
              <w:jc w:val="left"/>
              <w:rPr/>
            </w:pPr>
            <w:r>
              <w:rPr/>
              <w:t>Richard L. Lindstrom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jc w:val="right"/>
              <w:rPr/>
            </w:pPr>
            <w:r>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$ 199,995 </w:t>
            </w:r>
          </w:p>
        </w:tc>
        <w:tc>
          <w:tcPr>
            <w:tcW w:w="290"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$ 319,357 </w:t>
            </w:r>
          </w:p>
        </w:tc>
        <w:tc>
          <w:tcPr>
            <w:tcW w:w="290"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539,352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133,066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283"/>
              <w:jc w:val="left"/>
              <w:rPr/>
            </w:pPr>
            <w:r>
              <w:rPr/>
              <w:t>R. Lawrence Van Horn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jc w:val="right"/>
              <w:rPr/>
            </w:pPr>
            <w:r>
              <w:rPr/>
              <w:t>78,750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02" w:type="dxa"/>
            <w:tcBorders/>
            <w:shd w:fill="CCEEFF" w:val="clear"/>
            <w:tcMar>
              <w:bottom w:w="0" w:type="dxa"/>
            </w:tcMar>
            <w:vAlign w:val="center"/>
          </w:tcPr>
          <w:p>
            <w:pPr>
              <w:pStyle w:val="TableContents"/>
              <w:bidi w:val="0"/>
              <w:spacing w:before="0" w:after="283"/>
              <w:jc w:val="right"/>
              <w:rPr/>
            </w:pPr>
            <w:r>
              <w:rPr/>
              <w:t>150,000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228,750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43,011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283"/>
              <w:jc w:val="left"/>
              <w:rPr/>
            </w:pPr>
            <w:r>
              <w:rPr/>
              <w:t>Perry J. Sternberg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jc w:val="right"/>
              <w:rPr/>
            </w:pPr>
            <w:r>
              <w:rPr/>
              <w:t>52,500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w:t>
            </w:r>
          </w:p>
        </w:tc>
        <w:tc>
          <w:tcPr>
            <w:tcW w:w="1002" w:type="dxa"/>
            <w:tcBorders/>
            <w:shd w:fill="FFFFFF" w:val="clear"/>
            <w:tcMar>
              <w:bottom w:w="0" w:type="dxa"/>
            </w:tcMar>
            <w:vAlign w:val="center"/>
          </w:tcPr>
          <w:p>
            <w:pPr>
              <w:pStyle w:val="TableContents"/>
              <w:bidi w:val="0"/>
              <w:spacing w:before="0" w:after="283"/>
              <w:jc w:val="right"/>
              <w:rPr/>
            </w:pPr>
            <w:r>
              <w:rPr/>
              <w:t>150,000</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202,500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20,867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283"/>
              <w:jc w:val="left"/>
              <w:rPr/>
            </w:pPr>
            <w:r>
              <w:rPr/>
              <w:t>Martin A. Makary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jc w:val="right"/>
              <w:rPr/>
            </w:pPr>
            <w:r>
              <w:rPr/>
              <w:t>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02" w:type="dxa"/>
            <w:tcBorders/>
            <w:shd w:fill="CCEEFF" w:val="clear"/>
            <w:tcMar>
              <w:bottom w:w="0" w:type="dxa"/>
            </w:tcMar>
            <w:vAlign w:val="center"/>
          </w:tcPr>
          <w:p>
            <w:pPr>
              <w:pStyle w:val="TableContents"/>
              <w:bidi w:val="0"/>
              <w:spacing w:before="0" w:after="283"/>
              <w:jc w:val="right"/>
              <w:rPr/>
            </w:pPr>
            <w:r>
              <w:rPr/>
              <w:t>150,000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20,867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p>
            <w:pPr>
              <w:pStyle w:val="TableContents"/>
              <w:bidi w:val="0"/>
              <w:spacing w:before="0" w:after="0"/>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Reflects the dollar amount of the grant date fair value of awards granted in 2023, measured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(“ASC 718”) and without adjustment for estimated forfeitures. For a discussion of the assumptions used to calculate the value of equity awards, refer to Note 15 to our consolidated financial statements for the fiscal year ended December 31, 2023, included in the Annual Report.</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received an award of 7,744 RSUs during the year ended December 31, 2023.</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that have vested, but the issuance and delivery of which is deferred until the director resigns or otherwise terminates service.</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paid to Mr. Lindstrom as set forth in the table are for the entire year ended December 31, 2023. Amounts include royalties paid to Mr. Lindstrom as part of the Klarity License Agreement and Lindstrom APA (defined under the heading “Corporate Governance – Transactions with Related Persons” above) and consulting fees associated with consulting services paid in the form of RSUs and cash paid for serving as a part of the Company’s medical advisory board.</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through November 13, 2023, the effective date of Mr. Van Horn’s resignation from the Board.</w:t>
            </w:r>
          </w:p>
        </w:tc>
      </w:tr>
    </w:tbl>
    <w:p>
      <w:pPr>
        <w:pStyle w:val="TextBody"/>
        <w:bidi w:val="0"/>
        <w:spacing w:before="0" w:after="283"/>
        <w:jc w:val="left"/>
        <w:rPr/>
      </w:pPr>
      <w:r>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m_002"/>
      <w:bookmarkEnd w:id="8"/>
      <w:r>
        <w:rPr>
          <w:rFonts w:ascii="Times New Roman;Times;Serif" w:hAnsi="Times New Roman;Times;Serif"/>
          <w:b/>
          <w:i w:val="false"/>
          <w:caps w:val="false"/>
          <w:smallCaps w:val="false"/>
          <w:sz w:val="20"/>
        </w:rPr>
        <w:t>EXECUTIVE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Named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2023 were:</w:t>
      </w:r>
    </w:p>
    <w:p>
      <w:pPr>
        <w:pStyle w:val="TextBody"/>
        <w:bidi w:val="0"/>
        <w:spacing w:before="0" w:after="0"/>
        <w:jc w:val="left"/>
        <w:rPr>
          <w:caps w:val="false"/>
          <w:smallCaps w:val="false"/>
        </w:rPr>
      </w:pPr>
      <w:r>
        <w:rPr>
          <w:caps w:val="false"/>
          <w:smallCaps w:val="false"/>
        </w:rPr>
        <w:t> </w:t>
      </w:r>
    </w:p>
    <w:tbl>
      <w:tblPr>
        <w:tblW w:w="9100" w:type="dxa"/>
        <w:jc w:val="center"/>
        <w:tblInd w:w="0" w:type="dxa"/>
        <w:tblLayout w:type="fixed"/>
        <w:tblCellMar>
          <w:top w:w="0" w:type="dxa"/>
          <w:left w:w="0" w:type="dxa"/>
          <w:bottom w:w="28" w:type="dxa"/>
          <w:right w:w="0" w:type="dxa"/>
        </w:tblCellMar>
      </w:tblPr>
      <w:tblGrid>
        <w:gridCol w:w="1565"/>
        <w:gridCol w:w="60"/>
        <w:gridCol w:w="7475"/>
      </w:tblGrid>
      <w:tr>
        <w:trPr/>
        <w:tc>
          <w:tcPr>
            <w:tcW w:w="1565" w:type="dxa"/>
            <w:tcBorders>
              <w:bottom w:val="single" w:sz="12" w:space="0" w:color="000000"/>
            </w:tcBorders>
            <w:shd w:fill="FFFFFF" w:val="clear"/>
            <w:vAlign w:val="center"/>
          </w:tcPr>
          <w:p>
            <w:pPr>
              <w:pStyle w:val="TableContents"/>
              <w:bidi w:val="0"/>
              <w:spacing w:before="0" w:after="283"/>
              <w:jc w:val="center"/>
              <w:rPr>
                <w:b/>
              </w:rPr>
            </w:pPr>
            <w:r>
              <w:rPr>
                <w:b/>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75" w:type="dxa"/>
            <w:tcBorders>
              <w:bottom w:val="single" w:sz="12" w:space="0" w:color="000000"/>
            </w:tcBorders>
            <w:shd w:fill="FFFFFF" w:val="clear"/>
            <w:vAlign w:val="center"/>
          </w:tcPr>
          <w:p>
            <w:pPr>
              <w:pStyle w:val="TableContents"/>
              <w:bidi w:val="0"/>
              <w:spacing w:before="0" w:after="283"/>
              <w:jc w:val="center"/>
              <w:rPr>
                <w:b/>
              </w:rPr>
            </w:pPr>
            <w:r>
              <w:rPr>
                <w:b/>
              </w:rPr>
              <w:t>Position</w:t>
            </w:r>
          </w:p>
        </w:tc>
      </w:tr>
      <w:tr>
        <w:trPr/>
        <w:tc>
          <w:tcPr>
            <w:tcW w:w="1565" w:type="dxa"/>
            <w:tcBorders/>
            <w:shd w:fill="CCEEFF" w:val="clear"/>
            <w:tcMar>
              <w:bottom w:w="0" w:type="dxa"/>
            </w:tcMar>
            <w:vAlign w:val="center"/>
          </w:tcPr>
          <w:p>
            <w:pPr>
              <w:pStyle w:val="TableContents"/>
              <w:bidi w:val="0"/>
              <w:spacing w:before="0" w:after="283"/>
              <w:jc w:val="both"/>
              <w:rPr/>
            </w:pPr>
            <w:r>
              <w:rPr/>
              <w:t>Mark L. Baum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75" w:type="dxa"/>
            <w:tcBorders/>
            <w:shd w:fill="CCEEFF" w:val="clear"/>
            <w:tcMar>
              <w:bottom w:w="0" w:type="dxa"/>
            </w:tcMar>
            <w:vAlign w:val="center"/>
          </w:tcPr>
          <w:p>
            <w:pPr>
              <w:pStyle w:val="TableContents"/>
              <w:bidi w:val="0"/>
              <w:spacing w:before="0" w:after="283"/>
              <w:jc w:val="both"/>
              <w:rPr/>
            </w:pPr>
            <w:r>
              <w:rPr/>
              <w:t>Chief Executive Officer and Chairman of the Board of Directors</w:t>
            </w:r>
          </w:p>
        </w:tc>
      </w:tr>
      <w:tr>
        <w:trPr/>
        <w:tc>
          <w:tcPr>
            <w:tcW w:w="1565" w:type="dxa"/>
            <w:tcBorders/>
            <w:shd w:fill="FFFFFF" w:val="clear"/>
            <w:tcMar>
              <w:bottom w:w="0" w:type="dxa"/>
            </w:tcMar>
            <w:vAlign w:val="center"/>
          </w:tcPr>
          <w:p>
            <w:pPr>
              <w:pStyle w:val="TableContents"/>
              <w:bidi w:val="0"/>
              <w:spacing w:before="0" w:after="283"/>
              <w:jc w:val="both"/>
              <w:rPr/>
            </w:pPr>
            <w:r>
              <w:rPr/>
              <w:t>Andrew R. Boll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75" w:type="dxa"/>
            <w:tcBorders/>
            <w:shd w:fill="FFFFFF" w:val="clear"/>
            <w:tcMar>
              <w:bottom w:w="0" w:type="dxa"/>
            </w:tcMar>
            <w:vAlign w:val="center"/>
          </w:tcPr>
          <w:p>
            <w:pPr>
              <w:pStyle w:val="TableContents"/>
              <w:bidi w:val="0"/>
              <w:spacing w:before="0" w:after="283"/>
              <w:jc w:val="both"/>
              <w:rPr/>
            </w:pPr>
            <w:r>
              <w:rPr/>
              <w:t>Chief Financial Officer and Corporate Secretary</w:t>
            </w:r>
          </w:p>
        </w:tc>
      </w:tr>
      <w:tr>
        <w:trPr/>
        <w:tc>
          <w:tcPr>
            <w:tcW w:w="1565" w:type="dxa"/>
            <w:tcBorders/>
            <w:shd w:fill="CCEEFF" w:val="clear"/>
            <w:tcMar>
              <w:bottom w:w="0" w:type="dxa"/>
            </w:tcMar>
            <w:vAlign w:val="center"/>
          </w:tcPr>
          <w:p>
            <w:pPr>
              <w:pStyle w:val="TableContents"/>
              <w:bidi w:val="0"/>
              <w:spacing w:before="0" w:after="283"/>
              <w:jc w:val="both"/>
              <w:rPr/>
            </w:pPr>
            <w:r>
              <w:rPr/>
              <w:t>John P. Saharek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75" w:type="dxa"/>
            <w:tcBorders/>
            <w:shd w:fill="CCEEFF" w:val="clear"/>
            <w:tcMar>
              <w:bottom w:w="0" w:type="dxa"/>
            </w:tcMar>
            <w:vAlign w:val="center"/>
          </w:tcPr>
          <w:p>
            <w:pPr>
              <w:pStyle w:val="TableContents"/>
              <w:bidi w:val="0"/>
              <w:spacing w:before="0" w:after="283"/>
              <w:jc w:val="both"/>
              <w:rPr/>
            </w:pPr>
            <w:r>
              <w:rPr/>
              <w:t>Chief Commercial Officer; Chief Executive Officer and President, ImprimisRx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Philosophy and Objectives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competitive total compensation package that enables the Company to attract and retain highly qualified executives with the skills and experience required for the achievement of business goals;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 compensation elements with the Company’s annual goals and long-term business strategies and objectives;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promote the achievement of key strategic and financial performance measures by linking short-term and long-term cash and equity incentives to the achievement of measurable corporate and individual performance goals;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 executives’ incentives with the creation of stockholder value.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such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Roles in Determining Executive Officer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pStyle w:val="TextBody"/>
        <w:bidi w:val="0"/>
        <w:spacing w:before="0" w:after="0"/>
        <w:ind w:left="0" w:right="0" w:firstLine="72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the Chief Executive Officer is reviewed, evaluated and approved by the Compensation Committee without the presence or participation of the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reviews and makes recommendations to the Compensation Committee with respect to the compensation of our named executive officers and other members of the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Compensation Committee retained the services of an external compensation consultant, Mercer, Inc. (“Mercer”). The mandate of the consultant was to assist the Compensation Committee in its review of executive and director compensation practices, including the competitiveness of pay levels, executive compensation design (including equity grants of subsidiaries), benchmarking with the Company’s peers in the industry and other technical considerations including tax- and accounting-related matters. The Compensation Committee regularly evaluates Mercer’s performance, considers alternative compensation consultants and has the final authority to engage and terminate Mercer’s services. The decision to engage Mercer was made solely by the Compensation Committee. The Compensation Committee, after a review of the factors set forth in Section 10C-1 of the Exchange Act and Nasdaq requirements, has determined that the work performed by Mercer did not present any conflicts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intends to continue to engage with Mercer in order to assist the Compensation Committee in its ongoing review of executive and director compensation practices, including a regular review and update of the Company’s peer companies.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Market Benchmarking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draws on a number of resources to assist in the evaluation of the various components of the Company’s executive compensation program including, but not limited to, industry data compiled by Mercer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within such sectors are an important factor that the Compensation Committee considers in assessing the reasonableness of compensation and ensuring that our compensation practices are competitive in the marketplace. The Compensation Committee adopted a group of peer companies in 2023, and the Compensation Committee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2023 peer group, the Compensation Committee and Mercer focused on biotechnology and pharmaceutical companies, targeting commercial companies, when possible, with employee headcounts over 100 employees. Mercer and the Compensation Committee also gave consideration to market value, research and development expense, location, stage of development and ophthalmic focus. The list of peer companies identified in 2023 by the Compensation Committee was comprised of the following companies:</w:t>
      </w:r>
    </w:p>
    <w:p>
      <w:pPr>
        <w:pStyle w:val="TextBody"/>
        <w:bidi w:val="0"/>
        <w:spacing w:before="0" w:after="0"/>
        <w:ind w:left="0" w:right="0" w:firstLine="720"/>
        <w:jc w:val="left"/>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185"/>
        <w:gridCol w:w="2135"/>
        <w:gridCol w:w="170"/>
        <w:gridCol w:w="2120"/>
        <w:gridCol w:w="170"/>
        <w:gridCol w:w="2225"/>
      </w:tblGrid>
      <w:tr>
        <w:trPr/>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Agios Pharmaceuticals</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Anika Therapeutics</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Enanta Pharmaceuticals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Eyepoint Pharmaceuticals</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Glaukos Corporation</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Heron Therapeutics</w:t>
            </w:r>
          </w:p>
        </w:tc>
      </w:tr>
      <w:tr>
        <w:trPr/>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IVERIC bio, Inc. (1)</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Karyopharm Therapeutics</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Kodiak Sciences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Therapeutics</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Ocular Therapeutix</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RVL Pharmaceuticals (2)</w:t>
            </w:r>
          </w:p>
        </w:tc>
      </w:tr>
      <w:tr>
        <w:trPr/>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Revance Therapeutics</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Rigel Pharmaceuticals</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STAAR Surgical Company</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Travere Therapeutics</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IVERIC bio was acquired by Astellas Pharma Inc. in July 2023 and therefore is no longer a public company.</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RVL Pharmaceuticals (“RVL”) announced that the High Court of Ireland made a winding up order, pursuant to which a liquidator was appointed to RVL, which would result in the company’s ultimate dissolution, and therefore is no longer a public company.</w:t>
            </w:r>
          </w:p>
        </w:tc>
      </w:tr>
    </w:tbl>
    <w:p>
      <w:pPr>
        <w:pStyle w:val="TextBody"/>
        <w:shd w:fill="FFFFFF" w:val="clear"/>
        <w:bidi w:val="0"/>
        <w:spacing w:before="0" w:after="0"/>
        <w:ind w:left="446" w:right="0" w:hanging="36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19</w:t>
            </w:r>
          </w:p>
        </w:tc>
      </w:tr>
    </w:tbl>
    <w:p>
      <w:pPr>
        <w:pStyle w:val="TextBody"/>
        <w:bidi w:val="0"/>
        <w:spacing w:before="0" w:after="0"/>
        <w:ind w:left="0" w:right="0" w:hanging="0"/>
        <w:jc w:val="left"/>
        <w:rPr/>
      </w:pPr>
      <w:r>
        <w:rPr/>
        <w:t> </w:t>
      </w:r>
    </w:p>
    <w:p>
      <w:pPr>
        <w:pStyle w:val="TextBody"/>
        <w:shd w:fill="FFFFFF" w:val="clear"/>
        <w:bidi w:val="0"/>
        <w:spacing w:before="0" w:after="0"/>
        <w:ind w:left="446" w:right="0" w:hanging="36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Program Overview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our executive compensation program consisted of the following forms of compensation, each of which is described in greater detail below:</w:t>
      </w:r>
    </w:p>
    <w:p>
      <w:pPr>
        <w:pStyle w:val="TextBody"/>
        <w:bidi w:val="0"/>
        <w:spacing w:before="0" w:after="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Bonus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Control Arrangements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 considers our stockholders’ interests in paying what is necessary to achieve our corporate goals, while conserving cash as much as practicable, when setting base salaries. We believe that, given the industry in which we operate, our current working capital needs and our compensation philosophy and objectives, base salaries at current levels are generally sufficient to retain our current executives and to hire new executives when and as required. In determining appropriate base salary levels for a given executive officer, the Compensation Committee considers the following factors:</w:t>
      </w:r>
    </w:p>
    <w:p>
      <w:pPr>
        <w:pStyle w:val="TextBody"/>
        <w:bidi w:val="0"/>
        <w:spacing w:before="0" w:after="0"/>
        <w:ind w:left="0" w:right="0" w:firstLine="72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performance of the executive, as well as our overall performance, during the prior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of responsibility, including breadth, scope and complexity of the 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of experience and expertise of the 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review of the executive’s compensation relative to other executives to ensure internal equity;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 compensation levels at other similar companies to ensure competitiveness.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for executive officers are determined on an individual basis at the time of hire. Adjustments to base salary are considered annually in light of the factors above. The Chief Executive Officer assists the Compensation Committee in its annual review of the base salaries of other named executive officers and members of senior management based on the foregoing criteria.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Bonus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executive officers with annual performance-based cash bonus opportunities, which are specifically designed to reward executives for overall corporate performance as well as individual performance in a given year. Corporate and individual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established, which then determines the size of the total bonus pool from which annual bonus incentives are to be paid to executive officers. All cash bonuses are awarded retrospectively.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2023 and 2022, the annual incentive bonus for our executive officers was based 100% on overall corporate performance, including metrics associated with revenue, adjusted EBITDA, revenue from certain products and stock price performance. Target annual incentive bonus levels for 2023 and 2022 were 60% of annual base salary for our Chief Executive Officer and 50% for all other named executive officers. At the end of each year, the Compensation Committee, with input from senior management, evaluates individual and corporate performance compared against the goals established under the 2017 Plan (as defined under the “Outstanding Equity Awards at Fiscal Year-End” table below), which determines the size of the total bonus pool from which cash bonuses are to be paid to executive officers. Based on this evaluation, the Compensation Committee determined to award, for service performed in 2023 that exceeded target levels, our Chief Executive Officer a cash incentive bonus equal to 60% of his annual base salary, and our Chief Financial Officer and Chief Commercial Officer cash incentive bonuses equal to 50% of their annual base salaries.</w:t>
      </w:r>
    </w:p>
    <w:p>
      <w:pPr>
        <w:pStyle w:val="TextBody"/>
        <w:bidi w:val="0"/>
        <w:spacing w:before="0" w:after="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additional component of our compensation program, executive officers are eligible to receive equity compensation in the form of stock options, restricted stock and/or RSUs. The Compensation Committee does not have a stated policy regarding the issuance of equity grants, however, historically our named executive officers have been granted service/time-based vesting equity awards and certain executive officers have also been granted options and RSUs that contain performance/market-based vesting conditions. The Compensation Committee grants equity awards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“Outstanding Equity Awards at Fiscal Year-End” table below for additional details about awards held by our named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 Program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of Control Arrangements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change of control arrangements and the potential value of payments upon termination related to a change of control is provided for the named executive officers under the heading “Change of Control Arrangements” in the sections below describing each named executive officer’s compensation arrangements.</w:t>
      </w:r>
    </w:p>
    <w:p>
      <w:pPr>
        <w:pStyle w:val="TextBody"/>
        <w:bidi w:val="0"/>
        <w:spacing w:before="0" w:after="0"/>
        <w:ind w:left="0" w:right="0" w:firstLine="72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total compensation paid to our named executive officers, who are comprised of our principal executive officer and our next two highest compensated executive officers.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11"/>
        <w:gridCol w:w="60"/>
        <w:gridCol w:w="530"/>
        <w:gridCol w:w="60"/>
        <w:gridCol w:w="140"/>
        <w:gridCol w:w="800"/>
        <w:gridCol w:w="60"/>
        <w:gridCol w:w="60"/>
        <w:gridCol w:w="165"/>
        <w:gridCol w:w="1160"/>
        <w:gridCol w:w="262"/>
        <w:gridCol w:w="60"/>
        <w:gridCol w:w="221"/>
        <w:gridCol w:w="1269"/>
        <w:gridCol w:w="60"/>
        <w:gridCol w:w="60"/>
        <w:gridCol w:w="254"/>
        <w:gridCol w:w="1236"/>
        <w:gridCol w:w="60"/>
        <w:gridCol w:w="60"/>
        <w:gridCol w:w="140"/>
        <w:gridCol w:w="1100"/>
        <w:gridCol w:w="77"/>
      </w:tblGrid>
      <w:tr>
        <w:trPr/>
        <w:tc>
          <w:tcPr>
            <w:tcW w:w="2311"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gridSpan w:val="2"/>
            <w:tcBorders>
              <w:bottom w:val="single" w:sz="12" w:space="0" w:color="000000"/>
            </w:tcBorders>
            <w:vAlign w:val="center"/>
          </w:tcPr>
          <w:p>
            <w:pPr>
              <w:pStyle w:val="TableContents"/>
              <w:bidi w:val="0"/>
              <w:jc w:val="center"/>
              <w:rPr>
                <w:b/>
              </w:rPr>
            </w:pPr>
            <w:r>
              <w:rPr>
                <w:b/>
              </w:rPr>
              <w:t>Stock Awards</w:t>
            </w:r>
          </w:p>
          <w:p>
            <w:pPr>
              <w:pStyle w:val="TableContents"/>
              <w:bidi w:val="0"/>
              <w:spacing w:before="0" w:after="283"/>
              <w:jc w:val="center"/>
              <w:rPr>
                <w:b/>
              </w:rPr>
            </w:pPr>
            <w:r>
              <w:rPr>
                <w:b/>
              </w:rPr>
              <w:t>(1)</w:t>
            </w:r>
          </w:p>
        </w:tc>
        <w:tc>
          <w:tcPr>
            <w:tcW w:w="2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12" w:space="0" w:color="000000"/>
            </w:tcBorders>
            <w:vAlign w:val="center"/>
          </w:tcPr>
          <w:p>
            <w:pPr>
              <w:pStyle w:val="TableContents"/>
              <w:bidi w:val="0"/>
              <w:jc w:val="center"/>
              <w:rPr>
                <w:b/>
              </w:rPr>
            </w:pPr>
            <w:r>
              <w:rPr>
                <w:b/>
              </w:rPr>
              <w:t>Non-Equity</w:t>
            </w:r>
          </w:p>
          <w:p>
            <w:pPr>
              <w:pStyle w:val="TableContents"/>
              <w:bidi w:val="0"/>
              <w:jc w:val="center"/>
              <w:rPr>
                <w:b/>
              </w:rPr>
            </w:pPr>
            <w:r>
              <w:rPr>
                <w:b/>
              </w:rPr>
              <w:t>Incentive Plan</w:t>
            </w:r>
          </w:p>
          <w:p>
            <w:pPr>
              <w:pStyle w:val="TableContents"/>
              <w:bidi w:val="0"/>
              <w:jc w:val="center"/>
              <w:rPr>
                <w:b/>
              </w:rPr>
            </w:pPr>
            <w:r>
              <w:rPr>
                <w:b/>
              </w:rPr>
              <w:t>Compensation</w:t>
            </w:r>
          </w:p>
          <w:p>
            <w:pPr>
              <w:pStyle w:val="TableContents"/>
              <w:bidi w:val="0"/>
              <w:spacing w:before="0" w:after="283"/>
              <w:jc w:val="center"/>
              <w:rPr>
                <w:b/>
              </w:rPr>
            </w:pPr>
            <w:r>
              <w:rPr>
                <w:b/>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12" w:space="0" w:color="000000"/>
            </w:tcBorders>
            <w:vAlign w:val="center"/>
          </w:tcPr>
          <w:p>
            <w:pPr>
              <w:pStyle w:val="TableContents"/>
              <w:bidi w:val="0"/>
              <w:jc w:val="center"/>
              <w:rPr>
                <w:b/>
              </w:rPr>
            </w:pPr>
            <w:r>
              <w:rPr>
                <w:b/>
              </w:rPr>
              <w:t>All Other</w:t>
            </w:r>
          </w:p>
          <w:p>
            <w:pPr>
              <w:pStyle w:val="TableContents"/>
              <w:bidi w:val="0"/>
              <w:jc w:val="center"/>
              <w:rPr>
                <w:b/>
              </w:rPr>
            </w:pPr>
            <w:r>
              <w:rPr>
                <w:b/>
              </w:rPr>
              <w:t>Compensation</w:t>
            </w:r>
          </w:p>
          <w:p>
            <w:pPr>
              <w:pStyle w:val="TableContents"/>
              <w:bidi w:val="0"/>
              <w:spacing w:before="0" w:after="283"/>
              <w:jc w:val="center"/>
              <w:rPr>
                <w:b/>
              </w:rPr>
            </w:pPr>
            <w:r>
              <w:rPr>
                <w:b/>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2311" w:type="dxa"/>
            <w:tcBorders/>
            <w:shd w:fill="CCEEFF" w:val="clear"/>
            <w:tcMar>
              <w:bottom w:w="0" w:type="dxa"/>
            </w:tcMar>
            <w:vAlign w:val="center"/>
          </w:tcPr>
          <w:p>
            <w:pPr>
              <w:pStyle w:val="TableContents"/>
              <w:bidi w:val="0"/>
              <w:spacing w:before="0" w:after="283"/>
              <w:jc w:val="left"/>
              <w:rPr/>
            </w:pPr>
            <w:r>
              <w:rPr/>
              <w:t>Mark L. Baum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680,086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14,150,821 </w:t>
            </w:r>
          </w:p>
        </w:tc>
        <w:tc>
          <w:tcPr>
            <w:tcW w:w="262"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421,800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3,756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15,256,463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311" w:type="dxa"/>
            <w:tcBorders/>
            <w:shd w:fill="CCEEFF" w:val="clear"/>
            <w:tcMar>
              <w:bottom w:w="0" w:type="dxa"/>
            </w:tcMar>
            <w:vAlign w:val="center"/>
          </w:tcPr>
          <w:p>
            <w:pPr>
              <w:pStyle w:val="TableContents"/>
              <w:bidi w:val="0"/>
              <w:spacing w:before="0" w:after="283"/>
              <w:jc w:val="left"/>
              <w:rPr/>
            </w:pPr>
            <w:r>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608,649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2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500,346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86,146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1,195,141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311" w:type="dxa"/>
            <w:tcBorders/>
            <w:shd w:fill="FFFFFF" w:val="clear"/>
            <w:tcMar>
              <w:bottom w:w="0" w:type="dxa"/>
            </w:tcMar>
            <w:vAlign w:val="center"/>
          </w:tcPr>
          <w:p>
            <w:pPr>
              <w:pStyle w:val="TableContents"/>
              <w:bidi w:val="0"/>
              <w:spacing w:before="0" w:after="283"/>
              <w:jc w:val="left"/>
              <w:rPr/>
            </w:pPr>
            <w:r>
              <w:rPr/>
              <w:t>Andrew R. Boll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459,900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6,432,192 </w:t>
            </w:r>
          </w:p>
        </w:tc>
        <w:tc>
          <w:tcPr>
            <w:tcW w:w="262"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236,500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w:t>
            </w:r>
          </w:p>
        </w:tc>
        <w:tc>
          <w:tcPr>
            <w:tcW w:w="1236" w:type="dxa"/>
            <w:tcBorders/>
            <w:shd w:fill="FFFFFF" w:val="clear"/>
            <w:tcMar>
              <w:bottom w:w="0" w:type="dxa"/>
            </w:tcMar>
            <w:vAlign w:val="center"/>
          </w:tcPr>
          <w:p>
            <w:pPr>
              <w:pStyle w:val="TableContents"/>
              <w:bidi w:val="0"/>
              <w:spacing w:before="0" w:after="283"/>
              <w:jc w:val="right"/>
              <w:rPr/>
            </w:pPr>
            <w:r>
              <w:rPr/>
              <w:t>1,817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7,130,409</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311" w:type="dxa"/>
            <w:tcBorders/>
            <w:shd w:fill="FFFFFF" w:val="clear"/>
            <w:tcMar>
              <w:bottom w:w="0" w:type="dxa"/>
            </w:tcMar>
            <w:vAlign w:val="center"/>
          </w:tcPr>
          <w:p>
            <w:pPr>
              <w:pStyle w:val="TableContents"/>
              <w:bidi w:val="0"/>
              <w:spacing w:before="0" w:after="283"/>
              <w:jc w:val="left"/>
              <w:rPr/>
            </w:pPr>
            <w:r>
              <w:rPr/>
              <w:t>Chief Financial Officer 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416,427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2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285,225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w:t>
            </w:r>
          </w:p>
        </w:tc>
        <w:tc>
          <w:tcPr>
            <w:tcW w:w="1236" w:type="dxa"/>
            <w:tcBorders/>
            <w:shd w:fill="FFFFFF" w:val="clear"/>
            <w:tcMar>
              <w:bottom w:w="0" w:type="dxa"/>
            </w:tcMar>
            <w:vAlign w:val="center"/>
          </w:tcPr>
          <w:p>
            <w:pPr>
              <w:pStyle w:val="TableContents"/>
              <w:bidi w:val="0"/>
              <w:spacing w:before="0" w:after="283"/>
              <w:jc w:val="right"/>
              <w:rPr/>
            </w:pPr>
            <w:r>
              <w:rPr/>
              <w:t>62,734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764,386</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311" w:type="dxa"/>
            <w:tcBorders/>
            <w:shd w:fill="FFFFFF" w:val="clear"/>
            <w:tcMar>
              <w:bottom w:w="0" w:type="dxa"/>
            </w:tcMar>
            <w:vAlign w:val="center"/>
          </w:tcPr>
          <w:p>
            <w:pPr>
              <w:pStyle w:val="TableContents"/>
              <w:bidi w:val="0"/>
              <w:spacing w:before="0" w:after="283"/>
              <w:jc w:val="left"/>
              <w:rPr/>
            </w:pPr>
            <w:r>
              <w:rPr/>
              <w:t>Corporate Secretary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2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311" w:type="dxa"/>
            <w:tcBorders/>
            <w:shd w:fill="CCEEFF" w:val="clear"/>
            <w:tcMar>
              <w:bottom w:w="0" w:type="dxa"/>
            </w:tcMar>
            <w:vAlign w:val="center"/>
          </w:tcPr>
          <w:p>
            <w:pPr>
              <w:pStyle w:val="TableContents"/>
              <w:bidi w:val="0"/>
              <w:spacing w:before="0" w:after="283"/>
              <w:jc w:val="left"/>
              <w:rPr/>
            </w:pPr>
            <w:r>
              <w:rPr/>
              <w:t>John P. Saharek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431,463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5,145,753 </w:t>
            </w:r>
          </w:p>
        </w:tc>
        <w:tc>
          <w:tcPr>
            <w:tcW w:w="262"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225,000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12,938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5,815,154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311" w:type="dxa"/>
            <w:tcBorders/>
            <w:shd w:fill="CCEEFF" w:val="clear"/>
            <w:tcMar>
              <w:bottom w:w="0" w:type="dxa"/>
            </w:tcMar>
            <w:vAlign w:val="center"/>
          </w:tcPr>
          <w:p>
            <w:pPr>
              <w:pStyle w:val="TableContents"/>
              <w:bidi w:val="0"/>
              <w:spacing w:before="0" w:after="283"/>
              <w:jc w:val="left"/>
              <w:rPr/>
            </w:pPr>
            <w:r>
              <w:rPr/>
              <w:t>Chief Commercial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378,955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2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261,287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16,645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656,887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311" w:type="dxa"/>
            <w:tcBorders/>
            <w:shd w:fill="CCEEFF" w:val="clear"/>
            <w:tcMar>
              <w:bottom w:w="0" w:type="dxa"/>
            </w:tcMar>
            <w:vAlign w:val="center"/>
          </w:tcPr>
          <w:p>
            <w:pPr>
              <w:pStyle w:val="TableContents"/>
              <w:bidi w:val="0"/>
              <w:spacing w:before="0" w:after="283"/>
              <w:jc w:val="left"/>
              <w:rPr/>
            </w:pPr>
            <w:r>
              <w:rPr/>
              <w:t xml:space="preserve">Chief Executive Officer and </w:t>
              <w:br/>
              <w:t>President, ImprimisRx</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2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Reflects the grant date fair value of awards granted during the respective fiscal years, measured in accordance with ASC 718 and without adjustment for estimated forfeitures. For a discussion of the assumptions used to calculate the value of equity awards, refer to Note 15 to our consolidated financial statements for the year ended December 31, 2023, included in the Annual Report. For information about the material terms of each equity award, see the tables under the subheading entitled “Outstanding Equity Awards at Fiscal Year-End” below.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represent matching contributions made by us for the benefit of the named executive officer under our 401(k) retirement savings plan, group life insurance benefit in excess of the standard threshold granted to all other employees and the payout of unused and accrued paid-time-off (“PTO”) balances of Mr. Baum and Mr. Boll during 2022 as a result of a change in PTO policy to provide unlimited PTO for those individuals.</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fair market value, as of the date of issuance, of multi-year equity awards to Mr. Baum, Mr. Boll and Mr. Saharek, accordingly, which are market-based vesting performance stock unit (“PSU”) awards that vest at various share price targets – as described further under the subheading “</w:t>
            </w:r>
            <w:r>
              <w:rPr>
                <w:rFonts w:ascii="Times New Roman;Times;Serif" w:hAnsi="Times New Roman;Times;Serif"/>
                <w:b w:val="false"/>
                <w:i/>
                <w:caps w:val="false"/>
                <w:smallCaps w:val="false"/>
                <w:sz w:val="20"/>
              </w:rPr>
              <w:t>Outstanding Equity Awards at Fiscal Year-End - 2023 PSUs- Multi-Year Awards</w:t>
            </w:r>
            <w:r>
              <w:rPr>
                <w:rFonts w:ascii="Times New Roman;Times;Serif" w:hAnsi="Times New Roman;Times;Serif"/>
                <w:b w:val="false"/>
                <w:i w:val="false"/>
                <w:caps w:val="false"/>
                <w:smallCaps w:val="false"/>
                <w:sz w:val="20"/>
              </w:rPr>
              <w:t xml:space="preserve">.” </w:t>
            </w:r>
          </w:p>
        </w:tc>
      </w:tr>
    </w:tbl>
    <w:p>
      <w:pPr>
        <w:pStyle w:val="TextBody"/>
        <w:bidi w:val="0"/>
        <w:spacing w:before="0" w:after="283"/>
        <w:jc w:val="left"/>
        <w:rPr/>
      </w:pPr>
      <w:r>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outstanding equity awards of the Company held by our named executive officers as of December 31, 2023.</w:t>
      </w:r>
    </w:p>
    <w:p>
      <w:pPr>
        <w:pStyle w:val="TextBody"/>
        <w:bidi w:val="0"/>
        <w:spacing w:before="0" w:after="0"/>
        <w:ind w:left="0" w:right="0" w:firstLine="720"/>
        <w:jc w:val="left"/>
        <w:rPr>
          <w:caps w:val="false"/>
          <w:smallCaps w:val="false"/>
        </w:rPr>
      </w:pPr>
      <w:r>
        <w:rPr>
          <w:caps w:val="false"/>
          <w:smallCaps w:val="false"/>
        </w:rPr>
        <w:t> </w:t>
      </w:r>
    </w:p>
    <w:tbl>
      <w:tblPr>
        <w:tblW w:w="9800" w:type="dxa"/>
        <w:jc w:val="left"/>
        <w:tblInd w:w="0" w:type="dxa"/>
        <w:tblLayout w:type="fixed"/>
        <w:tblCellMar>
          <w:top w:w="0" w:type="dxa"/>
          <w:left w:w="0" w:type="dxa"/>
          <w:bottom w:w="0" w:type="dxa"/>
          <w:right w:w="0" w:type="dxa"/>
        </w:tblCellMar>
      </w:tblPr>
      <w:tblGrid>
        <w:gridCol w:w="1310"/>
        <w:gridCol w:w="60"/>
        <w:gridCol w:w="875"/>
        <w:gridCol w:w="60"/>
        <w:gridCol w:w="81"/>
        <w:gridCol w:w="944"/>
        <w:gridCol w:w="73"/>
        <w:gridCol w:w="73"/>
        <w:gridCol w:w="112"/>
        <w:gridCol w:w="920"/>
        <w:gridCol w:w="60"/>
        <w:gridCol w:w="60"/>
        <w:gridCol w:w="186"/>
        <w:gridCol w:w="569"/>
        <w:gridCol w:w="60"/>
        <w:gridCol w:w="60"/>
        <w:gridCol w:w="114"/>
        <w:gridCol w:w="875"/>
        <w:gridCol w:w="60"/>
        <w:gridCol w:w="60"/>
        <w:gridCol w:w="89"/>
        <w:gridCol w:w="1445"/>
        <w:gridCol w:w="60"/>
        <w:gridCol w:w="60"/>
        <w:gridCol w:w="188"/>
        <w:gridCol w:w="1271"/>
        <w:gridCol w:w="75"/>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87"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 (1)</w:t>
            </w:r>
          </w:p>
        </w:tc>
        <w:tc>
          <w:tcPr>
            <w:tcW w:w="75" w:type="dxa"/>
            <w:tcBorders/>
            <w:vAlign w:val="center"/>
          </w:tcPr>
          <w:p>
            <w:pPr>
              <w:pStyle w:val="TableContents"/>
              <w:bidi w:val="0"/>
              <w:spacing w:before="0" w:after="283"/>
              <w:jc w:val="center"/>
              <w:rPr/>
            </w:pPr>
            <w:r>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3" w:type="dxa"/>
            <w:gridSpan w:val="6"/>
            <w:tcBorders>
              <w:bottom w:val="single" w:sz="1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Number of Securities</w:t>
            </w:r>
          </w:p>
          <w:p>
            <w:pPr>
              <w:pStyle w:val="TableContents"/>
              <w:bidi w:val="0"/>
              <w:jc w:val="center"/>
              <w:rPr>
                <w:rFonts w:ascii="Times New Roman;Times;Serif" w:hAnsi="Times New Roman;Times;Serif"/>
                <w:b/>
                <w:sz w:val="20"/>
              </w:rPr>
            </w:pPr>
            <w:r>
              <w:rPr>
                <w:rFonts w:ascii="Times New Roman;Times;Serif" w:hAnsi="Times New Roman;Times;Serif"/>
                <w:b/>
                <w:sz w:val="20"/>
              </w:rPr>
              <w:t>Underlying Unexercised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4" w:type="dxa"/>
            <w:gridSpan w:val="2"/>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Equity Incentive</w:t>
            </w:r>
          </w:p>
          <w:p>
            <w:pPr>
              <w:pStyle w:val="TableContents"/>
              <w:bidi w:val="0"/>
              <w:jc w:val="center"/>
              <w:rPr>
                <w:rFonts w:ascii="Times New Roman;Times;Serif" w:hAnsi="Times New Roman;Times;Serif"/>
                <w:b/>
                <w:sz w:val="20"/>
              </w:rPr>
            </w:pPr>
            <w:r>
              <w:rPr>
                <w:rFonts w:ascii="Times New Roman;Times;Serif" w:hAnsi="Times New Roman;Times;Serif"/>
                <w:b/>
                <w:sz w:val="20"/>
              </w:rPr>
              <w:t>Plan Awards: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9" w:type="dxa"/>
            <w:gridSpan w:val="2"/>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Equity Incentive</w:t>
            </w:r>
          </w:p>
          <w:p>
            <w:pPr>
              <w:pStyle w:val="TableContents"/>
              <w:bidi w:val="0"/>
              <w:jc w:val="center"/>
              <w:rPr>
                <w:rFonts w:ascii="Times New Roman;Times;Serif" w:hAnsi="Times New Roman;Times;Serif"/>
                <w:b/>
                <w:sz w:val="20"/>
              </w:rPr>
            </w:pPr>
            <w:r>
              <w:rPr>
                <w:rFonts w:ascii="Times New Roman;Times;Serif" w:hAnsi="Times New Roman;Times;Serif"/>
                <w:b/>
                <w:sz w:val="20"/>
              </w:rPr>
              <w:t>Plan Awards:</w:t>
            </w:r>
          </w:p>
          <w:p>
            <w:pPr>
              <w:pStyle w:val="TableContents"/>
              <w:bidi w:val="0"/>
              <w:jc w:val="center"/>
              <w:rPr>
                <w:rFonts w:ascii="Times New Roman;Times;Serif" w:hAnsi="Times New Roman;Times;Serif"/>
                <w:b/>
                <w:sz w:val="20"/>
              </w:rPr>
            </w:pPr>
            <w:r>
              <w:rPr>
                <w:rFonts w:ascii="Times New Roman;Times;Serif" w:hAnsi="Times New Roman;Times;Serif"/>
                <w:b/>
                <w:sz w:val="20"/>
              </w:rPr>
              <w:t>Market Value of</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Unearned Shares</w:t>
            </w:r>
          </w:p>
        </w:tc>
        <w:tc>
          <w:tcPr>
            <w:tcW w:w="75" w:type="dxa"/>
            <w:tcBorders/>
            <w:vAlign w:val="center"/>
          </w:tcPr>
          <w:p>
            <w:pPr>
              <w:pStyle w:val="TableContents"/>
              <w:bidi w:val="0"/>
              <w:spacing w:before="0" w:after="283"/>
              <w:jc w:val="center"/>
              <w:rPr/>
            </w:pPr>
            <w:r>
              <w:rPr/>
              <w:t> </w:t>
            </w:r>
          </w:p>
        </w:tc>
      </w:tr>
      <w:tr>
        <w:trPr/>
        <w:tc>
          <w:tcPr>
            <w:tcW w:w="13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center"/>
              <w:rPr/>
            </w:pPr>
            <w:r>
              <w:rPr/>
              <w:t> </w:t>
            </w:r>
          </w:p>
        </w:tc>
        <w:tc>
          <w:tcPr>
            <w:tcW w:w="875"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Grant</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Exercisable</w:t>
            </w:r>
          </w:p>
        </w:tc>
        <w:tc>
          <w:tcPr>
            <w:tcW w:w="73" w:type="dxa"/>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center"/>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9"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 of 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 Not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9"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 of 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 Not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(2)</w:t>
            </w:r>
          </w:p>
        </w:tc>
        <w:tc>
          <w:tcPr>
            <w:tcW w:w="7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 Baum</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2/10/2014</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7/30/2015</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4/1/2016</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2/1/2017</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1/1/2018</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2/19/2019</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1/2/2020</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217,500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2/19/2021</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1,680,000</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762,300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8,537,760</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R. Boll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2/10/2014</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4/1/2016</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2/1/2017</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1/2/2018</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2/19/2019</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1/2/2020</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2/19/2021</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504,000</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346,500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3,880,800</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P. Saharek</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3/3/2014</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2/1/2015</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4/1/2016</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2/1/2017</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1/2/2018</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2/19/2019</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8/3/2020</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4,692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2/19/2021</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336,000</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277,200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3,104,640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relate to stock options and RSUs granted under both the 2007 Incentive Stock and Awards Plan (the “2007 Plan”) and the 2017 Incentive Stock and Awards Plan (the “2017 Plan”).</w:t>
            </w:r>
          </w:p>
        </w:tc>
      </w:tr>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Calculated by multiplying the number of unvested shares by $11.20, the closing price per share of our common stock on The Nasdaq Global Market on December 29, 2023. </w:t>
            </w:r>
          </w:p>
        </w:tc>
      </w:tr>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PSUs vest upon achieving and maintaining for a minimum term certain stock price targets ranging from $25.00 to $50.00 during a five-year period and require a minimum of a two-year service period. See subheading “</w:t>
            </w:r>
            <w:r>
              <w:rPr>
                <w:rFonts w:ascii="Times New Roman;Times;Serif" w:hAnsi="Times New Roman;Times;Serif"/>
                <w:b w:val="false"/>
                <w:i/>
                <w:caps w:val="false"/>
                <w:smallCaps w:val="false"/>
                <w:sz w:val="20"/>
              </w:rPr>
              <w:t>2023 PSUs- Multi-Year Awards”</w:t>
            </w:r>
            <w:r>
              <w:rPr>
                <w:rFonts w:ascii="Times New Roman;Times;Serif" w:hAnsi="Times New Roman;Times;Serif"/>
                <w:b w:val="false"/>
                <w:i w:val="false"/>
                <w:caps w:val="false"/>
                <w:smallCaps w:val="false"/>
                <w:sz w:val="20"/>
              </w:rPr>
              <w:t xml:space="preserve"> for more information. </w:t>
            </w:r>
          </w:p>
        </w:tc>
      </w:tr>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in full on the third anniversary of the grant date.</w:t>
            </w:r>
          </w:p>
        </w:tc>
      </w:tr>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shares subject to the option vest and become exercisable on the first anniversary of the grant date and the remaining 75% of the shares subject to the option vest and become exercisable quarterly in equal installments thereafter over three years.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PSUs – Multi-Year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granted an aggregate of 1,567,913 PSUs to members of its senior management including named executive officers, which are subject to the satisfaction of certain market-based and continued service conditions (the “2023 PSUs”). The vesting of the 2023 PSUs require (i) a minimum of a two-year service period, and (ii) at any point during a five-year term, the achievement and maintenance of Company common stock price targets for ten consecutive trading days ranging between $25.00 to $50.00 per share, separated into four separate tranches as described further in the tables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considered the 2023 PSUs as multi-year awards, and as a result does not expect to issue equity awards to members of its senior management team during 2024.</w:t>
      </w:r>
    </w:p>
    <w:p>
      <w:pPr>
        <w:pStyle w:val="TextBody"/>
        <w:bidi w:val="0"/>
        <w:spacing w:before="0" w:after="0"/>
        <w:ind w:left="0" w:right="0" w:firstLine="72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amounts for Mr. Baum’s 2023 PSUs are as follows:</w:t>
      </w:r>
    </w:p>
    <w:p>
      <w:pPr>
        <w:pStyle w:val="TextBody"/>
        <w:bidi w:val="0"/>
        <w:spacing w:before="0" w:after="0"/>
        <w:jc w:val="both"/>
        <w:rPr>
          <w:caps w:val="false"/>
          <w:smallCaps w:val="false"/>
        </w:rPr>
      </w:pPr>
      <w:r>
        <w:rPr>
          <w:caps w:val="false"/>
          <w:smallCaps w:val="false"/>
        </w:rPr>
        <w:t> </w:t>
      </w:r>
    </w:p>
    <w:tbl>
      <w:tblPr>
        <w:tblW w:w="5204" w:type="dxa"/>
        <w:jc w:val="center"/>
        <w:tblInd w:w="0" w:type="dxa"/>
        <w:tblLayout w:type="fixed"/>
        <w:tblCellMar>
          <w:top w:w="0" w:type="dxa"/>
          <w:left w:w="0" w:type="dxa"/>
          <w:bottom w:w="28" w:type="dxa"/>
          <w:right w:w="0" w:type="dxa"/>
        </w:tblCellMar>
      </w:tblPr>
      <w:tblGrid>
        <w:gridCol w:w="995"/>
        <w:gridCol w:w="60"/>
        <w:gridCol w:w="131"/>
        <w:gridCol w:w="1748"/>
        <w:gridCol w:w="60"/>
        <w:gridCol w:w="60"/>
        <w:gridCol w:w="415"/>
        <w:gridCol w:w="1660"/>
        <w:gridCol w:w="75"/>
      </w:tblGrid>
      <w:tr>
        <w:trPr/>
        <w:tc>
          <w:tcPr>
            <w:tcW w:w="995" w:type="dxa"/>
            <w:tcBorders>
              <w:bottom w:val="single" w:sz="12" w:space="0" w:color="000000"/>
            </w:tcBorders>
            <w:vAlign w:val="center"/>
          </w:tcPr>
          <w:p>
            <w:pPr>
              <w:pStyle w:val="TableContents"/>
              <w:bidi w:val="0"/>
              <w:spacing w:before="0" w:after="283"/>
              <w:jc w:val="center"/>
              <w:rPr>
                <w:b/>
              </w:rPr>
            </w:pPr>
            <w:r>
              <w:rPr>
                <w:b/>
              </w:rPr>
              <w:t>Tranche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12" w:space="0" w:color="000000"/>
            </w:tcBorders>
            <w:vAlign w:val="center"/>
          </w:tcPr>
          <w:p>
            <w:pPr>
              <w:pStyle w:val="TableContents"/>
              <w:bidi w:val="0"/>
              <w:spacing w:before="0" w:after="283"/>
              <w:jc w:val="center"/>
              <w:rPr>
                <w:b/>
              </w:rPr>
            </w:pPr>
            <w:r>
              <w:rPr>
                <w:b/>
              </w:rPr>
              <w:t>Number of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5" w:type="dxa"/>
            <w:gridSpan w:val="2"/>
            <w:tcBorders>
              <w:bottom w:val="single" w:sz="12" w:space="0" w:color="000000"/>
            </w:tcBorders>
            <w:vAlign w:val="center"/>
          </w:tcPr>
          <w:p>
            <w:pPr>
              <w:pStyle w:val="TableContents"/>
              <w:bidi w:val="0"/>
              <w:spacing w:before="0" w:after="283"/>
              <w:jc w:val="center"/>
              <w:rPr>
                <w:b/>
              </w:rPr>
            </w:pPr>
            <w:r>
              <w:rPr>
                <w:b/>
              </w:rPr>
              <w:t>Target Share Price*</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108,900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660" w:type="dxa"/>
            <w:tcBorders/>
            <w:shd w:fill="CCEEFF" w:val="clear"/>
            <w:tcMar>
              <w:bottom w:w="0" w:type="dxa"/>
            </w:tcMar>
            <w:vAlign w:val="center"/>
          </w:tcPr>
          <w:p>
            <w:pPr>
              <w:pStyle w:val="TableContents"/>
              <w:bidi w:val="0"/>
              <w:spacing w:before="0" w:after="283"/>
              <w:jc w:val="right"/>
              <w:rPr/>
            </w:pPr>
            <w:r>
              <w:rPr/>
              <w:t>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163,350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660" w:type="dxa"/>
            <w:tcBorders/>
            <w:shd w:fill="FFFFFF" w:val="clear"/>
            <w:tcMar>
              <w:bottom w:w="0" w:type="dxa"/>
            </w:tcMar>
            <w:vAlign w:val="center"/>
          </w:tcPr>
          <w:p>
            <w:pPr>
              <w:pStyle w:val="TableContents"/>
              <w:bidi w:val="0"/>
              <w:spacing w:before="0" w:after="283"/>
              <w:jc w:val="right"/>
              <w:rPr/>
            </w:pPr>
            <w:r>
              <w:rPr/>
              <w:t>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217,800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660" w:type="dxa"/>
            <w:tcBorders/>
            <w:shd w:fill="CCEEFF" w:val="clear"/>
            <w:tcMar>
              <w:bottom w:w="0" w:type="dxa"/>
            </w:tcMar>
            <w:vAlign w:val="center"/>
          </w:tcPr>
          <w:p>
            <w:pPr>
              <w:pStyle w:val="TableContents"/>
              <w:bidi w:val="0"/>
              <w:spacing w:before="0" w:after="283"/>
              <w:jc w:val="right"/>
              <w:rPr/>
            </w:pPr>
            <w:r>
              <w:rPr/>
              <w:t>45.00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272,250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660" w:type="dxa"/>
            <w:tcBorders/>
            <w:shd w:fill="FFFFFF" w:val="clear"/>
            <w:tcMar>
              <w:bottom w:w="0" w:type="dxa"/>
            </w:tcMar>
            <w:vAlign w:val="center"/>
          </w:tcPr>
          <w:p>
            <w:pPr>
              <w:pStyle w:val="TableContents"/>
              <w:bidi w:val="0"/>
              <w:spacing w:before="0" w:after="283"/>
              <w:jc w:val="right"/>
              <w:rPr/>
            </w:pPr>
            <w:r>
              <w:rPr/>
              <w:t>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amounts for Mr. Boll’s 2023 PSUs are as follows:</w:t>
      </w:r>
    </w:p>
    <w:p>
      <w:pPr>
        <w:pStyle w:val="TextBody"/>
        <w:bidi w:val="0"/>
        <w:spacing w:before="0" w:after="0"/>
        <w:jc w:val="both"/>
        <w:rPr>
          <w:caps w:val="false"/>
          <w:smallCaps w:val="false"/>
        </w:rPr>
      </w:pPr>
      <w:r>
        <w:rPr>
          <w:caps w:val="false"/>
          <w:smallCaps w:val="false"/>
        </w:rPr>
        <w:t> </w:t>
      </w:r>
    </w:p>
    <w:tbl>
      <w:tblPr>
        <w:tblW w:w="5204" w:type="dxa"/>
        <w:jc w:val="center"/>
        <w:tblInd w:w="0" w:type="dxa"/>
        <w:tblLayout w:type="fixed"/>
        <w:tblCellMar>
          <w:top w:w="0" w:type="dxa"/>
          <w:left w:w="0" w:type="dxa"/>
          <w:bottom w:w="28" w:type="dxa"/>
          <w:right w:w="0" w:type="dxa"/>
        </w:tblCellMar>
      </w:tblPr>
      <w:tblGrid>
        <w:gridCol w:w="995"/>
        <w:gridCol w:w="60"/>
        <w:gridCol w:w="131"/>
        <w:gridCol w:w="1748"/>
        <w:gridCol w:w="60"/>
        <w:gridCol w:w="60"/>
        <w:gridCol w:w="415"/>
        <w:gridCol w:w="1660"/>
        <w:gridCol w:w="75"/>
      </w:tblGrid>
      <w:tr>
        <w:trPr/>
        <w:tc>
          <w:tcPr>
            <w:tcW w:w="995" w:type="dxa"/>
            <w:tcBorders>
              <w:bottom w:val="single" w:sz="12" w:space="0" w:color="000000"/>
            </w:tcBorders>
            <w:vAlign w:val="center"/>
          </w:tcPr>
          <w:p>
            <w:pPr>
              <w:pStyle w:val="TableContents"/>
              <w:bidi w:val="0"/>
              <w:spacing w:before="0" w:after="283"/>
              <w:jc w:val="center"/>
              <w:rPr>
                <w:b/>
              </w:rPr>
            </w:pPr>
            <w:r>
              <w:rPr>
                <w:b/>
              </w:rPr>
              <w:t>Tranche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12" w:space="0" w:color="000000"/>
            </w:tcBorders>
            <w:vAlign w:val="center"/>
          </w:tcPr>
          <w:p>
            <w:pPr>
              <w:pStyle w:val="TableContents"/>
              <w:bidi w:val="0"/>
              <w:spacing w:before="0" w:after="283"/>
              <w:jc w:val="center"/>
              <w:rPr>
                <w:b/>
              </w:rPr>
            </w:pPr>
            <w:r>
              <w:rPr>
                <w:b/>
              </w:rPr>
              <w:t>Number of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5" w:type="dxa"/>
            <w:gridSpan w:val="2"/>
            <w:tcBorders>
              <w:bottom w:val="single" w:sz="12" w:space="0" w:color="000000"/>
            </w:tcBorders>
            <w:vAlign w:val="center"/>
          </w:tcPr>
          <w:p>
            <w:pPr>
              <w:pStyle w:val="TableContents"/>
              <w:bidi w:val="0"/>
              <w:spacing w:before="0" w:after="283"/>
              <w:jc w:val="center"/>
              <w:rPr>
                <w:b/>
              </w:rPr>
            </w:pPr>
            <w:r>
              <w:rPr>
                <w:b/>
              </w:rPr>
              <w:t>Target Share Price*</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49,500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660" w:type="dxa"/>
            <w:tcBorders/>
            <w:shd w:fill="CCEEFF" w:val="clear"/>
            <w:tcMar>
              <w:bottom w:w="0" w:type="dxa"/>
            </w:tcMar>
            <w:vAlign w:val="center"/>
          </w:tcPr>
          <w:p>
            <w:pPr>
              <w:pStyle w:val="TableContents"/>
              <w:bidi w:val="0"/>
              <w:spacing w:before="0" w:after="283"/>
              <w:jc w:val="right"/>
              <w:rPr/>
            </w:pPr>
            <w:r>
              <w:rPr/>
              <w:t>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74,250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660" w:type="dxa"/>
            <w:tcBorders/>
            <w:shd w:fill="FFFFFF" w:val="clear"/>
            <w:tcMar>
              <w:bottom w:w="0" w:type="dxa"/>
            </w:tcMar>
            <w:vAlign w:val="center"/>
          </w:tcPr>
          <w:p>
            <w:pPr>
              <w:pStyle w:val="TableContents"/>
              <w:bidi w:val="0"/>
              <w:spacing w:before="0" w:after="283"/>
              <w:jc w:val="right"/>
              <w:rPr/>
            </w:pPr>
            <w:r>
              <w:rPr/>
              <w:t>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99,000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660" w:type="dxa"/>
            <w:tcBorders/>
            <w:shd w:fill="CCEEFF" w:val="clear"/>
            <w:tcMar>
              <w:bottom w:w="0" w:type="dxa"/>
            </w:tcMar>
            <w:vAlign w:val="center"/>
          </w:tcPr>
          <w:p>
            <w:pPr>
              <w:pStyle w:val="TableContents"/>
              <w:bidi w:val="0"/>
              <w:spacing w:before="0" w:after="283"/>
              <w:jc w:val="right"/>
              <w:rPr/>
            </w:pPr>
            <w:r>
              <w:rPr/>
              <w:t>45.00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123,750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660" w:type="dxa"/>
            <w:tcBorders/>
            <w:shd w:fill="FFFFFF" w:val="clear"/>
            <w:tcMar>
              <w:bottom w:w="0" w:type="dxa"/>
            </w:tcMar>
            <w:vAlign w:val="center"/>
          </w:tcPr>
          <w:p>
            <w:pPr>
              <w:pStyle w:val="TableContents"/>
              <w:bidi w:val="0"/>
              <w:spacing w:before="0" w:after="283"/>
              <w:jc w:val="right"/>
              <w:rPr/>
            </w:pPr>
            <w:r>
              <w:rPr/>
              <w:t>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amounts for Mr. Saharek’s 2023 PSUs are as follows:</w:t>
      </w:r>
    </w:p>
    <w:p>
      <w:pPr>
        <w:pStyle w:val="TextBody"/>
        <w:bidi w:val="0"/>
        <w:spacing w:before="0" w:after="0"/>
        <w:jc w:val="both"/>
        <w:rPr>
          <w:caps w:val="false"/>
          <w:smallCaps w:val="false"/>
        </w:rPr>
      </w:pPr>
      <w:r>
        <w:rPr>
          <w:caps w:val="false"/>
          <w:smallCaps w:val="false"/>
        </w:rPr>
        <w:t> </w:t>
      </w:r>
    </w:p>
    <w:tbl>
      <w:tblPr>
        <w:tblW w:w="5204" w:type="dxa"/>
        <w:jc w:val="center"/>
        <w:tblInd w:w="0" w:type="dxa"/>
        <w:tblLayout w:type="fixed"/>
        <w:tblCellMar>
          <w:top w:w="0" w:type="dxa"/>
          <w:left w:w="0" w:type="dxa"/>
          <w:bottom w:w="28" w:type="dxa"/>
          <w:right w:w="0" w:type="dxa"/>
        </w:tblCellMar>
      </w:tblPr>
      <w:tblGrid>
        <w:gridCol w:w="995"/>
        <w:gridCol w:w="60"/>
        <w:gridCol w:w="150"/>
        <w:gridCol w:w="1729"/>
        <w:gridCol w:w="60"/>
        <w:gridCol w:w="60"/>
        <w:gridCol w:w="415"/>
        <w:gridCol w:w="1660"/>
        <w:gridCol w:w="75"/>
      </w:tblGrid>
      <w:tr>
        <w:trPr/>
        <w:tc>
          <w:tcPr>
            <w:tcW w:w="995" w:type="dxa"/>
            <w:tcBorders>
              <w:bottom w:val="single" w:sz="12" w:space="0" w:color="000000"/>
            </w:tcBorders>
            <w:vAlign w:val="center"/>
          </w:tcPr>
          <w:p>
            <w:pPr>
              <w:pStyle w:val="TableContents"/>
              <w:bidi w:val="0"/>
              <w:spacing w:before="0" w:after="283"/>
              <w:jc w:val="center"/>
              <w:rPr>
                <w:b/>
              </w:rPr>
            </w:pPr>
            <w:r>
              <w:rPr>
                <w:b/>
              </w:rPr>
              <w:t>Tranche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12" w:space="0" w:color="000000"/>
            </w:tcBorders>
            <w:vAlign w:val="center"/>
          </w:tcPr>
          <w:p>
            <w:pPr>
              <w:pStyle w:val="TableContents"/>
              <w:bidi w:val="0"/>
              <w:spacing w:before="0" w:after="283"/>
              <w:jc w:val="center"/>
              <w:rPr>
                <w:b/>
              </w:rPr>
            </w:pPr>
            <w:r>
              <w:rPr>
                <w:b/>
              </w:rPr>
              <w:t>Number of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5" w:type="dxa"/>
            <w:gridSpan w:val="2"/>
            <w:tcBorders>
              <w:bottom w:val="single" w:sz="12" w:space="0" w:color="000000"/>
            </w:tcBorders>
            <w:vAlign w:val="center"/>
          </w:tcPr>
          <w:p>
            <w:pPr>
              <w:pStyle w:val="TableContents"/>
              <w:bidi w:val="0"/>
              <w:spacing w:before="0" w:after="283"/>
              <w:jc w:val="center"/>
              <w:rPr>
                <w:b/>
              </w:rPr>
            </w:pPr>
            <w:r>
              <w:rPr>
                <w:b/>
              </w:rPr>
              <w:t>Target Share Price*</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729" w:type="dxa"/>
            <w:tcBorders/>
            <w:shd w:fill="CCEEFF" w:val="clear"/>
            <w:tcMar>
              <w:bottom w:w="0" w:type="dxa"/>
            </w:tcMar>
            <w:vAlign w:val="center"/>
          </w:tcPr>
          <w:p>
            <w:pPr>
              <w:pStyle w:val="TableContents"/>
              <w:bidi w:val="0"/>
              <w:spacing w:before="0" w:after="283"/>
              <w:jc w:val="center"/>
              <w:rPr/>
            </w:pPr>
            <w:r>
              <w:rPr/>
              <w:t>39,600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660" w:type="dxa"/>
            <w:tcBorders/>
            <w:shd w:fill="CCEEFF" w:val="clear"/>
            <w:tcMar>
              <w:bottom w:w="0" w:type="dxa"/>
            </w:tcMar>
            <w:vAlign w:val="center"/>
          </w:tcPr>
          <w:p>
            <w:pPr>
              <w:pStyle w:val="TableContents"/>
              <w:bidi w:val="0"/>
              <w:spacing w:before="0" w:after="283"/>
              <w:jc w:val="right"/>
              <w:rPr/>
            </w:pPr>
            <w:r>
              <w:rPr/>
              <w:t>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729" w:type="dxa"/>
            <w:tcBorders/>
            <w:shd w:fill="FFFFFF" w:val="clear"/>
            <w:tcMar>
              <w:bottom w:w="0" w:type="dxa"/>
            </w:tcMar>
            <w:vAlign w:val="center"/>
          </w:tcPr>
          <w:p>
            <w:pPr>
              <w:pStyle w:val="TableContents"/>
              <w:bidi w:val="0"/>
              <w:spacing w:before="0" w:after="283"/>
              <w:jc w:val="center"/>
              <w:rPr/>
            </w:pPr>
            <w:r>
              <w:rPr/>
              <w:t>59,400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660" w:type="dxa"/>
            <w:tcBorders/>
            <w:shd w:fill="FFFFFF" w:val="clear"/>
            <w:tcMar>
              <w:bottom w:w="0" w:type="dxa"/>
            </w:tcMar>
            <w:vAlign w:val="center"/>
          </w:tcPr>
          <w:p>
            <w:pPr>
              <w:pStyle w:val="TableContents"/>
              <w:bidi w:val="0"/>
              <w:spacing w:before="0" w:after="283"/>
              <w:jc w:val="right"/>
              <w:rPr/>
            </w:pPr>
            <w:r>
              <w:rPr/>
              <w:t>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729" w:type="dxa"/>
            <w:tcBorders/>
            <w:shd w:fill="CCEEFF" w:val="clear"/>
            <w:tcMar>
              <w:bottom w:w="0" w:type="dxa"/>
            </w:tcMar>
            <w:vAlign w:val="center"/>
          </w:tcPr>
          <w:p>
            <w:pPr>
              <w:pStyle w:val="TableContents"/>
              <w:bidi w:val="0"/>
              <w:spacing w:before="0" w:after="283"/>
              <w:jc w:val="center"/>
              <w:rPr/>
            </w:pPr>
            <w:r>
              <w:rPr/>
              <w:t>79,200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660" w:type="dxa"/>
            <w:tcBorders/>
            <w:shd w:fill="CCEEFF" w:val="clear"/>
            <w:tcMar>
              <w:bottom w:w="0" w:type="dxa"/>
            </w:tcMar>
            <w:vAlign w:val="center"/>
          </w:tcPr>
          <w:p>
            <w:pPr>
              <w:pStyle w:val="TableContents"/>
              <w:bidi w:val="0"/>
              <w:spacing w:before="0" w:after="283"/>
              <w:jc w:val="right"/>
              <w:rPr/>
            </w:pPr>
            <w:r>
              <w:rPr/>
              <w:t>45.00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729" w:type="dxa"/>
            <w:tcBorders/>
            <w:shd w:fill="FFFFFF" w:val="clear"/>
            <w:tcMar>
              <w:bottom w:w="0" w:type="dxa"/>
            </w:tcMar>
            <w:vAlign w:val="center"/>
          </w:tcPr>
          <w:p>
            <w:pPr>
              <w:pStyle w:val="TableContents"/>
              <w:bidi w:val="0"/>
              <w:spacing w:before="0" w:after="283"/>
              <w:jc w:val="center"/>
              <w:rPr/>
            </w:pPr>
            <w:r>
              <w:rPr/>
              <w:t>99,000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660" w:type="dxa"/>
            <w:tcBorders/>
            <w:shd w:fill="FFFFFF" w:val="clear"/>
            <w:tcMar>
              <w:bottom w:w="0" w:type="dxa"/>
            </w:tcMar>
            <w:vAlign w:val="center"/>
          </w:tcPr>
          <w:p>
            <w:pPr>
              <w:pStyle w:val="TableContents"/>
              <w:bidi w:val="0"/>
              <w:spacing w:before="0" w:after="283"/>
              <w:jc w:val="right"/>
              <w:rPr/>
            </w:pPr>
            <w:r>
              <w:rPr/>
              <w:t>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Share Price assumes that no dividends or like distributions are made to stockholders of the Company. If such distributions are made, the Target Share Price would decrease accordingly, to the benefit of the employee, to account for the dividend/distribution.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target share price metric for Tranche 1 had been met and, assuming the executives reach the required two-year service period, the Company expects Tranche 1 shares to vest in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Arrangements with Mark L. Baum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2016, we entered into an employment agreement (the “Baum Agreement”) with Mr. Baum with respect to his employment as Chief Executive Officer. The Baum Agreement replaced Mr. Baum’s 2012 employment agreement, as amended, with the Company. Mr. Baum’s employment with the Company is at-will and may be terminated either by Mr. Baum or the Company at any time for any reason or for no reason. The Baum Agreement provides for an initial annual base salary and a target annual bonus incentive under the Company’s management incentive plan of 60% of his base salary. Pursuant to the Baum Agreement, Mr. Baum received 1,050,000 restricted stock units vesting on the fifth anniversary of the date of the grant subject to performance-based accelerated vesting. All shares under this equity award vested during 2021.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Involuntary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Mr. Baum’s employment be terminated by the Company without Cause (as defined in the Baum Agreement) or should Mr. Baum terminate his employment with the Company for Good Reason (as defined in the Baum Agreement) (each an “Involuntary Termination”), any unvested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pStyle w:val="TextBody"/>
        <w:bidi w:val="0"/>
        <w:spacing w:before="0" w:after="0"/>
        <w:ind w:left="0" w:right="0" w:firstLine="72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Involuntary Termination of Mr. Baum’s employment within one month prior to, or 12 months following, a Change in Control (as defined in the 2007 Plan), any unvested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Equity Incentive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Baum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Arrangements with Andrew R. Boll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2016, the Company entered into an employment agreement (the “Boll Agreement”) with Mr. Boll with respect to his employment as Chief Financial Officer and Corporate Secretary. The Boll Agreement replaced Mr. Boll’s 2012 employment agreement, as amended, with the Company. Mr. Boll’s employment with the Company is at-will and may be terminated either by Mr. Boll or the Company at any time for any reason or for no reason. The Boll Agreement provides for an initial annual base salary and a target annual incentive bonus of 50% of his annual base salary. Pursuant to the Boll Agreement, Mr. Boll received 157,500 restricted stock units vesting on the fifth anniversary of the date of grant subject to performance-based accelerated vesting. All shares under this equity award vested during 2021.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Involuntary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Mr. Boll’s employment be terminated by the Company without Cause (as defined in the Boll Agreement) or should Mr. Boll terminate his employment with the Company for Good Reason (as defined in the Boll Agreement) (each an “Involuntary Termination”), any unvested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 Involuntary Termination of Mr. Boll’s employment occur within one month prior to, or 12 months following, a Change in Control (as defined in the 2017 Plan),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options shall be deemed fully vested as of the date of such Involuntary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Equity Incentive Grants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Boll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pStyle w:val="TextBody"/>
        <w:bidi w:val="0"/>
        <w:spacing w:before="0" w:after="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Arrangements with John P. Saharek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2016, the Company entered into an employment agreement (the “Saharek Agreement”) with Mr. Saharek with respect to his employment as Chief Commercial Officer. The Saharek Agreement replaced Mr. Saharek’s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options to purchase 60,000 shares of our common stock (the “Saharek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Involuntary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 Involuntary Termination of Mr. Saharek’s employment occur within one month prior to, or 12 months following, a Change in Control (as defined in the 2017 Plan),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Equity Incentive Grants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Saharek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pStyle w:val="TextBody"/>
        <w:bidi w:val="0"/>
        <w:spacing w:before="0" w:after="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and related disclosures provide information about (i) the “total compensation” of our principal executive officer (the “PEO”) and our other named executive officers (the “Other NEOs”) as presented in the “Summary Compensation Table” (the “SCT Amounts”), (ii) the “compensation actually paid” to our PEO and our Other NEOs, as calculated pursuant to the SEC’s pay-versus-performance rules (the “CAP Amounts”), (iii) certain financial performance measures, and (iv) the relationship of the CAP Amounts to those financial performance measures.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For discussion of how our Compensation Committee seeks to align pay with performance when making compensation decisions, please review “Executive Compensation.”</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
        <w:gridCol w:w="60"/>
        <w:gridCol w:w="140"/>
        <w:gridCol w:w="1100"/>
        <w:gridCol w:w="60"/>
        <w:gridCol w:w="60"/>
        <w:gridCol w:w="154"/>
        <w:gridCol w:w="1081"/>
        <w:gridCol w:w="60"/>
        <w:gridCol w:w="60"/>
        <w:gridCol w:w="154"/>
        <w:gridCol w:w="1081"/>
        <w:gridCol w:w="60"/>
        <w:gridCol w:w="60"/>
        <w:gridCol w:w="190"/>
        <w:gridCol w:w="1334"/>
        <w:gridCol w:w="60"/>
        <w:gridCol w:w="60"/>
        <w:gridCol w:w="334"/>
        <w:gridCol w:w="886"/>
        <w:gridCol w:w="71"/>
        <w:gridCol w:w="71"/>
        <w:gridCol w:w="295"/>
        <w:gridCol w:w="822"/>
        <w:gridCol w:w="60"/>
        <w:gridCol w:w="60"/>
        <w:gridCol w:w="140"/>
        <w:gridCol w:w="1100"/>
        <w:gridCol w:w="77"/>
      </w:tblGrid>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6"/>
            <w:tcBorders>
              <w:bottom w:val="single" w:sz="12" w:space="0" w:color="000000"/>
            </w:tcBorders>
            <w:tcMar>
              <w:bottom w:w="28" w:type="dxa"/>
            </w:tcMar>
            <w:vAlign w:val="center"/>
          </w:tcPr>
          <w:p>
            <w:pPr>
              <w:pStyle w:val="TableContents"/>
              <w:bidi w:val="0"/>
              <w:jc w:val="center"/>
              <w:rPr>
                <w:b/>
              </w:rPr>
            </w:pPr>
            <w:r>
              <w:rPr>
                <w:b/>
              </w:rPr>
              <w:t>Value of Initial Fixed $100</w:t>
            </w:r>
          </w:p>
          <w:p>
            <w:pPr>
              <w:pStyle w:val="TableContents"/>
              <w:bidi w:val="0"/>
              <w:spacing w:before="0" w:after="283"/>
              <w:jc w:val="center"/>
              <w:rPr>
                <w:b/>
              </w:rPr>
            </w:pPr>
            <w:r>
              <w:rPr>
                <w:b/>
              </w:rPr>
              <w:t>Investment Based 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515"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PEO (1)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PEO (1)(2)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Other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 (1)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 to Other NEOs (1)(2)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Return (3)</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17"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Peer Group</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(4)</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(5)</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77" w:type="dxa"/>
            <w:tcBorders/>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center"/>
              <w:rPr/>
            </w:pPr>
            <w:r>
              <w:rPr/>
              <w:t>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15,256,463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3,113,362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6,472,781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334" w:type="dxa"/>
            <w:tcBorders/>
            <w:shd w:fill="CCEEFF" w:val="clear"/>
            <w:vAlign w:val="center"/>
          </w:tcPr>
          <w:p>
            <w:pPr>
              <w:pStyle w:val="TableContents"/>
              <w:bidi w:val="0"/>
              <w:spacing w:before="0" w:after="283"/>
              <w:jc w:val="right"/>
              <w:rPr/>
            </w:pPr>
            <w:r>
              <w:rPr/>
              <w:t>1,934,673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163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    </w:t>
            </w:r>
            <w:r>
              <w:rPr/>
              <w:t>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24,411,000</w:t>
            </w:r>
          </w:p>
        </w:tc>
        <w:tc>
          <w:tcPr>
            <w:tcW w:w="77" w:type="dxa"/>
            <w:tcBorders/>
            <w:shd w:fill="CCEEFF" w:val="clear"/>
            <w:vAlign w:val="center"/>
          </w:tcPr>
          <w:p>
            <w:pPr>
              <w:pStyle w:val="TableContents"/>
              <w:bidi w:val="0"/>
              <w:spacing w:before="0" w:after="283"/>
              <w:jc w:val="left"/>
              <w:rPr/>
            </w:pPr>
            <w:r>
              <w:rPr/>
              <w:t> </w:t>
            </w:r>
          </w:p>
        </w:tc>
      </w:tr>
      <w:tr>
        <w:trPr/>
        <w:tc>
          <w:tcPr>
            <w:tcW w:w="515"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1,195,141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081" w:type="dxa"/>
            <w:tcBorders/>
            <w:shd w:fill="FFFFFF" w:val="clear"/>
            <w:vAlign w:val="center"/>
          </w:tcPr>
          <w:p>
            <w:pPr>
              <w:pStyle w:val="TableContents"/>
              <w:bidi w:val="0"/>
              <w:spacing w:before="0" w:after="283"/>
              <w:jc w:val="right"/>
              <w:rPr/>
            </w:pPr>
            <w:r>
              <w:rPr/>
              <w:t>9,511,499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081" w:type="dxa"/>
            <w:tcBorders/>
            <w:shd w:fill="FFFFFF" w:val="clear"/>
            <w:vAlign w:val="center"/>
          </w:tcPr>
          <w:p>
            <w:pPr>
              <w:pStyle w:val="TableContents"/>
              <w:bidi w:val="0"/>
              <w:spacing w:before="0" w:after="283"/>
              <w:jc w:val="right"/>
              <w:rPr/>
            </w:pPr>
            <w:r>
              <w:rPr/>
              <w:t>710,637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334" w:type="dxa"/>
            <w:tcBorders/>
            <w:shd w:fill="FFFFFF" w:val="clear"/>
            <w:vAlign w:val="center"/>
          </w:tcPr>
          <w:p>
            <w:pPr>
              <w:pStyle w:val="TableContents"/>
              <w:bidi w:val="0"/>
              <w:spacing w:before="0" w:after="283"/>
              <w:jc w:val="right"/>
              <w:rPr/>
            </w:pPr>
            <w:r>
              <w:rPr/>
              <w:t>3,053,124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886" w:type="dxa"/>
            <w:tcBorders/>
            <w:shd w:fill="FFFFFF" w:val="clear"/>
            <w:vAlign w:val="center"/>
          </w:tcPr>
          <w:p>
            <w:pPr>
              <w:pStyle w:val="TableContents"/>
              <w:bidi w:val="0"/>
              <w:spacing w:before="0" w:after="283"/>
              <w:jc w:val="right"/>
              <w:rPr/>
            </w:pPr>
            <w:r>
              <w:rPr/>
              <w:t>215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822" w:type="dxa"/>
            <w:tcBorders/>
            <w:shd w:fill="FFFFFF" w:val="clear"/>
            <w:vAlign w:val="center"/>
          </w:tcPr>
          <w:p>
            <w:pPr>
              <w:pStyle w:val="TableContents"/>
              <w:bidi w:val="0"/>
              <w:spacing w:before="0" w:after="283"/>
              <w:jc w:val="right"/>
              <w:rPr/>
            </w:pPr>
            <w:r>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14,086,000</w:t>
            </w:r>
          </w:p>
        </w:tc>
        <w:tc>
          <w:tcPr>
            <w:tcW w:w="77" w:type="dxa"/>
            <w:tcBorders/>
            <w:shd w:fill="FFFF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center"/>
              <w:rPr/>
            </w:pPr>
            <w:r>
              <w:rPr/>
              <w:t>2021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7,321,467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8,694,375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3,014,506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334" w:type="dxa"/>
            <w:tcBorders/>
            <w:shd w:fill="CCEEFF" w:val="clear"/>
            <w:vAlign w:val="center"/>
          </w:tcPr>
          <w:p>
            <w:pPr>
              <w:pStyle w:val="TableContents"/>
              <w:bidi w:val="0"/>
              <w:spacing w:before="0" w:after="283"/>
              <w:jc w:val="right"/>
              <w:rPr/>
            </w:pPr>
            <w:r>
              <w:rPr/>
              <w:t>3,538,147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126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18,007,000</w:t>
            </w:r>
          </w:p>
        </w:tc>
        <w:tc>
          <w:tcPr>
            <w:tcW w:w="77"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Baum was our PEO for each year presented. Andrew Boll and John Saharek are the individuals comprising the Other NEOs for each year presented.</w:t>
            </w:r>
          </w:p>
        </w:tc>
      </w:tr>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adjustments made during each year presented to arrive at the CAP Amounts for our PEO and Other NEOs during each year: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8"/>
        <w:gridCol w:w="60"/>
        <w:gridCol w:w="140"/>
        <w:gridCol w:w="1175"/>
        <w:gridCol w:w="95"/>
        <w:gridCol w:w="60"/>
        <w:gridCol w:w="140"/>
        <w:gridCol w:w="1057"/>
        <w:gridCol w:w="95"/>
        <w:gridCol w:w="60"/>
        <w:gridCol w:w="140"/>
        <w:gridCol w:w="980"/>
        <w:gridCol w:w="60"/>
        <w:gridCol w:w="60"/>
        <w:gridCol w:w="140"/>
        <w:gridCol w:w="984"/>
        <w:gridCol w:w="60"/>
        <w:gridCol w:w="60"/>
        <w:gridCol w:w="140"/>
        <w:gridCol w:w="1055"/>
        <w:gridCol w:w="95"/>
        <w:gridCol w:w="60"/>
        <w:gridCol w:w="140"/>
        <w:gridCol w:w="1057"/>
        <w:gridCol w:w="114"/>
      </w:tblGrid>
      <w:tr>
        <w:trPr/>
        <w:tc>
          <w:tcPr>
            <w:tcW w:w="21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4" w:type="dxa"/>
            <w:tcBorders/>
            <w:vAlign w:val="center"/>
          </w:tcPr>
          <w:p>
            <w:pPr>
              <w:pStyle w:val="TableContents"/>
              <w:bidi w:val="0"/>
              <w:spacing w:before="0" w:after="283"/>
              <w:jc w:val="center"/>
              <w:rPr/>
            </w:pPr>
            <w:r>
              <w:rPr/>
              <w:t> </w:t>
            </w:r>
          </w:p>
        </w:tc>
      </w:tr>
      <w:tr>
        <w:trPr/>
        <w:tc>
          <w:tcPr>
            <w:tcW w:w="2178" w:type="dxa"/>
            <w:tcBorders>
              <w:bottom w:val="single" w:sz="12" w:space="0" w:color="000000"/>
            </w:tcBorders>
            <w:tcMar>
              <w:bottom w:w="28" w:type="dxa"/>
            </w:tcMar>
            <w:vAlign w:val="center"/>
          </w:tcPr>
          <w:p>
            <w:pPr>
              <w:pStyle w:val="TableContents"/>
              <w:bidi w:val="0"/>
              <w:spacing w:before="0" w:after="283"/>
              <w:jc w:val="center"/>
              <w:rPr>
                <w:b/>
              </w:rPr>
            </w:pPr>
            <w:r>
              <w:rPr>
                <w:b/>
              </w:rPr>
              <w:t>Adjustments</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NEOs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PEO</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NEOs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NEOs</w:t>
            </w:r>
          </w:p>
        </w:tc>
        <w:tc>
          <w:tcPr>
            <w:tcW w:w="114" w:type="dxa"/>
            <w:tcBorders/>
            <w:vAlign w:val="center"/>
          </w:tcPr>
          <w:p>
            <w:pPr>
              <w:pStyle w:val="TableContents"/>
              <w:bidi w:val="0"/>
              <w:spacing w:before="0" w:after="283"/>
              <w:jc w:val="left"/>
              <w:rPr/>
            </w:pPr>
            <w:r>
              <w:rPr/>
              <w:t> </w:t>
            </w:r>
          </w:p>
        </w:tc>
      </w:tr>
      <w:tr>
        <w:trPr/>
        <w:tc>
          <w:tcPr>
            <w:tcW w:w="2178" w:type="dxa"/>
            <w:tcBorders/>
            <w:shd w:fill="CCEEFF" w:val="clear"/>
            <w:vAlign w:val="center"/>
          </w:tcPr>
          <w:p>
            <w:pPr>
              <w:pStyle w:val="TableContents"/>
              <w:bidi w:val="0"/>
              <w:spacing w:before="0" w:after="283"/>
              <w:jc w:val="left"/>
              <w:rPr/>
            </w:pPr>
            <w:r>
              <w:rPr/>
              <w:t>SCT Amounts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15,256,463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6,472,781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1,195,141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710,637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7,321,467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3,014,506</w:t>
            </w:r>
          </w:p>
        </w:tc>
        <w:tc>
          <w:tcPr>
            <w:tcW w:w="114" w:type="dxa"/>
            <w:tcBorders/>
            <w:shd w:fill="CCEEFF" w:val="clear"/>
            <w:vAlign w:val="center"/>
          </w:tcPr>
          <w:p>
            <w:pPr>
              <w:pStyle w:val="TableContents"/>
              <w:bidi w:val="0"/>
              <w:spacing w:before="0" w:after="283"/>
              <w:jc w:val="left"/>
              <w:rPr/>
            </w:pPr>
            <w:r>
              <w:rPr/>
              <w:t> </w:t>
            </w:r>
          </w:p>
        </w:tc>
      </w:tr>
      <w:tr>
        <w:trPr/>
        <w:tc>
          <w:tcPr>
            <w:tcW w:w="2178" w:type="dxa"/>
            <w:tcBorders/>
            <w:shd w:fill="FFFFFF" w:val="clear"/>
            <w:vAlign w:val="center"/>
          </w:tcPr>
          <w:p>
            <w:pPr>
              <w:pStyle w:val="TableContents"/>
              <w:bidi w:val="0"/>
              <w:spacing w:before="0" w:after="283"/>
              <w:jc w:val="left"/>
              <w:rPr/>
            </w:pPr>
            <w:r>
              <w:rPr/>
              <w:t>Subtract: Aggregate value for stock awards and option awards included in SCT amounts for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(14,150,821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7" w:type="dxa"/>
            <w:tcBorders/>
            <w:shd w:fill="FFFFFF" w:val="clear"/>
            <w:vAlign w:val="center"/>
          </w:tcPr>
          <w:p>
            <w:pPr>
              <w:pStyle w:val="TableContents"/>
              <w:bidi w:val="0"/>
              <w:spacing w:before="0" w:after="283"/>
              <w:jc w:val="right"/>
              <w:rPr/>
            </w:pPr>
            <w:r>
              <w:rPr/>
              <w:t>(5,788,972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(6,251,841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7" w:type="dxa"/>
            <w:tcBorders/>
            <w:shd w:fill="FFFFFF" w:val="clear"/>
            <w:vAlign w:val="center"/>
          </w:tcPr>
          <w:p>
            <w:pPr>
              <w:pStyle w:val="TableContents"/>
              <w:bidi w:val="0"/>
              <w:spacing w:before="0" w:after="283"/>
              <w:jc w:val="right"/>
              <w:rPr/>
            </w:pPr>
            <w:r>
              <w:rPr/>
              <w:t>(2,345,183</w:t>
            </w:r>
          </w:p>
        </w:tc>
        <w:tc>
          <w:tcPr>
            <w:tcW w:w="114" w:type="dxa"/>
            <w:tcBorders/>
            <w:shd w:fill="FFFFFF" w:val="clear"/>
            <w:vAlign w:val="center"/>
          </w:tcPr>
          <w:p>
            <w:pPr>
              <w:pStyle w:val="TableContents"/>
              <w:bidi w:val="0"/>
              <w:spacing w:before="0" w:after="283"/>
              <w:jc w:val="left"/>
              <w:rPr/>
            </w:pPr>
            <w:r>
              <w:rPr/>
              <w:t>)</w:t>
            </w:r>
          </w:p>
        </w:tc>
      </w:tr>
      <w:tr>
        <w:trPr/>
        <w:tc>
          <w:tcPr>
            <w:tcW w:w="2178" w:type="dxa"/>
            <w:tcBorders/>
            <w:shd w:fill="CCEEFF" w:val="clear"/>
            <w:vAlign w:val="center"/>
          </w:tcPr>
          <w:p>
            <w:pPr>
              <w:pStyle w:val="TableContents"/>
              <w:bidi w:val="0"/>
              <w:spacing w:before="0" w:after="283"/>
              <w:jc w:val="left"/>
              <w:rPr/>
            </w:pPr>
            <w:r>
              <w:rPr/>
              <w:t>Add: Fair value at year end of awards granted during the covered fiscal year that were outstanding and unvested at the covered fiscal year 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5,504,217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2,251,725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6,962,777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2,642,227</w:t>
            </w:r>
          </w:p>
        </w:tc>
        <w:tc>
          <w:tcPr>
            <w:tcW w:w="114" w:type="dxa"/>
            <w:tcBorders/>
            <w:shd w:fill="CCEEFF" w:val="clear"/>
            <w:vAlign w:val="center"/>
          </w:tcPr>
          <w:p>
            <w:pPr>
              <w:pStyle w:val="TableContents"/>
              <w:bidi w:val="0"/>
              <w:spacing w:before="0" w:after="283"/>
              <w:jc w:val="left"/>
              <w:rPr/>
            </w:pPr>
            <w:r>
              <w:rPr/>
              <w:t> </w:t>
            </w:r>
          </w:p>
        </w:tc>
      </w:tr>
      <w:tr>
        <w:trPr/>
        <w:tc>
          <w:tcPr>
            <w:tcW w:w="2178" w:type="dxa"/>
            <w:tcBorders/>
            <w:shd w:fill="FFFFFF" w:val="clear"/>
            <w:vAlign w:val="center"/>
          </w:tcPr>
          <w:p>
            <w:pPr>
              <w:pStyle w:val="TableContents"/>
              <w:bidi w:val="0"/>
              <w:spacing w:before="0" w:after="283"/>
              <w:jc w:val="left"/>
              <w:rPr/>
            </w:pPr>
            <w:r>
              <w:rPr/>
              <w:t>Add (Subtract): Year-over-year change in fair value at covered fiscal year end of awards granted in any prior fiscal year that were outstanding and unvested at the covered fiscal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7,390,670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4" w:type="dxa"/>
            <w:tcBorders/>
            <w:shd w:fill="FFFFFF" w:val="clear"/>
            <w:vAlign w:val="center"/>
          </w:tcPr>
          <w:p>
            <w:pPr>
              <w:pStyle w:val="TableContents"/>
              <w:bidi w:val="0"/>
              <w:spacing w:before="0" w:after="283"/>
              <w:jc w:val="right"/>
              <w:rPr/>
            </w:pPr>
            <w:r>
              <w:rPr/>
              <w:t>1,948,868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(1,491,366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7" w:type="dxa"/>
            <w:tcBorders/>
            <w:shd w:fill="FFFFFF" w:val="clear"/>
            <w:vAlign w:val="center"/>
          </w:tcPr>
          <w:p>
            <w:pPr>
              <w:pStyle w:val="TableContents"/>
              <w:bidi w:val="0"/>
              <w:spacing w:before="0" w:after="283"/>
              <w:jc w:val="right"/>
              <w:rPr/>
            </w:pPr>
            <w:r>
              <w:rPr/>
              <w:t>46,479</w:t>
            </w:r>
          </w:p>
        </w:tc>
        <w:tc>
          <w:tcPr>
            <w:tcW w:w="114" w:type="dxa"/>
            <w:tcBorders/>
            <w:shd w:fill="FFFFFF" w:val="clear"/>
            <w:vAlign w:val="center"/>
          </w:tcPr>
          <w:p>
            <w:pPr>
              <w:pStyle w:val="TableContents"/>
              <w:bidi w:val="0"/>
              <w:spacing w:before="0" w:after="283"/>
              <w:jc w:val="left"/>
              <w:rPr/>
            </w:pPr>
            <w:r>
              <w:rPr/>
              <w:t> </w:t>
            </w:r>
          </w:p>
        </w:tc>
      </w:tr>
      <w:tr>
        <w:trPr/>
        <w:tc>
          <w:tcPr>
            <w:tcW w:w="2178" w:type="dxa"/>
            <w:tcBorders/>
            <w:shd w:fill="CCEEFF" w:val="clear"/>
            <w:vAlign w:val="center"/>
          </w:tcPr>
          <w:p>
            <w:pPr>
              <w:pStyle w:val="TableContents"/>
              <w:bidi w:val="0"/>
              <w:spacing w:before="0" w:after="283"/>
              <w:jc w:val="left"/>
              <w:rPr/>
            </w:pPr>
            <w:r>
              <w:rPr/>
              <w:t>Add: Vesting date fair value of awards granted and vested during the covered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178" w:type="dxa"/>
            <w:tcBorders/>
            <w:shd w:fill="FFFFFF" w:val="clear"/>
            <w:vAlign w:val="center"/>
          </w:tcPr>
          <w:p>
            <w:pPr>
              <w:pStyle w:val="TableContents"/>
              <w:bidi w:val="0"/>
              <w:spacing w:before="0" w:after="283"/>
              <w:jc w:val="left"/>
              <w:rPr/>
            </w:pPr>
            <w:r>
              <w:rPr/>
              <w:t>(Subtract) Add: Change as of the vesting date (from the end of the prior fiscal year) in fair value of awards granted in any prior fiscal year for which vesting conditions were satisfied during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(3,496,498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7" w:type="dxa"/>
            <w:tcBorders/>
            <w:shd w:fill="FFFFFF" w:val="clear"/>
            <w:vAlign w:val="center"/>
          </w:tcPr>
          <w:p>
            <w:pPr>
              <w:pStyle w:val="TableContents"/>
              <w:bidi w:val="0"/>
              <w:spacing w:before="0" w:after="283"/>
              <w:jc w:val="right"/>
              <w:rPr/>
            </w:pPr>
            <w:r>
              <w:rPr/>
              <w:t>(1,000,861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925,688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4" w:type="dxa"/>
            <w:tcBorders/>
            <w:shd w:fill="FFFFFF" w:val="clear"/>
            <w:vAlign w:val="center"/>
          </w:tcPr>
          <w:p>
            <w:pPr>
              <w:pStyle w:val="TableContents"/>
              <w:bidi w:val="0"/>
              <w:spacing w:before="0" w:after="283"/>
              <w:jc w:val="right"/>
              <w:rPr/>
            </w:pPr>
            <w:r>
              <w:rPr/>
              <w:t>393,619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2,153,339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7" w:type="dxa"/>
            <w:tcBorders/>
            <w:shd w:fill="FFFFFF" w:val="clear"/>
            <w:vAlign w:val="center"/>
          </w:tcPr>
          <w:p>
            <w:pPr>
              <w:pStyle w:val="TableContents"/>
              <w:bidi w:val="0"/>
              <w:spacing w:before="0" w:after="283"/>
              <w:jc w:val="right"/>
              <w:rPr/>
            </w:pPr>
            <w:r>
              <w:rPr/>
              <w:t>180,117</w:t>
            </w:r>
          </w:p>
        </w:tc>
        <w:tc>
          <w:tcPr>
            <w:tcW w:w="114" w:type="dxa"/>
            <w:tcBorders/>
            <w:shd w:fill="FFFFFF" w:val="clear"/>
            <w:vAlign w:val="center"/>
          </w:tcPr>
          <w:p>
            <w:pPr>
              <w:pStyle w:val="TableContents"/>
              <w:bidi w:val="0"/>
              <w:spacing w:before="0" w:after="283"/>
              <w:jc w:val="left"/>
              <w:rPr/>
            </w:pPr>
            <w:r>
              <w:rPr/>
              <w:t> </w:t>
            </w:r>
          </w:p>
        </w:tc>
      </w:tr>
      <w:tr>
        <w:trPr/>
        <w:tc>
          <w:tcPr>
            <w:tcW w:w="2178" w:type="dxa"/>
            <w:tcBorders/>
            <w:shd w:fill="CCEEFF" w:val="clear"/>
            <w:vAlign w:val="center"/>
          </w:tcPr>
          <w:p>
            <w:pPr>
              <w:pStyle w:val="TableContents"/>
              <w:bidi w:val="0"/>
              <w:spacing w:before="0" w:after="283"/>
              <w:jc w:val="left"/>
              <w:rPr/>
            </w:pPr>
            <w:r>
              <w:rPr/>
              <w:t>Add: Fair value at end of prior fiscal year of awards granted in any prior fiscal year that failed to meet the applicable vesting conditions during the covered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178" w:type="dxa"/>
            <w:tcBorders/>
            <w:shd w:fill="FFFFFF" w:val="clear"/>
            <w:vAlign w:val="center"/>
          </w:tcPr>
          <w:p>
            <w:pPr>
              <w:pStyle w:val="TableContents"/>
              <w:bidi w:val="0"/>
              <w:spacing w:before="0" w:after="283"/>
              <w:jc w:val="left"/>
              <w:rPr/>
            </w:pPr>
            <w:r>
              <w:rPr/>
              <w:t>Add: Dividends or other earnings paid on stock or option awards in the covered fiscal year prior to vesting if not otherwise included in the total compensation for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14" w:type="dxa"/>
            <w:tcBorders/>
            <w:shd w:fill="FFFFFF" w:val="clear"/>
            <w:vAlign w:val="center"/>
          </w:tcPr>
          <w:p>
            <w:pPr>
              <w:pStyle w:val="TableContents"/>
              <w:bidi w:val="0"/>
              <w:spacing w:before="0" w:after="283"/>
              <w:jc w:val="left"/>
              <w:rPr/>
            </w:pPr>
            <w:r>
              <w:rPr/>
              <w:t> </w:t>
            </w:r>
          </w:p>
        </w:tc>
      </w:tr>
      <w:tr>
        <w:trPr/>
        <w:tc>
          <w:tcPr>
            <w:tcW w:w="2178" w:type="dxa"/>
            <w:tcBorders/>
            <w:shd w:fill="CCEEFF" w:val="clear"/>
            <w:vAlign w:val="center"/>
          </w:tcPr>
          <w:p>
            <w:pPr>
              <w:pStyle w:val="TableContents"/>
              <w:bidi w:val="0"/>
              <w:spacing w:before="0" w:after="283"/>
              <w:jc w:val="left"/>
              <w:rPr/>
            </w:pPr>
            <w:r>
              <w:rPr/>
              <w:t>CAP Amounts (as calculated)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3,113,362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pPr>
            <w:r>
              <w:rPr/>
              <w:t>1,934,673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9,511,499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3,053,124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8,694,375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pPr>
            <w:r>
              <w:rPr/>
              <w:t>3,538,147</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 (“TSR”) represents the cumulative growth of a hypothetical $100 investment in the Company made as of December 31, 2020, reflected as of the end of each respective year.</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Peer group TSR represents the cumulative growth of a hypothetical $100 investment made as of December 31, 2020 in the Nasdaq Biotechnology Index, reflected as of the end of each respective year.</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net loss reflected in our consolidated financial statements for each covered fiscal year.</w:t>
            </w:r>
          </w:p>
        </w:tc>
      </w:tr>
    </w:tbl>
    <w:p>
      <w:pPr>
        <w:pStyle w:val="TextBody"/>
        <w:bidi w:val="0"/>
        <w:spacing w:before="0" w:after="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Between Compensation Actually Paid And Cumulative TSR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57925" cy="1828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257925" cy="18288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Relationship Of The Company’s TSR Relative To Its Peers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00800" cy="2705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00800" cy="2705100"/>
                    </a:xfrm>
                    <a:prstGeom prst="rect">
                      <a:avLst/>
                    </a:prstGeom>
                  </pic:spPr>
                </pic:pic>
              </a:graphicData>
            </a:graphic>
          </wp:inline>
        </w:drawing>
      </w: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compensation plans under which our equity securities are authorized for issuance as of December 31,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1"/>
        <w:gridCol w:w="60"/>
        <w:gridCol w:w="106"/>
        <w:gridCol w:w="1766"/>
        <w:gridCol w:w="60"/>
        <w:gridCol w:w="60"/>
        <w:gridCol w:w="211"/>
        <w:gridCol w:w="1714"/>
        <w:gridCol w:w="60"/>
        <w:gridCol w:w="60"/>
        <w:gridCol w:w="113"/>
        <w:gridCol w:w="1526"/>
        <w:gridCol w:w="78"/>
      </w:tblGrid>
      <w:tr>
        <w:trPr/>
        <w:tc>
          <w:tcPr>
            <w:tcW w:w="43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2" w:type="dxa"/>
            <w:gridSpan w:val="2"/>
            <w:tcBorders>
              <w:bottom w:val="single" w:sz="12" w:space="0" w:color="000000"/>
            </w:tcBorders>
            <w:tcMar>
              <w:bottom w:w="28" w:type="dxa"/>
            </w:tcMar>
            <w:vAlign w:val="center"/>
          </w:tcPr>
          <w:p>
            <w:pPr>
              <w:pStyle w:val="TableContents"/>
              <w:bidi w:val="0"/>
              <w:jc w:val="center"/>
              <w:rPr>
                <w:b/>
              </w:rPr>
            </w:pPr>
            <w:r>
              <w:rPr>
                <w:b/>
              </w:rPr>
              <w:t>Number of Shares to</w:t>
            </w:r>
          </w:p>
          <w:p>
            <w:pPr>
              <w:pStyle w:val="TableContents"/>
              <w:bidi w:val="0"/>
              <w:jc w:val="center"/>
              <w:rPr>
                <w:b/>
              </w:rPr>
            </w:pPr>
            <w:r>
              <w:rPr>
                <w:b/>
              </w:rPr>
              <w:t>be Issued Upon</w:t>
            </w:r>
          </w:p>
          <w:p>
            <w:pPr>
              <w:pStyle w:val="TableContents"/>
              <w:bidi w:val="0"/>
              <w:jc w:val="center"/>
              <w:rPr>
                <w:b/>
              </w:rPr>
            </w:pPr>
            <w:r>
              <w:rPr>
                <w:b/>
              </w:rPr>
              <w:t>Exercise of</w:t>
            </w:r>
          </w:p>
          <w:p>
            <w:pPr>
              <w:pStyle w:val="TableContents"/>
              <w:bidi w:val="0"/>
              <w:jc w:val="center"/>
              <w:rPr>
                <w:b/>
              </w:rPr>
            </w:pPr>
            <w:r>
              <w:rPr>
                <w:b/>
              </w:rPr>
              <w:t>Outstanding</w:t>
            </w:r>
          </w:p>
          <w:p>
            <w:pPr>
              <w:pStyle w:val="TableContents"/>
              <w:bidi w:val="0"/>
              <w:jc w:val="center"/>
              <w:rPr>
                <w:b/>
              </w:rPr>
            </w:pPr>
            <w:r>
              <w:rPr>
                <w:b/>
              </w:rPr>
              <w:t>Options, Warrants</w:t>
            </w:r>
          </w:p>
          <w:p>
            <w:pPr>
              <w:pStyle w:val="TableContents"/>
              <w:bidi w:val="0"/>
              <w:spacing w:before="0" w:after="283"/>
              <w:jc w:val="center"/>
              <w:rPr>
                <w:b/>
              </w:rPr>
            </w:pPr>
            <w:r>
              <w:rPr>
                <w:b/>
              </w:rPr>
              <w:t>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jc w:val="center"/>
              <w:rPr>
                <w:b/>
              </w:rPr>
            </w:pPr>
            <w:r>
              <w:rPr>
                <w:b/>
              </w:rPr>
              <w:t>Weighted-Average</w:t>
            </w:r>
          </w:p>
          <w:p>
            <w:pPr>
              <w:pStyle w:val="TableContents"/>
              <w:bidi w:val="0"/>
              <w:jc w:val="center"/>
              <w:rPr>
                <w:b/>
              </w:rPr>
            </w:pPr>
            <w:r>
              <w:rPr>
                <w:b/>
              </w:rPr>
              <w:t>Exercise Price of</w:t>
            </w:r>
          </w:p>
          <w:p>
            <w:pPr>
              <w:pStyle w:val="TableContents"/>
              <w:bidi w:val="0"/>
              <w:jc w:val="center"/>
              <w:rPr>
                <w:b/>
              </w:rPr>
            </w:pPr>
            <w:r>
              <w:rPr>
                <w:b/>
              </w:rPr>
              <w:t>Outstanding</w:t>
            </w:r>
          </w:p>
          <w:p>
            <w:pPr>
              <w:pStyle w:val="TableContents"/>
              <w:bidi w:val="0"/>
              <w:jc w:val="center"/>
              <w:rPr>
                <w:b/>
              </w:rPr>
            </w:pPr>
            <w:r>
              <w:rPr>
                <w:b/>
              </w:rPr>
              <w:t>Options, Warrants</w:t>
            </w:r>
          </w:p>
          <w:p>
            <w:pPr>
              <w:pStyle w:val="TableContents"/>
              <w:bidi w:val="0"/>
              <w:spacing w:before="0" w:after="283"/>
              <w:jc w:val="center"/>
              <w:rPr>
                <w:b/>
              </w:rPr>
            </w:pPr>
            <w:r>
              <w:rPr>
                <w:b/>
              </w:rPr>
              <w:t>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Number of Shares</w:t>
            </w:r>
          </w:p>
          <w:p>
            <w:pPr>
              <w:pStyle w:val="TableContents"/>
              <w:bidi w:val="0"/>
              <w:spacing w:before="0" w:after="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Remaining Available</w:t>
            </w:r>
          </w:p>
          <w:p>
            <w:pPr>
              <w:pStyle w:val="TableContents"/>
              <w:bidi w:val="0"/>
              <w:spacing w:before="0" w:after="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for Future Issuance</w:t>
            </w:r>
          </w:p>
          <w:p>
            <w:pPr>
              <w:pStyle w:val="TableContents"/>
              <w:bidi w:val="0"/>
              <w:spacing w:before="0" w:after="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Under Equity</w:t>
            </w:r>
          </w:p>
          <w:p>
            <w:pPr>
              <w:pStyle w:val="TableContents"/>
              <w:bidi w:val="0"/>
              <w:spacing w:before="0" w:after="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Compensation</w:t>
            </w:r>
          </w:p>
          <w:p>
            <w:pPr>
              <w:pStyle w:val="TableContents"/>
              <w:bidi w:val="0"/>
              <w:spacing w:before="0" w:after="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Plans (1)</w:t>
            </w:r>
          </w:p>
        </w:tc>
        <w:tc>
          <w:tcPr>
            <w:tcW w:w="78" w:type="dxa"/>
            <w:tcBorders/>
            <w:vAlign w:val="center"/>
          </w:tcPr>
          <w:p>
            <w:pPr>
              <w:pStyle w:val="TableContents"/>
              <w:bidi w:val="0"/>
              <w:spacing w:before="0" w:after="283"/>
              <w:jc w:val="left"/>
              <w:rPr/>
            </w:pPr>
            <w:r>
              <w:rPr/>
              <w:t> </w:t>
            </w:r>
          </w:p>
        </w:tc>
      </w:tr>
      <w:tr>
        <w:trPr/>
        <w:tc>
          <w:tcPr>
            <w:tcW w:w="4391" w:type="dxa"/>
            <w:tcBorders/>
            <w:shd w:fill="CCEEFF" w:val="clear"/>
            <w:vAlign w:val="center"/>
          </w:tcPr>
          <w:p>
            <w:pPr>
              <w:pStyle w:val="TableContents"/>
              <w:bidi w:val="0"/>
              <w:spacing w:before="0" w:after="283"/>
              <w:jc w:val="left"/>
              <w:rPr/>
            </w:pPr>
            <w:r>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pPr>
            <w:r>
              <w:rPr/>
              <w:t>4,857,798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7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405,612</w:t>
            </w:r>
          </w:p>
        </w:tc>
        <w:tc>
          <w:tcPr>
            <w:tcW w:w="78" w:type="dxa"/>
            <w:tcBorders/>
            <w:shd w:fill="CCEEFF" w:val="clear"/>
            <w:vAlign w:val="center"/>
          </w:tcPr>
          <w:p>
            <w:pPr>
              <w:pStyle w:val="TableContents"/>
              <w:bidi w:val="0"/>
              <w:spacing w:before="0" w:after="283"/>
              <w:jc w:val="left"/>
              <w:rPr/>
            </w:pPr>
            <w:r>
              <w:rPr/>
              <w:t> </w:t>
            </w:r>
          </w:p>
        </w:tc>
      </w:tr>
      <w:tr>
        <w:trPr/>
        <w:tc>
          <w:tcPr>
            <w:tcW w:w="4391" w:type="dxa"/>
            <w:tcBorders/>
            <w:shd w:fill="FFFFFF" w:val="clear"/>
            <w:vAlign w:val="center"/>
          </w:tcPr>
          <w:p>
            <w:pPr>
              <w:pStyle w:val="TableContents"/>
              <w:bidi w:val="0"/>
              <w:spacing w:before="0" w:after="283"/>
              <w:jc w:val="left"/>
              <w:rPr/>
            </w:pPr>
            <w:r>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4391"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66" w:type="dxa"/>
            <w:tcBorders>
              <w:bottom w:val="double" w:sz="6" w:space="0" w:color="000000"/>
            </w:tcBorders>
            <w:shd w:fill="CCEEFF" w:val="clear"/>
            <w:tcMar>
              <w:bottom w:w="28" w:type="dxa"/>
            </w:tcMar>
            <w:vAlign w:val="center"/>
          </w:tcPr>
          <w:p>
            <w:pPr>
              <w:pStyle w:val="TableContents"/>
              <w:bidi w:val="0"/>
              <w:spacing w:before="0" w:after="283"/>
              <w:jc w:val="right"/>
              <w:rPr/>
            </w:pPr>
            <w:r>
              <w:rPr/>
              <w:t>4,857,798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7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double" w:sz="6" w:space="0" w:color="000000"/>
            </w:tcBorders>
            <w:shd w:fill="CCEEFF" w:val="clear"/>
            <w:tcMar>
              <w:bottom w:w="28" w:type="dxa"/>
            </w:tcMar>
            <w:vAlign w:val="center"/>
          </w:tcPr>
          <w:p>
            <w:pPr>
              <w:pStyle w:val="TableContents"/>
              <w:bidi w:val="0"/>
              <w:spacing w:before="0" w:after="283"/>
              <w:jc w:val="right"/>
              <w:rPr/>
            </w:pPr>
            <w:r>
              <w:rPr/>
              <w:t>405,612</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shares reserved under the 2017 Plan. See Note 15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canceled/forfeited. On June 13, 2017, the Company’s Board of Directors and stockholders adopted the 2017 Plan, which was subsequently amended on June 3, 2021. </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outstanding RSUs and PSUs, which have no associated exercise price.</w:t>
            </w:r>
          </w:p>
        </w:tc>
      </w:tr>
    </w:tbl>
    <w:p>
      <w:pPr>
        <w:pStyle w:val="TextBody"/>
        <w:bidi w:val="0"/>
        <w:spacing w:before="0" w:after="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m_003"/>
      <w:bookmarkEnd w:id="9"/>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RELATED STOCKHOLDER MATTERS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16, 2024. Unless otherwise indicated in the footnotes to the following table, each person named in the table has sole voting and investment power with respect to shares of common stock, and the address for such person is c/o Harrow, Inc., 102 Woodmont Blvd., Suite 610, Nashville, TN 37205.</w:t>
      </w:r>
    </w:p>
    <w:p>
      <w:pPr>
        <w:pStyle w:val="TextBody"/>
        <w:bidi w:val="0"/>
        <w:spacing w:before="0" w:after="0"/>
        <w:ind w:left="0" w:right="0" w:firstLine="720"/>
        <w:jc w:val="left"/>
        <w:rPr>
          <w:caps w:val="false"/>
          <w:smallCaps w:val="false"/>
        </w:rPr>
      </w:pPr>
      <w:r>
        <w:rPr>
          <w:caps w:val="false"/>
          <w:smallCaps w:val="false"/>
        </w:rPr>
        <w:t> </w:t>
      </w:r>
    </w:p>
    <w:tbl>
      <w:tblPr>
        <w:tblW w:w="9768" w:type="dxa"/>
        <w:jc w:val="center"/>
        <w:tblInd w:w="0" w:type="dxa"/>
        <w:tblLayout w:type="fixed"/>
        <w:tblCellMar>
          <w:top w:w="0" w:type="dxa"/>
          <w:left w:w="0" w:type="dxa"/>
          <w:bottom w:w="28" w:type="dxa"/>
          <w:right w:w="0" w:type="dxa"/>
        </w:tblCellMar>
      </w:tblPr>
      <w:tblGrid>
        <w:gridCol w:w="5120"/>
        <w:gridCol w:w="60"/>
        <w:gridCol w:w="156"/>
        <w:gridCol w:w="2563"/>
        <w:gridCol w:w="60"/>
        <w:gridCol w:w="60"/>
        <w:gridCol w:w="141"/>
        <w:gridCol w:w="1333"/>
        <w:gridCol w:w="275"/>
      </w:tblGrid>
      <w:tr>
        <w:trPr/>
        <w:tc>
          <w:tcPr>
            <w:tcW w:w="5120" w:type="dxa"/>
            <w:tcBorders>
              <w:bottom w:val="single" w:sz="12" w:space="0" w:color="000000"/>
            </w:tcBorders>
            <w:vAlign w:val="center"/>
          </w:tcPr>
          <w:p>
            <w:pPr>
              <w:pStyle w:val="TableContents"/>
              <w:bidi w:val="0"/>
              <w:spacing w:before="0" w:after="283"/>
              <w:jc w:val="left"/>
              <w:rPr>
                <w:b/>
              </w:rPr>
            </w:pPr>
            <w:r>
              <w:rPr>
                <w:b/>
              </w:rPr>
              <w:t>Beneficial Owner</w:t>
            </w:r>
          </w:p>
        </w:tc>
        <w:tc>
          <w:tcPr>
            <w:tcW w:w="60" w:type="dxa"/>
            <w:tcBorders/>
            <w:tcMar>
              <w:bottom w:w="0" w:type="dxa"/>
            </w:tcMar>
            <w:vAlign w:val="center"/>
          </w:tcPr>
          <w:p>
            <w:pPr>
              <w:pStyle w:val="TableContents"/>
              <w:bidi w:val="0"/>
              <w:spacing w:before="0" w:after="283"/>
              <w:jc w:val="left"/>
              <w:rPr/>
            </w:pPr>
            <w:r>
              <w:rPr/>
              <w:t> </w:t>
            </w:r>
          </w:p>
        </w:tc>
        <w:tc>
          <w:tcPr>
            <w:tcW w:w="271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Nature of Beneficial Ownership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Percentage (1)</w:t>
            </w:r>
          </w:p>
        </w:tc>
        <w:tc>
          <w:tcPr>
            <w:tcW w:w="275"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i/>
                <w:u w:val="single"/>
              </w:rPr>
            </w:pPr>
            <w:r>
              <w:rPr>
                <w:i/>
                <w:u w:val="single"/>
              </w:rPr>
              <w:t>5% +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left"/>
              <w:rPr/>
            </w:pPr>
            <w:r>
              <w:rPr/>
              <w:t>Opaleye Fund and related entity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563" w:type="dxa"/>
            <w:tcBorders/>
            <w:shd w:fill="FFFFFF" w:val="clear"/>
            <w:tcMar>
              <w:bottom w:w="0" w:type="dxa"/>
            </w:tcMar>
            <w:vAlign w:val="center"/>
          </w:tcPr>
          <w:p>
            <w:pPr>
              <w:pStyle w:val="TableContents"/>
              <w:bidi w:val="0"/>
              <w:spacing w:before="0" w:after="283"/>
              <w:jc w:val="right"/>
              <w:rPr/>
            </w:pPr>
            <w:r>
              <w:rPr/>
              <w:t>3,820,000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10.80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120" w:type="dxa"/>
            <w:tcBorders/>
            <w:shd w:fill="CCEEFF" w:val="clear"/>
            <w:tcMar>
              <w:bottom w:w="0" w:type="dxa"/>
            </w:tcMar>
            <w:vAlign w:val="center"/>
          </w:tcPr>
          <w:p>
            <w:pPr>
              <w:pStyle w:val="TableContents"/>
              <w:bidi w:val="0"/>
              <w:spacing w:before="0" w:after="283"/>
              <w:jc w:val="left"/>
              <w:rPr/>
            </w:pPr>
            <w:r>
              <w:rPr/>
              <w:t>Private Capital Management LLC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pPr>
            <w:r>
              <w:rPr/>
              <w:t>3,630,496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10.26</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120" w:type="dxa"/>
            <w:tcBorders/>
            <w:shd w:fill="FFFFFF" w:val="clear"/>
            <w:tcMar>
              <w:bottom w:w="0" w:type="dxa"/>
            </w:tcMar>
            <w:vAlign w:val="center"/>
          </w:tcPr>
          <w:p>
            <w:pPr>
              <w:pStyle w:val="TableContents"/>
              <w:bidi w:val="0"/>
              <w:spacing w:before="0" w:after="283"/>
              <w:jc w:val="left"/>
              <w:rPr/>
            </w:pPr>
            <w:r>
              <w:rPr/>
              <w:t>Daniel Kaufman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563" w:type="dxa"/>
            <w:tcBorders/>
            <w:shd w:fill="FFFFFF" w:val="clear"/>
            <w:tcMar>
              <w:bottom w:w="0" w:type="dxa"/>
            </w:tcMar>
            <w:vAlign w:val="center"/>
          </w:tcPr>
          <w:p>
            <w:pPr>
              <w:pStyle w:val="TableContents"/>
              <w:bidi w:val="0"/>
              <w:spacing w:before="0" w:after="283"/>
              <w:jc w:val="right"/>
              <w:rPr/>
            </w:pPr>
            <w:r>
              <w:rPr/>
              <w:t>1,907,332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5.39</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120" w:type="dxa"/>
            <w:tcBorders/>
            <w:shd w:fill="CCEEFF" w:val="clear"/>
            <w:tcMar>
              <w:bottom w:w="0" w:type="dxa"/>
            </w:tcMar>
            <w:vAlign w:val="center"/>
          </w:tcPr>
          <w:p>
            <w:pPr>
              <w:pStyle w:val="TableContents"/>
              <w:bidi w:val="0"/>
              <w:spacing w:before="0" w:after="283"/>
              <w:jc w:val="left"/>
              <w:rPr/>
            </w:pPr>
            <w:r>
              <w:rPr/>
              <w:t>The Vanguard Group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pPr>
            <w:r>
              <w:rPr/>
              <w:t>1,808,552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5.11</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120" w:type="dxa"/>
            <w:tcBorders/>
            <w:shd w:fill="FFFFFF" w:val="clear"/>
            <w:tcMar>
              <w:bottom w:w="0" w:type="dxa"/>
            </w:tcMar>
            <w:vAlign w:val="center"/>
          </w:tcPr>
          <w:p>
            <w:pPr>
              <w:pStyle w:val="TableContents"/>
              <w:bidi w:val="0"/>
              <w:spacing w:before="0" w:after="283"/>
              <w:jc w:val="left"/>
              <w:rPr/>
            </w:pPr>
            <w:r>
              <w:rPr/>
              <w:t>BlackRock, Inc. (6)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563" w:type="dxa"/>
            <w:tcBorders/>
            <w:shd w:fill="FFFFFF" w:val="clear"/>
            <w:tcMar>
              <w:bottom w:w="0" w:type="dxa"/>
            </w:tcMar>
            <w:vAlign w:val="center"/>
          </w:tcPr>
          <w:p>
            <w:pPr>
              <w:pStyle w:val="TableContents"/>
              <w:bidi w:val="0"/>
              <w:spacing w:before="0" w:after="283"/>
              <w:jc w:val="right"/>
              <w:rPr/>
            </w:pPr>
            <w:r>
              <w:rPr/>
              <w:t>2,220,538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6.28</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1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left"/>
              <w:rPr>
                <w:i/>
                <w:u w:val="single"/>
              </w:rPr>
            </w:pPr>
            <w:r>
              <w:rPr>
                <w:i/>
                <w:u w:val="single"/>
              </w:rPr>
              <w:t>Directors and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56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pPr>
            <w:r>
              <w:rPr/>
              <w:t>Mark L. Baum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pPr>
            <w:r>
              <w:rPr/>
              <w:t>3,595,025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9.76</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120" w:type="dxa"/>
            <w:tcBorders/>
            <w:shd w:fill="FFFFFF" w:val="clear"/>
            <w:tcMar>
              <w:bottom w:w="0" w:type="dxa"/>
            </w:tcMar>
            <w:vAlign w:val="center"/>
          </w:tcPr>
          <w:p>
            <w:pPr>
              <w:pStyle w:val="TableContents"/>
              <w:bidi w:val="0"/>
              <w:spacing w:before="0" w:after="283"/>
              <w:jc w:val="left"/>
              <w:rPr/>
            </w:pPr>
            <w:r>
              <w:rPr/>
              <w:t>Andrew R. Boll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563" w:type="dxa"/>
            <w:tcBorders/>
            <w:shd w:fill="FFFFFF" w:val="clear"/>
            <w:tcMar>
              <w:bottom w:w="0" w:type="dxa"/>
            </w:tcMar>
            <w:vAlign w:val="center"/>
          </w:tcPr>
          <w:p>
            <w:pPr>
              <w:pStyle w:val="TableContents"/>
              <w:bidi w:val="0"/>
              <w:spacing w:before="0" w:after="283"/>
              <w:jc w:val="right"/>
              <w:rPr/>
            </w:pPr>
            <w:r>
              <w:rPr/>
              <w:t>832,689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2.34</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120" w:type="dxa"/>
            <w:tcBorders/>
            <w:shd w:fill="CCEEFF" w:val="clear"/>
            <w:tcMar>
              <w:bottom w:w="0" w:type="dxa"/>
            </w:tcMar>
            <w:vAlign w:val="center"/>
          </w:tcPr>
          <w:p>
            <w:pPr>
              <w:pStyle w:val="TableContents"/>
              <w:bidi w:val="0"/>
              <w:spacing w:before="0" w:after="283"/>
              <w:jc w:val="left"/>
              <w:rPr/>
            </w:pPr>
            <w:r>
              <w:rPr/>
              <w:t>John P. Saharek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pPr>
            <w:r>
              <w:rPr/>
              <w:t>583,235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1.63</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120" w:type="dxa"/>
            <w:tcBorders/>
            <w:shd w:fill="FFFFFF" w:val="clear"/>
            <w:tcMar>
              <w:bottom w:w="0" w:type="dxa"/>
            </w:tcMar>
            <w:vAlign w:val="center"/>
          </w:tcPr>
          <w:p>
            <w:pPr>
              <w:pStyle w:val="TableContents"/>
              <w:bidi w:val="0"/>
              <w:spacing w:before="0" w:after="283"/>
              <w:jc w:val="left"/>
              <w:rPr/>
            </w:pPr>
            <w:r>
              <w:rPr/>
              <w:t>Lauren P. Silvernail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5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pPr>
            <w:r>
              <w:rPr/>
              <w:t>Adrienne L. Graves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left"/>
              <w:rPr/>
            </w:pPr>
            <w:r>
              <w:rPr/>
              <w:t>Martin A. Makary (10)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563" w:type="dxa"/>
            <w:tcBorders/>
            <w:shd w:fill="FFFFFF" w:val="clear"/>
            <w:tcMar>
              <w:bottom w:w="0" w:type="dxa"/>
            </w:tcMar>
            <w:vAlign w:val="center"/>
          </w:tcPr>
          <w:p>
            <w:pPr>
              <w:pStyle w:val="TableContents"/>
              <w:bidi w:val="0"/>
              <w:spacing w:before="0" w:after="283"/>
              <w:jc w:val="right"/>
              <w:rPr/>
            </w:pPr>
            <w:r>
              <w:rPr/>
              <w:t>43,931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pPr>
            <w:r>
              <w:rPr/>
              <w:t>Teresa F. Sparks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pPr>
            <w:r>
              <w:rPr/>
              <w:t>55,581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left"/>
              <w:rPr/>
            </w:pPr>
            <w:r>
              <w:rPr/>
              <w:t>Perry J. Sternberg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FFFFFF" w:val="clear"/>
            <w:vAlign w:val="center"/>
          </w:tcPr>
          <w:p>
            <w:pPr>
              <w:pStyle w:val="TableContents"/>
              <w:bidi w:val="0"/>
              <w:spacing w:before="0" w:after="283"/>
              <w:jc w:val="left"/>
              <w:rPr/>
            </w:pPr>
            <w:r>
              <w:rPr/>
              <w:t> </w:t>
            </w:r>
          </w:p>
        </w:tc>
        <w:tc>
          <w:tcPr>
            <w:tcW w:w="2563" w:type="dxa"/>
            <w:tcBorders>
              <w:bottom w:val="single" w:sz="12" w:space="0" w:color="000000"/>
            </w:tcBorders>
            <w:shd w:fill="FFFFFF" w:val="clear"/>
            <w:vAlign w:val="center"/>
          </w:tcPr>
          <w:p>
            <w:pPr>
              <w:pStyle w:val="TableContents"/>
              <w:bidi w:val="0"/>
              <w:spacing w:before="0" w:after="283"/>
              <w:jc w:val="right"/>
              <w:rPr/>
            </w:pPr>
            <w:r>
              <w:rPr/>
              <w:t>18,931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333"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b/>
              </w:rPr>
            </w:pPr>
            <w:r>
              <w:rPr>
                <w:b/>
              </w:rPr>
              <w:t>All executives and directors as a group (8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563" w:type="dxa"/>
            <w:tcBorders/>
            <w:shd w:fill="CCEEFF" w:val="clear"/>
            <w:tcMar>
              <w:bottom w:w="0" w:type="dxa"/>
            </w:tcMar>
            <w:vAlign w:val="center"/>
          </w:tcPr>
          <w:p>
            <w:pPr>
              <w:pStyle w:val="TableContents"/>
              <w:bidi w:val="0"/>
              <w:spacing w:before="0" w:after="283"/>
              <w:jc w:val="right"/>
              <w:rPr>
                <w:b/>
              </w:rPr>
            </w:pPr>
            <w:r>
              <w:rPr>
                <w:b/>
              </w:rPr>
              <w:t>5,129,392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b/>
              </w:rPr>
            </w:pPr>
            <w:r>
              <w:rPr>
                <w:b/>
              </w:rPr>
              <w:t>13.67</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than 1%. </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percentages are based on 35,381,611 shares of our common stock outstanding as of April 16, 2024. Shares of common stock subject to options or warrants that are currently exercisable or exercisable within 60 days after April 16, 2024, are deemed outstanding for the purpose of computing the percentage ownership of the person holding such options or warrants, but are not deemed outstanding for the purpose of computing the percentage ownership of any other person.</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information is based on a Schedule 13G/A filed on February 9, 2024, by Opaleye L.P., Opaleye Management, Inc. and James Silverman (collectively, “Opaleye”). Opaleye </w:t>
            </w:r>
            <w:r>
              <w:rPr>
                <w:rFonts w:ascii="Times New Roman;Times;Serif" w:hAnsi="Times New Roman;Times;Serif"/>
                <w:b w:val="false"/>
                <w:i w:val="false"/>
                <w:caps w:val="false"/>
                <w:smallCaps w:val="false"/>
                <w:sz w:val="20"/>
                <w:shd w:fill="FFFFFF" w:val="clear"/>
              </w:rPr>
              <w:t>reported that it possessed shared voting power and shared dispositive power with respect to all of the shares.</w:t>
            </w:r>
            <w:r>
              <w:rPr>
                <w:rFonts w:ascii="Times New Roman;Times;Serif" w:hAnsi="Times New Roman;Times;Serif"/>
                <w:b w:val="false"/>
                <w:i w:val="false"/>
                <w:caps w:val="false"/>
                <w:smallCaps w:val="false"/>
                <w:sz w:val="20"/>
              </w:rPr>
              <w:t xml:space="preserve"> The address for Opaleye is One Boston Place,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Boston MA 02108.</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information is based on a Schedule 13G filed on January 9, 2024, by Private Capital Management, LLC. and Chad D. Atkins (collectively, “Private Capital”). Private Capital </w:t>
            </w:r>
            <w:r>
              <w:rPr>
                <w:rFonts w:ascii="Times New Roman;Times;Serif" w:hAnsi="Times New Roman;Times;Serif"/>
                <w:b w:val="false"/>
                <w:i w:val="false"/>
                <w:caps w:val="false"/>
                <w:smallCaps w:val="false"/>
                <w:sz w:val="20"/>
                <w:shd w:fill="FFFFFF" w:val="clear"/>
              </w:rPr>
              <w:t>reported that it possessed sole voting power of and sole dispositive power of 2,083,781 and shared voting power and shared dispositive power of 1,546,715.</w:t>
            </w:r>
            <w:r>
              <w:rPr>
                <w:rFonts w:ascii="Times New Roman;Times;Serif" w:hAnsi="Times New Roman;Times;Serif"/>
                <w:b w:val="false"/>
                <w:i w:val="false"/>
                <w:caps w:val="false"/>
                <w:smallCaps w:val="false"/>
                <w:sz w:val="20"/>
              </w:rPr>
              <w:t xml:space="preserve"> The address for Private Capital is 8889 Pelican Bay Boulevard, Suite 500, Naples, Florida 34108.</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information is based on a Schedule 13G/A filed on February 13, 2024, by Daniel Kaufman. Daniel Kaufman </w:t>
            </w:r>
            <w:r>
              <w:rPr>
                <w:rFonts w:ascii="Times New Roman;Times;Serif" w:hAnsi="Times New Roman;Times;Serif"/>
                <w:b w:val="false"/>
                <w:i w:val="false"/>
                <w:caps w:val="false"/>
                <w:smallCaps w:val="false"/>
                <w:sz w:val="20"/>
                <w:shd w:fill="FFFFFF" w:val="clear"/>
              </w:rPr>
              <w:t>reported that he possessed sole voting power and sole dispositive power with respect to all of the shares.</w:t>
            </w:r>
            <w:r>
              <w:rPr>
                <w:rFonts w:ascii="Times New Roman;Times;Serif" w:hAnsi="Times New Roman;Times;Serif"/>
                <w:b w:val="false"/>
                <w:i w:val="false"/>
                <w:caps w:val="false"/>
                <w:smallCaps w:val="false"/>
                <w:sz w:val="20"/>
              </w:rPr>
              <w:t xml:space="preserve"> The address for Daniel Kaufman is PO Box 495, Palmer Puerto Rico 00721.</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information is based on a Schedule 13G filed on February 13, 2024, by The Vanguard Group. The Vanguard Group </w:t>
            </w:r>
            <w:r>
              <w:rPr>
                <w:rFonts w:ascii="Times New Roman;Times;Serif" w:hAnsi="Times New Roman;Times;Serif"/>
                <w:b w:val="false"/>
                <w:i w:val="false"/>
                <w:caps w:val="false"/>
                <w:smallCaps w:val="false"/>
                <w:sz w:val="20"/>
                <w:shd w:fill="FFFFFF" w:val="clear"/>
              </w:rPr>
              <w:t>reported that it possessed sole voting power of 0 and sole dispositive power of 1,728,920 and shared voting power of 54,775, shared dispositive power of 79,632 and an aggregate amount beneficially owned by each person of 1,808,552 shares.</w:t>
            </w:r>
            <w:r>
              <w:rPr>
                <w:rFonts w:ascii="Times New Roman;Times;Serif" w:hAnsi="Times New Roman;Times;Serif"/>
                <w:b w:val="false"/>
                <w:i w:val="false"/>
                <w:caps w:val="false"/>
                <w:smallCaps w:val="false"/>
                <w:sz w:val="20"/>
              </w:rPr>
              <w:t xml:space="preserve"> The address for the Vanguard Group is 100 Vanguard Blvd. Malvern, Pennsylvania 19355.</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information is based on a Schedule 13G filed on January 29, 2024, by BlackRock, Inc. BlackRock, Inc. </w:t>
            </w:r>
            <w:r>
              <w:rPr>
                <w:rFonts w:ascii="Times New Roman;Times;Serif" w:hAnsi="Times New Roman;Times;Serif"/>
                <w:b w:val="false"/>
                <w:i w:val="false"/>
                <w:caps w:val="false"/>
                <w:smallCaps w:val="false"/>
                <w:sz w:val="20"/>
                <w:shd w:fill="FFFFFF" w:val="clear"/>
              </w:rPr>
              <w:t>reported that it possessed sole voting power of and sole dispositive power of 2,182,882 and shared voting power and shared dispositive power of 2,220,538.</w:t>
            </w:r>
            <w:r>
              <w:rPr>
                <w:rFonts w:ascii="Times New Roman;Times;Serif" w:hAnsi="Times New Roman;Times;Serif"/>
                <w:b w:val="false"/>
                <w:i w:val="false"/>
                <w:caps w:val="false"/>
                <w:smallCaps w:val="false"/>
                <w:sz w:val="20"/>
              </w:rPr>
              <w:t xml:space="preserve"> The address for BlackRock, Inc. is 50 Hudson Yards New York, New York 10001.</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1,457,500 shares of common stock issuable upon the exercise of stock options exercisable within 60 days after April 16, 2024.</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264,600 shares of common stock issuable upon the exercise of stock options exercisable within 60 days after April 16, 2024.</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333,432 shares of common stock issuable upon the exercise of stock options exercisable within 60 days after April 16, 2024.</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18,931 shares of common stock issuable upon Mr. Makary’s discontinuation of service as a director within 60 days after April 16, 2024.</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55,581 shares of common stock issuable upon Ms. Sparks’ discontinuation of service as a director within 60 days after April 16, 2024.</w:t>
            </w:r>
          </w:p>
        </w:tc>
      </w:tr>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18,931 shares of common stock issuable upon Mr. Sternberg’s discontinuation of service as a director within 60 days after April 16, 2024.</w:t>
            </w:r>
          </w:p>
        </w:tc>
      </w:tr>
    </w:tbl>
    <w:p>
      <w:pPr>
        <w:pStyle w:val="TextBody"/>
        <w:bidi w:val="0"/>
        <w:spacing w:before="0" w:after="0"/>
        <w:jc w:val="center"/>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29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m_004"/>
      <w:bookmarkEnd w:id="10"/>
      <w:r>
        <w:rPr>
          <w:rFonts w:ascii="Times New Roman;Times;Serif" w:hAnsi="Times New Roman;Times;Serif"/>
          <w:b/>
          <w:i w:val="false"/>
          <w:caps w:val="false"/>
          <w:smallCaps w:val="false"/>
          <w:sz w:val="20"/>
        </w:rPr>
        <w:t xml:space="preserve">REPORT OF THE AUDIT COMMITTEE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for review on the Investors section of the Company’s website, </w:t>
      </w:r>
      <w:r>
        <w:rPr>
          <w:rFonts w:ascii="Times New Roman;Times;Serif" w:hAnsi="Times New Roman;Times;Serif"/>
          <w:b w:val="false"/>
          <w:i w:val="false"/>
          <w:caps w:val="false"/>
          <w:smallCaps w:val="false"/>
          <w:sz w:val="20"/>
          <w:u w:val="single"/>
        </w:rPr>
        <w:t>www.harrow.com</w:t>
      </w:r>
      <w:r>
        <w:rPr>
          <w:rFonts w:ascii="Times New Roman;Times;Serif" w:hAnsi="Times New Roman;Times;Serif"/>
          <w:b w:val="false"/>
          <w:i w:val="false"/>
          <w:caps w:val="false"/>
          <w:smallCaps w:val="false"/>
          <w:sz w:val="20"/>
        </w:rPr>
        <w:t>, under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and the SEC. The Audit Committee has received the written disclosures and the letter from the independent registered public accounting firm required by the Public Company Accounting Oversight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the reviews and discussions referred to above, the Audit Committee recommended to the Board of Directors that the Company’s audited financial statements for the fiscal year ended December 31, 2023, should be included in the Annual Report.</w:t>
      </w:r>
    </w:p>
    <w:p>
      <w:pPr>
        <w:pStyle w:val="TextBody"/>
        <w:bidi w:val="0"/>
        <w:spacing w:before="0" w:after="0"/>
        <w:ind w:left="6365" w:right="0" w:hanging="0"/>
        <w:jc w:val="both"/>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75"/>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Submitted by the Audit Committee of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Teresa F. Sparks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A. Makary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J. Sternberg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P. Silvernail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Adrienne L. Graves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the Audit Committee shall not be deemed incorporated by reference by any general statement incorporating by reference this Proxy Statement into any filing under the Securities Act or the Exchange Act, except to the extent that we specifically incorporate this information by reference, and shall not otherwise be deemed filed under such acts.</w:t>
      </w:r>
    </w:p>
    <w:p>
      <w:pPr>
        <w:pStyle w:val="TextBody"/>
        <w:bidi w:val="0"/>
        <w:spacing w:before="0" w:after="0"/>
        <w:ind w:left="0" w:right="0" w:firstLine="46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m_005"/>
      <w:bookmarkEnd w:id="11"/>
      <w:r>
        <w:rPr>
          <w:rFonts w:ascii="Times New Roman;Times;Serif" w:hAnsi="Times New Roman;Times;Serif"/>
          <w:b/>
          <w:i w:val="false"/>
          <w:caps w:val="false"/>
          <w:smallCaps w:val="false"/>
          <w:sz w:val="20"/>
        </w:rPr>
        <w:t xml:space="preserve">HOUSEHOLDING OF PROXY MATERIALS </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annual report or Notice of Internet Availability of Proxy Materials addressed to those stockholders. This process, which is commonly referred to as “householding,” can provide added convenience for stockholders and cost savings for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brokers with account holders who are the Company’s stockholders will be “householding” our proxy materials. A single copy of the Notice of Internet Availability of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annual report or Notice of Internet Availability of Proxy Materials from us, please notify your broker, direct your written request to Harrow, Inc., c/o Corporate Secretary, 102 Woodmont Blvd., Suite 610, Nashville, TN 37205 or call Investor Relations at (615) 733-4731, and we will promptly thereafter deliver separate copies to you. Stockholders who currently receive multiple copies of our proxy materials at their address and would like to request “householding” of these materials should contact their brokers.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m_006"/>
      <w:bookmarkEnd w:id="12"/>
      <w:r>
        <w:rPr>
          <w:rFonts w:ascii="Times New Roman;Times;Serif" w:hAnsi="Times New Roman;Times;Serif"/>
          <w:b/>
          <w:i w:val="false"/>
          <w:caps w:val="false"/>
          <w:smallCaps w:val="false"/>
          <w:sz w:val="20"/>
        </w:rPr>
        <w:t xml:space="preserve">STOCKHOLDER PROPOSALS </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2025 Annual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14a-8 under the Exchange Act, stockholders may present proper proposals for inclusion in our proxy statement and for consideration at our next annual meeting of stockholders. To be eligible for inclusion in our proxy statement for our 2025 Annual Meeting, a stockholder’s proposal must be received by our Corporate Secretary at our principal executive offices no later than December 30, 2024, unless the date of our 2025 Annual Meeting is more than 30 days before or after the one-year anniversary date of the Annual Meeting, in which case such proposals must be received by the Company a reasonable time before the Company begins to print and send applicable proxy materials to stockholders.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Requirements for the 2025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advance notice of business to be brought before a stockholders’ meeting, including nominations of persons for election as directors. To be timely, in the case of a stockholder seeking to have a proposal included in the Company’s proxy statement, notice of business must be received by our Corporate Secretary at our principal executive offices not less than 120 days nor more than 180 days prior to the anniversary date of the mailing of the proxy materials for the preceding year’s annual meeting, or between October 28, 2024, and December 27, 2024, for our 2025 Annual Meeting, except if we did not hold an annual meeting the previous year, or if the date of the applicable annual meeting of stockholders has been changed by more than 30 days from the date of the previous year’s annual meeting, then the deadline is a reasonable time before we begin to print and mail our proxy materials to stockholders, and not later than the close of business on the later of (i) the 90th day prior to the scheduled annual meeting or (ii) the 15th day following the day on which public announcement of the date of the annual meeting was first made. If a stockholder is not seeking inclusion of the proposal in the Company’s proxy statement, timely notice of business to be brought before our 2025 Annual Meeting must be received by our Corporate Secretary at our principal executive offices not less than 90 days prior to the date of the annual meeting. Any notice of a stockholder proposal must contain specified information concerning the matters to be brought before such meeting and concerning the stockholder proposing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In addition to satisfying the foregoing advance notice requirements under our Bylaws, to comply with the universal proxy rules for the 2025 Annual Meeting, stockholders who intend to solicit proxies in support of director nominees other than the Company’s nominees must provide notice that sets forth the information required by Rule 14a-19 under the Exchange Act no later than April 14, 2025, except if we did not hold an annual meeting the previous year, or if the date of the applicable annual meeting of stockholders has been changed by more than 30 days from the date of the previous year’s annual meeting, then the notice must be provided by the later of 60 days prior to the date of the annual meeting or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day on which public announcement of the date of the annual meeting was first made.</w:t>
      </w:r>
    </w:p>
    <w:p>
      <w:pPr>
        <w:pStyle w:val="TextBody"/>
        <w:bidi w:val="0"/>
        <w:spacing w:before="0" w:after="0"/>
        <w:ind w:left="0" w:right="0" w:firstLine="72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31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our Bylaws may be obtained by written request to the Corporate Secretary at Harrow, Inc., c/o Corporate Secretary, 102 Woodmont Blvd., Suite 610, Nashville, TN 37205. Our Bylaws are also available by accessing the exhibits to the Annual Report filed with the SEC. If a stockholder does not comply with the requirements of Rule 14a-4(c)(2) under the Exchange Act, and we do comply with such requirements, then we may exercise discretionary voting authority under proxies that we solicit to vote in accordance with our best judgment on any such stockholder proposal or nomination.</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m_007"/>
      <w:bookmarkEnd w:id="13"/>
      <w:r>
        <w:rPr>
          <w:rFonts w:ascii="Times New Roman;Times;Serif" w:hAnsi="Times New Roman;Times;Serif"/>
          <w:b/>
          <w:i w:val="false"/>
          <w:caps w:val="false"/>
          <w:smallCaps w:val="false"/>
          <w:sz w:val="20"/>
        </w:rPr>
        <w:t xml:space="preserve">ANNUAL REPORT </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indicated in the Notice of Internet Availability of Proxy Materials, a copy of this Proxy Statement and the Annual Report has been posted on the website </w:t>
      </w:r>
      <w:r>
        <w:rPr>
          <w:rFonts w:ascii="Times New Roman;Times;Serif" w:hAnsi="Times New Roman;Times;Serif"/>
          <w:b w:val="false"/>
          <w:i w:val="false"/>
          <w:caps w:val="false"/>
          <w:smallCaps w:val="false"/>
          <w:sz w:val="20"/>
          <w:u w:val="single"/>
        </w:rPr>
        <w:t>www.proxyvote.com</w:t>
      </w:r>
      <w:r>
        <w:rPr>
          <w:rFonts w:ascii="Times New Roman;Times;Serif" w:hAnsi="Times New Roman;Times;Serif"/>
          <w:b w:val="false"/>
          <w:i w:val="false"/>
          <w:caps w:val="false"/>
          <w:smallCaps w:val="false"/>
          <w:sz w:val="20"/>
        </w:rPr>
        <w:t>. Upon the written request of any stockholder entitled to vote at the Annual Meeting, we will provide, without charge, additional copies of the Annual Report upon the receipt of a written or oral request by any stockholder.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elected to provide this Proxy Statement and the Annual Report over the Internet through a “notice and access” model. The Notice of Internet Availability of Proxy Materials provides instructions on how you may access this Proxy Statement and the Annual Report on the Internet at </w:t>
      </w:r>
      <w:r>
        <w:rPr>
          <w:rFonts w:ascii="Times New Roman;Times;Serif" w:hAnsi="Times New Roman;Times;Serif"/>
          <w:b w:val="false"/>
          <w:i w:val="false"/>
          <w:caps w:val="false"/>
          <w:smallCaps w:val="false"/>
          <w:sz w:val="20"/>
          <w:u w:val="single"/>
        </w:rPr>
        <w:t>www.proxyvote.com</w:t>
      </w:r>
      <w:r>
        <w:rPr>
          <w:rFonts w:ascii="Times New Roman;Times;Serif" w:hAnsi="Times New Roman;Times;Serif"/>
          <w:b w:val="false"/>
          <w:i w:val="false"/>
          <w:caps w:val="false"/>
          <w:smallCaps w:val="false"/>
          <w:sz w:val="20"/>
        </w:rPr>
        <w:t xml:space="preserve"> or request a printed copy at no charge. In addition, the Notice of Internet Availability of Proxy Materials provides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m_008"/>
      <w:bookmarkEnd w:id="14"/>
      <w:r>
        <w:rPr>
          <w:rFonts w:ascii="Times New Roman;Times;Serif" w:hAnsi="Times New Roman;Times;Serif"/>
          <w:b/>
          <w:i w:val="false"/>
          <w:caps w:val="false"/>
          <w:smallCaps w:val="false"/>
          <w:sz w:val="20"/>
        </w:rPr>
        <w:t xml:space="preserve">OTHER MATTERS </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pStyle w:val="TextBody"/>
        <w:bidi w:val="0"/>
        <w:spacing w:before="0" w:after="0"/>
        <w:jc w:val="center"/>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75"/>
        <w:gridCol w:w="5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Chairman of the Board of Directors</w:t>
            </w:r>
          </w:p>
        </w:tc>
      </w:tr>
    </w:tbl>
    <w:p>
      <w:pPr>
        <w:pStyle w:val="TextBody"/>
        <w:bidi w:val="0"/>
        <w:spacing w:before="0" w:after="0"/>
        <w:jc w:val="left"/>
        <w:rPr>
          <w:caps/>
        </w:rPr>
      </w:pPr>
      <w:r>
        <w:rPr>
          <w:caps/>
        </w:rPr>
        <w:t> </w:t>
      </w:r>
    </w:p>
    <w:tbl>
      <w:tblPr>
        <w:tblW w:w="3685" w:type="dxa"/>
        <w:jc w:val="left"/>
        <w:tblInd w:w="0" w:type="dxa"/>
        <w:tblLayout w:type="fixed"/>
        <w:tblCellMar>
          <w:top w:w="0" w:type="dxa"/>
          <w:left w:w="0" w:type="dxa"/>
          <w:bottom w:w="0" w:type="dxa"/>
          <w:right w:w="0" w:type="dxa"/>
        </w:tblCellMar>
      </w:tblPr>
      <w:tblGrid>
        <w:gridCol w:w="3410"/>
        <w:gridCol w:w="275"/>
      </w:tblGrid>
      <w:tr>
        <w:trPr/>
        <w:tc>
          <w:tcPr>
            <w:tcW w:w="3410" w:type="dxa"/>
            <w:tcBorders/>
            <w:vAlign w:val="center"/>
          </w:tcPr>
          <w:p>
            <w:pPr>
              <w:pStyle w:val="TableContents"/>
              <w:bidi w:val="0"/>
              <w:spacing w:before="0" w:after="283"/>
              <w:jc w:val="left"/>
              <w:rPr/>
            </w:pPr>
            <w:r>
              <w:rPr/>
              <w:t>Harrow, Inc. 2024 Proxy Statement</w:t>
            </w:r>
          </w:p>
        </w:tc>
        <w:tc>
          <w:tcPr>
            <w:tcW w:w="275" w:type="dxa"/>
            <w:tcBorders/>
            <w:vAlign w:val="center"/>
          </w:tcPr>
          <w:p>
            <w:pPr>
              <w:pStyle w:val="TableContents"/>
              <w:bidi w:val="0"/>
              <w:spacing w:before="0" w:after="283"/>
              <w:jc w:val="right"/>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39000" cy="9382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239000" cy="93821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39000" cy="9382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239000" cy="93821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21422</Words>
  <Characters>115317</Characters>
  <CharactersWithSpaces>137122</CharactersWithSpaces>
  <Paragraphs>3214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