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14,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001-35814</w:t>
      </w:r>
    </w:p>
    <w:p>
      <w:pPr>
        <w:spacing w:after="0" w:line="40"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45-0567010</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680" w:space="720"/>
            <w:col w:w="2860" w:space="720"/>
            <w:col w:w="2440"/>
          </w:cols>
          <w:pgMar w:left="240" w:top="747" w:right="239" w:bottom="1440" w:gutter="0" w:footer="0" w:header="0"/>
          <w:type w:val="continuous"/>
        </w:sectPr>
      </w:pPr>
    </w:p>
    <w:p>
      <w:pPr>
        <w:spacing w:after="0" w:line="7"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9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17145</wp:posOffset>
            </wp:positionV>
            <wp:extent cx="32670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2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20" w:type="dxa"/>
            <w:vAlign w:val="bottom"/>
          </w:tcPr>
          <w:p>
            <w:pPr>
              <w:spacing w:after="0"/>
              <w:rPr>
                <w:sz w:val="20"/>
                <w:szCs w:val="20"/>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20"/>
                <w:szCs w:val="20"/>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Act of 1934: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August 14, 2019, Harrow Health, Inc. (the “Company”) issued a press release announcing its financial results for the quarter ended June 30, 2019. The press release is being furnished as Exhibit 99.1 to this Current Report on Form 8-K.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issued by Harrow Health, Inc. on August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Arial" w:cs="Arial" w:eastAsia="Arial" w:hAnsi="Arial"/>
                <w:sz w:val="18"/>
                <w:szCs w:val="18"/>
                <w:b w:val="1"/>
                <w:bCs w:val="1"/>
                <w:color w:val="auto"/>
              </w:rPr>
              <w:t>HARROW HEALTH, INC.</w:t>
            </w:r>
          </w:p>
        </w:tc>
      </w:tr>
      <w:tr>
        <w:trPr>
          <w:trHeight w:val="439"/>
        </w:trPr>
        <w:tc>
          <w:tcPr>
            <w:tcW w:w="3720" w:type="dxa"/>
            <w:vAlign w:val="bottom"/>
          </w:tcPr>
          <w:p>
            <w:pPr>
              <w:spacing w:after="0"/>
              <w:rPr>
                <w:sz w:val="20"/>
                <w:szCs w:val="20"/>
                <w:color w:val="auto"/>
              </w:rPr>
            </w:pPr>
            <w:r>
              <w:rPr>
                <w:rFonts w:ascii="Arial" w:cs="Arial" w:eastAsia="Arial" w:hAnsi="Arial"/>
                <w:sz w:val="18"/>
                <w:szCs w:val="18"/>
                <w:color w:val="auto"/>
              </w:rPr>
              <w:t>Dated: August 14, 2019</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720" w:type="dxa"/>
            <w:vAlign w:val="bottom"/>
          </w:tcPr>
          <w:p>
            <w:pPr>
              <w:spacing w:after="0"/>
              <w:rPr>
                <w:sz w:val="17"/>
                <w:szCs w:val="17"/>
                <w:color w:val="auto"/>
              </w:rPr>
            </w:pPr>
          </w:p>
        </w:tc>
        <w:tc>
          <w:tcPr>
            <w:tcW w:w="2560" w:type="dxa"/>
            <w:vAlign w:val="bottom"/>
          </w:tcPr>
          <w:p>
            <w:pPr>
              <w:ind w:left="200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72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7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2246630" cy="883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246630" cy="883285"/>
                    </a:xfrm>
                    <a:prstGeom prst="rect">
                      <a:avLst/>
                    </a:prstGeom>
                    <a:noFill/>
                  </pic:spPr>
                </pic:pic>
              </a:graphicData>
            </a:graphic>
          </wp:anchor>
        </w:drawing>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Harrow Health Announces Second Quarter 2019 Results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Consolidated quarterly revenues reach new record of $13.5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Nashville, TN – August 14, 2019 – Harrow Health, Inc. (NASDAQ: HROW) today reported results for the second quarter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and Other Recent Notable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46% year-over-year increase in ImprimisRx ophthalmology gross revenue to $12.1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Pharmaceutical Compounding segment contributed approximately $2 million in earnings during Q2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115% year-over-year growth in gross revenue from chronic care formulations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of 61%, compared to 60% in second quarter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number of over 850,000 ophthalmic pharmaceutical products dispensed year to 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Four new ophthalmic products expected to be launched in Q3-2019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Ten ImprimisRx ophthalmic formulations analytically tested to 12-month expiration 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Twenty ophthalmic formulations currently in various stages of research and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Improvements in production efficiency expected in second half of 2019 from investments made in automated and semi-automated equipment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(non-GAAP) of $245,000</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Entered into an agreement to sell Harrow subsidiary, Park Compounding, for $8 million; sale will allow for increased operational focus on market-leading ImprimisRx ophthalmology franchise</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Refinanced credit facility with SWK Holdings to reduce interest rate, extend interest-only period, and provide access, at Harrow’s discretion, to an additional $5 million of capital</w:t>
      </w: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Mayfield Pharmaceuticals launched with three women’s health drug candidates, including indications for bacterial vaginosis, dyspareunia, and interstitial cystitis, a collective potential $3 billion annual domestic market opportunity</w:t>
      </w:r>
    </w:p>
    <w:p>
      <w:pPr>
        <w:ind w:left="660" w:right="20" w:hanging="328"/>
        <w:spacing w:after="0" w:line="323"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Stowe Pharmaceuticals will seek FDA approval for its lead drug candidate STE-006, which is based on a recently acquired new chemical entity (NCE) we believe could treat potentially blinding bacterial, fungal and viral infections in the eye, a $2+ billion annual domestic market opportunity</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Mark L. Baum, CEO of Harrow Health, commented, “Without completing a dilutive equity financing in over two years, we are continuing to march towards our medium-term target of $100 million in annual revenues which, we believe, assuming normalized expenses, could produce significant adjusted earnings for shareholders in excess of $1 a share in the coming years. Our revenue, earnings, and gross margin targets are supported by the performance of our ImprimisRx business and positive macro trend tailwinds in the ophthalmology pharmaceutical business. ImprimisRx’s continued impressive year-over-year growth is being fueled by new product innovation, new chronic care prescriptions, a growing bank of refill orders and, importantly, a better-than-expected reception so far for the new products rolled out in May. We believe the improved terms in our recent amendment to our debt facility with SWK exemplify the strength of the Harrow model in general and, more specifically, the prospects for the ImprimisRx business, including the quality of its operations and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73" w:lineRule="auto"/>
        <w:rPr>
          <w:sz w:val="20"/>
          <w:szCs w:val="20"/>
          <w:color w:val="auto"/>
        </w:rPr>
      </w:pPr>
      <w:r>
        <w:rPr>
          <w:rFonts w:ascii="Arial" w:cs="Arial" w:eastAsia="Arial" w:hAnsi="Arial"/>
          <w:sz w:val="17"/>
          <w:szCs w:val="17"/>
          <w:color w:val="auto"/>
        </w:rPr>
        <w:t xml:space="preserve">Mr. Baum concluded, “We’re entering a period where our deconsolidated spin-offs, including Eton, Surface and Melt, are expected to produce numerous value creation catalysts. Additionally, our subsidiaries, Mayfield, Stowe and Radley are advancing towards deconsolidating transactions. Recently, Mayfield Pharmaceuticals </w:t>
      </w:r>
      <w:r>
        <w:rPr>
          <w:rFonts w:ascii="Arial" w:cs="Arial" w:eastAsia="Arial" w:hAnsi="Arial"/>
          <w:sz w:val="17"/>
          <w:szCs w:val="17"/>
          <w:u w:val="single" w:color="auto"/>
          <w:color w:val="auto"/>
        </w:rPr>
        <w:t>announced its launch</w:t>
      </w:r>
      <w:r>
        <w:rPr>
          <w:rFonts w:ascii="Arial" w:cs="Arial" w:eastAsia="Arial" w:hAnsi="Arial"/>
          <w:sz w:val="17"/>
          <w:szCs w:val="17"/>
          <w:color w:val="auto"/>
        </w:rPr>
        <w:t xml:space="preserve"> and will have three drug candidates pursuing a collective $3 billion market opportunity. In addition, Stowe Pharmaceuticals was </w:t>
      </w:r>
      <w:r>
        <w:rPr>
          <w:rFonts w:ascii="Arial" w:cs="Arial" w:eastAsia="Arial" w:hAnsi="Arial"/>
          <w:sz w:val="17"/>
          <w:szCs w:val="17"/>
          <w:u w:val="single" w:color="auto"/>
          <w:color w:val="auto"/>
        </w:rPr>
        <w:t>just recently announced</w:t>
      </w:r>
      <w:r>
        <w:rPr>
          <w:rFonts w:ascii="Arial" w:cs="Arial" w:eastAsia="Arial" w:hAnsi="Arial"/>
          <w:sz w:val="17"/>
          <w:szCs w:val="17"/>
          <w:color w:val="auto"/>
        </w:rPr>
        <w:t xml:space="preserve"> as our newest drug development subsidiary, it has the potential to be a game changer in the treatment of bacterial, fungal, and viral infections in the eye and ear. Anti-bacterial resistant pathogens are an increasing concern for doctors and patients, STE-006 has shown tremendous potential in pre-clinical studies and could be a $2 billion market opportunity.”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team will host a conference call and audio-only webcast today at 4:30 p.m. EDT (1:30 p.m. PDT) to discuss the financial results and recent developments. To participate in the call, please dial (844) 602-0380 for domestic callers or (862) 298-0970 for international callers. To listen to the webcast, please </w:t>
      </w:r>
      <w:r>
        <w:rPr>
          <w:rFonts w:ascii="Arial" w:cs="Arial" w:eastAsia="Arial" w:hAnsi="Arial"/>
          <w:sz w:val="18"/>
          <w:szCs w:val="18"/>
          <w:u w:val="single" w:color="auto"/>
          <w:color w:val="auto"/>
        </w:rPr>
        <w:t>click here</w:t>
      </w:r>
      <w:r>
        <w:rPr>
          <w:rFonts w:ascii="Arial" w:cs="Arial" w:eastAsia="Arial" w:hAnsi="Arial"/>
          <w:sz w:val="18"/>
          <w:szCs w:val="18"/>
          <w:color w:val="auto"/>
        </w:rPr>
        <w:t xml:space="preserve"> or visit the investor relations section of the Harrow Health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 A dial in replay of the call will be available until September 14, 2019. To access the replay, dial (877) 481-4010 domestically or (919) 882-2331 internationally and reference Replay ID: 51861. The webcast replay will be available until November 14,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Selected highlights regarding operating results for the three months and six months ended June 30, 2019 and for the same periods in 2018 are as follows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For the three months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For the three months</w:t>
            </w:r>
          </w:p>
        </w:tc>
      </w:tr>
      <w:tr>
        <w:trPr>
          <w:trHeight w:val="216"/>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ended</w:t>
            </w:r>
          </w:p>
        </w:tc>
      </w:tr>
      <w:tr>
        <w:trPr>
          <w:trHeight w:val="241"/>
        </w:trPr>
        <w:tc>
          <w:tcPr>
            <w:tcW w:w="6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2019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June 30, 2018</w:t>
            </w: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2200" w:type="dxa"/>
            <w:vAlign w:val="bottom"/>
            <w:gridSpan w:val="2"/>
          </w:tcPr>
          <w:p>
            <w:pPr>
              <w:jc w:val="right"/>
              <w:ind w:right="140"/>
              <w:spacing w:after="0"/>
              <w:rPr>
                <w:sz w:val="20"/>
                <w:szCs w:val="20"/>
                <w:color w:val="auto"/>
              </w:rPr>
            </w:pPr>
            <w:r>
              <w:rPr>
                <w:rFonts w:ascii="Arial" w:cs="Arial" w:eastAsia="Arial" w:hAnsi="Arial"/>
                <w:sz w:val="18"/>
                <w:szCs w:val="18"/>
                <w:color w:val="auto"/>
              </w:rPr>
              <w:t>(5,225)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(4,157)</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8,291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6,227</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180" w:type="dxa"/>
            <w:vAlign w:val="bottom"/>
          </w:tcPr>
          <w:p>
            <w:pPr>
              <w:spacing w:after="0"/>
              <w:rPr>
                <w:sz w:val="18"/>
                <w:szCs w:val="18"/>
                <w:color w:val="auto"/>
              </w:rPr>
            </w:pPr>
          </w:p>
        </w:tc>
        <w:tc>
          <w:tcPr>
            <w:tcW w:w="2200" w:type="dxa"/>
            <w:vAlign w:val="bottom"/>
            <w:gridSpan w:val="2"/>
          </w:tcPr>
          <w:p>
            <w:pPr>
              <w:jc w:val="right"/>
              <w:ind w:right="140"/>
              <w:spacing w:after="0"/>
              <w:rPr>
                <w:sz w:val="20"/>
                <w:szCs w:val="20"/>
                <w:color w:val="auto"/>
              </w:rPr>
            </w:pPr>
            <w:r>
              <w:rPr>
                <w:rFonts w:ascii="Arial" w:cs="Arial" w:eastAsia="Arial" w:hAnsi="Arial"/>
                <w:sz w:val="18"/>
                <w:szCs w:val="18"/>
                <w:color w:val="auto"/>
              </w:rPr>
              <w:t>(8,248)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(6,779)</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180" w:type="dxa"/>
            <w:vAlign w:val="bottom"/>
          </w:tcPr>
          <w:p>
            <w:pPr>
              <w:spacing w:after="0"/>
              <w:rPr>
                <w:sz w:val="18"/>
                <w:szCs w:val="18"/>
                <w:color w:val="auto"/>
              </w:rPr>
            </w:pPr>
          </w:p>
        </w:tc>
        <w:tc>
          <w:tcPr>
            <w:tcW w:w="2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2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(2,420)</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2,522</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6640" w:type="dxa"/>
            <w:vAlign w:val="bottom"/>
          </w:tcPr>
          <w:p>
            <w:pPr>
              <w:spacing w:after="0"/>
              <w:rPr>
                <w:sz w:val="20"/>
                <w:szCs w:val="20"/>
                <w:color w:val="auto"/>
              </w:rPr>
            </w:pPr>
            <w:r>
              <w:rPr>
                <w:rFonts w:ascii="Arial" w:cs="Arial" w:eastAsia="Arial" w:hAnsi="Arial"/>
                <w:sz w:val="18"/>
                <w:szCs w:val="18"/>
                <w:b w:val="1"/>
                <w:bCs w:val="1"/>
                <w:color w:val="auto"/>
              </w:rPr>
              <w:t>Net Income (Loss) attributable to Harrow Health, Inc.</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2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(2,378)</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2,522</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of common stock, basic</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(0.09)</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0.12</w:t>
            </w:r>
          </w:p>
        </w:tc>
      </w:t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Net Income (Loss) per share of common stock, diluted</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2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(0.09)</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0.11</w:t>
            </w:r>
          </w:p>
        </w:tc>
      </w:tr>
      <w:tr>
        <w:trPr>
          <w:trHeight w:val="421"/>
        </w:trPr>
        <w:tc>
          <w:tcPr>
            <w:tcW w:w="6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For the six months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For the six months</w:t>
            </w:r>
          </w:p>
        </w:tc>
      </w:tr>
      <w:tr>
        <w:trPr>
          <w:trHeight w:val="216"/>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ended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ended</w:t>
            </w:r>
          </w:p>
        </w:tc>
      </w:tr>
      <w:tr>
        <w:trPr>
          <w:trHeight w:val="241"/>
        </w:trPr>
        <w:tc>
          <w:tcPr>
            <w:tcW w:w="6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 2019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June 30, 2018</w:t>
            </w: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(9,123)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(8,228)</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16,683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11,021</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240" w:type="dxa"/>
            <w:vAlign w:val="bottom"/>
          </w:tcPr>
          <w:p>
            <w:pPr>
              <w:spacing w:after="0"/>
              <w:rPr>
                <w:sz w:val="18"/>
                <w:szCs w:val="18"/>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(16,791)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(13,267)</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tcPr>
          <w:p>
            <w:pPr>
              <w:spacing w:after="0"/>
              <w:rPr>
                <w:sz w:val="18"/>
                <w:szCs w:val="18"/>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(2,405)</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2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8,913</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(991)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6640" w:type="dxa"/>
            <w:vAlign w:val="bottom"/>
          </w:tcPr>
          <w:p>
            <w:pPr>
              <w:spacing w:after="0"/>
              <w:rPr>
                <w:sz w:val="20"/>
                <w:szCs w:val="20"/>
                <w:color w:val="auto"/>
              </w:rPr>
            </w:pPr>
            <w:r>
              <w:rPr>
                <w:rFonts w:ascii="Arial" w:cs="Arial" w:eastAsia="Arial" w:hAnsi="Arial"/>
                <w:sz w:val="18"/>
                <w:szCs w:val="18"/>
                <w:b w:val="1"/>
                <w:bCs w:val="1"/>
                <w:color w:val="auto"/>
              </w:rPr>
              <w:t>Net Income (Loss) attributable to Harrow Health, Inc.</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2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8,980</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(991)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of common stock, 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0.36</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b w:val="1"/>
                <w:bCs w:val="1"/>
                <w:color w:val="auto"/>
              </w:rPr>
              <w:t>$</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(0.05)</w:t>
            </w:r>
          </w:p>
        </w:tc>
      </w:t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Net Income (Loss) per share of common stock, diluted</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2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0.34</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(0.05)</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adjusted EBITDA, a non-GAAP measure to the most comparable GAAP measure, net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for the same period in 2018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For the three months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For the three months</w:t>
            </w:r>
          </w:p>
        </w:tc>
      </w:tr>
      <w:tr>
        <w:trPr>
          <w:trHeight w:val="216"/>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ended</w:t>
            </w:r>
          </w:p>
        </w:tc>
      </w:tr>
      <w:tr>
        <w:trPr>
          <w:trHeight w:val="241"/>
        </w:trPr>
        <w:tc>
          <w:tcPr>
            <w:tcW w:w="6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2019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June 30, 2018</w:t>
            </w: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Net Income (Loss)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Stock-based compensation and payments</w:t>
            </w:r>
          </w:p>
        </w:tc>
        <w:tc>
          <w:tcPr>
            <w:tcW w:w="180" w:type="dxa"/>
            <w:vAlign w:val="bottom"/>
          </w:tcPr>
          <w:p>
            <w:pPr>
              <w:spacing w:after="0"/>
              <w:rPr>
                <w:sz w:val="18"/>
                <w:szCs w:val="18"/>
                <w:color w:val="auto"/>
              </w:rPr>
            </w:pP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18"/>
                <w:szCs w:val="18"/>
                <w:color w:val="auto"/>
              </w:rPr>
            </w:pP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gains/loss from Eton, Surface, Melt, net</w:t>
            </w:r>
          </w:p>
        </w:tc>
        <w:tc>
          <w:tcPr>
            <w:tcW w:w="1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(4,072)</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18"/>
                <w:szCs w:val="18"/>
                <w:color w:val="auto"/>
              </w:rPr>
            </w:pP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r>
      <w:tr>
        <w:trPr>
          <w:trHeight w:val="257"/>
        </w:trPr>
        <w:tc>
          <w:tcPr>
            <w:tcW w:w="6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Non-recurring expenses </w:t>
            </w:r>
            <w:r>
              <w:rPr>
                <w:rFonts w:ascii="Arial" w:cs="Arial" w:eastAsia="Arial" w:hAnsi="Arial"/>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245</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442</w:t>
            </w:r>
          </w:p>
        </w:tc>
      </w:tr>
    </w:tbl>
    <w:p>
      <w:pPr>
        <w:spacing w:after="0" w:line="142" w:lineRule="exact"/>
        <w:rPr>
          <w:sz w:val="20"/>
          <w:szCs w:val="20"/>
          <w:color w:val="auto"/>
        </w:rPr>
      </w:pPr>
    </w:p>
    <w:p>
      <w:pPr>
        <w:ind w:left="220" w:hanging="212"/>
        <w:spacing w:after="0"/>
        <w:tabs>
          <w:tab w:leader="none" w:pos="22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Non-recurring expenses includes costs accrued in connection with litigation settlements.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Harrow Health, Inc. (NASDAQ: HROW) owns a portfolio of healthcare businesses, including one of the nation’s leading ophthalmology pharmaceutical businesses, </w:t>
      </w:r>
      <w:r>
        <w:rPr>
          <w:rFonts w:ascii="Arial" w:cs="Arial" w:eastAsia="Arial" w:hAnsi="Arial"/>
          <w:sz w:val="18"/>
          <w:szCs w:val="18"/>
          <w:u w:val="single" w:color="auto"/>
          <w:color w:val="auto"/>
        </w:rPr>
        <w:t>ImprimisRx</w:t>
      </w:r>
      <w:r>
        <w:rPr>
          <w:rFonts w:ascii="Arial" w:cs="Arial" w:eastAsia="Arial" w:hAnsi="Arial"/>
          <w:sz w:val="18"/>
          <w:szCs w:val="18"/>
          <w:color w:val="auto"/>
        </w:rPr>
        <w:t xml:space="preserve">. The company holds large equity positions in </w:t>
      </w:r>
      <w:r>
        <w:rPr>
          <w:rFonts w:ascii="Arial" w:cs="Arial" w:eastAsia="Arial" w:hAnsi="Arial"/>
          <w:sz w:val="18"/>
          <w:szCs w:val="18"/>
          <w:u w:val="single" w:color="auto"/>
          <w:color w:val="auto"/>
        </w:rPr>
        <w:t>Eton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Surface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Melt Pharmaceuticals</w:t>
      </w:r>
      <w:r>
        <w:rPr>
          <w:rFonts w:ascii="Arial" w:cs="Arial" w:eastAsia="Arial" w:hAnsi="Arial"/>
          <w:sz w:val="18"/>
          <w:szCs w:val="18"/>
          <w:color w:val="auto"/>
        </w:rPr>
        <w:t xml:space="preserve">, Mayfield Pharmaceuticals, Radley Pharmaceuticals, and Stowe Pharmaceuticals, Inc. all companies founded as subsidiaries of Harrow Health. The Company also owns royalty rights in certain 505(b)(2) drug candidates being developed by Surface, Melt, Mayfield and Radley. Harrow intends to create, invest in and grow paradigm shifting health care businesses that put patients first. For more information about Harrow Health, please visit the Investor Relations section of the corporate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No ImprimisRx compounded formulation is FDA-approved. All ImprimisRx formulations are customizable. Other than drugs compounded at a registered outsourcing facility, all ImprimisRx compounded formulations require a prescription for an individually identified patient consistent with federal and state 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 Patton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jpatton@harrowinc.com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Holliday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deb@hollidaycommunications.net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Harrow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2019-11-30T02:52:00Z</dcterms:created>
  <dcterms:modified xsi:type="dcterms:W3CDTF">2019-11-30T02:52:00Z</dcterms:modified>
</cp:coreProperties>
</file>