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320" w:hanging="4"/>
        <w:spacing w:after="0" w:line="275" w:lineRule="auto"/>
        <w:tabs>
          <w:tab w:leader="none" w:pos="874"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 [X] Rule 13d-1(c)</w:t>
      </w:r>
    </w:p>
    <w:p>
      <w:pPr>
        <w:ind w:left="880" w:hanging="224"/>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6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color w:val="auto"/>
        </w:rPr>
        <w:t>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left="1020" w:right="4060" w:hanging="1012"/>
        <w:spacing w:after="0" w:line="373" w:lineRule="auto"/>
        <w:tabs>
          <w:tab w:leader="none" w:pos="285"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 I.R.S. Identification Nos. of Above Persons (entities only): Marathon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(a) [</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(b) [</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6820" w:space="720"/>
            <w:col w:w="360" w:space="140"/>
            <w:col w:w="3380"/>
          </w:cols>
          <w:pgMar w:left="240" w:top="1170" w:right="239" w:bottom="1440" w:gutter="0" w:footer="0" w:header="0"/>
          <w:type w:val="continuous"/>
        </w:sectPr>
      </w:pPr>
    </w:p>
    <w:p>
      <w:pPr>
        <w:spacing w:after="0" w:line="170"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9" w:lineRule="exact"/>
        <w:rPr>
          <w:rFonts w:ascii="Arial" w:cs="Arial" w:eastAsia="Arial" w:hAnsi="Arial"/>
          <w:sz w:val="20"/>
          <w:szCs w:val="20"/>
          <w:color w:val="auto"/>
        </w:rPr>
      </w:pPr>
    </w:p>
    <w:p>
      <w:pPr>
        <w:ind w:left="1020" w:right="8240" w:hanging="1012"/>
        <w:spacing w:after="0" w:line="441"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3"/>
          </w:tcPr>
          <w:p>
            <w:pPr>
              <w:spacing w:after="0"/>
              <w:rPr>
                <w:sz w:val="20"/>
                <w:szCs w:val="20"/>
                <w:color w:val="auto"/>
              </w:rPr>
            </w:pPr>
            <w:r>
              <w:rPr>
                <w:rFonts w:ascii="Arial" w:cs="Arial" w:eastAsia="Arial" w:hAnsi="Arial"/>
                <w:sz w:val="20"/>
                <w:szCs w:val="20"/>
                <w:color w:val="auto"/>
              </w:rPr>
              <w:t>Number of Shares Beneficially  (5) Sole Voting Power:</w:t>
            </w:r>
          </w:p>
        </w:tc>
        <w:tc>
          <w:tcPr>
            <w:tcW w:w="3340" w:type="dxa"/>
            <w:vAlign w:val="bottom"/>
          </w:tcPr>
          <w:p>
            <w:pPr>
              <w:jc w:val="right"/>
              <w:ind w:right="1"/>
              <w:spacing w:after="0"/>
              <w:rPr>
                <w:sz w:val="20"/>
                <w:szCs w:val="20"/>
                <w:color w:val="auto"/>
              </w:rPr>
            </w:pPr>
            <w:r>
              <w:rPr>
                <w:rFonts w:ascii="Arial" w:cs="Arial" w:eastAsia="Arial" w:hAnsi="Arial"/>
                <w:sz w:val="20"/>
                <w:szCs w:val="20"/>
                <w:color w:val="auto"/>
              </w:rPr>
              <w:t>833,333*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540" w:type="dxa"/>
            <w:vAlign w:val="bottom"/>
            <w:vMerge w:val="restart"/>
          </w:tcPr>
          <w:p>
            <w:pPr>
              <w:spacing w:after="0"/>
              <w:rPr>
                <w:sz w:val="20"/>
                <w:szCs w:val="20"/>
                <w:color w:val="auto"/>
              </w:rPr>
            </w:pPr>
            <w:r>
              <w:rPr>
                <w:rFonts w:ascii="Arial" w:cs="Arial" w:eastAsia="Arial" w:hAnsi="Arial"/>
                <w:sz w:val="20"/>
                <w:szCs w:val="20"/>
                <w:color w:val="auto"/>
              </w:rPr>
              <w:t>Owned By Each Reporting</w:t>
            </w:r>
          </w:p>
        </w:tc>
        <w:tc>
          <w:tcPr>
            <w:tcW w:w="340" w:type="dxa"/>
            <w:vAlign w:val="bottom"/>
            <w:tcBorders>
              <w:bottom w:val="single" w:sz="8" w:color="auto"/>
            </w:tcBorders>
          </w:tcPr>
          <w:p>
            <w:pPr>
              <w:spacing w:after="0"/>
              <w:rPr>
                <w:sz w:val="6"/>
                <w:szCs w:val="6"/>
                <w:color w:val="auto"/>
              </w:rPr>
            </w:pPr>
          </w:p>
        </w:tc>
        <w:tc>
          <w:tcPr>
            <w:tcW w:w="46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54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4640" w:type="dxa"/>
            <w:vAlign w:val="bottom"/>
            <w:vMerge w:val="restart"/>
          </w:tcPr>
          <w:p>
            <w:pPr>
              <w:ind w:left="40"/>
              <w:spacing w:after="0"/>
              <w:rPr>
                <w:sz w:val="20"/>
                <w:szCs w:val="20"/>
                <w:color w:val="auto"/>
              </w:rPr>
            </w:pPr>
            <w:r>
              <w:rPr>
                <w:rFonts w:ascii="Arial" w:cs="Arial" w:eastAsia="Arial" w:hAnsi="Arial"/>
                <w:sz w:val="20"/>
                <w:szCs w:val="20"/>
                <w:color w:val="auto"/>
              </w:rPr>
              <w:t>Shared Voting Power:</w:t>
            </w:r>
          </w:p>
        </w:tc>
        <w:tc>
          <w:tcPr>
            <w:tcW w:w="3340" w:type="dxa"/>
            <w:vAlign w:val="bottom"/>
            <w:vMerge w:val="restart"/>
          </w:tcPr>
          <w:p>
            <w:pPr>
              <w:jc w:val="right"/>
              <w:ind w:right="1"/>
              <w:spacing w:after="0"/>
              <w:rPr>
                <w:sz w:val="20"/>
                <w:szCs w:val="20"/>
                <w:color w:val="auto"/>
              </w:rPr>
            </w:pPr>
            <w:r>
              <w:rPr>
                <w:rFonts w:ascii="Arial" w:cs="Arial" w:eastAsia="Arial" w:hAnsi="Arial"/>
                <w:sz w:val="20"/>
                <w:szCs w:val="20"/>
                <w:color w:val="auto"/>
              </w:rPr>
              <w:t>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40" w:type="dxa"/>
            <w:vAlign w:val="bottom"/>
            <w:vMerge w:val="restart"/>
          </w:tcPr>
          <w:p>
            <w:pPr>
              <w:spacing w:after="0"/>
              <w:rPr>
                <w:sz w:val="20"/>
                <w:szCs w:val="20"/>
                <w:color w:val="auto"/>
              </w:rPr>
            </w:pPr>
            <w:r>
              <w:rPr>
                <w:rFonts w:ascii="Arial" w:cs="Arial" w:eastAsia="Arial" w:hAnsi="Arial"/>
                <w:sz w:val="20"/>
                <w:szCs w:val="20"/>
                <w:color w:val="auto"/>
              </w:rPr>
              <w:t>Person With:</w:t>
            </w:r>
          </w:p>
        </w:tc>
        <w:tc>
          <w:tcPr>
            <w:tcW w:w="340" w:type="dxa"/>
            <w:vAlign w:val="bottom"/>
            <w:vMerge w:val="continue"/>
          </w:tcPr>
          <w:p>
            <w:pPr>
              <w:spacing w:after="0"/>
              <w:rPr>
                <w:sz w:val="9"/>
                <w:szCs w:val="9"/>
                <w:color w:val="auto"/>
              </w:rPr>
            </w:pPr>
          </w:p>
        </w:tc>
        <w:tc>
          <w:tcPr>
            <w:tcW w:w="4640" w:type="dxa"/>
            <w:vAlign w:val="bottom"/>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540" w:type="dxa"/>
            <w:vAlign w:val="bottom"/>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540" w:type="dxa"/>
            <w:vAlign w:val="bottom"/>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4640" w:type="dxa"/>
            <w:vAlign w:val="bottom"/>
            <w:vMerge w:val="restart"/>
          </w:tcPr>
          <w:p>
            <w:pPr>
              <w:ind w:left="40"/>
              <w:spacing w:after="0"/>
              <w:rPr>
                <w:sz w:val="20"/>
                <w:szCs w:val="20"/>
                <w:color w:val="auto"/>
              </w:rPr>
            </w:pPr>
            <w:r>
              <w:rPr>
                <w:rFonts w:ascii="Arial" w:cs="Arial" w:eastAsia="Arial" w:hAnsi="Arial"/>
                <w:sz w:val="20"/>
                <w:szCs w:val="20"/>
                <w:color w:val="auto"/>
              </w:rPr>
              <w:t>Sole Dispositive Power:</w:t>
            </w:r>
          </w:p>
        </w:tc>
        <w:tc>
          <w:tcPr>
            <w:tcW w:w="3340" w:type="dxa"/>
            <w:vAlign w:val="bottom"/>
            <w:vMerge w:val="restart"/>
          </w:tcPr>
          <w:p>
            <w:pPr>
              <w:jc w:val="right"/>
              <w:ind w:right="1"/>
              <w:spacing w:after="0"/>
              <w:rPr>
                <w:sz w:val="20"/>
                <w:szCs w:val="20"/>
                <w:color w:val="auto"/>
              </w:rPr>
            </w:pPr>
            <w:r>
              <w:rPr>
                <w:rFonts w:ascii="Arial" w:cs="Arial" w:eastAsia="Arial" w:hAnsi="Arial"/>
                <w:sz w:val="20"/>
                <w:szCs w:val="20"/>
                <w:color w:val="auto"/>
              </w:rPr>
              <w:t>833,333*</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464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20"/>
                <w:szCs w:val="20"/>
                <w:color w:val="auto"/>
              </w:rPr>
              <w:t>Shared Dispositive Power:</w:t>
            </w:r>
          </w:p>
        </w:tc>
        <w:tc>
          <w:tcPr>
            <w:tcW w:w="33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00" w:type="dxa"/>
            <w:vAlign w:val="bottom"/>
            <w:gridSpan w:val="2"/>
          </w:tcPr>
          <w:p>
            <w:pPr>
              <w:spacing w:after="0"/>
              <w:rPr>
                <w:sz w:val="20"/>
                <w:szCs w:val="20"/>
                <w:color w:val="auto"/>
              </w:rPr>
            </w:pPr>
            <w:r>
              <w:rPr>
                <w:rFonts w:ascii="Arial" w:cs="Arial" w:eastAsia="Arial" w:hAnsi="Arial"/>
                <w:sz w:val="20"/>
                <w:szCs w:val="20"/>
                <w:color w:val="auto"/>
              </w:rPr>
              <w:t>(9) Aggregate Amount Beneficially Owned by Each Reporting Person:</w:t>
            </w:r>
          </w:p>
        </w:tc>
        <w:tc>
          <w:tcPr>
            <w:tcW w:w="3920" w:type="dxa"/>
            <w:vAlign w:val="bottom"/>
          </w:tcPr>
          <w:p>
            <w:pPr>
              <w:jc w:val="right"/>
              <w:ind w:right="461"/>
              <w:spacing w:after="0"/>
              <w:rPr>
                <w:sz w:val="20"/>
                <w:szCs w:val="20"/>
                <w:color w:val="auto"/>
              </w:rPr>
            </w:pPr>
            <w:r>
              <w:rPr>
                <w:rFonts w:ascii="Arial" w:cs="Arial" w:eastAsia="Arial" w:hAnsi="Arial"/>
                <w:sz w:val="20"/>
                <w:szCs w:val="20"/>
                <w:color w:val="auto"/>
              </w:rPr>
              <w:t>833,333*</w:t>
            </w:r>
          </w:p>
        </w:tc>
      </w:tr>
      <w:tr>
        <w:trPr>
          <w:trHeight w:val="118"/>
        </w:trPr>
        <w:tc>
          <w:tcPr>
            <w:tcW w:w="360" w:type="dxa"/>
            <w:vAlign w:val="bottom"/>
            <w:tcBorders>
              <w:bottom w:val="single" w:sz="8" w:color="auto"/>
            </w:tcBorders>
          </w:tcPr>
          <w:p>
            <w:pPr>
              <w:spacing w:after="0"/>
              <w:rPr>
                <w:sz w:val="10"/>
                <w:szCs w:val="10"/>
                <w:color w:val="auto"/>
              </w:rPr>
            </w:pPr>
          </w:p>
        </w:tc>
        <w:tc>
          <w:tcPr>
            <w:tcW w:w="714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r>
      <w:tr>
        <w:trPr>
          <w:trHeight w:val="335"/>
        </w:trPr>
        <w:tc>
          <w:tcPr>
            <w:tcW w:w="360" w:type="dxa"/>
            <w:vAlign w:val="bottom"/>
          </w:tcPr>
          <w:p>
            <w:pPr>
              <w:spacing w:after="0"/>
              <w:rPr>
                <w:sz w:val="20"/>
                <w:szCs w:val="20"/>
                <w:color w:val="auto"/>
              </w:rPr>
            </w:pPr>
            <w:r>
              <w:rPr>
                <w:rFonts w:ascii="Arial" w:cs="Arial" w:eastAsia="Arial" w:hAnsi="Arial"/>
                <w:sz w:val="20"/>
                <w:szCs w:val="20"/>
                <w:color w:val="auto"/>
                <w:w w:val="95"/>
              </w:rPr>
              <w:t>(10)</w:t>
            </w:r>
          </w:p>
        </w:tc>
        <w:tc>
          <w:tcPr>
            <w:tcW w:w="7140" w:type="dxa"/>
            <w:vAlign w:val="bottom"/>
          </w:tcPr>
          <w:p>
            <w:pPr>
              <w:ind w:left="20"/>
              <w:spacing w:after="0"/>
              <w:rPr>
                <w:sz w:val="20"/>
                <w:szCs w:val="20"/>
                <w:color w:val="auto"/>
              </w:rPr>
            </w:pPr>
            <w:r>
              <w:rPr>
                <w:rFonts w:ascii="Arial" w:cs="Arial" w:eastAsia="Arial" w:hAnsi="Arial"/>
                <w:sz w:val="20"/>
                <w:szCs w:val="20"/>
                <w:color w:val="auto"/>
                <w:w w:val="92"/>
              </w:rPr>
              <w:t>Check if the Aggregate Amount in Row (9) Excludes Certain Shares (See Instructions):</w:t>
            </w:r>
          </w:p>
        </w:tc>
        <w:tc>
          <w:tcPr>
            <w:tcW w:w="3920" w:type="dxa"/>
            <w:vAlign w:val="bottom"/>
          </w:tcPr>
          <w:p>
            <w:pPr>
              <w:jc w:val="right"/>
              <w:ind w:right="3401"/>
              <w:spacing w:after="0"/>
              <w:rPr>
                <w:sz w:val="20"/>
                <w:szCs w:val="20"/>
                <w:color w:val="auto"/>
              </w:rPr>
            </w:pPr>
            <w:r>
              <w:rPr>
                <w:rFonts w:ascii="Arial" w:cs="Arial" w:eastAsia="Arial" w:hAnsi="Arial"/>
                <w:sz w:val="20"/>
                <w:szCs w:val="20"/>
                <w:color w:val="auto"/>
              </w:rPr>
              <w:t>N/A</w:t>
            </w:r>
          </w:p>
        </w:tc>
      </w:tr>
      <w:tr>
        <w:trPr>
          <w:trHeight w:val="104"/>
        </w:trPr>
        <w:tc>
          <w:tcPr>
            <w:tcW w:w="7500" w:type="dxa"/>
            <w:vAlign w:val="bottom"/>
            <w:tcBorders>
              <w:bottom w:val="single" w:sz="8" w:color="auto"/>
            </w:tcBorders>
            <w:gridSpan w:val="2"/>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35"/>
        </w:trPr>
        <w:tc>
          <w:tcPr>
            <w:tcW w:w="7500" w:type="dxa"/>
            <w:vAlign w:val="bottom"/>
            <w:gridSpan w:val="2"/>
          </w:tcPr>
          <w:p>
            <w:pPr>
              <w:spacing w:after="0"/>
              <w:rPr>
                <w:sz w:val="20"/>
                <w:szCs w:val="20"/>
                <w:color w:val="auto"/>
              </w:rPr>
            </w:pPr>
            <w:r>
              <w:rPr>
                <w:rFonts w:ascii="Arial" w:cs="Arial" w:eastAsia="Arial" w:hAnsi="Arial"/>
                <w:sz w:val="20"/>
                <w:szCs w:val="20"/>
                <w:color w:val="auto"/>
              </w:rPr>
              <w:t>(11) Percent of Class Represented by Amount in Row (9):</w:t>
            </w:r>
          </w:p>
        </w:tc>
        <w:tc>
          <w:tcPr>
            <w:tcW w:w="3920" w:type="dxa"/>
            <w:vAlign w:val="bottom"/>
          </w:tcPr>
          <w:p>
            <w:pPr>
              <w:jc w:val="right"/>
              <w:ind w:right="461"/>
              <w:spacing w:after="0"/>
              <w:rPr>
                <w:sz w:val="20"/>
                <w:szCs w:val="20"/>
                <w:color w:val="auto"/>
              </w:rPr>
            </w:pPr>
            <w:r>
              <w:rPr>
                <w:rFonts w:ascii="Arial" w:cs="Arial" w:eastAsia="Arial" w:hAnsi="Arial"/>
                <w:sz w:val="20"/>
                <w:szCs w:val="20"/>
                <w:color w:val="auto"/>
              </w:rPr>
              <w:t>4.5%*</w:t>
            </w:r>
          </w:p>
        </w:tc>
      </w:tr>
      <w:tr>
        <w:trPr>
          <w:trHeight w:val="118"/>
        </w:trPr>
        <w:tc>
          <w:tcPr>
            <w:tcW w:w="360" w:type="dxa"/>
            <w:vAlign w:val="bottom"/>
            <w:tcBorders>
              <w:bottom w:val="single" w:sz="8" w:color="auto"/>
            </w:tcBorders>
          </w:tcPr>
          <w:p>
            <w:pPr>
              <w:spacing w:after="0"/>
              <w:rPr>
                <w:sz w:val="10"/>
                <w:szCs w:val="10"/>
                <w:color w:val="auto"/>
              </w:rPr>
            </w:pPr>
          </w:p>
        </w:tc>
        <w:tc>
          <w:tcPr>
            <w:tcW w:w="714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r>
      <w:tr>
        <w:trPr>
          <w:trHeight w:val="335"/>
        </w:trPr>
        <w:tc>
          <w:tcPr>
            <w:tcW w:w="360" w:type="dxa"/>
            <w:vAlign w:val="bottom"/>
          </w:tcPr>
          <w:p>
            <w:pPr>
              <w:spacing w:after="0"/>
              <w:rPr>
                <w:sz w:val="20"/>
                <w:szCs w:val="20"/>
                <w:color w:val="auto"/>
              </w:rPr>
            </w:pPr>
            <w:r>
              <w:rPr>
                <w:rFonts w:ascii="Arial" w:cs="Arial" w:eastAsia="Arial" w:hAnsi="Arial"/>
                <w:sz w:val="20"/>
                <w:szCs w:val="20"/>
                <w:color w:val="auto"/>
                <w:w w:val="95"/>
              </w:rPr>
              <w:t>(12)</w:t>
            </w:r>
          </w:p>
        </w:tc>
        <w:tc>
          <w:tcPr>
            <w:tcW w:w="7140" w:type="dxa"/>
            <w:vAlign w:val="bottom"/>
          </w:tcPr>
          <w:p>
            <w:pPr>
              <w:ind w:left="20"/>
              <w:spacing w:after="0"/>
              <w:rPr>
                <w:sz w:val="20"/>
                <w:szCs w:val="20"/>
                <w:color w:val="auto"/>
              </w:rPr>
            </w:pPr>
            <w:r>
              <w:rPr>
                <w:rFonts w:ascii="Arial" w:cs="Arial" w:eastAsia="Arial" w:hAnsi="Arial"/>
                <w:sz w:val="20"/>
                <w:szCs w:val="20"/>
                <w:color w:val="auto"/>
              </w:rPr>
              <w:t>Type of Reporting Person (See Instructions):  IA</w:t>
            </w:r>
          </w:p>
        </w:tc>
        <w:tc>
          <w:tcPr>
            <w:tcW w:w="3920" w:type="dxa"/>
            <w:vAlign w:val="bottom"/>
          </w:tcPr>
          <w:p>
            <w:pPr>
              <w:spacing w:after="0"/>
              <w:rPr>
                <w:sz w:val="24"/>
                <w:szCs w:val="24"/>
                <w:color w:val="auto"/>
              </w:rPr>
            </w:pPr>
          </w:p>
        </w:tc>
      </w:tr>
      <w:tr>
        <w:trPr>
          <w:trHeight w:val="104"/>
        </w:trPr>
        <w:tc>
          <w:tcPr>
            <w:tcW w:w="360" w:type="dxa"/>
            <w:vAlign w:val="bottom"/>
            <w:tcBorders>
              <w:bottom w:val="single" w:sz="8" w:color="auto"/>
            </w:tcBorders>
          </w:tcPr>
          <w:p>
            <w:pPr>
              <w:spacing w:after="0"/>
              <w:rPr>
                <w:sz w:val="9"/>
                <w:szCs w:val="9"/>
                <w:color w:val="auto"/>
              </w:rPr>
            </w:pPr>
          </w:p>
        </w:tc>
        <w:tc>
          <w:tcPr>
            <w:tcW w:w="71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bl>
    <w:p>
      <w:pPr>
        <w:spacing w:after="0" w:line="213" w:lineRule="exact"/>
        <w:rPr>
          <w:sz w:val="20"/>
          <w:szCs w:val="20"/>
          <w:color w:val="auto"/>
        </w:rPr>
      </w:pPr>
    </w:p>
    <w:p>
      <w:pPr>
        <w:jc w:val="both"/>
        <w:ind w:firstLine="8"/>
        <w:spacing w:after="0" w:line="270" w:lineRule="auto"/>
        <w:tabs>
          <w:tab w:leader="none" w:pos="148"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is being made solely to reflect change in ownership due to an increase in the outstanding shares of the Issuer. The shares of common stock, $0.001 par value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Imprimis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reported herein are held by funds and accounts (collectively, the “</w:t>
      </w:r>
      <w:r>
        <w:rPr>
          <w:rFonts w:ascii="Arial" w:cs="Arial" w:eastAsia="Arial" w:hAnsi="Arial"/>
          <w:sz w:val="18"/>
          <w:szCs w:val="18"/>
          <w:u w:val="single" w:color="auto"/>
          <w:color w:val="auto"/>
        </w:rPr>
        <w:t>Funds and Accounts</w:t>
      </w:r>
      <w:r>
        <w:rPr>
          <w:rFonts w:ascii="Arial" w:cs="Arial" w:eastAsia="Arial" w:hAnsi="Arial"/>
          <w:sz w:val="18"/>
          <w:szCs w:val="18"/>
          <w:color w:val="auto"/>
        </w:rPr>
        <w:t>”) which are managed by Marathon Asset Management, L.P. (“</w:t>
      </w:r>
      <w:r>
        <w:rPr>
          <w:rFonts w:ascii="Arial" w:cs="Arial" w:eastAsia="Arial" w:hAnsi="Arial"/>
          <w:sz w:val="18"/>
          <w:szCs w:val="18"/>
          <w:u w:val="single" w:color="auto"/>
          <w:color w:val="auto"/>
        </w:rPr>
        <w:t>Marathon</w:t>
      </w:r>
      <w:r>
        <w:rPr>
          <w:rFonts w:ascii="Arial" w:cs="Arial" w:eastAsia="Arial" w:hAnsi="Arial"/>
          <w:sz w:val="18"/>
          <w:szCs w:val="18"/>
          <w:color w:val="auto"/>
        </w:rPr>
        <w:t>”). Marathon, in its capacity as the investment manager of each of the Funds and Accounts, has the sole power to vote and the sole power to direct the disposition of all Shares held by the Funds and Accounts. Accordingly, for the purposes of Reg. Section 240.13d-3, Marathon may be deemed to beneficially own an aggregate of 833,333 Shares, or 4.5% of the Shares deemed issued and outstanding as of December 31, 2016. The general partner of Marathon is Marathon Asset Management GP, L.L.C. Bruce Richards and Louis Hanover are the managing members of Marathon Asset Management GP, L.L.C. The beneficial ownership percentage reported herein is based on 18,627,915 Shares issued and outstanding as of December 31, 2016, as disclosed in the Company’s 10-Q, as filed with the Securities and Exchange Commission on November 14, 2016 and information provided by the Company. This report shall not be deemed an admission that Marathon, each Fund and Account or any other person is the beneficial owner of the securities reported herein for purposes of Section 13 of the Securities Exchange Act of 1934, as amended, or for any other purpose.</w:t>
      </w:r>
    </w:p>
    <w:p>
      <w:pPr>
        <w:sectPr>
          <w:pgSz w:w="11900" w:h="16838" w:orient="portrait"/>
          <w:cols w:equalWidth="0" w:num="1">
            <w:col w:w="11420"/>
          </w:cols>
          <w:pgMar w:left="240" w:top="1170" w:right="239" w:bottom="144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20"/>
          <w:szCs w:val="20"/>
          <w:b w:val="1"/>
          <w:bCs w:val="1"/>
          <w:color w:val="auto"/>
        </w:rPr>
        <w:t>Item 1(a). Name Of Issuer:</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Imprimis Pharmaceuticals, Inc.</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Address of Issuer’s Principal Executive Offices: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12264 El Camino Real, Suite 350</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San Diego, CA 92130</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2(a). Name of Person Filing:</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Marathon Asset Management, L.P.</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2(b). Address of Principal Business Office or, if None, Residence:</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One Bryant Park, 38th Floor</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New York, New York 10036</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2(c). Citizenship:</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Delaware, United States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2(d). Title of Class of Securities: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Common Stock, par value $0.001 per share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2(e). CUSIP No.:</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45323A201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§§240.13d-1(b) or 240.13d-2(b) or (c), check whether the Person Filing is 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20" w:type="dxa"/>
            <w:vAlign w:val="bottom"/>
          </w:tcPr>
          <w:p>
            <w:pPr>
              <w:ind w:left="820"/>
              <w:spacing w:after="0"/>
              <w:rPr>
                <w:sz w:val="20"/>
                <w:szCs w:val="20"/>
                <w:color w:val="auto"/>
              </w:rPr>
            </w:pPr>
            <w:r>
              <w:rPr>
                <w:rFonts w:ascii="Arial" w:cs="Arial" w:eastAsia="Arial" w:hAnsi="Arial"/>
                <w:sz w:val="20"/>
                <w:szCs w:val="20"/>
                <w:color w:val="auto"/>
              </w:rPr>
              <w:t>Not Applicable.</w:t>
            </w:r>
          </w:p>
        </w:tc>
        <w:tc>
          <w:tcPr>
            <w:tcW w:w="3980" w:type="dxa"/>
            <w:vAlign w:val="bottom"/>
          </w:tcPr>
          <w:p>
            <w:pPr>
              <w:spacing w:after="0"/>
              <w:rPr>
                <w:sz w:val="21"/>
                <w:szCs w:val="21"/>
                <w:color w:val="auto"/>
              </w:rPr>
            </w:pPr>
          </w:p>
        </w:tc>
      </w:tr>
      <w:tr>
        <w:trPr>
          <w:trHeight w:val="459"/>
        </w:trPr>
        <w:tc>
          <w:tcPr>
            <w:tcW w:w="7020" w:type="dxa"/>
            <w:vAlign w:val="bottom"/>
          </w:tcPr>
          <w:p>
            <w:pPr>
              <w:spacing w:after="0"/>
              <w:rPr>
                <w:sz w:val="20"/>
                <w:szCs w:val="20"/>
                <w:color w:val="auto"/>
              </w:rPr>
            </w:pPr>
            <w:r>
              <w:rPr>
                <w:rFonts w:ascii="Arial" w:cs="Arial" w:eastAsia="Arial" w:hAnsi="Arial"/>
                <w:sz w:val="20"/>
                <w:szCs w:val="20"/>
                <w:b w:val="1"/>
                <w:bCs w:val="1"/>
                <w:color w:val="auto"/>
              </w:rPr>
              <w:t>Item 4. Ownership:</w:t>
            </w:r>
          </w:p>
        </w:tc>
        <w:tc>
          <w:tcPr>
            <w:tcW w:w="3980" w:type="dxa"/>
            <w:vAlign w:val="bottom"/>
          </w:tcPr>
          <w:p>
            <w:pPr>
              <w:spacing w:after="0"/>
              <w:rPr>
                <w:sz w:val="24"/>
                <w:szCs w:val="24"/>
                <w:color w:val="auto"/>
              </w:rPr>
            </w:pPr>
          </w:p>
        </w:tc>
      </w:tr>
      <w:tr>
        <w:trPr>
          <w:trHeight w:val="338"/>
        </w:trPr>
        <w:tc>
          <w:tcPr>
            <w:tcW w:w="7020" w:type="dxa"/>
            <w:vAlign w:val="bottom"/>
          </w:tcPr>
          <w:p>
            <w:pPr>
              <w:ind w:left="1140"/>
              <w:spacing w:after="0"/>
              <w:rPr>
                <w:sz w:val="20"/>
                <w:szCs w:val="20"/>
                <w:color w:val="auto"/>
              </w:rPr>
            </w:pPr>
            <w:r>
              <w:rPr>
                <w:rFonts w:ascii="Arial" w:cs="Arial" w:eastAsia="Arial" w:hAnsi="Arial"/>
                <w:sz w:val="20"/>
                <w:szCs w:val="20"/>
                <w:color w:val="auto"/>
              </w:rPr>
              <w:t>(a) Amount Beneficially Owned:</w:t>
            </w:r>
          </w:p>
        </w:tc>
        <w:tc>
          <w:tcPr>
            <w:tcW w:w="3980" w:type="dxa"/>
            <w:vAlign w:val="bottom"/>
          </w:tcPr>
          <w:p>
            <w:pPr>
              <w:jc w:val="right"/>
              <w:spacing w:after="0"/>
              <w:rPr>
                <w:sz w:val="20"/>
                <w:szCs w:val="20"/>
                <w:color w:val="auto"/>
              </w:rPr>
            </w:pPr>
            <w:r>
              <w:rPr>
                <w:rFonts w:ascii="Arial" w:cs="Arial" w:eastAsia="Arial" w:hAnsi="Arial"/>
                <w:sz w:val="20"/>
                <w:szCs w:val="20"/>
                <w:color w:val="auto"/>
              </w:rPr>
              <w:t>833,333*</w:t>
            </w:r>
          </w:p>
        </w:tc>
      </w:tr>
      <w:tr>
        <w:trPr>
          <w:trHeight w:val="351"/>
        </w:trPr>
        <w:tc>
          <w:tcPr>
            <w:tcW w:w="7020" w:type="dxa"/>
            <w:vAlign w:val="bottom"/>
          </w:tcPr>
          <w:p>
            <w:pPr>
              <w:ind w:left="1140"/>
              <w:spacing w:after="0"/>
              <w:rPr>
                <w:sz w:val="20"/>
                <w:szCs w:val="20"/>
                <w:color w:val="auto"/>
              </w:rPr>
            </w:pPr>
            <w:r>
              <w:rPr>
                <w:rFonts w:ascii="Arial" w:cs="Arial" w:eastAsia="Arial" w:hAnsi="Arial"/>
                <w:sz w:val="20"/>
                <w:szCs w:val="20"/>
                <w:color w:val="auto"/>
              </w:rPr>
              <w:t>(b) Percent of Class:</w:t>
            </w:r>
          </w:p>
        </w:tc>
        <w:tc>
          <w:tcPr>
            <w:tcW w:w="3980" w:type="dxa"/>
            <w:vAlign w:val="bottom"/>
          </w:tcPr>
          <w:p>
            <w:pPr>
              <w:jc w:val="right"/>
              <w:spacing w:after="0"/>
              <w:rPr>
                <w:sz w:val="20"/>
                <w:szCs w:val="20"/>
                <w:color w:val="auto"/>
              </w:rPr>
            </w:pPr>
            <w:r>
              <w:rPr>
                <w:rFonts w:ascii="Arial" w:cs="Arial" w:eastAsia="Arial" w:hAnsi="Arial"/>
                <w:sz w:val="20"/>
                <w:szCs w:val="20"/>
                <w:color w:val="auto"/>
              </w:rPr>
              <w:t>4.5%*</w:t>
            </w:r>
          </w:p>
        </w:tc>
      </w:tr>
    </w:tbl>
    <w:p>
      <w:pPr>
        <w:sectPr>
          <w:pgSz w:w="11900" w:h="16838" w:orient="portrait"/>
          <w:cols w:equalWidth="0" w:num="1">
            <w:col w:w="11000"/>
          </w:cols>
          <w:pgMar w:left="240" w:top="1332" w:right="659" w:bottom="1440" w:gutter="0" w:footer="0" w:header="0"/>
        </w:sectPr>
      </w:pPr>
    </w:p>
    <w:bookmarkStart w:id="3" w:name="page4"/>
    <w:bookmarkEnd w:id="3"/>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50"/>
        </w:trPr>
        <w:tc>
          <w:tcPr>
            <w:tcW w:w="7300" w:type="dxa"/>
            <w:vAlign w:val="bottom"/>
            <w:gridSpan w:val="2"/>
          </w:tcPr>
          <w:p>
            <w:pPr>
              <w:spacing w:after="0"/>
              <w:rPr>
                <w:sz w:val="20"/>
                <w:szCs w:val="20"/>
                <w:color w:val="auto"/>
              </w:rPr>
            </w:pPr>
            <w:r>
              <w:rPr>
                <w:rFonts w:ascii="Arial" w:cs="Arial" w:eastAsia="Arial" w:hAnsi="Arial"/>
                <w:sz w:val="20"/>
                <w:szCs w:val="20"/>
                <w:color w:val="auto"/>
              </w:rPr>
              <w:t>(c) Number of Shares as to which such person has:</w:t>
            </w:r>
          </w:p>
        </w:tc>
        <w:tc>
          <w:tcPr>
            <w:tcW w:w="2420" w:type="dxa"/>
            <w:vAlign w:val="bottom"/>
          </w:tcPr>
          <w:p>
            <w:pPr>
              <w:spacing w:after="0"/>
              <w:rPr>
                <w:sz w:val="21"/>
                <w:szCs w:val="21"/>
                <w:color w:val="auto"/>
              </w:rPr>
            </w:pPr>
          </w:p>
        </w:tc>
      </w:tr>
      <w:tr>
        <w:trPr>
          <w:trHeight w:val="338"/>
        </w:trPr>
        <w:tc>
          <w:tcPr>
            <w:tcW w:w="1200" w:type="dxa"/>
            <w:vAlign w:val="bottom"/>
          </w:tcPr>
          <w:p>
            <w:pPr>
              <w:ind w:left="920"/>
              <w:spacing w:after="0"/>
              <w:rPr>
                <w:sz w:val="20"/>
                <w:szCs w:val="20"/>
                <w:color w:val="auto"/>
              </w:rPr>
            </w:pPr>
            <w:r>
              <w:rPr>
                <w:rFonts w:ascii="Arial" w:cs="Arial" w:eastAsia="Arial" w:hAnsi="Arial"/>
                <w:sz w:val="20"/>
                <w:szCs w:val="20"/>
                <w:color w:val="auto"/>
              </w:rPr>
              <w:t>(i)</w:t>
            </w:r>
          </w:p>
        </w:tc>
        <w:tc>
          <w:tcPr>
            <w:tcW w:w="6100" w:type="dxa"/>
            <w:vAlign w:val="bottom"/>
          </w:tcPr>
          <w:p>
            <w:pPr>
              <w:spacing w:after="0"/>
              <w:rPr>
                <w:sz w:val="20"/>
                <w:szCs w:val="20"/>
                <w:color w:val="auto"/>
              </w:rPr>
            </w:pPr>
            <w:r>
              <w:rPr>
                <w:rFonts w:ascii="Arial" w:cs="Arial" w:eastAsia="Arial" w:hAnsi="Arial"/>
                <w:sz w:val="20"/>
                <w:szCs w:val="20"/>
                <w:color w:val="auto"/>
              </w:rPr>
              <w:t>Sole power to vote or to direct the vote:</w:t>
            </w:r>
          </w:p>
        </w:tc>
        <w:tc>
          <w:tcPr>
            <w:tcW w:w="2420" w:type="dxa"/>
            <w:vAlign w:val="bottom"/>
          </w:tcPr>
          <w:p>
            <w:pPr>
              <w:jc w:val="right"/>
              <w:spacing w:after="0"/>
              <w:rPr>
                <w:sz w:val="20"/>
                <w:szCs w:val="20"/>
                <w:color w:val="auto"/>
              </w:rPr>
            </w:pPr>
            <w:r>
              <w:rPr>
                <w:rFonts w:ascii="Arial" w:cs="Arial" w:eastAsia="Arial" w:hAnsi="Arial"/>
                <w:sz w:val="20"/>
                <w:szCs w:val="20"/>
                <w:color w:val="auto"/>
              </w:rPr>
              <w:t>833,333*</w:t>
            </w:r>
          </w:p>
        </w:tc>
      </w:tr>
      <w:tr>
        <w:trPr>
          <w:trHeight w:val="338"/>
        </w:trPr>
        <w:tc>
          <w:tcPr>
            <w:tcW w:w="1200" w:type="dxa"/>
            <w:vAlign w:val="bottom"/>
          </w:tcPr>
          <w:p>
            <w:pPr>
              <w:ind w:left="920"/>
              <w:spacing w:after="0"/>
              <w:rPr>
                <w:sz w:val="20"/>
                <w:szCs w:val="20"/>
                <w:color w:val="auto"/>
              </w:rPr>
            </w:pPr>
            <w:r>
              <w:rPr>
                <w:rFonts w:ascii="Arial" w:cs="Arial" w:eastAsia="Arial" w:hAnsi="Arial"/>
                <w:sz w:val="20"/>
                <w:szCs w:val="20"/>
                <w:color w:val="auto"/>
              </w:rPr>
              <w:t>(ii)</w:t>
            </w:r>
          </w:p>
        </w:tc>
        <w:tc>
          <w:tcPr>
            <w:tcW w:w="6100" w:type="dxa"/>
            <w:vAlign w:val="bottom"/>
          </w:tcPr>
          <w:p>
            <w:pPr>
              <w:ind w:left="60"/>
              <w:spacing w:after="0"/>
              <w:rPr>
                <w:sz w:val="20"/>
                <w:szCs w:val="20"/>
                <w:color w:val="auto"/>
              </w:rPr>
            </w:pPr>
            <w:r>
              <w:rPr>
                <w:rFonts w:ascii="Arial" w:cs="Arial" w:eastAsia="Arial" w:hAnsi="Arial"/>
                <w:sz w:val="20"/>
                <w:szCs w:val="20"/>
                <w:color w:val="auto"/>
              </w:rPr>
              <w:t>Shared power to vote or to direct the vote:</w:t>
            </w:r>
          </w:p>
        </w:tc>
        <w:tc>
          <w:tcPr>
            <w:tcW w:w="242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338"/>
        </w:trPr>
        <w:tc>
          <w:tcPr>
            <w:tcW w:w="7300" w:type="dxa"/>
            <w:vAlign w:val="bottom"/>
            <w:gridSpan w:val="2"/>
          </w:tcPr>
          <w:p>
            <w:pPr>
              <w:ind w:left="920"/>
              <w:spacing w:after="0"/>
              <w:rPr>
                <w:sz w:val="20"/>
                <w:szCs w:val="20"/>
                <w:color w:val="auto"/>
              </w:rPr>
            </w:pPr>
            <w:r>
              <w:rPr>
                <w:rFonts w:ascii="Arial" w:cs="Arial" w:eastAsia="Arial" w:hAnsi="Arial"/>
                <w:sz w:val="20"/>
                <w:szCs w:val="20"/>
                <w:color w:val="auto"/>
              </w:rPr>
              <w:t>(iii) Sole power to dispose or to direct the disposition of:</w:t>
            </w:r>
          </w:p>
        </w:tc>
        <w:tc>
          <w:tcPr>
            <w:tcW w:w="2420" w:type="dxa"/>
            <w:vAlign w:val="bottom"/>
          </w:tcPr>
          <w:p>
            <w:pPr>
              <w:jc w:val="right"/>
              <w:spacing w:after="0"/>
              <w:rPr>
                <w:sz w:val="20"/>
                <w:szCs w:val="20"/>
                <w:color w:val="auto"/>
              </w:rPr>
            </w:pPr>
            <w:r>
              <w:rPr>
                <w:rFonts w:ascii="Arial" w:cs="Arial" w:eastAsia="Arial" w:hAnsi="Arial"/>
                <w:sz w:val="20"/>
                <w:szCs w:val="20"/>
                <w:color w:val="auto"/>
              </w:rPr>
              <w:t>833,333*</w:t>
            </w:r>
          </w:p>
        </w:tc>
      </w:tr>
      <w:tr>
        <w:trPr>
          <w:trHeight w:val="338"/>
        </w:trPr>
        <w:tc>
          <w:tcPr>
            <w:tcW w:w="1200" w:type="dxa"/>
            <w:vAlign w:val="bottom"/>
          </w:tcPr>
          <w:p>
            <w:pPr>
              <w:ind w:left="920"/>
              <w:spacing w:after="0"/>
              <w:rPr>
                <w:sz w:val="20"/>
                <w:szCs w:val="20"/>
                <w:color w:val="auto"/>
              </w:rPr>
            </w:pPr>
            <w:r>
              <w:rPr>
                <w:rFonts w:ascii="Arial" w:cs="Arial" w:eastAsia="Arial" w:hAnsi="Arial"/>
                <w:sz w:val="20"/>
                <w:szCs w:val="20"/>
                <w:color w:val="auto"/>
                <w:w w:val="93"/>
              </w:rPr>
              <w:t>(iv)</w:t>
            </w:r>
          </w:p>
        </w:tc>
        <w:tc>
          <w:tcPr>
            <w:tcW w:w="6100" w:type="dxa"/>
            <w:vAlign w:val="bottom"/>
          </w:tcPr>
          <w:p>
            <w:pPr>
              <w:ind w:left="100"/>
              <w:spacing w:after="0"/>
              <w:rPr>
                <w:sz w:val="20"/>
                <w:szCs w:val="20"/>
                <w:color w:val="auto"/>
              </w:rPr>
            </w:pPr>
            <w:r>
              <w:rPr>
                <w:rFonts w:ascii="Arial" w:cs="Arial" w:eastAsia="Arial" w:hAnsi="Arial"/>
                <w:sz w:val="20"/>
                <w:szCs w:val="20"/>
                <w:color w:val="auto"/>
              </w:rPr>
              <w:t>Shared power to dispose or to direct the disposition of:</w:t>
            </w:r>
          </w:p>
        </w:tc>
        <w:tc>
          <w:tcPr>
            <w:tcW w:w="2420" w:type="dxa"/>
            <w:vAlign w:val="bottom"/>
          </w:tcPr>
          <w:p>
            <w:pPr>
              <w:jc w:val="right"/>
              <w:spacing w:after="0"/>
              <w:rPr>
                <w:sz w:val="20"/>
                <w:szCs w:val="20"/>
                <w:color w:val="auto"/>
              </w:rPr>
            </w:pPr>
            <w:r>
              <w:rPr>
                <w:rFonts w:ascii="Arial" w:cs="Arial" w:eastAsia="Arial" w:hAnsi="Arial"/>
                <w:sz w:val="20"/>
                <w:szCs w:val="20"/>
                <w:color w:val="auto"/>
              </w:rPr>
              <w:t>0*</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16" w:lineRule="exact"/>
        <w:rPr>
          <w:sz w:val="20"/>
          <w:szCs w:val="20"/>
          <w:color w:val="auto"/>
        </w:rPr>
      </w:pPr>
    </w:p>
    <w:p>
      <w:pPr>
        <w:jc w:val="both"/>
        <w:ind w:firstLine="8"/>
        <w:spacing w:after="0" w:line="269"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is being made solely to reflect change in ownership due to an increase in the outstanding shares of the Issuer. The shares of common stock, $0.001 par value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Imprimis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reported herein are held by funds and accounts (collectively, the “</w:t>
      </w:r>
      <w:r>
        <w:rPr>
          <w:rFonts w:ascii="Arial" w:cs="Arial" w:eastAsia="Arial" w:hAnsi="Arial"/>
          <w:sz w:val="18"/>
          <w:szCs w:val="18"/>
          <w:u w:val="single" w:color="auto"/>
          <w:color w:val="auto"/>
        </w:rPr>
        <w:t>Funds and Accounts</w:t>
      </w:r>
      <w:r>
        <w:rPr>
          <w:rFonts w:ascii="Arial" w:cs="Arial" w:eastAsia="Arial" w:hAnsi="Arial"/>
          <w:sz w:val="18"/>
          <w:szCs w:val="18"/>
          <w:color w:val="auto"/>
        </w:rPr>
        <w:t>”) which are managed by Marathon Asset Management, L.P. (“</w:t>
      </w:r>
      <w:r>
        <w:rPr>
          <w:rFonts w:ascii="Arial" w:cs="Arial" w:eastAsia="Arial" w:hAnsi="Arial"/>
          <w:sz w:val="18"/>
          <w:szCs w:val="18"/>
          <w:u w:val="single" w:color="auto"/>
          <w:color w:val="auto"/>
        </w:rPr>
        <w:t>Marathon</w:t>
      </w:r>
      <w:r>
        <w:rPr>
          <w:rFonts w:ascii="Arial" w:cs="Arial" w:eastAsia="Arial" w:hAnsi="Arial"/>
          <w:sz w:val="18"/>
          <w:szCs w:val="18"/>
          <w:color w:val="auto"/>
        </w:rPr>
        <w:t>”). Marathon, in its capacity as the investment manager of each of the Funds and Accounts, has the sole power to vote and the sole power to direct the disposition of all Shares held by the Funds and Accounts. Accordingly, for the purposes of Reg. Section 240.13d-3, Marathon may be deemed to beneficially own an aggregate of 833,333 Shares, or 4.5% of the Shares deemed issued and outstanding as of December 31, 2016. The general partner of Marathon is Marathon Asset Management GP, L.L.C. Bruce Richards and Louis Hanover are the managing members of Marathon Asset Management GP, L.L.C. The beneficial ownership percentage reported herein is based on 18,627,915 Shares issued and outstanding as of December 31, 2016, as disclosed in the Company’s 10-Q, as filed with the Securities and Exchange Commission on November 14, 2016 and information provided by the Company. This report shall not be deemed an admission that Marathon, each Fund and Account or any other person is the beneficial owner of the securities reported herein for purposes of Section 13 of the Securities Exchange Act of 1934, as amended, or for any other purpose.</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5 percent of the class of securities, check the following [ X ].</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740" w:right="460" w:hanging="728"/>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730" w:right="239" w:bottom="1440" w:gutter="0" w:footer="0" w:header="0"/>
        </w:sectPr>
      </w:pPr>
    </w:p>
    <w:bookmarkStart w:id="4" w:name="page5"/>
    <w:bookmarkEnd w:id="4"/>
    <w:p>
      <w:pPr>
        <w:ind w:left="100"/>
        <w:spacing w:after="0"/>
        <w:rPr>
          <w:sz w:val="20"/>
          <w:szCs w:val="20"/>
          <w:color w:val="auto"/>
        </w:rPr>
      </w:pPr>
      <w:r>
        <w:rPr>
          <w:rFonts w:ascii="Arial" w:cs="Arial" w:eastAsia="Arial" w:hAnsi="Arial"/>
          <w:sz w:val="20"/>
          <w:szCs w:val="20"/>
          <w:b w:val="1"/>
          <w:bCs w:val="1"/>
          <w:color w:val="auto"/>
        </w:rPr>
        <w:t>Item 10. Certification.</w:t>
      </w:r>
    </w:p>
    <w:p>
      <w:pPr>
        <w:spacing w:after="0" w:line="249" w:lineRule="exact"/>
        <w:rPr>
          <w:sz w:val="20"/>
          <w:szCs w:val="20"/>
          <w:color w:val="auto"/>
        </w:rPr>
      </w:pPr>
    </w:p>
    <w:p>
      <w:pPr>
        <w:jc w:val="both"/>
        <w:ind w:left="100" w:right="100" w:firstLine="648"/>
        <w:spacing w:after="0" w:line="26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February 14, 2017</w:t>
      </w:r>
    </w:p>
    <w:p>
      <w:pPr>
        <w:spacing w:after="0" w:line="200" w:lineRule="exact"/>
        <w:rPr>
          <w:sz w:val="20"/>
          <w:szCs w:val="20"/>
          <w:color w:val="auto"/>
        </w:rPr>
      </w:pPr>
    </w:p>
    <w:p>
      <w:pPr>
        <w:spacing w:after="0" w:line="293"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MARATHON ASSET MANAGEMENT, L.P.</w:t>
      </w:r>
    </w:p>
    <w:p>
      <w:pPr>
        <w:spacing w:after="0" w:line="256"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By: Marathon Asset Management GP, L.L.C.,</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Andrew Rabinowitz</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Andrew Rabinowitz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-143510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Attention: Intentional misstatements or omissions of fact constitute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Federal criminal violations (See 18 U.S.C. 1001).</w:t>
      </w:r>
    </w:p>
    <w:sectPr>
      <w:pgSz w:w="11900" w:h="16838" w:orient="portrait"/>
      <w:cols w:equalWidth="0" w:num="1">
        <w:col w:w="11420"/>
      </w:cols>
      <w:pgMar w:left="240" w:top="8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2020-01-16T07:10:09Z</dcterms:created>
  <dcterms:modified xsi:type="dcterms:W3CDTF">2020-01-16T07:10:09Z</dcterms:modified>
</cp:coreProperties>
</file>