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60" w:right="1880" w:hanging="3652"/>
        <w:spacing w:after="0" w:line="500" w:lineRule="auto"/>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860" w:hanging="3232"/>
        <w:spacing w:after="0" w:line="500" w:lineRule="auto"/>
        <w:tabs>
          <w:tab w:leader="none" w:pos="21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2"/>
              </w:rPr>
              <w:t>(I.R.S. Employer</w:t>
            </w:r>
          </w:p>
        </w:tc>
      </w:tr>
      <w:tr>
        <w:trPr>
          <w:trHeight w:val="230"/>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9"/>
              </w:rPr>
              <w:t>102 Woodmont Blvd., Suite 610</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5"/>
              </w:rPr>
              <w:t>Nashville, Tennessee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1"/>
              </w:rPr>
              <w:t>(Zip code)</w:t>
            </w:r>
          </w:p>
        </w:tc>
      </w:tr>
      <w:tr>
        <w:trPr>
          <w:trHeight w:val="418"/>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(615) 733-4730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7600" w:type="dxa"/>
            <w:vAlign w:val="bottom"/>
            <w:gridSpan w:val="5"/>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2"/>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08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ind w:right="550"/>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30"/>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3080" w:type="dxa"/>
            <w:vAlign w:val="bottom"/>
            <w:gridSpan w:val="3"/>
          </w:tcPr>
          <w:p>
            <w:pPr>
              <w:jc w:val="center"/>
              <w:ind w:right="860"/>
              <w:spacing w:after="0"/>
              <w:rPr>
                <w:sz w:val="20"/>
                <w:szCs w:val="20"/>
                <w:color w:val="auto"/>
              </w:rPr>
            </w:pPr>
            <w:r>
              <w:rPr>
                <w:rFonts w:ascii="Arial" w:cs="Arial" w:eastAsia="Arial" w:hAnsi="Arial"/>
                <w:sz w:val="18"/>
                <w:szCs w:val="18"/>
                <w:color w:val="auto"/>
                <w:w w:val="98"/>
              </w:rPr>
              <w:t>HROWL</w:t>
            </w:r>
          </w:p>
        </w:tc>
        <w:tc>
          <w:tcPr>
            <w:tcW w:w="3640" w:type="dxa"/>
            <w:vAlign w:val="bottom"/>
          </w:tcPr>
          <w:p>
            <w:pPr>
              <w:jc w:val="center"/>
              <w:ind w:right="530"/>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8, 2021, there were 26,902,763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4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60"/>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8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Part I</w:t>
            </w:r>
          </w:p>
        </w:tc>
        <w:tc>
          <w:tcPr>
            <w:tcW w:w="9620" w:type="dxa"/>
            <w:vAlign w:val="bottom"/>
            <w:gridSpan w:val="16"/>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Signatures</w:t>
              </w:r>
            </w:hyperlink>
          </w:p>
        </w:tc>
        <w:tc>
          <w:tcPr>
            <w:tcW w:w="886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9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4"/>
          </w:tcPr>
          <w:p>
            <w:pPr>
              <w:jc w:val="center"/>
              <w:ind w:left="3911"/>
              <w:spacing w:after="0"/>
              <w:rPr>
                <w:sz w:val="20"/>
                <w:szCs w:val="20"/>
                <w:color w:val="auto"/>
              </w:rPr>
            </w:pPr>
            <w:r>
              <w:rPr>
                <w:rFonts w:ascii="Arial" w:cs="Arial" w:eastAsia="Arial" w:hAnsi="Arial"/>
                <w:sz w:val="18"/>
                <w:szCs w:val="18"/>
                <w:color w:val="auto"/>
                <w:w w:val="79"/>
              </w:rPr>
              <w:t>2</w:t>
            </w:r>
          </w:p>
        </w:tc>
        <w:tc>
          <w:tcPr>
            <w:tcW w:w="1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December 31,</w:t>
            </w:r>
          </w:p>
        </w:tc>
      </w:tr>
      <w:tr>
        <w:trPr>
          <w:trHeight w:val="237"/>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57,856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9,989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28,455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receivable - Melt Pharmaceuticals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2,662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4,827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1,892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1,939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Surface Ophthalmics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Investment in Melt Pharmaceuticals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57"/>
        </w:trPr>
        <w:tc>
          <w:tcPr>
            <w:tcW w:w="74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102,801</w:t>
            </w:r>
          </w:p>
        </w:tc>
        <w:tc>
          <w:tcPr>
            <w:tcW w:w="3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7440" w:type="dxa"/>
            <w:vAlign w:val="bottom"/>
            <w:shd w:val="clear" w:color="auto" w:fill="CCEEFF"/>
          </w:tcPr>
          <w:p>
            <w:pPr>
              <w:ind w:left="1760"/>
              <w:spacing w:after="0" w:line="19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loan payable, net of unamortized debt discount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10,477</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10,799</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Paycheck protection program loan payable, net of current portion</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 and unamortized debt discount</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71,457</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11,670</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86,567</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30,646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$0.001 par value, 50,000,000 shares authorized, 26,902,763 and 25,749,875</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shares issued and outstanding at September 30, 2021 and December 31, 2020, respectively</w:t>
            </w: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104,551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104,557</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(87,989)</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(77,400)</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16,589</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27,183</w:t>
            </w:r>
          </w:p>
        </w:tc>
        <w:tc>
          <w:tcPr>
            <w:tcW w:w="100" w:type="dxa"/>
            <w:vAlign w:val="bottom"/>
            <w:tcBorders>
              <w:top w:val="single" w:sz="8" w:color="CCEEFF"/>
            </w:tcBorders>
          </w:tcPr>
          <w:p>
            <w:pPr>
              <w:spacing w:after="0"/>
              <w:rPr>
                <w:sz w:val="17"/>
                <w:szCs w:val="17"/>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16,234</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26,828</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102,801</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5"/>
              </w:rPr>
              <w:t>For the Three Months Ended</w:t>
            </w:r>
          </w:p>
        </w:tc>
        <w:tc>
          <w:tcPr>
            <w:tcW w:w="3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right"/>
              <w:ind w:right="310"/>
              <w:spacing w:after="0"/>
              <w:rPr>
                <w:sz w:val="20"/>
                <w:szCs w:val="20"/>
                <w:color w:val="auto"/>
              </w:rPr>
            </w:pPr>
            <w:r>
              <w:rPr>
                <w:rFonts w:ascii="Arial" w:cs="Arial" w:eastAsia="Arial" w:hAnsi="Arial"/>
                <w:sz w:val="18"/>
                <w:szCs w:val="18"/>
                <w:color w:val="auto"/>
                <w:w w:val="97"/>
              </w:rPr>
              <w:t>For the Nine Months Ended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2020</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17,811</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14,385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50,056</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2,232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18,711</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14,399</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52,288</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34,276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(4,947)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(13,134)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13,764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10,703</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39,154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11,356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8,436</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28,643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23,806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7,142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2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income from operations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1,597</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(3,512)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Investment (loss) gain from Eton Pharmaceuticals, net</w:t>
            </w: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8,575</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(8,639)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early extinguishment of loan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Gain on forgiveness of PPP loan</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income, net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7,026</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net (loss) income including noncontrolling interests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Harrow Health, Inc.</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180"/>
              <w:spacing w:after="0" w:line="201" w:lineRule="exact"/>
              <w:rPr>
                <w:sz w:val="20"/>
                <w:szCs w:val="20"/>
                <w:color w:val="auto"/>
              </w:rPr>
            </w:pPr>
            <w:r>
              <w:rPr>
                <w:rFonts w:ascii="Arial" w:cs="Arial" w:eastAsia="Arial" w:hAnsi="Arial"/>
                <w:sz w:val="18"/>
                <w:szCs w:val="18"/>
                <w:color w:val="auto"/>
              </w:rPr>
              <w:t>Preferred dividends and accretion of preferred stock issuance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200" w:type="dxa"/>
            <w:vAlign w:val="bottom"/>
          </w:tcPr>
          <w:p>
            <w:pPr>
              <w:ind w:left="1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income attributable to common stockholders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Basic net (loss) income per share of common stock</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3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income per share of common stock</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Weighted average number of shares of common stock outstanding,</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27,112,531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25,921,573</w:t>
            </w:r>
          </w:p>
        </w:tc>
        <w:tc>
          <w:tcPr>
            <w:tcW w:w="220" w:type="dxa"/>
            <w:vAlign w:val="bottom"/>
          </w:tcPr>
          <w:p>
            <w:pPr>
              <w:spacing w:after="0"/>
              <w:rPr>
                <w:sz w:val="24"/>
                <w:szCs w:val="24"/>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26,626,722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25,880,554</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number of shares of common stock outstanding,</w:t>
            </w: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27,112,531</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27,090,060</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26,626,722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25,880,554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Harrow</w:t>
            </w:r>
          </w:p>
        </w:tc>
        <w:tc>
          <w:tcPr>
            <w:tcW w:w="18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12"/>
          </w:tcPr>
          <w:p>
            <w:pPr>
              <w:jc w:val="right"/>
              <w:ind w:right="340"/>
              <w:spacing w:after="0"/>
              <w:rPr>
                <w:sz w:val="20"/>
                <w:szCs w:val="20"/>
                <w:color w:val="auto"/>
              </w:rPr>
            </w:pPr>
            <w:r>
              <w:rPr>
                <w:rFonts w:ascii="Arial" w:cs="Arial" w:eastAsia="Arial" w:hAnsi="Arial"/>
                <w:sz w:val="18"/>
                <w:szCs w:val="18"/>
                <w:color w:val="auto"/>
                <w:w w:val="91"/>
              </w:rPr>
              <w:t>Preferred Stock</w:t>
            </w:r>
          </w:p>
        </w:tc>
        <w:tc>
          <w:tcPr>
            <w:tcW w:w="1780" w:type="dxa"/>
            <w:vAlign w:val="bottom"/>
            <w:gridSpan w:val="11"/>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21"/>
                <w:szCs w:val="21"/>
                <w:color w:val="auto"/>
              </w:rPr>
            </w:pPr>
          </w:p>
        </w:tc>
        <w:tc>
          <w:tcPr>
            <w:tcW w:w="1040" w:type="dxa"/>
            <w:vAlign w:val="bottom"/>
            <w:gridSpan w:val="6"/>
          </w:tcPr>
          <w:p>
            <w:pPr>
              <w:ind w:left="60"/>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Health, Inc.</w:t>
            </w:r>
          </w:p>
        </w:tc>
        <w:tc>
          <w:tcPr>
            <w:tcW w:w="138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15"/>
        </w:trPr>
        <w:tc>
          <w:tcPr>
            <w:tcW w:w="1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85"/>
              </w:rPr>
              <w:t>Par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Par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Paid-in</w:t>
            </w:r>
          </w:p>
        </w:tc>
        <w:tc>
          <w:tcPr>
            <w:tcW w:w="1240" w:type="dxa"/>
            <w:vAlign w:val="bottom"/>
            <w:gridSpan w:val="5"/>
          </w:tcPr>
          <w:p>
            <w:pPr>
              <w:ind w:left="4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Stockholders’</w:t>
            </w: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37"/>
        </w:trPr>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7"/>
          </w:tcPr>
          <w:p>
            <w:pPr>
              <w:jc w:val="right"/>
              <w:ind w:right="300"/>
              <w:spacing w:after="0"/>
              <w:rPr>
                <w:sz w:val="20"/>
                <w:szCs w:val="20"/>
                <w:color w:val="auto"/>
              </w:rPr>
            </w:pPr>
            <w:r>
              <w:rPr>
                <w:rFonts w:ascii="Arial" w:cs="Arial" w:eastAsia="Arial" w:hAnsi="Arial"/>
                <w:sz w:val="18"/>
                <w:szCs w:val="18"/>
                <w:color w:val="auto"/>
                <w:w w:val="91"/>
              </w:rPr>
              <w:t>Value</w:t>
            </w:r>
          </w:p>
        </w:tc>
        <w:tc>
          <w:tcPr>
            <w:tcW w:w="1080" w:type="dxa"/>
            <w:vAlign w:val="bottom"/>
            <w:gridSpan w:val="4"/>
          </w:tcPr>
          <w:p>
            <w:pPr>
              <w:ind w:left="22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5"/>
          </w:tcPr>
          <w:p>
            <w:pPr>
              <w:ind w:left="2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Capital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188"/>
        </w:trPr>
        <w:tc>
          <w:tcPr>
            <w:tcW w:w="1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7"/>
              </w:rPr>
              <w:t>25,649,171</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102,889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(87,187)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15,396</w:t>
            </w: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66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based options</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2,998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2"/>
        </w:trPr>
        <w:tc>
          <w:tcPr>
            <w:tcW w:w="1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provided</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expense</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917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49"/>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8,638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8,638</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w:t>
            </w:r>
          </w:p>
        </w:tc>
      </w:tr>
      <w:tr>
        <w:trPr>
          <w:trHeight w:val="175"/>
        </w:trPr>
        <w:tc>
          <w:tcPr>
            <w:tcW w:w="16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57"/>
        </w:trPr>
        <w:tc>
          <w:tcPr>
            <w:tcW w:w="1660" w:type="dxa"/>
            <w:vAlign w:val="bottom"/>
          </w:tcPr>
          <w:p>
            <w:pPr>
              <w:spacing w:after="0"/>
              <w:rPr>
                <w:sz w:val="20"/>
                <w:szCs w:val="20"/>
                <w:color w:val="auto"/>
              </w:rPr>
            </w:pPr>
            <w:r>
              <w:rPr>
                <w:rFonts w:ascii="Arial" w:cs="Arial" w:eastAsia="Arial" w:hAnsi="Arial"/>
                <w:sz w:val="18"/>
                <w:szCs w:val="18"/>
                <w:color w:val="auto"/>
              </w:rPr>
              <w:t>September 30, 2020</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w w:val="97"/>
              </w:rPr>
              <w:t>25,652,169</w:t>
            </w: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103,798</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(78,549)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25,275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24,928</w:t>
            </w: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Harrow</w:t>
            </w:r>
          </w:p>
        </w:tc>
        <w:tc>
          <w:tcPr>
            <w:tcW w:w="18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12"/>
          </w:tcPr>
          <w:p>
            <w:pPr>
              <w:jc w:val="right"/>
              <w:ind w:right="340"/>
              <w:spacing w:after="0"/>
              <w:rPr>
                <w:sz w:val="20"/>
                <w:szCs w:val="20"/>
                <w:color w:val="auto"/>
              </w:rPr>
            </w:pPr>
            <w:r>
              <w:rPr>
                <w:rFonts w:ascii="Arial" w:cs="Arial" w:eastAsia="Arial" w:hAnsi="Arial"/>
                <w:sz w:val="18"/>
                <w:szCs w:val="18"/>
                <w:color w:val="auto"/>
                <w:w w:val="91"/>
              </w:rPr>
              <w:t>Preferred Stock</w:t>
            </w:r>
          </w:p>
        </w:tc>
        <w:tc>
          <w:tcPr>
            <w:tcW w:w="1320" w:type="dxa"/>
            <w:vAlign w:val="bottom"/>
            <w:gridSpan w:val="7"/>
          </w:tcPr>
          <w:p>
            <w:pPr>
              <w:ind w:left="200"/>
              <w:spacing w:after="0"/>
              <w:rPr>
                <w:sz w:val="20"/>
                <w:szCs w:val="20"/>
                <w:color w:val="auto"/>
              </w:rPr>
            </w:pPr>
            <w:r>
              <w:rPr>
                <w:rFonts w:ascii="Arial" w:cs="Arial" w:eastAsia="Arial" w:hAnsi="Arial"/>
                <w:sz w:val="18"/>
                <w:szCs w:val="18"/>
                <w:color w:val="auto"/>
                <w:w w:val="89"/>
              </w:rPr>
              <w:t>Common Stock</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6"/>
          </w:tcPr>
          <w:p>
            <w:pPr>
              <w:ind w:left="20"/>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Health, Inc.</w:t>
            </w:r>
          </w:p>
        </w:tc>
        <w:tc>
          <w:tcPr>
            <w:tcW w:w="138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15"/>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8"/>
              </w:rPr>
              <w:t>Par</w:t>
            </w: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Par</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Paid-in</w:t>
            </w:r>
          </w:p>
        </w:tc>
        <w:tc>
          <w:tcPr>
            <w:tcW w:w="124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Stockholders’</w:t>
            </w: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37"/>
        </w:trPr>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7"/>
          </w:tcPr>
          <w:p>
            <w:pPr>
              <w:jc w:val="right"/>
              <w:ind w:right="320"/>
              <w:spacing w:after="0"/>
              <w:rPr>
                <w:sz w:val="20"/>
                <w:szCs w:val="20"/>
                <w:color w:val="auto"/>
              </w:rPr>
            </w:pPr>
            <w:r>
              <w:rPr>
                <w:rFonts w:ascii="Arial" w:cs="Arial" w:eastAsia="Arial" w:hAnsi="Arial"/>
                <w:sz w:val="18"/>
                <w:szCs w:val="18"/>
                <w:color w:val="auto"/>
                <w:w w:val="86"/>
              </w:rPr>
              <w:t>Value</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660" w:type="dxa"/>
            <w:vAlign w:val="bottom"/>
            <w:gridSpan w:val="6"/>
          </w:tcPr>
          <w:p>
            <w:pPr>
              <w:ind w:left="2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Capital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188"/>
        </w:trPr>
        <w:tc>
          <w:tcPr>
            <w:tcW w:w="1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26,893,896</w:t>
            </w:r>
          </w:p>
        </w:tc>
        <w:tc>
          <w:tcPr>
            <w:tcW w:w="1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102,837</w:t>
            </w:r>
          </w:p>
        </w:tc>
        <w:tc>
          <w:tcPr>
            <w:tcW w:w="2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(79,661)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22,848</w:t>
            </w: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stock in connection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66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based options</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8,867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2"/>
        </w:trPr>
        <w:tc>
          <w:tcPr>
            <w:tcW w:w="1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(8,328)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(8,328)</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(8,328)</w:t>
            </w:r>
          </w:p>
        </w:tc>
      </w:tr>
      <w:tr>
        <w:trPr>
          <w:trHeight w:val="188"/>
        </w:trPr>
        <w:tc>
          <w:tcPr>
            <w:tcW w:w="1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60" w:type="dxa"/>
            <w:vAlign w:val="bottom"/>
            <w:gridSpan w:val="2"/>
            <w:shd w:val="clear" w:color="auto" w:fill="CCEEFF"/>
          </w:tcPr>
          <w:p>
            <w:pPr>
              <w:spacing w:after="0"/>
              <w:rPr>
                <w:sz w:val="22"/>
                <w:szCs w:val="22"/>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26,902,763</w:t>
            </w:r>
          </w:p>
        </w:tc>
        <w:tc>
          <w:tcPr>
            <w:tcW w:w="1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104,551</w:t>
            </w:r>
          </w:p>
        </w:tc>
        <w:tc>
          <w:tcPr>
            <w:tcW w:w="2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(87,989)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16,234</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8"/>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Harrow</w:t>
            </w:r>
          </w:p>
        </w:tc>
        <w:tc>
          <w:tcPr>
            <w:tcW w:w="18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13"/>
          </w:tcPr>
          <w:p>
            <w:pPr>
              <w:jc w:val="right"/>
              <w:ind w:right="380"/>
              <w:spacing w:after="0"/>
              <w:rPr>
                <w:sz w:val="20"/>
                <w:szCs w:val="20"/>
                <w:color w:val="auto"/>
              </w:rPr>
            </w:pPr>
            <w:r>
              <w:rPr>
                <w:rFonts w:ascii="Arial" w:cs="Arial" w:eastAsia="Arial" w:hAnsi="Arial"/>
                <w:sz w:val="18"/>
                <w:szCs w:val="18"/>
                <w:color w:val="auto"/>
                <w:w w:val="91"/>
              </w:rPr>
              <w:t>Preferred Stock</w:t>
            </w:r>
          </w:p>
        </w:tc>
        <w:tc>
          <w:tcPr>
            <w:tcW w:w="1320" w:type="dxa"/>
            <w:vAlign w:val="bottom"/>
            <w:gridSpan w:val="7"/>
          </w:tcPr>
          <w:p>
            <w:pPr>
              <w:ind w:left="140"/>
              <w:spacing w:after="0"/>
              <w:rPr>
                <w:sz w:val="20"/>
                <w:szCs w:val="20"/>
                <w:color w:val="auto"/>
              </w:rPr>
            </w:pPr>
            <w:r>
              <w:rPr>
                <w:rFonts w:ascii="Arial" w:cs="Arial" w:eastAsia="Arial" w:hAnsi="Arial"/>
                <w:sz w:val="18"/>
                <w:szCs w:val="18"/>
                <w:color w:val="auto"/>
                <w:w w:val="94"/>
              </w:rPr>
              <w:t>Common Stock</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7"/>
          </w:tcPr>
          <w:p>
            <w:pPr>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Health, Inc.</w:t>
            </w:r>
          </w:p>
        </w:tc>
        <w:tc>
          <w:tcPr>
            <w:tcW w:w="138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15"/>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Par</w:t>
            </w:r>
          </w:p>
        </w:tc>
        <w:tc>
          <w:tcPr>
            <w:tcW w:w="260" w:type="dxa"/>
            <w:vAlign w:val="bottom"/>
            <w:gridSpan w:val="3"/>
          </w:tcPr>
          <w:p>
            <w:pPr>
              <w:spacing w:after="0"/>
              <w:rPr>
                <w:sz w:val="18"/>
                <w:szCs w:val="18"/>
                <w:color w:val="auto"/>
              </w:rPr>
            </w:pPr>
          </w:p>
        </w:tc>
        <w:tc>
          <w:tcPr>
            <w:tcW w:w="100" w:type="dxa"/>
            <w:vAlign w:val="bottom"/>
            <w:tcBorders>
              <w:top w:val="single" w:sz="8" w:color="auto"/>
            </w:tcBorders>
            <w:gridSpan w:val="2"/>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Par</w:t>
            </w:r>
          </w:p>
        </w:tc>
        <w:tc>
          <w:tcPr>
            <w:tcW w:w="2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5"/>
          </w:tcPr>
          <w:p>
            <w:pPr>
              <w:jc w:val="right"/>
              <w:ind w:right="420"/>
              <w:spacing w:after="0"/>
              <w:rPr>
                <w:sz w:val="20"/>
                <w:szCs w:val="20"/>
                <w:color w:val="auto"/>
              </w:rPr>
            </w:pPr>
            <w:r>
              <w:rPr>
                <w:rFonts w:ascii="Arial" w:cs="Arial" w:eastAsia="Arial" w:hAnsi="Arial"/>
                <w:sz w:val="18"/>
                <w:szCs w:val="18"/>
                <w:color w:val="auto"/>
                <w:w w:val="96"/>
              </w:rPr>
              <w:t>Paid-in</w:t>
            </w:r>
          </w:p>
        </w:tc>
        <w:tc>
          <w:tcPr>
            <w:tcW w:w="124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Stockholders’</w:t>
            </w: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37"/>
        </w:trPr>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w w:val="80"/>
              </w:rPr>
              <w:t>Shares</w:t>
            </w:r>
          </w:p>
        </w:tc>
        <w:tc>
          <w:tcPr>
            <w:tcW w:w="100" w:type="dxa"/>
            <w:vAlign w:val="bottom"/>
          </w:tcPr>
          <w:p>
            <w:pPr>
              <w:spacing w:after="0"/>
              <w:rPr>
                <w:sz w:val="20"/>
                <w:szCs w:val="20"/>
                <w:color w:val="auto"/>
              </w:rPr>
            </w:pPr>
          </w:p>
        </w:tc>
        <w:tc>
          <w:tcPr>
            <w:tcW w:w="800" w:type="dxa"/>
            <w:vAlign w:val="bottom"/>
            <w:gridSpan w:val="8"/>
          </w:tcPr>
          <w:p>
            <w:pPr>
              <w:jc w:val="right"/>
              <w:ind w:right="360"/>
              <w:spacing w:after="0"/>
              <w:rPr>
                <w:sz w:val="20"/>
                <w:szCs w:val="20"/>
                <w:color w:val="auto"/>
              </w:rPr>
            </w:pPr>
            <w:r>
              <w:rPr>
                <w:rFonts w:ascii="Arial" w:cs="Arial" w:eastAsia="Arial" w:hAnsi="Arial"/>
                <w:sz w:val="18"/>
                <w:szCs w:val="18"/>
                <w:color w:val="auto"/>
                <w:w w:val="91"/>
              </w:rPr>
              <w:t>Value</w:t>
            </w:r>
          </w:p>
        </w:tc>
        <w:tc>
          <w:tcPr>
            <w:tcW w:w="1080" w:type="dxa"/>
            <w:vAlign w:val="bottom"/>
            <w:gridSpan w:val="4"/>
          </w:tcPr>
          <w:p>
            <w:pPr>
              <w:jc w:val="right"/>
              <w:ind w:right="480"/>
              <w:spacing w:after="0"/>
              <w:rPr>
                <w:sz w:val="20"/>
                <w:szCs w:val="20"/>
                <w:color w:val="auto"/>
              </w:rPr>
            </w:pPr>
            <w:r>
              <w:rPr>
                <w:rFonts w:ascii="Arial" w:cs="Arial" w:eastAsia="Arial" w:hAnsi="Arial"/>
                <w:sz w:val="18"/>
                <w:szCs w:val="18"/>
                <w:color w:val="auto"/>
              </w:rPr>
              <w:t>Shares</w:t>
            </w:r>
          </w:p>
        </w:tc>
        <w:tc>
          <w:tcPr>
            <w:tcW w:w="700" w:type="dxa"/>
            <w:vAlign w:val="bottom"/>
            <w:gridSpan w:val="7"/>
          </w:tcPr>
          <w:p>
            <w:pPr>
              <w:jc w:val="right"/>
              <w:ind w:right="28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5"/>
          </w:tcPr>
          <w:p>
            <w:pPr>
              <w:jc w:val="right"/>
              <w:ind w:right="420"/>
              <w:spacing w:after="0"/>
              <w:rPr>
                <w:sz w:val="20"/>
                <w:szCs w:val="20"/>
                <w:color w:val="auto"/>
              </w:rPr>
            </w:pPr>
            <w:r>
              <w:rPr>
                <w:rFonts w:ascii="Arial" w:cs="Arial" w:eastAsia="Arial" w:hAnsi="Arial"/>
                <w:sz w:val="18"/>
                <w:szCs w:val="18"/>
                <w:color w:val="auto"/>
                <w:w w:val="96"/>
              </w:rPr>
              <w:t>Capital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188"/>
        </w:trPr>
        <w:tc>
          <w:tcPr>
            <w:tcW w:w="1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25,526,931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101,728</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(74,043)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27,418</w:t>
            </w:r>
          </w:p>
        </w:tc>
      </w:tr>
      <w:tr>
        <w:trPr>
          <w:trHeight w:val="216"/>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stock in connection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66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based options</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3,251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2"/>
        </w:trPr>
        <w:tc>
          <w:tcPr>
            <w:tcW w:w="1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vesting</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RSUs</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660" w:type="dxa"/>
            <w:vAlign w:val="bottom"/>
          </w:tcPr>
          <w:p>
            <w:pPr>
              <w:ind w:left="180"/>
              <w:spacing w:after="0" w:line="201" w:lineRule="exact"/>
              <w:rPr>
                <w:sz w:val="20"/>
                <w:szCs w:val="20"/>
                <w:color w:val="auto"/>
              </w:rPr>
            </w:pPr>
            <w:r>
              <w:rPr>
                <w:rFonts w:ascii="Arial" w:cs="Arial" w:eastAsia="Arial" w:hAnsi="Arial"/>
                <w:sz w:val="18"/>
                <w:szCs w:val="18"/>
                <w:color w:val="auto"/>
              </w:rPr>
              <w:t>Stock-based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Arial" w:cs="Arial" w:eastAsia="Arial" w:hAnsi="Arial"/>
                <w:sz w:val="18"/>
                <w:szCs w:val="18"/>
                <w:color w:val="auto"/>
              </w:rPr>
              <w:t>payment for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services provided</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r>
      <w:tr>
        <w:trPr>
          <w:trHeight w:val="62"/>
        </w:trPr>
        <w:tc>
          <w:tcPr>
            <w:tcW w:w="1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66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(4,560)</w:t>
            </w:r>
          </w:p>
        </w:tc>
      </w:tr>
      <w:tr>
        <w:trPr>
          <w:trHeight w:val="188"/>
        </w:trPr>
        <w:tc>
          <w:tcPr>
            <w:tcW w:w="1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25,652,169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4"/>
              </w:rPr>
              <w:t>$ 103,798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(78,549)</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25,275</w:t>
            </w:r>
          </w:p>
        </w:tc>
        <w:tc>
          <w:tcPr>
            <w:tcW w:w="2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c>
          <w:tcPr>
            <w:tcW w:w="100" w:type="dxa"/>
            <w:vAlign w:val="bottom"/>
            <w:shd w:val="clear" w:color="auto" w:fill="CCEEFF"/>
          </w:tcPr>
          <w:p>
            <w:pPr>
              <w:spacing w:after="0"/>
              <w:rPr>
                <w:sz w:val="22"/>
                <w:szCs w:val="22"/>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8"/>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Total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96"/>
              </w:rPr>
              <w:t>Harrow</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6"/>
          </w:tcPr>
          <w:p>
            <w:pPr>
              <w:ind w:left="80"/>
              <w:spacing w:after="0"/>
              <w:rPr>
                <w:sz w:val="20"/>
                <w:szCs w:val="20"/>
                <w:color w:val="auto"/>
              </w:rPr>
            </w:pPr>
            <w:r>
              <w:rPr>
                <w:rFonts w:ascii="Arial" w:cs="Arial" w:eastAsia="Arial" w:hAnsi="Arial"/>
                <w:sz w:val="18"/>
                <w:szCs w:val="18"/>
                <w:color w:val="auto"/>
                <w:w w:val="94"/>
              </w:rPr>
              <w:t>Preferred Stock</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8"/>
          </w:tcPr>
          <w:p>
            <w:pPr>
              <w:jc w:val="right"/>
              <w:ind w:righ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Health, Inc.</w:t>
            </w:r>
          </w:p>
        </w:tc>
        <w:tc>
          <w:tcPr>
            <w:tcW w:w="1380" w:type="dxa"/>
            <w:vAlign w:val="bottom"/>
            <w:gridSpan w:val="5"/>
          </w:tcPr>
          <w:p>
            <w:pPr>
              <w:jc w:val="center"/>
              <w:ind w:right="200"/>
              <w:spacing w:after="0"/>
              <w:rPr>
                <w:sz w:val="20"/>
                <w:szCs w:val="20"/>
                <w:color w:val="auto"/>
              </w:rPr>
            </w:pPr>
            <w:r>
              <w:rPr>
                <w:rFonts w:ascii="Arial" w:cs="Arial" w:eastAsia="Arial" w:hAnsi="Arial"/>
                <w:sz w:val="18"/>
                <w:szCs w:val="18"/>
                <w:color w:val="auto"/>
                <w:w w:val="95"/>
              </w:rPr>
              <w:t>Noncontrolling</w:t>
            </w:r>
          </w:p>
        </w:tc>
        <w:tc>
          <w:tcPr>
            <w:tcW w:w="1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15"/>
        </w:trPr>
        <w:tc>
          <w:tcPr>
            <w:tcW w:w="1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85"/>
              </w:rPr>
              <w:t>Par</w:t>
            </w: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Stockholders’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37"/>
        </w:trPr>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color w:val="auto"/>
              </w:rPr>
              <w:t>Shares</w:t>
            </w:r>
          </w:p>
        </w:tc>
        <w:tc>
          <w:tcPr>
            <w:tcW w:w="520" w:type="dxa"/>
            <w:vAlign w:val="bottom"/>
            <w:gridSpan w:val="4"/>
          </w:tcPr>
          <w:p>
            <w:pPr>
              <w:ind w:left="2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60" w:type="dxa"/>
            <w:vAlign w:val="bottom"/>
            <w:gridSpan w:val="4"/>
          </w:tcPr>
          <w:p>
            <w:pPr>
              <w:ind w:left="2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188"/>
        </w:trPr>
        <w:tc>
          <w:tcPr>
            <w:tcW w:w="1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25,749,875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104,557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27,183</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26,828</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Exercise of</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80" w:type="dxa"/>
            <w:vAlign w:val="bottom"/>
            <w:gridSpan w:val="2"/>
          </w:tcPr>
          <w:p>
            <w:pPr>
              <w:ind w:left="180"/>
              <w:spacing w:after="0"/>
              <w:rPr>
                <w:sz w:val="20"/>
                <w:szCs w:val="20"/>
                <w:color w:val="auto"/>
              </w:rPr>
            </w:pPr>
            <w:r>
              <w:rPr>
                <w:rFonts w:ascii="Arial" w:cs="Arial" w:eastAsia="Arial" w:hAnsi="Arial"/>
                <w:sz w:val="18"/>
                <w:szCs w:val="18"/>
                <w:color w:val="auto"/>
              </w:rPr>
              <w:t>employee stock-</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80" w:type="dxa"/>
            <w:vAlign w:val="bottom"/>
            <w:gridSpan w:val="2"/>
          </w:tcPr>
          <w:p>
            <w:pPr>
              <w:ind w:left="180"/>
              <w:spacing w:after="0"/>
              <w:rPr>
                <w:sz w:val="20"/>
                <w:szCs w:val="20"/>
                <w:color w:val="auto"/>
              </w:rPr>
            </w:pPr>
            <w:r>
              <w:rPr>
                <w:rFonts w:ascii="Arial" w:cs="Arial" w:eastAsia="Arial" w:hAnsi="Arial"/>
                <w:sz w:val="18"/>
                <w:szCs w:val="18"/>
                <w:color w:val="auto"/>
              </w:rPr>
              <w:t>based options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25,480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2"/>
        </w:trPr>
        <w:tc>
          <w:tcPr>
            <w:tcW w:w="1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311,369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Arial" w:cs="Arial" w:eastAsia="Arial" w:hAnsi="Arial"/>
                <w:sz w:val="18"/>
                <w:szCs w:val="18"/>
                <w:color w:val="auto"/>
              </w:rPr>
              <w:t>Vesting of RSUs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1,207,500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to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settlement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equity awards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(391,461)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(3,228)</w:t>
            </w:r>
          </w:p>
        </w:tc>
      </w:tr>
      <w:tr>
        <w:trPr>
          <w:trHeight w:val="202"/>
        </w:trPr>
        <w:tc>
          <w:tcPr>
            <w:tcW w:w="1680" w:type="dxa"/>
            <w:vAlign w:val="bottom"/>
            <w:gridSpan w:val="2"/>
          </w:tcPr>
          <w:p>
            <w:pPr>
              <w:spacing w:after="0" w:line="201" w:lineRule="exact"/>
              <w:rPr>
                <w:sz w:val="20"/>
                <w:szCs w:val="20"/>
                <w:color w:val="auto"/>
              </w:rPr>
            </w:pPr>
            <w:r>
              <w:rPr>
                <w:rFonts w:ascii="Arial" w:cs="Arial" w:eastAsia="Arial" w:hAnsi="Arial"/>
                <w:sz w:val="18"/>
                <w:szCs w:val="18"/>
                <w:color w:val="auto"/>
              </w:rPr>
              <w:t>Issuance of</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net of discount and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440,000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10,655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r>
      <w:tr>
        <w:trPr>
          <w:trHeight w:val="202"/>
        </w:trPr>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Redemption of</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(440,000)</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r>
      <w:tr>
        <w:trPr>
          <w:trHeight w:val="202"/>
        </w:trPr>
        <w:tc>
          <w:tcPr>
            <w:tcW w:w="1680" w:type="dxa"/>
            <w:vAlign w:val="bottom"/>
            <w:gridSpan w:val="2"/>
          </w:tcPr>
          <w:p>
            <w:pPr>
              <w:spacing w:after="0" w:line="201" w:lineRule="exact"/>
              <w:rPr>
                <w:sz w:val="20"/>
                <w:szCs w:val="20"/>
                <w:color w:val="auto"/>
              </w:rPr>
            </w:pPr>
            <w:r>
              <w:rPr>
                <w:rFonts w:ascii="Arial" w:cs="Arial" w:eastAsia="Arial" w:hAnsi="Arial"/>
                <w:sz w:val="18"/>
                <w:szCs w:val="18"/>
                <w:color w:val="auto"/>
              </w:rPr>
              <w:t>Payment of</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02"/>
        </w:trPr>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w:t>
            </w:r>
          </w:p>
        </w:tc>
      </w:tr>
      <w:tr>
        <w:trPr>
          <w:trHeight w:val="237"/>
        </w:trPr>
        <w:tc>
          <w:tcPr>
            <w:tcW w:w="1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(10,589)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(10,589)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(10,589)</w:t>
            </w:r>
          </w:p>
        </w:tc>
      </w:tr>
      <w:tr>
        <w:trPr>
          <w:trHeight w:val="188"/>
        </w:trPr>
        <w:tc>
          <w:tcPr>
            <w:tcW w:w="1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26,902,763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104,551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(87,989)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16,589</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16,234</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361"/>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680" w:type="dxa"/>
            <w:vAlign w:val="bottom"/>
            <w:gridSpan w:val="2"/>
          </w:tcPr>
          <w:p>
            <w:pPr>
              <w:jc w:val="center"/>
              <w:ind w:right="12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361"/>
              <w:spacing w:after="0"/>
              <w:rPr>
                <w:sz w:val="20"/>
                <w:szCs w:val="20"/>
                <w:color w:val="auto"/>
              </w:rPr>
            </w:pPr>
            <w:r>
              <w:rPr>
                <w:rFonts w:ascii="Arial" w:cs="Arial" w:eastAsia="Arial" w:hAnsi="Arial"/>
                <w:sz w:val="18"/>
                <w:szCs w:val="18"/>
                <w:color w:val="auto"/>
                <w:w w:val="91"/>
              </w:rPr>
              <w:t>Nine Months Ended</w:t>
            </w:r>
          </w:p>
        </w:tc>
        <w:tc>
          <w:tcPr>
            <w:tcW w:w="100" w:type="dxa"/>
            <w:vAlign w:val="bottom"/>
          </w:tcPr>
          <w:p>
            <w:pPr>
              <w:spacing w:after="0"/>
              <w:rPr>
                <w:sz w:val="18"/>
                <w:szCs w:val="18"/>
                <w:color w:val="auto"/>
              </w:rPr>
            </w:pPr>
          </w:p>
        </w:tc>
        <w:tc>
          <w:tcPr>
            <w:tcW w:w="1680" w:type="dxa"/>
            <w:vAlign w:val="bottom"/>
            <w:gridSpan w:val="2"/>
          </w:tcPr>
          <w:p>
            <w:pPr>
              <w:jc w:val="center"/>
              <w:ind w:right="121"/>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center"/>
              <w:ind w:right="361"/>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1680" w:type="dxa"/>
            <w:vAlign w:val="bottom"/>
            <w:gridSpan w:val="2"/>
          </w:tcPr>
          <w:p>
            <w:pPr>
              <w:jc w:val="center"/>
              <w:ind w:right="121"/>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(including noncontrolling interests)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(10,589)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forgiveness of PPP loan</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loss from Eton, net</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 of unconsolidated entities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income paid-in-kind from note receivable</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and disposal of assets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paid-in-kind on loan payable</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early extinguishment of loan</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payment of consulting services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6,572</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proceeds on sale investments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 receivable, Melt Pharmaceuticals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(12,592)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8.625% notes payable, net of costs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71,073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Principal and exit fee payments on SWK loan</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PPP loan payable</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SWK debt, net of costs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taxes upon vesting of RSUs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preferred stock, net of discount and issuance costs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10,655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Repayment of preferred stock</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51,472</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Pr>
          <w:p>
            <w:pPr>
              <w:spacing w:after="0"/>
              <w:rPr>
                <w:sz w:val="20"/>
                <w:szCs w:val="20"/>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2,603</w:t>
            </w: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44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rPr>
              <w:t>SUPPLEMENTAL DISCLOSURES OF NON-CASH INVESTING AND FINANCING</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40" w:type="dxa"/>
            <w:vAlign w:val="bottom"/>
          </w:tcPr>
          <w:p>
            <w:pPr>
              <w:ind w:left="180"/>
              <w:spacing w:after="0"/>
              <w:rPr>
                <w:sz w:val="20"/>
                <w:szCs w:val="20"/>
                <w:color w:val="auto"/>
              </w:rPr>
            </w:pPr>
            <w:r>
              <w:rPr>
                <w:rFonts w:ascii="Arial" w:cs="Arial" w:eastAsia="Arial" w:hAnsi="Arial"/>
                <w:sz w:val="18"/>
                <w:szCs w:val="18"/>
                <w:color w:val="auto"/>
              </w:rPr>
              <w:t>Right-of-use asset obtained in exchange for lease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197"/>
        </w:trPr>
        <w:tc>
          <w:tcPr>
            <w:tcW w:w="74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Net reduction in right-of-use assets and lease obligations due to modifications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Melt accounts receivable transferred to note receivable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908</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61"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Harrow Health, Inc. (together with its subsidiaries, partially owned companies and royalty arrangements unless the context indicates or otherwise requires, the “Company” or “Harrow”) is an ophthalmic-focused healthcare company that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non-controlling equity positions in Surface Ophthalmics, Inc. (“Surface”) and Melt Pharmaceuticals, Inc. (“Melt”), both companies that began as subsidiaries of Harrow. In 2020, Harrow created Visionology, Inc. (“Visionology”), which recently launched an online eye health platform business. Harrow also owns royalty rights in various drug candidates being developed by Surface and Melt.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2021 are not necessarily indicative of the results that may be expected for the year ending December 31, 2021 or for any other period. For further information, refer to the Company’s audited consolidated financial statements and footnotes thereto included in the Company’s Annual Report on Form 10-K for the year ended December 31, 2020.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 All intercompany accounts and transactions have been eliminated in consolidation.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Harrow consolidates entities in which it has a controlling financial interest. The Company consolidates subsidiaries in which it holds and/or controls, directly or indirectly, more than 50% of the voting rights. All intercompany accounts and transactions have been eliminated in consolidation.</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condensed consolidated balance sheets at September 30, 2021 and December 31, 2020 and the condensed consolidated statements of operations, stockholders’ equity and cash flows for the periods ended September 30, 2021 and 2020 include our accounts and those of our wholly owned subsidiaries, as well as our majority owned subsidiaries Mayfield Pharmaceuticals, Inc. (“Mayfield”) and Stowe Pharmaceuticals, Inc. (“Stowe”).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nine months ended September 30, 2021 to the significant accounting policies described in the Company’s Annual Report on Form 10-K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of our operating segments. The Company has identified two operating segments as reportable segments. See Note 16 for more information regarding the Company’s reportable segments.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loss attributable to noncontrolling interests in consolidated net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net (loss) income per common share is computed by dividing net (loss) income attributable to common stockholders for the period by the weighted average number of common shares outstanding during the period. Diluted net (loss) income per share is computed by dividing the net (loss) income attributable to common stockholders for the period by the weighted average number of common and common equivalent shares, such as stock options and warrants, outstanding during the period. Common equivalent shares (using the treasury stock method) from stock options, unvested restricted stock units (“RSUs”) and warrants were 5,657,046 and 5,447,716 at September 30, 2021 and September 30, 2020, respectively. For the three and nine months ended September 30, 2021 and the nine months ended September 30, 2020, the common equivalent shares are excluded in the calculation of diluted net loss per share because the effect is anti-dilutive. Included in the basic and diluted net (loss) income per share calculation were RSUs awarded to directors that had vested, but the issuance and delivery of the shares are deferred until the director resigns. The number of shares underlying vested RSUs at September 30, 2021 and 2020 was 258,117 and 281,507,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income per share of common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5"/>
              </w:rPr>
              <w:t>For the Nine Months Ended</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 net (loss) income attributable to Harrow Health, Inc.</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(8,328)</w:t>
            </w:r>
          </w:p>
        </w:tc>
        <w:tc>
          <w:tcPr>
            <w:tcW w:w="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(11,061)</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27,112,531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25,921,573</w:t>
            </w:r>
          </w:p>
        </w:tc>
        <w:tc>
          <w:tcPr>
            <w:tcW w:w="200" w:type="dxa"/>
            <w:vAlign w:val="bottom"/>
          </w:tcPr>
          <w:p>
            <w:pPr>
              <w:spacing w:after="0"/>
              <w:rPr>
                <w:sz w:val="21"/>
                <w:szCs w:val="21"/>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26,626,722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25,880,554</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basic</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2"/>
              </w:rPr>
              <w:t>(0.31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2020, the Company had net income. As a result, the Company computed diluted net income per share using the weighted-average number of common shares and dilutive common equivalent shares outstanding during the period. Diluted common equivalent shares for the three months ended September 30, 2020,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For the Three Months</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September 30, 2020</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76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504,742</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663,745</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Dilutive common equivalent shares</w:t>
            </w:r>
          </w:p>
        </w:tc>
        <w:tc>
          <w:tcPr>
            <w:tcW w:w="1760" w:type="dxa"/>
            <w:vAlign w:val="bottom"/>
            <w:tcBorders>
              <w:top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1,168,487</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20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shows the computation of diluted net (loss) income per share of common stock for the three and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5"/>
              </w:rPr>
              <w:t>For the Three Months Ended</w:t>
            </w:r>
          </w:p>
        </w:tc>
        <w:tc>
          <w:tcPr>
            <w:tcW w:w="200" w:type="dxa"/>
            <w:vAlign w:val="bottom"/>
          </w:tcPr>
          <w:p>
            <w:pPr>
              <w:spacing w:after="0"/>
              <w:rPr>
                <w:sz w:val="19"/>
                <w:szCs w:val="19"/>
                <w:color w:val="auto"/>
              </w:rPr>
            </w:pPr>
          </w:p>
        </w:tc>
        <w:tc>
          <w:tcPr>
            <w:tcW w:w="268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5"/>
              </w:rPr>
              <w:t>For the Nine Months Ended</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(loss) income attributable to Harrow Health, Inc.</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 outstanding,</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27,112,531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25,921,573</w:t>
            </w:r>
          </w:p>
        </w:tc>
        <w:tc>
          <w:tcPr>
            <w:tcW w:w="2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26,626,722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25,880,554</w:t>
            </w: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 shares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1,168,487</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Number of shares used for diluted earnings per share computation</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27,112,531</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27,090,060</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26,626,722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25,880,554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per share, diluted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2021, the Company sold 1,518,000 shares of its Eton Pharmaceuticals, Inc. (“Eton”) common stock through an underwritten public offering at a public offering price of $7.00 per share (the “Eton Stock Sale”). The gross proceeds to the Company from the Eton Stock Sale were $10,626, before deducting underwriting discounts and commissions and other offering expenses payable by the Company of $799. During the nine months ended September 30, 2021, the Company recorded a realized loss of $1,406 related to the Eton Stock Sale.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Following the Eton Stock Sale and as of September 30, 2021, the Company owns 1,982,000 shares of Eton common stock, which represents less than 10% of the equity interests of Eton. At September 30, 2021, the fair market value of Eton’s common stock was $5.04 per share. In accordance with the Accounting Standards Update (“ASU”) 2016-01, </w:t>
      </w:r>
      <w:r>
        <w:rPr>
          <w:rFonts w:ascii="Arial" w:cs="Arial" w:eastAsia="Arial" w:hAnsi="Arial"/>
          <w:sz w:val="18"/>
          <w:szCs w:val="18"/>
          <w:i w:val="1"/>
          <w:iCs w:val="1"/>
          <w:color w:val="auto"/>
        </w:rPr>
        <w:t>Financial Instruments-Overall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Company recorded an unrealized investment gain (loss) from its Eton common stock position of $(2,220) and $(7,233),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2021, respectively, and $8,575 and $2,450 during the three and nine months ended September 30, 2020, respectively, related to the change in fair market value of its investment in Eton during the measurement period. As of September 30, 2021, the fair market value of the Company’s investment in Eton was $9,989.</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Eton Stock Sale, the Company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owns 3,500,000 common shares (which is approximately 46% of the equity interests as of September 30, 2021) of Melt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During the three months ended September 30, 2021 and 2020, the Company recorded equity in the net losses of Melt of $706 and $300, and $1,653 and $1,536 during the nine months ended September 30, 2021 and 2020, respectively. As of September 30, 2021 and December 31, 2020, the Company’s investment in Melt was $0 and $1,655. At September 30, 2021 and December 31, 2020, the Company recorded $8 and $851,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3,500,000 common shares (which is approximately 20% of the equity interests following the close of a round of financing completed by Surface in July 2021)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losses of Surface of $0 and $756 during the three months ended September 30, 2021 and 2020, respectively, and $1,314 and $1,694 during the nine months ended September 30, 2021 and 2020, respectively. As of September 30, 2021 and December 31, 2020, the Company’s investment in Surface was $0 and $1,314,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Equity Method Investments and Note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management assesses whether there are any indicators that the carrying value of the Company’s equity method investments and note receivable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September 30, 2021 and December 31, 2020, no indicators of impairment existed.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Simplifying the Accounting for Income Taxes</w:t>
      </w:r>
      <w:r>
        <w:rPr>
          <w:rFonts w:ascii="Arial" w:cs="Arial" w:eastAsia="Arial" w:hAnsi="Arial"/>
          <w:sz w:val="18"/>
          <w:szCs w:val="18"/>
          <w:color w:val="auto"/>
        </w:rPr>
        <w:t>, which simplifies the accounting for income taxes. This guidance became effective for the Company on January 1, 2021 on a prospective basis. Adoption of this ASU did not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items and amounts have been reclassified to conform to the classifications used to prepare the consolidated financial statements for the current period. These reclassifications had no material impact on the Company’s consolidated financial position, results of operations, or cash flows as previously reported.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accounts for contracts with customers in accordance with ASC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The Company has three primary streams of revenue: (1) revenue recognized from our sale of products within our pharmacy services, (2) revenue recognized from a commission agreement with a third party and (3) revenue recognized from intellectual property license and asset purchase agreements.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A contract exists with a customer at the time the prescription or order is received by the Company.</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we are party to four intellectual property licenses and asset purchase agreements in which we have agreed to grant a license and which provide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at which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disaggregated by revenue source for the three and nine months ended September 30, 2021 and 2020,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9"/>
                <w:szCs w:val="19"/>
                <w:color w:val="auto"/>
              </w:rPr>
            </w:pPr>
          </w:p>
        </w:tc>
        <w:tc>
          <w:tcPr>
            <w:tcW w:w="23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3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3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306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revenues</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1"/>
                <w:szCs w:val="21"/>
                <w:color w:val="auto"/>
              </w:rPr>
            </w:pPr>
          </w:p>
        </w:tc>
      </w:tr>
      <w:tr>
        <w:trPr>
          <w:trHeight w:val="217"/>
        </w:trPr>
        <w:tc>
          <w:tcPr>
            <w:tcW w:w="306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18,711</w:t>
            </w: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52,288</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revenue and customer deposits at September 30, 2021 and December 31, 2020, were $3 and $66, respectively. All deferred revenue and customer deposit amounts at December 31, 2020 were recognized as revenue during the nine months ended September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AND NOTE RECEIVABLE FROM MELT PHARMACEUTICALS, INC. -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mid-single-digit royalty payments to the Company on net sales of the Melt Products while any patent rights remain outstanding, as well as other conditions. In January and March 2019, the Company entered into the Melt Series A Preferred Stock Agreement. (see Note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Melt Pharmaceuticals,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2019, the Company and Melt entered into the Melt MSA, whereby the Company provides to Melt certain administrative services and support, including bookkeeping, web services and human resources related activities, and Melt is required to pay the Company a monthly amount of $10. As of September 30, 2021 and December 31, 2020, the Company was due $8 and $851, respectively, from Melt for reimbursable expenses and amounts due under the Melt MSA. Melt did not make any payments to the Company during the three and nine months ended September 30, 2021. The net funds received by Melt excluded $908 for amounts owed to the Company for reimbursable expenses and amounts due under the Melt MSA prior to the effective date of the note receivable (see Note 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Chief Executive Officer, Mark L. Baum, was previously a member of the Melt board of directors until his resignation in September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Mr. Baum’s departure, the Company no longer has any representation on Melt’s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jc w:val="right"/>
              <w:ind w:right="101"/>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41"/>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3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3,907</w:t>
            </w:r>
          </w:p>
        </w:tc>
        <w:tc>
          <w:tcPr>
            <w:tcW w:w="22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3,261</w:t>
            </w:r>
          </w:p>
        </w:tc>
      </w:tr>
      <w:tr>
        <w:trPr>
          <w:trHeight w:val="230"/>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At 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w w:val="93"/>
              </w:rPr>
              <w:t>At December 31,</w:t>
            </w:r>
          </w:p>
        </w:tc>
        <w:tc>
          <w:tcPr>
            <w:tcW w:w="3940" w:type="dxa"/>
            <w:vAlign w:val="bottom"/>
          </w:tcPr>
          <w:p>
            <w:pPr>
              <w:spacing w:after="0"/>
              <w:rPr>
                <w:sz w:val="19"/>
                <w:szCs w:val="19"/>
                <w:color w:val="auto"/>
              </w:rPr>
            </w:pPr>
          </w:p>
        </w:tc>
      </w:tr>
      <w:tr>
        <w:trPr>
          <w:trHeight w:val="237"/>
        </w:trPr>
        <w:tc>
          <w:tcPr>
            <w:tcW w:w="37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394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3"/>
              </w:rPr>
              <w:t>11,965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3940" w:type="dxa"/>
            <w:vAlign w:val="bottom"/>
          </w:tcPr>
          <w:p>
            <w:pPr>
              <w:spacing w:after="0"/>
              <w:rPr>
                <w:sz w:val="18"/>
                <w:szCs w:val="18"/>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3940" w:type="dxa"/>
            <w:vAlign w:val="bottom"/>
          </w:tcPr>
          <w:p>
            <w:pPr>
              <w:spacing w:after="0"/>
              <w:rPr>
                <w:sz w:val="20"/>
                <w:szCs w:val="20"/>
                <w:color w:val="auto"/>
              </w:rPr>
            </w:pPr>
          </w:p>
        </w:tc>
      </w:tr>
      <w:tr>
        <w:trPr>
          <w:trHeight w:val="230"/>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3"/>
              </w:rPr>
              <w:t>11,965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9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14,273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3940" w:type="dxa"/>
            <w:vAlign w:val="bottom"/>
          </w:tcPr>
          <w:p>
            <w:pPr>
              <w:spacing w:after="0"/>
              <w:rPr>
                <w:sz w:val="18"/>
                <w:szCs w:val="18"/>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1,180</w:t>
            </w:r>
          </w:p>
        </w:tc>
        <w:tc>
          <w:tcPr>
            <w:tcW w:w="3940" w:type="dxa"/>
            <w:vAlign w:val="bottom"/>
          </w:tcPr>
          <w:p>
            <w:pPr>
              <w:spacing w:after="0"/>
              <w:rPr>
                <w:sz w:val="20"/>
                <w:szCs w:val="20"/>
                <w:color w:val="auto"/>
              </w:rPr>
            </w:pPr>
          </w:p>
        </w:tc>
      </w:tr>
      <w:tr>
        <w:trPr>
          <w:trHeight w:val="229"/>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3"/>
              </w:rPr>
              <w:t>11,965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9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0"/>
        </w:trPr>
        <w:tc>
          <w:tcPr>
            <w:tcW w:w="3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12</w:t>
            </w:r>
          </w:p>
        </w:tc>
        <w:tc>
          <w:tcPr>
            <w:tcW w:w="15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Note Receivable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the Company entered into a loan and security agreement in the principal amount of $13,500 (the “Melt Loan Agreement”), as lender, with Melt, as borrower. Amounts borrowed under the Melt Loan Agreement bear interest at twelve and one-half percent (12.50%) per annum, which interest can be paid in-kind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three percent (3%) per annum.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funds received by Melt excluded $908 for amounts owed to the Company for reimbursable expenses and amounts due under the Melt MSA prior to the effective date of the note receivable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2021, the Company owned 3,500,000 shares of Surface common stock (approximately 20% of the equity interests). A Company director, Richard L. Lindstrom, and the Company’s Chief Executive Officer, Mark L. Baum, are directors of Surface. Surface is required to make royalty payments to Dr. Lindstrom of net sales of certain Surface products while certain patent rights remain outstanding. Dr. Lindstrom is also a minority owner of Flying L Partners, an affiliate of the funding investor who purchased the Surface Series A Preferred Stock. Several employees and a director of the Company (including Mr. Baum and Dr. Lindstrom) entered into consulting agreements and provide consulting services to Surface.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120" w:type="dxa"/>
            <w:vAlign w:val="bottom"/>
            <w:gridSpan w:val="7"/>
          </w:tcPr>
          <w:p>
            <w:pPr>
              <w:jc w:val="right"/>
              <w:ind w:right="481"/>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2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5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Borders>
              <w:bottom w:val="single" w:sz="8" w:color="CCEEFF"/>
            </w:tcBorders>
          </w:tcPr>
          <w:p>
            <w:pPr>
              <w:spacing w:after="0"/>
              <w:rPr>
                <w:sz w:val="20"/>
                <w:szCs w:val="20"/>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7"/>
        </w:trPr>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60" w:type="dxa"/>
            <w:vAlign w:val="bottom"/>
            <w:tcBorders>
              <w:bottom w:val="single" w:sz="8" w:color="CCEEFF"/>
            </w:tcBorders>
          </w:tcPr>
          <w:p>
            <w:pPr>
              <w:spacing w:after="0"/>
              <w:rPr>
                <w:sz w:val="20"/>
                <w:szCs w:val="20"/>
                <w:color w:val="auto"/>
              </w:rPr>
            </w:pPr>
          </w:p>
        </w:tc>
      </w:tr>
      <w:tr>
        <w:trPr>
          <w:trHeight w:val="229"/>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(6,859</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At September 30,</w:t>
            </w:r>
          </w:p>
        </w:tc>
        <w:tc>
          <w:tcPr>
            <w:tcW w:w="14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At December 31,</w:t>
            </w:r>
          </w:p>
        </w:tc>
      </w:tr>
      <w:tr>
        <w:trPr>
          <w:trHeight w:val="237"/>
        </w:trPr>
        <w:tc>
          <w:tcPr>
            <w:tcW w:w="36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60" w:type="dxa"/>
            <w:vAlign w:val="bottom"/>
            <w:shd w:val="clear" w:color="auto" w:fill="CCEEFF"/>
          </w:tcPr>
          <w:p>
            <w:pPr>
              <w:spacing w:after="0"/>
              <w:rPr>
                <w:sz w:val="18"/>
                <w:szCs w:val="18"/>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Non-current assets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29"/>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23,966</w:t>
            </w:r>
          </w:p>
        </w:tc>
        <w:tc>
          <w:tcPr>
            <w:tcW w:w="1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7,453</w:t>
            </w:r>
          </w:p>
        </w:tc>
      </w:tr>
      <w:tr>
        <w:trPr>
          <w:trHeight w:val="229"/>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cash at September 30, 2021 and December 31, 2020 consisted of funds held in a money market account. At September 30, 2021 and December 31, 2020, the restricted cash was recorded at amortized cost, which approximates fair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2021 and December 31, 2020,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2021 and December 31,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Work in progress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inventories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NOTE 8. PREPAID EXPENSES AND OTHER CURRENT ASSETS</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6"/>
          </w:tcPr>
          <w:p>
            <w:pPr>
              <w:spacing w:after="0"/>
              <w:rPr>
                <w:sz w:val="20"/>
                <w:szCs w:val="20"/>
                <w:color w:val="auto"/>
              </w:rPr>
            </w:pPr>
            <w:r>
              <w:rPr>
                <w:rFonts w:ascii="Arial" w:cs="Arial" w:eastAsia="Arial" w:hAnsi="Arial"/>
                <w:sz w:val="18"/>
                <w:szCs w:val="18"/>
                <w:color w:val="auto"/>
                <w:w w:val="89"/>
              </w:rPr>
              <w:t>Prepaid expenses and other current assets at September 30, 2021 and December 31, 2020, consisted of the following: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Due from Melt Pharmaceuticals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 current assets</w:t>
            </w:r>
          </w:p>
        </w:tc>
        <w:tc>
          <w:tcPr>
            <w:tcW w:w="1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40" w:type="dxa"/>
            <w:vAlign w:val="bottom"/>
            <w:vMerge w:val="restart"/>
          </w:tcPr>
          <w:p>
            <w:pPr>
              <w:jc w:val="right"/>
              <w:ind w:right="9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gridSpan w:val="6"/>
          </w:tcPr>
          <w:p>
            <w:pPr>
              <w:spacing w:after="0"/>
              <w:rPr>
                <w:sz w:val="20"/>
                <w:szCs w:val="20"/>
                <w:color w:val="auto"/>
              </w:rPr>
            </w:pPr>
            <w:r>
              <w:rPr>
                <w:rFonts w:ascii="Arial" w:cs="Arial" w:eastAsia="Arial" w:hAnsi="Arial"/>
                <w:sz w:val="18"/>
                <w:szCs w:val="18"/>
                <w:color w:val="auto"/>
              </w:rPr>
              <w:t>Property, plant and equipment at September 30, 2021 and December 31, 2020,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14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Arial" w:cs="Arial" w:eastAsia="Arial" w:hAnsi="Arial"/>
                <w:sz w:val="18"/>
                <w:szCs w:val="18"/>
                <w:color w:val="auto"/>
              </w:rPr>
              <w:t>Property, plant and equipment, gross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12,919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11,271</w:t>
            </w:r>
          </w:p>
        </w:tc>
        <w:tc>
          <w:tcPr>
            <w:tcW w:w="80" w:type="dxa"/>
            <w:vAlign w:val="bottom"/>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(6,818)</w:t>
            </w:r>
          </w:p>
        </w:tc>
      </w:tr>
      <w:tr>
        <w:trPr>
          <w:trHeight w:val="217"/>
        </w:trPr>
        <w:tc>
          <w:tcPr>
            <w:tcW w:w="1140" w:type="dxa"/>
            <w:vAlign w:val="bottom"/>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80" w:type="dxa"/>
            <w:vAlign w:val="bottom"/>
            <w:tcBorders>
              <w:top w:val="single" w:sz="8" w:color="CCEEFF"/>
            </w:tcBorders>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2021, depreciation and amortization related to the property, plant and equipment was $399 and $1,275, respectively. For the three and nine months ended September 30, 2020, depreciation and amortization related to property, plant and equipment was $464 and $1,377,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Periods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3"/>
              </w:rPr>
              <w:t>Accumulated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Net Carrying</w:t>
            </w: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(in years)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6"/>
              </w:rPr>
              <w:t>Amortization</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17-19</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Licenses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Indefinite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4"/>
              </w:rPr>
              <w:t>3-15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(553)</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Non-competition clause</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2"/>
              </w:rPr>
              <w:t>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(691</w:t>
            </w:r>
          </w:p>
        </w:tc>
        <w:tc>
          <w:tcPr>
            <w:tcW w:w="340" w:type="dxa"/>
            <w:vAlign w:val="bottom"/>
            <w:vMerge w:val="continue"/>
          </w:tcPr>
          <w:p>
            <w:pPr>
              <w:spacing w:after="0"/>
              <w:rPr>
                <w:sz w:val="20"/>
                <w:szCs w:val="20"/>
                <w:color w:val="auto"/>
              </w:rPr>
            </w:pP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2021 and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1"/>
              </w:rPr>
              <w:t>For the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4"/>
              </w:rPr>
              <w:t>For the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19"/>
                <w:szCs w:val="19"/>
                <w:color w:val="auto"/>
              </w:rPr>
            </w:pPr>
          </w:p>
        </w:tc>
        <w:tc>
          <w:tcPr>
            <w:tcW w:w="2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9"/>
                <w:szCs w:val="19"/>
                <w:color w:val="auto"/>
              </w:rPr>
            </w:pPr>
          </w:p>
        </w:tc>
        <w:tc>
          <w:tcPr>
            <w:tcW w:w="18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2580" w:type="dxa"/>
            <w:vAlign w:val="bottom"/>
          </w:tcPr>
          <w:p>
            <w:pPr>
              <w:spacing w:after="0"/>
              <w:rPr>
                <w:sz w:val="20"/>
                <w:szCs w:val="20"/>
                <w:color w:val="auto"/>
              </w:rPr>
            </w:pPr>
          </w:p>
        </w:tc>
        <w:tc>
          <w:tcPr>
            <w:tcW w:w="1760" w:type="dxa"/>
            <w:vAlign w:val="bottom"/>
            <w:gridSpan w:val="5"/>
          </w:tcPr>
          <w:p>
            <w:pPr>
              <w:jc w:val="center"/>
              <w:ind w:left="137"/>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258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66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Licenses</w:t>
            </w:r>
          </w:p>
        </w:tc>
        <w:tc>
          <w:tcPr>
            <w:tcW w:w="6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5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33</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1"/>
                <w:szCs w:val="21"/>
                <w:color w:val="auto"/>
              </w:rPr>
            </w:pPr>
          </w:p>
        </w:tc>
      </w:tr>
      <w:tr>
        <w:trPr>
          <w:trHeight w:val="217"/>
        </w:trPr>
        <w:tc>
          <w:tcPr>
            <w:tcW w:w="25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Amortization of intangible assets</w:t>
            </w:r>
          </w:p>
        </w:tc>
        <w:tc>
          <w:tcPr>
            <w:tcW w:w="6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6"/>
          </w:tcPr>
          <w:p>
            <w:pPr>
              <w:spacing w:after="0"/>
              <w:rPr>
                <w:sz w:val="20"/>
                <w:szCs w:val="20"/>
                <w:color w:val="auto"/>
              </w:rPr>
            </w:pPr>
            <w:r>
              <w:rPr>
                <w:rFonts w:ascii="Arial" w:cs="Arial" w:eastAsia="Arial" w:hAnsi="Arial"/>
                <w:sz w:val="18"/>
                <w:szCs w:val="18"/>
                <w:color w:val="auto"/>
                <w:w w:val="93"/>
              </w:rPr>
              <w:t>Estimated future amortization expense for the Company’s intangible assets at September 30, 2021 is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ACCOUNTS PAYABLE AND ACCRUED EXPENSES</w:t>
            </w: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litigation settlement (see Note 15)</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interest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exit fee for loan payable</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7,335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4,732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61" w:right="3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4477385</wp:posOffset>
            </wp:positionH>
            <wp:positionV relativeFrom="page">
              <wp:posOffset>88900</wp:posOffset>
            </wp:positionV>
            <wp:extent cx="2099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9945" cy="8255"/>
                    </a:xfrm>
                    <a:prstGeom prst="rect">
                      <a:avLst/>
                    </a:prstGeom>
                    <a:noFill/>
                  </pic:spPr>
                </pic:pic>
              </a:graphicData>
            </a:graphic>
          </wp:anchor>
        </w:drawing>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closed an offering of $50,000 aggregate principal amount of 8.625% senior notes due in April 2026, and in May 2021 issued an additional $5,000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 after deducting underwriting discounts and commissions and expenses of $3,091. In June 2021, in a further issuance of the April Notes, the Company sold an additional $20,000 aggregate principal amount of such notes (the “June Notes,” and together with the April Notes, the “Notes”), at a price of $25.75 per June Note, with interest of $278 on the June Notes being accrued from April 20, 2021 as of the date of issuance. The June offering resulted in net proceeds to the Company of approximately $19,164 after deducting underwriting discounts and commissions and expenses of $1,158 and a premium on note issuance of $322.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Notes totaled $1,464 and $2,930 for the three and nine months ended September 30, 2021, and included amortization of debt issuance costs and discount of $197 and $389 for the three and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Paid in April 2021</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and several of its wholly owned subsidiaries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were not achieved. The SWK Loan was secured by substantially all of the Company’s assets, including its intellectual property rights. The SWK Loan was subsequently amended in May 2019 and again in April 2020. The SWK Loan bore an interest rate equal to the three-month London Inter-Bank Offered Rate (subject to a minimum of 2.00%), plus an applicable margin of 10.00% (the “Margin Rate”); provided that, if, two days prior to a payment date, the Company provided SWK evidence that the Company has achieved a leverage ratio as of such date of less than 4.00:1:00, the Margin Rate shall equal 9.00%; and if the Company had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the material changes contained in the amendment entered into with SWK in April 2020 was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Second Amendment; and</w:t>
      </w: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payment of $358 due May 14, 2020 was paid in-kind by increasing the principal amount of the term loans by an amount equal to the interest accrued as of such date.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related to the SWK Loan Agreement, as amended, amounted to $0 and $647 for the three and nine months ended September 30, 2021, respectively, and $501 and $1,566 for the three and nine months ended September 30, 2020, respectively, and included amortization of debt issuance costs and discounts of $0 and $96 for the three and nine months ended September 30, 2021, respectively, and $111 and $354 for the three and nine months ended September 30,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Company paid $15,540 related to all outstanding obligations to SWK under the SWK Loan, including outstanding principal, accrued interest, accrued exit fee and related expenses and recorded a loss from early extinguishment of $756 related to the SWK Loan during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 – Forgiven in March 2021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 On March 30, 2021, the Company received a notice of forgiveness of the full balance of the PPP Loan, including all accrued interest, in accordance with the terms and conditions of the CARES Act. Related to the forgiveness, the Company recorded a gain on the forgiveness of the PPP Loan for the loan balance of $1,967 in the accompanying condensed consolidated statement of operations for the nine months ended September 30,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At September 30, 2021, future minimum payments under the Company’s debt were as follows:</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14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80" w:type="dxa"/>
            <w:vAlign w:val="bottom"/>
            <w:shd w:val="clear" w:color="auto" w:fill="CCEEFF"/>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7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77,158</w:t>
            </w:r>
          </w:p>
        </w:tc>
        <w:tc>
          <w:tcPr>
            <w:tcW w:w="80" w:type="dxa"/>
            <w:vAlign w:val="bottom"/>
            <w:tcBorders>
              <w:bottom w:val="single" w:sz="8" w:color="CCEEFF"/>
            </w:tcBorders>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106,193</w:t>
            </w:r>
          </w:p>
        </w:tc>
        <w:tc>
          <w:tcPr>
            <w:tcW w:w="80" w:type="dxa"/>
            <w:vAlign w:val="bottom"/>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(31,193)</w:t>
            </w:r>
          </w:p>
        </w:tc>
      </w:tr>
      <w:tr>
        <w:trPr>
          <w:trHeight w:val="216"/>
        </w:trPr>
        <w:tc>
          <w:tcPr>
            <w:tcW w:w="114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unamortized discount, net of premium</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(3,543)</w:t>
            </w:r>
          </w:p>
        </w:tc>
      </w:tr>
      <w:tr>
        <w:trPr>
          <w:trHeight w:val="230"/>
        </w:trPr>
        <w:tc>
          <w:tcPr>
            <w:tcW w:w="1140" w:type="dxa"/>
            <w:vAlign w:val="bottom"/>
          </w:tcPr>
          <w:p>
            <w:pPr>
              <w:spacing w:after="0"/>
              <w:rPr>
                <w:sz w:val="19"/>
                <w:szCs w:val="19"/>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net of unamortized discount</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non-cancelable operating leases listed below. These lease agreements have remaining terms between one to five years and contain various clauses for renewal at the Company’s option.</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26,400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 another amendment entered into in May 2021 that extended the term of the lease to July 2027; and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In May 2021, the Company amended its New Jersey lease to include the addition of 8,926 square feet of space (the “May Lease Amendment”), which will expire in July 2027. The Company expects to take possession of this additional space in November 2021, which will trigger the commencement of the May Lease Amendment. Since the commencement date of the May Lease Amendment is expected to occur after September 30, 2021, right-of-use assets and operating lease liabilities associated with the May Lease Amendment are not included in the Company’s condensed consolidated balance sheet as of September 30, 2021.</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the Company entered into an operating lease for 5,789 square feet of office space (the “1000 Aviara Lease”) in Carlsbad, California, which will expire in March 2025. The Company expects to take possession of this space in December 2021, which will trigger the commencement of the 1000 Aviara Lease. Since the commencement date of the 1000 Aviara Lease is expected to occur after September 30, 2021, right-of-use assets and operating lease liabilities associated with the 1000 Aviara Lease is not included in the Company’s condensed consolidated balance sheet as of September 30,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the weighted average incremental borrowing rate and the weighted average remaining lease term for the operating leases held by the Company were 6.32% and 14.18 years,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and nine months ended September 30, 2021, cash paid for amounts included for the operating lease liabilities was $250 and $752, respectively, and the Company recorded operating lease expense of $203 and $705, included in selling, general and administrative expenses,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September 30, 2021 were as follows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w w:val="92"/>
              </w:rPr>
              <w:t>The Company also has a finance lease that is included in its lease accounting but is not considered significant.</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w w:val="95"/>
              </w:rPr>
              <w:t>Future lease payments under the non-cancelable finance lease as of September 30, 2021 were as follows</w:t>
            </w:r>
            <w:r>
              <w:rPr>
                <w:rFonts w:ascii="Arial" w:cs="Arial" w:eastAsia="Arial" w:hAnsi="Arial"/>
                <w:sz w:val="18"/>
                <w:szCs w:val="18"/>
                <w:b w:val="1"/>
                <w:bCs w:val="1"/>
                <w:color w:val="auto"/>
                <w:w w:val="9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 finance lease obligation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 net of current portion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2021, the incremental borrowing rate and the remaining lease term for the finance lease held by the Company were 6.36% and 2.33 years,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2021, depreciation expense related to the equipment held under the finance lease obligation was $2 and $6,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2021, cash paid and expense recognized for interest expense related to the finance lease obligation was $0 and $1,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and 2020, the Company had 5,000,000 shares of preferred stock, $0.001 par value, authorized and no shares of preferred stock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Cumulative Preferred Stock – Redeemed in June 2021</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2021, the Company sold 440,000 shares of the Company’s Series B Cumulative Preferred Stock, par value $0.001 per share and liquidation preference of $25.00 per share (the “Series B Preferred Stock”), for net proceeds of approximately $10,655. The Series B Preferred Stock was not convertible into our common stock, had no voting rights, except as required by Delaware law, and was redeemable by the Company at any time. Holders of Series B Preferred Stock were entitled to cumulative cash dividends at the rate of 9.50% of the $25.00 liquidation preference per year; provided, however, that for each thirty (30) day period following May 5, 2021, the dividend rate increased at various rates, except as otherwise limited by applicable law. Dividends were payable quarterly in arrears, on or about the 15th of January, April, July and October, beginning on or about July 15, 2021.</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June 2021, the Company redeemed all of the outstanding shares of the Series B Preferred Stock. The redemption price for the 440,000 shares of Series B Preferred Stock outstanding was equal to $25.00 per share, plus accrued and unpaid dividends, which in aggregate totaled $11,127. During the three and nine months ended September 30, 2021, the Company recorded preferred stock cash dividends and deemed dividends equal to $0 and $472,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issued 311,369 shares of its common stock upon the cashless exercise of warrants to purchase 406,539 shares of common stock with exercise prices between $1.79 and $3.75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issued 25,480 shares of its common stock upon the exercise of options to purchase 25,480 shares of common stock with exercise prices between $1.70 and $4.29 per share and received net proceeds of $65.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issued 715,871 shares of its common stock to Mark L. Baum, its Chief Executive Officer, related to the vesting of 1,050,000 performance-based restricted stock units. The Company withheld issuance of 334,129 shares of common stock valued at $2,760 for payroll tax purposes.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issued 100,168 shares of common stock to Andrew R. Boll, its Chief Financial Officer, related to the vesting of 157,500 performance-based restricted stock units. The Company withheld issuance of 57,332 shares of common stock to Mr. Boll for payroll tax purposes valued at $468.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57,654 shares of the Company’s common stock underlying RSUs issued to directors vested, but the issuance and delivery of these shares are deferred until the applicable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September 30, 2021, the 2017 Plan provides for the issuance of a maximum of 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2,400,592 shares available for future issuances under the 2017 Plan at September 30,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8"/>
          </w:tcPr>
          <w:p>
            <w:pPr>
              <w:spacing w:after="0"/>
              <w:rPr>
                <w:sz w:val="20"/>
                <w:szCs w:val="20"/>
                <w:color w:val="auto"/>
              </w:rPr>
            </w:pPr>
            <w:r>
              <w:rPr>
                <w:rFonts w:ascii="Arial" w:cs="Arial" w:eastAsia="Arial" w:hAnsi="Arial"/>
                <w:sz w:val="18"/>
                <w:szCs w:val="18"/>
                <w:color w:val="auto"/>
                <w:w w:val="97"/>
              </w:rPr>
              <w:t>A summary of stock option activity under the Plans for the three and nine months ended September 30, 2021 is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Weighted Avg.</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Number of Shares</w:t>
            </w:r>
          </w:p>
        </w:tc>
        <w:tc>
          <w:tcPr>
            <w:tcW w:w="1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Exercise Price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77,000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8.13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(41,199)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5.88</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3,040,354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5.07</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4.71</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2,403,938</w:t>
            </w:r>
          </w:p>
        </w:tc>
        <w:tc>
          <w:tcPr>
            <w:tcW w:w="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2,976,713</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5.48</w:t>
            </w:r>
          </w:p>
        </w:tc>
        <w:tc>
          <w:tcPr>
            <w:tcW w:w="16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gridSpan w:val="2"/>
            <w:shd w:val="clear" w:color="auto" w:fill="CCEEFF"/>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September 30, 2021, based on the closing price of the Company’s common stock of $9.09 on that 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months ended September 30, 2021,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2021, generally included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0.39-0.45%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Options Outstanding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96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Range of Exercise</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Number</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41"/>
        </w:trPr>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Prices</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Life in Years</w:t>
            </w: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170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88"/>
              </w:rPr>
              <w:t>$1.47 - $2.60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751,763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751,350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jc w:val="right"/>
              <w:ind w:right="650"/>
              <w:spacing w:after="0"/>
              <w:rPr>
                <w:sz w:val="20"/>
                <w:szCs w:val="20"/>
                <w:color w:val="auto"/>
              </w:rPr>
            </w:pPr>
            <w:r>
              <w:rPr>
                <w:rFonts w:ascii="Arial" w:cs="Arial" w:eastAsia="Arial" w:hAnsi="Arial"/>
                <w:sz w:val="18"/>
                <w:szCs w:val="18"/>
                <w:color w:val="auto"/>
                <w:w w:val="88"/>
              </w:rPr>
              <w:t>$2.76 - $4.66</w:t>
            </w:r>
          </w:p>
        </w:tc>
        <w:tc>
          <w:tcPr>
            <w:tcW w:w="2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505,000</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4.96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454,621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17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88"/>
              </w:rPr>
              <w:t>$5.49 - $6.36</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470,350</w:t>
            </w:r>
          </w:p>
        </w:tc>
        <w:tc>
          <w:tcPr>
            <w:tcW w:w="2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384,482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37"/>
        </w:trPr>
        <w:tc>
          <w:tcPr>
            <w:tcW w:w="1700" w:type="dxa"/>
            <w:vAlign w:val="bottom"/>
          </w:tcPr>
          <w:p>
            <w:pPr>
              <w:jc w:val="right"/>
              <w:ind w:right="650"/>
              <w:spacing w:after="0"/>
              <w:rPr>
                <w:sz w:val="20"/>
                <w:szCs w:val="20"/>
                <w:color w:val="auto"/>
              </w:rPr>
            </w:pPr>
            <w:r>
              <w:rPr>
                <w:rFonts w:ascii="Arial" w:cs="Arial" w:eastAsia="Arial" w:hAnsi="Arial"/>
                <w:sz w:val="18"/>
                <w:szCs w:val="18"/>
                <w:color w:val="auto"/>
                <w:w w:val="88"/>
              </w:rPr>
              <w:t>$6.64 - $8.99</w:t>
            </w:r>
          </w:p>
        </w:tc>
        <w:tc>
          <w:tcPr>
            <w:tcW w:w="2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1,313,241</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4.68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7.87</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813,485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r>
      <w:tr>
        <w:trPr>
          <w:trHeight w:val="229"/>
        </w:trPr>
        <w:tc>
          <w:tcPr>
            <w:tcW w:w="1700" w:type="dxa"/>
            <w:vAlign w:val="bottom"/>
            <w:tcBorders>
              <w:top w:val="single" w:sz="8" w:color="CCEEFF"/>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8"/>
              </w:rPr>
              <w:t>$1.47 - $8.99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3,040,354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2,403,938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0"/>
        </w:trPr>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there was approximately $1,656 of total unrecognized compensation expense related to unvested stock options granted under the Plans. That expense is expected to be recognized over the weighted-average remaining vesting period of 5.25 years. The stock-based compensation for all stock options was $355 and $1,376 during the three and nine months ended September 30,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three and nine months ended September 30, 2021 was $69 and $146,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Performance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300,000 RSUs with a fair market value of $2,670 were issued to certain employees; the RSUs vest in full on the third anniversary of the grant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Company’s board of directors were granted 38,576 RSUs with a fair market value of $400, which vest in equal quarterly installments over one year.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nine months ended September 30, 2021, the Company granted 1,567,913 performance stock units (“PSUs”) to members of its senior management including Mark Baum, Chief Executive Officer, Andrew Boll, Chief Financial Officer, and John Saharek, President of ImprimisRx , which are subject to the satisfaction of certain market-based and continued service conditions (the “2021 PSUs”). The 2021 PSUs are separated into four tranches and require that the Company achieve and maintain certain levels of total stockholder returns (“TSR”) ranging from 50% to 175% per share during the five-year period following the grant date. TSR is based on the aggregate of: (i) the percent increase of the closing price of the Company’s common stock from July 22, 2021; and (ii) any dividends or like stockholder distributions as specified in the table below. With certain limited exceptions, in addition to reaching the TSR targets, the employee must be employed with the Company on the second anniversary of the grant date in order for the 2021 PSUs to vest.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Tranche</w:t>
            </w:r>
          </w:p>
        </w:tc>
        <w:tc>
          <w:tcPr>
            <w:tcW w:w="2480" w:type="dxa"/>
            <w:vAlign w:val="bottom"/>
            <w:gridSpan w:val="3"/>
          </w:tcPr>
          <w:p>
            <w:pPr>
              <w:ind w:left="220"/>
              <w:spacing w:after="0"/>
              <w:rPr>
                <w:sz w:val="20"/>
                <w:szCs w:val="20"/>
                <w:color w:val="auto"/>
              </w:rPr>
            </w:pPr>
            <w:r>
              <w:rPr>
                <w:rFonts w:ascii="Arial" w:cs="Arial" w:eastAsia="Arial" w:hAnsi="Arial"/>
                <w:sz w:val="18"/>
                <w:szCs w:val="18"/>
                <w:color w:val="auto"/>
              </w:rPr>
              <w:t>Number of Shares</w:t>
            </w:r>
          </w:p>
        </w:tc>
        <w:tc>
          <w:tcPr>
            <w:tcW w:w="1800" w:type="dxa"/>
            <w:vAlign w:val="bottom"/>
          </w:tcPr>
          <w:p>
            <w:pPr>
              <w:spacing w:after="0"/>
              <w:rPr>
                <w:sz w:val="20"/>
                <w:szCs w:val="20"/>
                <w:color w:val="auto"/>
              </w:rPr>
            </w:pPr>
            <w:r>
              <w:rPr>
                <w:rFonts w:ascii="Arial" w:cs="Arial" w:eastAsia="Arial" w:hAnsi="Arial"/>
                <w:sz w:val="18"/>
                <w:szCs w:val="18"/>
                <w:color w:val="auto"/>
              </w:rPr>
              <w:t>TSR</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1"/>
              </w:rPr>
              <w:t>Target Share Price*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223,988</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50% or greater</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Tranche 2</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335,981</w:t>
            </w:r>
          </w:p>
        </w:tc>
        <w:tc>
          <w:tcPr>
            <w:tcW w:w="1800" w:type="dxa"/>
            <w:vAlign w:val="bottom"/>
          </w:tcPr>
          <w:p>
            <w:pPr>
              <w:spacing w:after="0"/>
              <w:rPr>
                <w:sz w:val="20"/>
                <w:szCs w:val="20"/>
                <w:color w:val="auto"/>
              </w:rPr>
            </w:pPr>
            <w:r>
              <w:rPr>
                <w:rFonts w:ascii="Arial" w:cs="Arial" w:eastAsia="Arial" w:hAnsi="Arial"/>
                <w:sz w:val="18"/>
                <w:szCs w:val="18"/>
                <w:color w:val="auto"/>
              </w:rPr>
              <w:t>100% or greater</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15.60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447,975</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150% or greater</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19.50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Tranche 4</w:t>
            </w:r>
          </w:p>
        </w:tc>
        <w:tc>
          <w:tcPr>
            <w:tcW w:w="2480" w:type="dxa"/>
            <w:vAlign w:val="bottom"/>
            <w:gridSpan w:val="3"/>
          </w:tcPr>
          <w:p>
            <w:pPr>
              <w:jc w:val="right"/>
              <w:ind w:right="320"/>
              <w:spacing w:after="0"/>
              <w:rPr>
                <w:sz w:val="20"/>
                <w:szCs w:val="20"/>
                <w:color w:val="auto"/>
              </w:rPr>
            </w:pPr>
            <w:r>
              <w:rPr>
                <w:rFonts w:ascii="Arial" w:cs="Arial" w:eastAsia="Arial" w:hAnsi="Arial"/>
                <w:sz w:val="18"/>
                <w:szCs w:val="18"/>
                <w:color w:val="auto"/>
              </w:rPr>
              <w:t>559,969</w:t>
            </w:r>
          </w:p>
        </w:tc>
        <w:tc>
          <w:tcPr>
            <w:tcW w:w="1800" w:type="dxa"/>
            <w:vAlign w:val="bottom"/>
          </w:tcPr>
          <w:p>
            <w:pPr>
              <w:spacing w:after="0"/>
              <w:rPr>
                <w:sz w:val="20"/>
                <w:szCs w:val="20"/>
                <w:color w:val="auto"/>
              </w:rPr>
            </w:pPr>
            <w:r>
              <w:rPr>
                <w:rFonts w:ascii="Arial" w:cs="Arial" w:eastAsia="Arial" w:hAnsi="Arial"/>
                <w:sz w:val="18"/>
                <w:szCs w:val="18"/>
                <w:color w:val="auto"/>
              </w:rPr>
              <w:t>175% or greater</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21.45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*Target Share Price assumes that no dividends or like distributions are made to shareholders of the Company. If such distributions are made, the Target Share Price would decrease accordingly, to the benefit of the employee, to account for the dividend/distribution as a part of TSR.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2021 PSUs was $10,113 using a Monte Carlo Simulation with a five-year life, 75% volatility and a risk free interest rate of 0.72%.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amount is being amortized over a two-year derived service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A summary of the Company’s RSU activity (including PSUs) and related information for the nine months ended September 30, 2021 is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Weighted Average Grant</w:t>
            </w:r>
          </w:p>
        </w:tc>
      </w:tr>
      <w:tr>
        <w:trPr>
          <w:trHeight w:val="241"/>
        </w:trPr>
        <w:tc>
          <w:tcPr>
            <w:tcW w:w="4520" w:type="dxa"/>
            <w:vAlign w:val="bottom"/>
          </w:tcPr>
          <w:p>
            <w:pPr>
              <w:spacing w:after="0"/>
              <w:rPr>
                <w:sz w:val="20"/>
                <w:szCs w:val="20"/>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RSUs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Date Fair Value</w:t>
            </w:r>
          </w:p>
        </w:tc>
      </w:tr>
      <w:tr>
        <w:trPr>
          <w:trHeight w:val="216"/>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2021</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RSUs granted</w:t>
            </w:r>
          </w:p>
        </w:tc>
        <w:tc>
          <w:tcPr>
            <w:tcW w:w="2060" w:type="dxa"/>
            <w:vAlign w:val="bottom"/>
          </w:tcPr>
          <w:p>
            <w:pPr>
              <w:jc w:val="right"/>
              <w:spacing w:after="0"/>
              <w:rPr>
                <w:sz w:val="20"/>
                <w:szCs w:val="20"/>
                <w:color w:val="auto"/>
              </w:rPr>
            </w:pPr>
            <w:r>
              <w:rPr>
                <w:rFonts w:ascii="Arial" w:cs="Arial" w:eastAsia="Arial" w:hAnsi="Arial"/>
                <w:sz w:val="18"/>
                <w:szCs w:val="18"/>
                <w:color w:val="auto"/>
              </w:rPr>
              <w:t>1,906,489</w:t>
            </w:r>
          </w:p>
        </w:tc>
        <w:tc>
          <w:tcPr>
            <w:tcW w:w="140" w:type="dxa"/>
            <w:vAlign w:val="bottom"/>
          </w:tcPr>
          <w:p>
            <w:pPr>
              <w:spacing w:after="0"/>
              <w:rPr>
                <w:sz w:val="18"/>
                <w:szCs w:val="18"/>
                <w:color w:val="auto"/>
              </w:rPr>
            </w:pPr>
          </w:p>
        </w:tc>
        <w:tc>
          <w:tcPr>
            <w:tcW w:w="3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(1,265,153)</w:t>
            </w:r>
          </w:p>
        </w:tc>
        <w:tc>
          <w:tcPr>
            <w:tcW w:w="3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r>
      <w:tr>
        <w:trPr>
          <w:trHeight w:val="237"/>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cancelled/forfeited</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3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2021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2,242,845</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the total unrecognized compensation expense related to unvested RSUs was approximately $12,379, which is expected to be recognized over a weighted-average period of 1.73 years, based on estimated and actual vesting schedules of the applicable RSUs. The stock-based compensation for RSUs during the three and nine months ended September 30, 2021 was $1,340 and $2,167,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nine months ended September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Subject to Warrants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 January 1, 2021</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6"/>
        </w:trPr>
        <w:tc>
          <w:tcPr>
            <w:tcW w:w="38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2021</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980" w:type="dxa"/>
            <w:vAlign w:val="bottom"/>
            <w:gridSpan w:val="6"/>
            <w:vMerge w:val="restart"/>
          </w:tcPr>
          <w:p>
            <w:pPr>
              <w:spacing w:after="0" w:line="195" w:lineRule="exact"/>
              <w:rPr>
                <w:sz w:val="20"/>
                <w:szCs w:val="20"/>
                <w:color w:val="auto"/>
              </w:rPr>
            </w:pPr>
            <w:r>
              <w:rPr>
                <w:rFonts w:ascii="Arial" w:cs="Arial" w:eastAsia="Arial" w:hAnsi="Arial"/>
                <w:sz w:val="18"/>
                <w:szCs w:val="18"/>
                <w:color w:val="auto"/>
                <w:w w:val="93"/>
              </w:rPr>
              <w:t>Weighted average remaining contractual life of the outstanding warrants in years - September</w:t>
            </w: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30, 2021</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gridSpan w:val="5"/>
            <w:vMerge w:val="restart"/>
          </w:tcPr>
          <w:p>
            <w:pPr>
              <w:spacing w:after="0"/>
              <w:rPr>
                <w:sz w:val="20"/>
                <w:szCs w:val="20"/>
                <w:color w:val="auto"/>
              </w:rPr>
            </w:pPr>
            <w:r>
              <w:rPr>
                <w:rFonts w:ascii="Arial" w:cs="Arial" w:eastAsia="Arial" w:hAnsi="Arial"/>
                <w:sz w:val="18"/>
                <w:szCs w:val="18"/>
                <w:color w:val="auto"/>
                <w:w w:val="91"/>
              </w:rPr>
              <w:t>Warrants outstanding and exercisable as of September 30, 2021 are as follows:</w:t>
            </w:r>
          </w:p>
        </w:tc>
        <w:tc>
          <w:tcPr>
            <w:tcW w:w="1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28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Exercise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Warrant Series</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Issue Date</w:t>
            </w:r>
          </w:p>
        </w:tc>
        <w:tc>
          <w:tcPr>
            <w:tcW w:w="1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7/19/2017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2.08</w:t>
            </w:r>
          </w:p>
        </w:tc>
        <w:tc>
          <w:tcPr>
            <w:tcW w:w="3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$2 and $87 in stock-based compensation expense related to subsidiary stock options during the three and nine months ended September 30,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820" w:type="dxa"/>
            <w:vAlign w:val="bottom"/>
            <w:tcBorders>
              <w:top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1,435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Employees - R&amp;D</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8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1,697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the Company in the U.S. District Court for the District of Delaware asserting various claims, including breach of contract. The claims stem from an asset purchase agreement between the Company and NDS entered into in 2013. In July 2019, NDS filed a second amended complaint which added claims related to its purported termination of the asset purchase agreement. In October 2019, NDS voluntarily dismissed all but two claims, leaving only claims related to the scope and performance of the post-termination obligations to be litigated. On November 8, 2021, following a jury trial, the Company and NDS entered into a voluntary settlement agreement (the “Settlement Agreement”) to resolve all claims and pending matters related to this lawsuit. The Company estimates the Settlement Agreement will result in a single one-time payment of $1,500 to NDS. Except for the one-time payment, the Company does not expect the Settlement Agreement will have any future material impact on the Company’s consolidated cash flows, financial position, and results of operations. As of September 30, 2021, the Company had accrued an estimate of $1,500 in selling, general and administrative expenses owed to NDS as a result of the Settlement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Court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sought indemnity and contribution from the Company and Spectrum. In November 2021, the lawsuit involving the Company was resolved. There was no impact to the Company’s consolidated financial position and results of operations as a result of the resolution of the case for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$44 and $114 were made during the three and nine months ended September 30, 2021, respectively. Payments totaling $0 and $55 were made during the three and nine months ended September 30, 2020, respectively. Royalty expense of $51 and $130 was incurred during the three and nine months ended September 30, 2021, respectively, and $51 is included in accounts payable to Dr. Lindstrom as of September 30, 2021. Royalty expense of $38 and $94 was incurred during the three and nine months ended September 30,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$7 and $21 in cash during the three and nine months ended September 30, 2021, respectively. Dr. Lindstrom was paid $0 and $7 in cash during the three and nine months ended September 30, 2020, respectively. The Company incurred royalty expense of $7 and $21 and $6 and $48 related to the Lindstrom APA during the three and nine months ended September 30,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The Dexycu Agreement expires on August 1, 2025, subject to early termination in accordance with the terms set forth therein. Either party may terminate the Dexycu Agreement, subject to specified notice periods and limitations,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and nine months ended September 30, 2021, the Company recorded $900 and $2,212, respectively, in commission revenues related to the Dexycu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generally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$953 and $2,766 and $741 and $1,745 were incurred under these agreements during the three and nine months ended September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Royalty expenses of $285 and $778 and $159 and $420 were incurred under these agreements for the three and nine months ended September 30, 2021 and 2020, respectively, and $285 and $590 are included in accounts payable at September 30,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MAY-66 License Termination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Mayfield Pharmaceuticals MAY-44 APA Termination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Mayfield and Harrow terminated their asset purchase agreement dated January 2020 (the “MAY-44 APA”) for intellectual property rights associated with Mayfield’s drug candidate MAY-44 with Elle Pharmaceutical LLC (“Elle”). As part of the termination, Mayfield re-acquired 350,000 shares of its common stock from Elle. Mayfield has no outstanding or remaining obligations related to the MAY-44 APA.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License Termination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Sintetica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Sintetica Agreement, the Company will pay Sintetica a per unit transfer price to supply AMP-100, along with a per unit royalty for units sold. The Company is required to pay Sintetica up to $18,000 in one-time milestone payments including a $5,000 payment (the “Upfront Payment”) due within 30 days of signing the Sintetica Agreement and the balance of payments due upon achievement of certain regulatory and commercial milestones. Under the terms of the Sintetica Agreement, Sintetica will be responsible for regulatory filings for AMP-100 in the U.S. The Upfront Payment was paid and recorded as R&amp;D expense during the three and nine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term of the Sintetica Agreement is ten years, and allows for a ten-year extension if certain sales thresholds are met.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Wakamoto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 upon the achievement of certain regulatory milestones and up to $6,200 upon the achievement of certain commercial milestones. Under the terms of the Agreements, the Company will be responsible for regulatory filings and fees for MAQ-100 in the U.S. and Canada. Through September 30, 2021, no amounts have been paid or accrued under the Wakamoto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the term of the Agreements is for five years from the date of the FDA’s market approval of MAQ-100 and allows for a five-year extension if certain unit sales thresholds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 AND CONCENTRATIONS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evaluates performance of the Company based on operating segments. Segment performance for its two operating segments is based on segment contribution. The Company’s reportable segments consist of (i) its commercial stage pharmaceutical business known as ImprimisRx; and (ii) its start-up operations associated with its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6"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The Company defines segment net revenues as pharmaceutical compounded drug sales, licenses, commissions and other revenue derived from related agreements.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Segment net revenues, segment operating expenses and segment contribution information consisted of the following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jc w:val="right"/>
              <w:ind w:right="149"/>
              <w:spacing w:after="0"/>
              <w:rPr>
                <w:sz w:val="20"/>
                <w:szCs w:val="20"/>
                <w:color w:val="auto"/>
              </w:rPr>
            </w:pPr>
            <w:r>
              <w:rPr>
                <w:rFonts w:ascii="Arial" w:cs="Arial" w:eastAsia="Arial" w:hAnsi="Arial"/>
                <w:sz w:val="18"/>
                <w:szCs w:val="18"/>
                <w:b w:val="1"/>
                <w:bCs w:val="1"/>
                <w:color w:val="auto"/>
                <w:w w:val="92"/>
              </w:rPr>
              <w:t>For the Three Months Ended September 30, 2021</w:t>
            </w: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4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Pharmaceutical Drug</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ImprimisRx</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2"/>
          </w:tcPr>
          <w:p>
            <w:pPr>
              <w:ind w:left="380"/>
              <w:spacing w:after="0"/>
              <w:rPr>
                <w:sz w:val="20"/>
                <w:szCs w:val="20"/>
                <w:color w:val="auto"/>
              </w:rPr>
            </w:pPr>
            <w:r>
              <w:rPr>
                <w:rFonts w:ascii="Arial" w:cs="Arial" w:eastAsia="Arial" w:hAnsi="Arial"/>
                <w:sz w:val="18"/>
                <w:szCs w:val="18"/>
                <w:color w:val="auto"/>
              </w:rPr>
              <w:t>Development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8"/>
                <w:szCs w:val="18"/>
                <w:color w:val="auto"/>
              </w:rPr>
              <w:t>Total</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80" w:type="dxa"/>
            <w:vAlign w:val="bottom"/>
            <w:tcBorders>
              <w:top w:val="single" w:sz="8" w:color="auto"/>
            </w:tcBorders>
            <w:shd w:val="clear" w:color="auto" w:fill="CCEEFF"/>
          </w:tcPr>
          <w:p>
            <w:pPr>
              <w:jc w:val="right"/>
              <w:ind w:right="14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(4,947)</w:t>
            </w:r>
          </w:p>
        </w:tc>
      </w:tr>
      <w:tr>
        <w:trPr>
          <w:trHeight w:val="216"/>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13,764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6,726</w:t>
            </w:r>
          </w:p>
        </w:tc>
        <w:tc>
          <w:tcPr>
            <w:tcW w:w="80" w:type="dxa"/>
            <w:vAlign w:val="bottom"/>
          </w:tcPr>
          <w:p>
            <w:pPr>
              <w:spacing w:after="0"/>
              <w:rPr>
                <w:sz w:val="18"/>
                <w:szCs w:val="18"/>
                <w:color w:val="auto"/>
              </w:rPr>
            </w:pPr>
          </w:p>
        </w:tc>
      </w:tr>
      <w:tr>
        <w:trPr>
          <w:trHeight w:val="24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5,290</w:t>
            </w: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80" w:type="dxa"/>
            <w:vAlign w:val="bottom"/>
            <w:shd w:val="clear" w:color="auto" w:fill="CCEEFF"/>
          </w:tcPr>
          <w:p>
            <w:pPr>
              <w:spacing w:after="0"/>
              <w:rPr>
                <w:sz w:val="21"/>
                <w:szCs w:val="21"/>
                <w:color w:val="auto"/>
              </w:rPr>
            </w:pPr>
          </w:p>
        </w:tc>
      </w:tr>
      <w:tr>
        <w:trPr>
          <w:trHeight w:val="257"/>
        </w:trPr>
        <w:tc>
          <w:tcPr>
            <w:tcW w:w="4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580" w:type="dxa"/>
            <w:vAlign w:val="bottom"/>
            <w:tcBorders>
              <w:top w:val="single" w:sz="8" w:color="auto"/>
              <w:bottom w:val="single" w:sz="8" w:color="auto"/>
            </w:tcBorders>
          </w:tcPr>
          <w:p>
            <w:pPr>
              <w:jc w:val="right"/>
              <w:ind w:right="14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w w:val="86"/>
              </w:rPr>
              <w:t>(5,290</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360</w:t>
            </w:r>
          </w:p>
        </w:tc>
      </w:tr>
      <w:tr>
        <w:trPr>
          <w:trHeight w:val="24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1"/>
                <w:szCs w:val="21"/>
                <w:color w:val="auto"/>
              </w:rPr>
            </w:pPr>
          </w:p>
        </w:tc>
      </w:tr>
      <w:tr>
        <w:trPr>
          <w:trHeight w:val="217"/>
        </w:trPr>
        <w:tc>
          <w:tcPr>
            <w:tcW w:w="40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1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jc w:val="right"/>
              <w:ind w:right="147"/>
              <w:spacing w:after="0"/>
              <w:rPr>
                <w:sz w:val="20"/>
                <w:szCs w:val="20"/>
                <w:color w:val="auto"/>
              </w:rPr>
            </w:pPr>
            <w:r>
              <w:rPr>
                <w:rFonts w:ascii="Arial" w:cs="Arial" w:eastAsia="Arial" w:hAnsi="Arial"/>
                <w:sz w:val="18"/>
                <w:szCs w:val="18"/>
                <w:b w:val="1"/>
                <w:bCs w:val="1"/>
                <w:color w:val="auto"/>
                <w:w w:val="93"/>
              </w:rPr>
              <w:t>For the Nine Months Ended September 30, 2021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Pharmaceutical Drug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ImprimisRx</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40" w:type="dxa"/>
            <w:vAlign w:val="bottom"/>
            <w:tcBorders>
              <w:top w:val="single" w:sz="8" w:color="auto"/>
            </w:tcBorders>
            <w:shd w:val="clear" w:color="auto" w:fill="CCEEFF"/>
          </w:tcPr>
          <w:p>
            <w:pPr>
              <w:jc w:val="right"/>
              <w:ind w:right="137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(13,134)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18,919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5,407</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56"/>
        </w:trPr>
        <w:tc>
          <w:tcPr>
            <w:tcW w:w="4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540" w:type="dxa"/>
            <w:vAlign w:val="bottom"/>
            <w:tcBorders>
              <w:top w:val="single" w:sz="8" w:color="auto"/>
              <w:bottom w:val="single" w:sz="8" w:color="auto"/>
            </w:tcBorders>
          </w:tcPr>
          <w:p>
            <w:pPr>
              <w:jc w:val="right"/>
              <w:ind w:right="137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19,438</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w w:val="86"/>
              </w:rPr>
              <w:t>(5,407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income</w:t>
            </w: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jc w:val="right"/>
              <w:ind w:right="127"/>
              <w:spacing w:after="0"/>
              <w:rPr>
                <w:sz w:val="20"/>
                <w:szCs w:val="20"/>
                <w:color w:val="auto"/>
              </w:rPr>
            </w:pPr>
            <w:r>
              <w:rPr>
                <w:rFonts w:ascii="Arial" w:cs="Arial" w:eastAsia="Arial" w:hAnsi="Arial"/>
                <w:sz w:val="18"/>
                <w:szCs w:val="18"/>
                <w:b w:val="1"/>
                <w:bCs w:val="1"/>
                <w:color w:val="auto"/>
                <w:w w:val="92"/>
              </w:rPr>
              <w:t>For the Three Months Ended September 30, 2020</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right"/>
              <w:ind w:right="421"/>
              <w:spacing w:after="0" w:line="201" w:lineRule="exact"/>
              <w:rPr>
                <w:sz w:val="20"/>
                <w:szCs w:val="20"/>
                <w:color w:val="auto"/>
              </w:rPr>
            </w:pPr>
            <w:r>
              <w:rPr>
                <w:rFonts w:ascii="Arial" w:cs="Arial" w:eastAsia="Arial" w:hAnsi="Arial"/>
                <w:sz w:val="18"/>
                <w:szCs w:val="18"/>
                <w:color w:val="auto"/>
                <w:w w:val="95"/>
              </w:rPr>
              <w:t>Pharmaceutical Drug</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ImprimisRx</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right"/>
              <w:ind w:right="701"/>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Total</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80" w:type="dxa"/>
            <w:vAlign w:val="bottom"/>
            <w:tcBorders>
              <w:top w:val="single" w:sz="8" w:color="auto"/>
            </w:tcBorders>
            <w:shd w:val="clear" w:color="auto" w:fill="CCEEFF"/>
          </w:tcPr>
          <w:p>
            <w:pPr>
              <w:jc w:val="right"/>
              <w:ind w:right="14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(3,696)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(3,696)</w:t>
            </w:r>
          </w:p>
        </w:tc>
      </w:tr>
      <w:tr>
        <w:trPr>
          <w:trHeight w:val="216"/>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right"/>
              <w:ind w:right="121"/>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5,937</w:t>
            </w:r>
          </w:p>
        </w:tc>
      </w:tr>
      <w:tr>
        <w:trPr>
          <w:trHeight w:val="25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56"/>
        </w:trPr>
        <w:tc>
          <w:tcPr>
            <w:tcW w:w="4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580" w:type="dxa"/>
            <w:vAlign w:val="bottom"/>
            <w:tcBorders>
              <w:top w:val="single" w:sz="8" w:color="auto"/>
              <w:bottom w:val="single" w:sz="8" w:color="auto"/>
            </w:tcBorders>
          </w:tcPr>
          <w:p>
            <w:pPr>
              <w:jc w:val="right"/>
              <w:ind w:right="14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8"/>
          </w:tcPr>
          <w:p>
            <w:pPr>
              <w:jc w:val="right"/>
              <w:ind w:right="147"/>
              <w:spacing w:after="0"/>
              <w:rPr>
                <w:sz w:val="20"/>
                <w:szCs w:val="20"/>
                <w:color w:val="auto"/>
              </w:rPr>
            </w:pPr>
            <w:r>
              <w:rPr>
                <w:rFonts w:ascii="Arial" w:cs="Arial" w:eastAsia="Arial" w:hAnsi="Arial"/>
                <w:sz w:val="18"/>
                <w:szCs w:val="18"/>
                <w:b w:val="1"/>
                <w:bCs w:val="1"/>
                <w:color w:val="auto"/>
              </w:rPr>
              <w:t>For the Nine Months Ended September 30, 2020</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Pharmaceutical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621"/>
              <w:spacing w:after="0"/>
              <w:rPr>
                <w:sz w:val="20"/>
                <w:szCs w:val="20"/>
                <w:color w:val="auto"/>
              </w:rPr>
            </w:pPr>
            <w:r>
              <w:rPr>
                <w:rFonts w:ascii="Arial" w:cs="Arial" w:eastAsia="Arial" w:hAnsi="Arial"/>
                <w:sz w:val="18"/>
                <w:szCs w:val="18"/>
                <w:color w:val="auto"/>
              </w:rPr>
              <w:t>Pharmaceutical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Compounding</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right"/>
              <w:ind w:right="481"/>
              <w:spacing w:after="0"/>
              <w:rPr>
                <w:sz w:val="20"/>
                <w:szCs w:val="20"/>
                <w:color w:val="auto"/>
              </w:rPr>
            </w:pPr>
            <w:r>
              <w:rPr>
                <w:rFonts w:ascii="Arial" w:cs="Arial" w:eastAsia="Arial" w:hAnsi="Arial"/>
                <w:sz w:val="18"/>
                <w:szCs w:val="18"/>
                <w:color w:val="auto"/>
              </w:rPr>
              <w:t>Drug Development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ind w:right="901"/>
              <w:spacing w:after="0"/>
              <w:rPr>
                <w:sz w:val="20"/>
                <w:szCs w:val="20"/>
                <w:color w:val="auto"/>
              </w:rPr>
            </w:pPr>
            <w:r>
              <w:rPr>
                <w:rFonts w:ascii="Arial" w:cs="Arial" w:eastAsia="Arial" w:hAnsi="Arial"/>
                <w:sz w:val="18"/>
                <w:szCs w:val="18"/>
                <w:color w:val="auto"/>
              </w:rPr>
              <w:t>Total</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(10,526)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(10,526)</w:t>
            </w:r>
          </w:p>
        </w:tc>
      </w:tr>
      <w:tr>
        <w:trPr>
          <w:trHeight w:val="216"/>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17,131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121"/>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17,262</w:t>
            </w:r>
          </w:p>
        </w:tc>
      </w:tr>
      <w:tr>
        <w:trPr>
          <w:trHeight w:val="24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713</w:t>
            </w:r>
          </w:p>
        </w:tc>
      </w:tr>
      <w:tr>
        <w:trPr>
          <w:trHeight w:val="257"/>
        </w:trPr>
        <w:tc>
          <w:tcPr>
            <w:tcW w:w="4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1,109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r>
      <w:tr>
        <w:trPr>
          <w:trHeight w:val="230"/>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September 30, 2021 and December 31, 2020 were located in the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two products that each comprised more than 10% of total revenues during the quarter. These products collectively accounted for 35% of revenues during each of the three and nine months ended September 30,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and nine months ended September 30, 2021 and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59% and 71% of active pharmaceutical ingredient purchases during the three and nine months ended September 30, 2021, respectively, and 76% and 72% of active pharmaceutical ingredient purchases during the three and nine months ended September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2021 through the filing date of this Quarterly Report. Based on its evaluation, no events other than those described in the notes hereto need to be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2020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ophthalmology pharmaceutical businesses, ImprimisRx. In addition to wholly owning ImprimisRx, we also have non-controlling equity positions in Surface Ophthalmics, Inc. (“Surface”) and Melt Pharmaceuticals, Inc. (“Melt”), both companies that began as subsidiaries of Harrow. In 2020, Harrow created Visionology, Inc. (“Visionology”) and recently launched an online eye health platform business in certain regions. We also own royalty rights in various drug candidates being developed by Surface and Melt.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ImprimisRx is our ophthalmology focused prescription pharmaceutical business. We offer to over 10,000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FDA-guidance documents, in our FDA-registered New Jersey outsourcing facility (“NJOF”).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48"/>
        <w:spacing w:after="0" w:line="257" w:lineRule="auto"/>
        <w:rPr>
          <w:sz w:val="20"/>
          <w:szCs w:val="20"/>
          <w:color w:val="auto"/>
        </w:rPr>
      </w:pPr>
      <w:r>
        <w:rPr>
          <w:rFonts w:ascii="Arial" w:cs="Arial" w:eastAsia="Arial" w:hAnsi="Arial"/>
          <w:sz w:val="18"/>
          <w:szCs w:val="18"/>
          <w:color w:val="auto"/>
        </w:rPr>
        <w:t>On August 1, 2020, ImprimisRx entered into a Commercial Alliance Agreement (the “Dexycu Agreement”) with Eyepoint Pharmaceuticals, Inc. (“Eyepoint”), pursuant to which Eyepoint granted ImprimisRx the non-exclusive right to co-promote DEXYCU® (dexamethasone intraocular suspension) 9% for the treatment of post-operative inflammation following ocular surgery in the United States. Pursuant to the Dexycu Agreement, Eyepoint pays ImprimisRx a fee that is calculated based on the quarterly sales of DEXCYU in excess of predefined volumes to specific customers of ImprimisRx in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AMP-100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Sintetica has granted the Company the exclusive license and marketing rights to AMP-100 in the U.S. and Canada. AMP-100 is a patented, ophthalmic topical anesthetic drug candidate. If FDA-approved, the active ingredient used in AMP-100 will be the first approved use of this active ingredient in the U.S. ophthalmic market.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safety and efficacy of AMP-100 was demonstrated in various clinical trials including a Phase 2/3 randomized, double-masked, vehicle-controlled, efficacy, safety and tolerability study in healthy volunteers and a non-inferiority Phase 3 study of 342 patients undergoing cataract surgeries comparing AMP-100 to an active comparator. Ultimately, these studies demonstrated:</w:t>
      </w:r>
    </w:p>
    <w:p>
      <w:pPr>
        <w:spacing w:after="0" w:line="184" w:lineRule="exact"/>
        <w:rPr>
          <w:sz w:val="20"/>
          <w:szCs w:val="20"/>
          <w:color w:val="auto"/>
        </w:rPr>
      </w:pPr>
    </w:p>
    <w:p>
      <w:pPr>
        <w:ind w:left="1140" w:right="20" w:hanging="565"/>
        <w:spacing w:after="0" w:line="25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is safe, and the most common adverse event was mydrasis (dilation of pupil) in about 20% of patients which is an effect most ophthalmologists may consider beneficial;</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has rapid onset, and no inferiority to the active comparator (Phase 3);</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Anesthesia success of patients receiving AMP-100 was 95% vs. 20% with placebo (Phase 2/3 study);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Single administration of AMP-100 provides roughly 20 minutes of sensory loss;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AMP-100 has predictable offset (end of anesthesia) within a narrow bell curve (i.e. no wide variance).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a new drug application (“NDA”) for AMP-100 to be submitted by Sintetica to the FDA in the fourth quarter of 2021 and, if approved, we plan to commercially launch AMP-100 in the fourth quarter of 2022.</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approved, we expect our initial commercial focus of AMP-100 to be on ophthalmic procedures that traditionally require the eye to be anesthetized. According to a 2019 MarketScope report, there are over four million cataract surgeries performed in the U.S. annually. In addition to cataract procedures, according to Ophthalmologica, there were about 5.9 million intravitreal injections performed in the U.S. in 2018. Most of these intravitreal injections, which are typically treatments for a variety of conditions, including age-related macular degeneration, diabetic macular edema, and uveitis, often require the ocular surface to be anesthetized during the procedure.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AMP-100 is protected by one issued patent and another patent-pending. The issued patent includes composition of matter and method of use claims and could provide protection for AMP-100 into 2037.</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AMP-100, we expect to acquire and/or develop additional FDA-approved/approvable ophthalmic products and product candidates that will allow us to leverage the commercial infrastructure of ImprimisRx to promote, sell, and ultimately bring these products to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August 2021, we obtained the exclusive license and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1" w:lineRule="exact"/>
        <w:rPr>
          <w:sz w:val="20"/>
          <w:szCs w:val="20"/>
          <w:color w:val="auto"/>
        </w:rPr>
      </w:pPr>
    </w:p>
    <w:p>
      <w:pPr>
        <w:jc w:val="both"/>
        <w:ind w:firstLine="8"/>
        <w:spacing w:after="0" w:line="253" w:lineRule="auto"/>
        <w:tabs>
          <w:tab w:leader="none" w:pos="2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We intend to request a meeting with FDA during the first half of 2022 to discuss our planned clinical program for MAQ-100.</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to acquire and/or develop additional FDA-approved/approvable ophthalmic products and product candidates that will allow us to leverage the commercial infrastructure of ImprimisRx to promote, sell, and ultimately bring these products to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Visionology, a direct-to-consumer online eye health platform, leverages our experience in the ophthalmic pharmaceutical business as well as our relationships with eyecare professionals across the United States. We recently launched a proof-of-concept model for Visionology within a certain region of the U.S., and if successful, will expand the launch on a nationwide basis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 Carve-Out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Eton Pharmaceuticals, Inc. (“Eton”), Surface and Melt and hold royalty interests in some of the drug candidates of Surface and Melt.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In 2018 and 2019, we formed and created subsidiaries named Radley Pharmaceuticals, Inc. (“Radley”), Mayfield Pharmaceuticals, Inc. (“Mayfield”), and Stowe Pharmaceuticals, Inc. (“Stowe”). In 2020, we halted nearly all operating activities related to these subsidiaries to invest resources in other areas, and we may not restart any or all activities related to these businesses. In addition, we terminated license and acquisition agreements for Mayfield’s MAY-66 and MAY-44 drug candidates, and Stowe’s STE-006 drug candidate.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 (De-Consolidated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and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the equity and voting interests following the final closing of the Surface Series B Offering.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recently began enrolling patients in its phase 2 study for MELT-300.</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2019, Melt closed an offering of its Series A Preferred Stock. At that time, we lost our controlling interest and deconsolidated Melt from our consolidated financial statements. We own 3,500,000 shares of Melt common stock, which was approximately 46% of the equity and voting interests issued and outstanding of as of September 30, 2021. In September 2021, we provided Melt with a senior secured loan in the amount of $13,500,000, which is intended to fund the Phase 2 program of MELT-300. In connection with the loan we provided Melt, we also were provided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and we gave up our controlling interest in it. In November 2018, Eton completed an initial public offering of its common stock. As of the date of this Quarterly Report and following our April 2021 sale, we own 1,982,000 shares of Eton common stock. We owned less than 10% of the equity and voting interests issued and outstanding of Eton as of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near historical norms and trends as restrictions associated with elective procedures and the COVID-19 pandemic have continued to ease.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given the unprecedented and dynamic nature of the COVID-19 pandemic virus, including any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2021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notes to our condensed consolidated financial statements included in this report for additional information about each of these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2020, we entered into an unsecured promissory note and related Business Loan Agreement with Renasant Bank, as lender, for a loan (the “PPP Loan”) in the principal amount of $1,967,000 and received cash proceeds of the same amount, pursuant to the Paycheck Protection Program (the “PPP”) under the Federal Coronavirus Aid, Relief, and Economic Security Act (the “CARES Act”), which was enacted March 27, 2020. The PPP is administered by the U.S. Small Business Administration. On March 30, 2021, the Company received a notice of forgiveness of the full balance of the PPP Loan, including all accrued interest, in accordance with the terms and conditions of the CARES Act and accordingly recognized a gain on forgiveness of debt of $1,967,000.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Stock Sale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2021, we closed an underwritten public offering of 1,518,000 shares of our Eton common stock at a public offering price of $7.00 per share (the “Eton Stock Sale”). The gross proceeds to us from the Eton Stock Sale were $10,626,000 before deducting underwriting discounts and commissions and other offering expenses payable by the Company. Following such sale, we own 1,982,000 shares of Eton common stock, which represented less than 10% of the equity interests issued and outstanding of Eton as of September 30, 2021.</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part of the Eton Stock Sale, we also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2026</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April, May and June 2021, we closed offerings totaling $75,000,000 aggregate principal amount of 8.625% senior notes due 2026 (the “Notes”). The Notes are senior unsecured obligations of the Company and rank equally in right of payment with all of our other existing and future senior unsecured and unsubordinated indebtedness. The Notes are effectively subordinated in right of payment to all of our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February 1, 2026, we may, at our option, redeem the Notes, in whole at any time or in part from time to time, at a redemption price equal to 100% of the principal amount of the Notes to be redeemed, plus a make-whole amount, if any, plus accrued and unpaid interest to, but excluding, the date of redemption. We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Cumulative Preferred Stock - Redeemed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5, 2021, we sold 440,000 shares of Series B Cumulative Preferred Stock (the “Series B Preferred Stock”) for net proceeds of $10,670,000. On June 17, 2021, the Company redeemed all of the outstanding shares of the Series B Preferred Stock. The redemption price for the 440,000 shares of the Series B Preferred Stock outstanding was equal to $25.00 per share, plus accrued and unpaid dividends, which in aggregate totaled $11,127,000.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Sintetica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July 2021, we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Sintetica Agreement, the Company will pay Sintetica a per unit transfer price to supply AMP-100, along with a per unit royalty for units sold. The Company is required to pay Sintetica up to $18,000,000 in one-time milestone payments including a $5,000,000 payment due within 30 days of signing the Sintetica Agreement and the balance of payments due upon achievement of certain regulatory and commercial milestones. Under the terms of the Sintetica Agreement, Sintetica will be responsible for regulatory filings for AMP-100 in the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certain limitations, the term of the Sintetica Agreement is ten years, and allows for a ten-year extension if certain sales thresholds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Wakamoto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Wakamoto Agreements, Wakamoto will supply MAQ-100 to us, and we will pay Wakamoto a per unit transfer price to supply MAQ-100. In addition, we are required to pay Wakamoto various one-time milestone payments totaling up to $2,000,000 upon the achievement of certain regulatory milestones and up to $6,200,000 upon the achievement of certain commercial milestones. Under the terms of the Wakamoto Agreements, we are responsible for regulatory filings and fees for MAQ-100 in the U.S. and Canada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certain limitations, the term of the Wakamoto Agreements is for five years from the date of the FDA’s market approval of MAQ-100 and allows for a five-year extension if certain unit sales thresholds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Loan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September 2021, we entered into a loan and security agreement in the principal amount of $13,500,000 (the “Melt Loan Agreement”), as lender, with Melt, as borrower. Amounts borrowed under the Melt Loan Agreement bear interest at twelve and one-half percent (12.50%) per annum, which can be paid in kind interest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Melt has granted us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us, and the interest rate on the loan may be increased by three percent (3%) per annum.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Melt Loan Agreement, we entered into a Right of First Refusal Agreement with Melt providing us with the right, but not the obligation, to match any offer received by Melt associated with the commercial rights to any of Melt’s drug candidates for a period of five years following the effective date of the Melt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nine months ended September 30, 2021 and 2020,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commissions from third parties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4"/>
              </w:rPr>
              <w:t>For the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Variance</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$ 17,811,000</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$14,385,000</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$ 3,426,000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$50,056,000</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$34,244,000</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$15,812,000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900,000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900,000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2,212,000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2,212,000</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$ 18,711,000</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14,399,000</w:t>
            </w: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$ 4,312,000</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52,288,000</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34,276,000</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18,012,000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703"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The increase in revenues between periods was related to an increase in sales volumes of our ophthalmology products and commissions attributable to sales of Dexycu®.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$ 4,947,000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$ 3,696,000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$ 1,251,000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13,134,000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10,526,000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$ 2,608,000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our cost of sales between periods was largely attributable to an increase in unit volumes sold.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1"/>
              </w:rPr>
              <w:t>For the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gridSpan w:val="2"/>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256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Variance</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13,764,000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10,703,000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$ 3,061,000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39,154,000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23,750,000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15,404,000</w:t>
            </w: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9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jc w:val="right"/>
              <w:ind w:right="130"/>
              <w:spacing w:after="0"/>
              <w:rPr>
                <w:sz w:val="20"/>
                <w:szCs w:val="20"/>
                <w:color w:val="auto"/>
              </w:rPr>
            </w:pPr>
            <w:r>
              <w:rPr>
                <w:rFonts w:ascii="Arial" w:cs="Arial" w:eastAsia="Arial" w:hAnsi="Arial"/>
                <w:sz w:val="18"/>
                <w:szCs w:val="18"/>
                <w:color w:val="auto"/>
                <w:w w:val="81"/>
              </w:rPr>
              <w:t>)%</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73.6</w:t>
            </w:r>
          </w:p>
        </w:tc>
        <w:tc>
          <w:tcPr>
            <w:tcW w:w="3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74.7</w:t>
            </w:r>
          </w:p>
        </w:tc>
        <w:tc>
          <w:tcPr>
            <w:tcW w:w="2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(0.8</w:t>
            </w:r>
          </w:p>
        </w:tc>
        <w:tc>
          <w:tcPr>
            <w:tcW w:w="4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74.9</w:t>
            </w:r>
          </w:p>
        </w:tc>
        <w:tc>
          <w:tcPr>
            <w:tcW w:w="2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69.3</w:t>
            </w:r>
          </w:p>
        </w:tc>
        <w:tc>
          <w:tcPr>
            <w:tcW w:w="3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gross margin between the three months ended September 30, 2021 and 2020 is primarily attributable to a second production shift that was added in 2021 along with increased personnel within our quality department, in preparation for increased production expected during the remainder of 2021 and into 2022.</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increase in gross margin between the nine months ended September 30, 2021 and 2020 is largely attributable to increased unit volumes sold, efficiencies in our production process, including increased batch sizes, and improved utilization of capacities as a result of increased output.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presents our selling, general and administrative expenses for the three and nine months ended September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Nine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$ 11,356,000</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$ 8,436,000</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$ 2,920,000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$28,643,000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$23,806,000</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$ 4,837,000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The increase in selling, general and administrative expenses between periods was primarily attributable to an increase in commissions and other expenses related to increased sales, and as well as an increase in our sales and marketing expenses related to in-person conferences and new employee costs to support sales growth. During the three and nine months ended September 30, 2021, the Company recorded $1,500,000 in expenses related to a litigation settlement.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license fees, acquired in-process R&amp;D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presents our research and development expenses for the three and nine months ended September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46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4"/>
              </w:rPr>
              <w:t>For the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24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$ 6,125,000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$ 5,455,000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$ 7,142,000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$ 1,822,000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$ 5,320,000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nine months ended September 30, 2021, research and development expenses increased between periods primarily as a result of the upfront payment of $5,000,000 to Sintetica upon execution of the license and supply agreement for AMP-100 along with increased costs associated with the clinical program for MAQ-100.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$1,685,000 and $3,512,000 for the three and nine months ended September 30, 2021, respectively, compared to $498,000 and $1,563,000 for the same periods last year, respectively. The increase during the period ended September 30, 2021 compared to the same period in 2020 was primarily due to an increase in the outstanding principal amount of our debt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Melt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nine months ended September 30, 2021, we recorded a loss of $706,000 and $1,653,000, respectively, related to our share of losses in Melt. During the three and nine months ended September 30, 2020, we recorded a loss of $300,000 and $1,536,000, respectively, for our share of losses based on our ownership of Melt.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nine months ended September 30, 2021, we recorded a loss of $0 and $1,314,000, respectively, for our share of losses based on our ownership of Surface. During the three and nine months ended September 30, 2020, we recorded a loss of $756,000 and $1,694,000, respectively, for our share of losses based on our ownership of Surface.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Gain from Eton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recorded a loss of $2,220,000 and $8,639,000 related to the change in fair market value of Eton’s common stock and the sale of a portion of our Eton stock during the three and nine months ended September 30, 2021, respectively. We recorded a gain of $8,575,000 and $2,450,000 related to the change in fair market value of Eton’s common stock during the three and nine months ended September 30,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Early Extinguishment of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2021, we recorded a loss from the early extinguishment of loan of $756,000 related to the early payoff of the SWK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PPP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2021, we recorded gain on forgiveness of PPP loan of $1,967,000 related to the forgiveness of our PPP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Net (Loss)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net (loss) income and per share net (loss) income for the three and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jc w:val="right"/>
              <w:ind w:right="227"/>
              <w:spacing w:after="0"/>
              <w:rPr>
                <w:sz w:val="20"/>
                <w:szCs w:val="20"/>
                <w:color w:val="auto"/>
              </w:rPr>
            </w:pPr>
            <w:r>
              <w:rPr>
                <w:rFonts w:ascii="Arial" w:cs="Arial" w:eastAsia="Arial" w:hAnsi="Arial"/>
                <w:sz w:val="18"/>
                <w:szCs w:val="18"/>
                <w:b w:val="1"/>
                <w:bCs w:val="1"/>
                <w:color w:val="auto"/>
              </w:rPr>
              <w:t>For the</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1"/>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6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 net (loss) income attributable to Harrow Health, Inc.</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(8,328,000)</w:t>
            </w: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8,638,000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(11,061,000)</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(4,506,000)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 per share,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(0.31)</w:t>
            </w:r>
          </w:p>
        </w:tc>
        <w:tc>
          <w:tcPr>
            <w:tcW w:w="2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340" w:type="dxa"/>
            <w:vAlign w:val="bottom"/>
            <w:vMerge w:val="continue"/>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business ImprimisRx;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88" w:lineRule="exact"/>
        <w:rPr>
          <w:sz w:val="20"/>
          <w:szCs w:val="20"/>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See Note 16 to our condensed consolidated financial statements included in this Quarterly Report for more information about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cash on hand (including restricted cash) at September 30, 2021 was $57,856,000, compared to $4,301,000 at December 31, 2020.</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date of this Quarterly Report, we believe that cash and cash equivalents of $57,656,000 and restricted cash of $200,000, totaling approximately $57,856,000 at September 30, 2021, will be sufficient to sustain our planned level of operations and capital expenditures for at least the next 12 months. In addition, we may consider the sale of certain assets including, but not limited to, part of, or all of, our ownership interest in Eton, Surface, Melt, and/or any of our consolidated subsidiaries. However, we may pursue acquisitions of pharmacies,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21"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8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6,572,000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(534,000)</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(4,489,000)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(891,000)</w:t>
            </w:r>
          </w:p>
        </w:tc>
      </w:tr>
      <w:tr>
        <w:trPr>
          <w:trHeight w:val="236"/>
        </w:trPr>
        <w:tc>
          <w:tcPr>
            <w:tcW w:w="64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51,472,000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2,203,000</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4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4,301,000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4,949,000</w:t>
            </w:r>
          </w:p>
        </w:tc>
      </w:tr>
      <w:tr>
        <w:trPr>
          <w:trHeight w:val="23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during the nine months ended September 30, 2021 was $6,572,000 compared to net cash used in operating activities of $534,000 during the same period in the prior year. The increase in net cash provided by operating activities during the periods was mainly attributed to the increase in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during the nine months ended September 30, 2021 was $4,489,000 compared to net cash used in investing activities of $891,000, during the same period in the prior year. Cash used in investing activities in 2021 was primarily associated with cash payments made in connection with the Melt note receivable offset by cash received through the sale of a portion of our Eton Common Stock. Cash used in investing activities during the 2020 period was primarily associated with equipment and software purchases and upgrades along with investments in our intellectual property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provided by financing activities during the nine months ended September 30, 2021 and 2020 was $51,472,000 and $2,203,000, respectively. Cash provided by financing activities during the nine months ended September 30, 2021 was primarily related to proceeds received from the sale of Notes, net of the payment of all outstanding obligations to the Company’s previous senior lender, SWK Funding, LLC and its partners.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cash consist of cash provided by operating activities from our ImprimisRx business, and recently, proceeds from the sale of the Notes and sale of Eton Common Stock. We may also sell some or all of our ownership interests in Surface, Melt or our other subsidiaries, along with the some or all of the remaining portion of our Eton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648"/>
        <w:spacing w:after="0" w:line="286" w:lineRule="auto"/>
        <w:rPr>
          <w:sz w:val="20"/>
          <w:szCs w:val="20"/>
          <w:color w:val="auto"/>
        </w:rPr>
      </w:pPr>
      <w:r>
        <w:rPr>
          <w:rFonts w:ascii="Arial" w:cs="Arial" w:eastAsia="Arial" w:hAnsi="Arial"/>
          <w:sz w:val="16"/>
          <w:szCs w:val="16"/>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there is a rise in COVID-19 related cases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2021. Based on this evaluation, our principal executive officer and principal financial officer have concluded that our disclosure controls and procedures were effective to achieve their stated purpose as of September 30, 2021, the end of the period covered by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September 30, 2021,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when evaluating our business as well as the risk factors and the other information in our Quarterly Reports on Form 10-Q for the quarters ended March 31, 2021 and June 30, 2021 and in our Annual Report on Form 10-K for the year ended December 31, 2020, including our audited financial statements and the related notes and “Management’s Discussion and Analysis of Financial Condition and Results of Operations.”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Senior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April, May and June 2021, we issued $75,000,000 aggregate principal amount of 8.625% senior notes due 2026.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648"/>
        <w:spacing w:after="0" w:line="287" w:lineRule="auto"/>
        <w:rPr>
          <w:sz w:val="20"/>
          <w:szCs w:val="20"/>
          <w:color w:val="auto"/>
        </w:rPr>
      </w:pPr>
      <w:r>
        <w:rPr>
          <w:rFonts w:ascii="Arial" w:cs="Arial" w:eastAsia="Arial" w:hAnsi="Arial"/>
          <w:sz w:val="16"/>
          <w:szCs w:val="16"/>
          <w:color w:val="auto"/>
        </w:rPr>
        <w:t>We have raised over $85,000,000 in funds through equity and debt financings in April, May and June 2021. We may seek to obtain additional capital through equity or debt financings, funding from corporate partnerships or licensing arrangements, sales of assets or other financing transactions. If we issue additional equity or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that we currently have or that we may incur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were issued contains limited protection for holders of the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ind w:firstLine="648"/>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Notes may not develop, which could adversely affect the market price of the Notes or limit a holder’s ability to sell them.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Notes are quoted on Nasdaq under the symbol “HROWL.” We cannot provide any assurances that an active trading market will develop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does not develop, the liquidity and trading price for the Notes may be harmed. Accordingly, a holder may be required to bear the financial risk of an investment in the Notes for an indefinite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Court against Kim Kelly, ND, MPH asserting claims related to the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sought indemnity and contribution from us and Spectrum. In November 2021, the lawsuit involving us was resolved. There was no impact to our consolidated financial position and results of operations as a result of the resolution of the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ind w:left="960" w:hanging="957"/>
        <w:spacing w:after="0" w:line="308"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10.1#</w:t>
      </w:r>
      <w:r>
        <w:rPr>
          <w:sz w:val="20"/>
          <w:szCs w:val="20"/>
          <w:color w:val="auto"/>
        </w:rPr>
        <w:tab/>
      </w:r>
      <w:hyperlink r:id="rId48">
        <w:r>
          <w:rPr>
            <w:rFonts w:ascii="Arial" w:cs="Arial" w:eastAsia="Arial" w:hAnsi="Arial"/>
            <w:sz w:val="17"/>
            <w:szCs w:val="17"/>
            <w:u w:val="single" w:color="auto"/>
            <w:color w:val="0000EE"/>
          </w:rPr>
          <w:t>License and Supply Agreement, dated as of July 25, 2021, by and between the Company and Sintetica, S.A. (incorporated herein by reference</w:t>
        </w:r>
      </w:hyperlink>
      <w:r>
        <w:rPr>
          <w:rFonts w:ascii="Arial" w:cs="Arial" w:eastAsia="Arial" w:hAnsi="Arial"/>
          <w:sz w:val="17"/>
          <w:szCs w:val="17"/>
          <w:u w:val="single" w:color="auto"/>
          <w:color w:val="0000EE"/>
        </w:rPr>
        <w:t xml:space="preserve"> </w:t>
      </w:r>
      <w:hyperlink r:id="rId48">
        <w:r>
          <w:rPr>
            <w:rFonts w:ascii="Arial" w:cs="Arial" w:eastAsia="Arial" w:hAnsi="Arial"/>
            <w:sz w:val="17"/>
            <w:szCs w:val="17"/>
            <w:u w:val="single" w:color="auto"/>
            <w:color w:val="0000EE"/>
          </w:rPr>
          <w:t>to Exhibit 10.2 to the Quarterly Report on Form 10-Q of the Company filed with the SEC on August 10, 2021).</w:t>
        </w:r>
      </w:hyperlink>
    </w:p>
    <w:p>
      <w:pPr>
        <w:spacing w:after="0" w:line="146" w:lineRule="exact"/>
        <w:rPr>
          <w:sz w:val="20"/>
          <w:szCs w:val="20"/>
          <w:color w:val="auto"/>
        </w:rPr>
      </w:pPr>
    </w:p>
    <w:p>
      <w:pPr>
        <w:jc w:val="both"/>
        <w:ind w:left="960" w:hanging="957"/>
        <w:spacing w:after="0" w:line="308"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10.2</w:t>
      </w:r>
      <w:r>
        <w:rPr>
          <w:sz w:val="20"/>
          <w:szCs w:val="20"/>
          <w:color w:val="auto"/>
        </w:rPr>
        <w:tab/>
      </w:r>
      <w:hyperlink r:id="rId49">
        <w:r>
          <w:rPr>
            <w:rFonts w:ascii="Arial" w:cs="Arial" w:eastAsia="Arial" w:hAnsi="Arial"/>
            <w:sz w:val="17"/>
            <w:szCs w:val="17"/>
            <w:u w:val="single" w:color="auto"/>
            <w:color w:val="0000EE"/>
          </w:rPr>
          <w:t>Loan and Security Agreement, dated September 1, 2021, by and between the Company and Melt Pharmaceuticals, Inc. (incorporated herein</w:t>
        </w:r>
      </w:hyperlink>
      <w:r>
        <w:rPr>
          <w:rFonts w:ascii="Arial" w:cs="Arial" w:eastAsia="Arial" w:hAnsi="Arial"/>
          <w:sz w:val="17"/>
          <w:szCs w:val="17"/>
          <w:u w:val="single" w:color="auto"/>
          <w:color w:val="0000EE"/>
        </w:rPr>
        <w:t xml:space="preserve"> </w:t>
      </w:r>
      <w:hyperlink r:id="rId49">
        <w:r>
          <w:rPr>
            <w:rFonts w:ascii="Arial" w:cs="Arial" w:eastAsia="Arial" w:hAnsi="Arial"/>
            <w:sz w:val="17"/>
            <w:szCs w:val="17"/>
            <w:u w:val="single" w:color="auto"/>
            <w:color w:val="0000EE"/>
          </w:rPr>
          <w:t>by reference to Exhibit 10.1 to the Current Report on Form 8-K of the Company filed with the SEC on September 2, 2021).</w:t>
        </w:r>
      </w:hyperlink>
    </w:p>
    <w:p>
      <w:pPr>
        <w:spacing w:after="0" w:line="146"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10.3*#</w:t>
      </w:r>
      <w:r>
        <w:rPr>
          <w:sz w:val="20"/>
          <w:szCs w:val="20"/>
          <w:color w:val="auto"/>
        </w:rPr>
        <w:tab/>
      </w:r>
      <w:hyperlink w:anchor="page49">
        <w:r>
          <w:rPr>
            <w:rFonts w:ascii="Arial" w:cs="Arial" w:eastAsia="Arial" w:hAnsi="Arial"/>
            <w:sz w:val="16"/>
            <w:szCs w:val="16"/>
            <w:u w:val="single" w:color="auto"/>
            <w:color w:val="0000EE"/>
          </w:rPr>
          <w:t>Basic Sale and Purchase Agreement, dated as of August 18, 2021, by and between the Company and Wakamoto Pharmaceutical Co., Ltd.</w:t>
        </w:r>
      </w:hyperlink>
    </w:p>
    <w:p>
      <w:pPr>
        <w:spacing w:after="0" w:line="225"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10.4*#</w:t>
      </w:r>
      <w:r>
        <w:rPr>
          <w:sz w:val="20"/>
          <w:szCs w:val="20"/>
          <w:color w:val="auto"/>
        </w:rPr>
        <w:tab/>
      </w:r>
      <w:hyperlink w:anchor="page65">
        <w:r>
          <w:rPr>
            <w:rFonts w:ascii="Arial" w:cs="Arial" w:eastAsia="Arial" w:hAnsi="Arial"/>
            <w:sz w:val="16"/>
            <w:szCs w:val="16"/>
            <w:u w:val="single" w:color="auto"/>
            <w:color w:val="0000EE"/>
          </w:rPr>
          <w:t>License Agreement, dated as of August 18, 2021, by and between the Company and Wakamoto Pharmaceutical Co., Ltd.</w:t>
        </w:r>
      </w:hyperlink>
    </w:p>
    <w:p>
      <w:pPr>
        <w:spacing w:after="0" w:line="225" w:lineRule="exact"/>
        <w:rPr>
          <w:sz w:val="20"/>
          <w:szCs w:val="20"/>
          <w:color w:val="auto"/>
        </w:rPr>
      </w:pPr>
    </w:p>
    <w:p>
      <w:pPr>
        <w:spacing w:after="0"/>
        <w:tabs>
          <w:tab w:leader="none" w:pos="94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31.1*</w:t>
      </w:r>
      <w:r>
        <w:rPr>
          <w:sz w:val="20"/>
          <w:szCs w:val="20"/>
          <w:color w:val="auto"/>
        </w:rPr>
        <w:tab/>
      </w:r>
      <w:hyperlink w:anchor="page92">
        <w:r>
          <w:rPr>
            <w:rFonts w:ascii="Arial" w:cs="Arial" w:eastAsia="Arial" w:hAnsi="Arial"/>
            <w:sz w:val="17"/>
            <w:szCs w:val="17"/>
            <w:u w:val="single" w:color="auto"/>
            <w:color w:val="0000EE"/>
          </w:rPr>
          <w:t>Certification of Mark L. Baum, principal executive officer, pursuant to Rule 13a-14(a) or 15d-14(a) of the Securities and Exchange Act of</w:t>
        </w:r>
      </w:hyperlink>
    </w:p>
    <w:p>
      <w:pPr>
        <w:spacing w:after="0" w:line="27" w:lineRule="exact"/>
        <w:rPr>
          <w:sz w:val="20"/>
          <w:szCs w:val="20"/>
          <w:color w:val="auto"/>
        </w:rPr>
      </w:pPr>
    </w:p>
    <w:p>
      <w:pPr>
        <w:ind w:left="96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1934, as adopted pursuant to Section 302 of the Sarbanes- Oxley Act of 2002.</w:t>
        </w:r>
      </w:hyperlink>
    </w:p>
    <w:p>
      <w:pPr>
        <w:spacing w:after="0" w:line="207" w:lineRule="exact"/>
        <w:rPr>
          <w:sz w:val="20"/>
          <w:szCs w:val="20"/>
          <w:color w:val="auto"/>
        </w:rPr>
      </w:pPr>
    </w:p>
    <w:p>
      <w:pPr>
        <w:jc w:val="both"/>
        <w:ind w:left="960" w:right="20" w:hanging="957"/>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31.2*</w:t>
      </w:r>
      <w:r>
        <w:rPr>
          <w:sz w:val="20"/>
          <w:szCs w:val="20"/>
          <w:color w:val="auto"/>
        </w:rPr>
        <w:tab/>
      </w:r>
      <w:hyperlink w:anchor="page93">
        <w:r>
          <w:rPr>
            <w:rFonts w:ascii="Arial" w:cs="Arial" w:eastAsia="Arial" w:hAnsi="Arial"/>
            <w:sz w:val="18"/>
            <w:szCs w:val="18"/>
            <w:u w:val="single" w:color="auto"/>
            <w:color w:val="0000EE"/>
          </w:rPr>
          <w:t>Certification of Andrew R. Boll, principal financial and accounting officer, pursuant to Rule 13a-14(a) or 15d-14(a) of the Securities and</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Exchange Act of 1934, as adopted pursuant to Section 302 of the Sarbanes- Oxley Act of 2002.</w:t>
        </w:r>
      </w:hyperlink>
    </w:p>
    <w:p>
      <w:pPr>
        <w:spacing w:after="0" w:line="170"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32.1**</w:t>
      </w:r>
      <w:r>
        <w:rPr>
          <w:sz w:val="20"/>
          <w:szCs w:val="20"/>
          <w:color w:val="auto"/>
        </w:rPr>
        <w:tab/>
      </w:r>
      <w:hyperlink w:anchor="page94">
        <w:r>
          <w:rPr>
            <w:rFonts w:ascii="Arial" w:cs="Arial" w:eastAsia="Arial" w:hAnsi="Arial"/>
            <w:sz w:val="16"/>
            <w:szCs w:val="16"/>
            <w:u w:val="single" w:color="auto"/>
            <w:color w:val="0000EE"/>
          </w:rPr>
          <w:t>Certification pursuant to 18 U.S.C. Section 1350, as adopted pursuant to Section 906 of the Sarbanes-Oxley Act of 2002, executed by Mark L.</w:t>
        </w:r>
      </w:hyperlink>
    </w:p>
    <w:p>
      <w:pPr>
        <w:spacing w:after="0" w:line="27" w:lineRule="exact"/>
        <w:rPr>
          <w:sz w:val="20"/>
          <w:szCs w:val="20"/>
          <w:color w:val="auto"/>
        </w:rPr>
      </w:pPr>
    </w:p>
    <w:p>
      <w:pPr>
        <w:ind w:left="9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Baum, principal executive officer, and Andrew R. Boll, principal financial and accounting officer.</w:t>
        </w:r>
      </w:hyperlink>
    </w:p>
    <w:p>
      <w:pPr>
        <w:spacing w:after="0" w:line="207" w:lineRule="exact"/>
        <w:rPr>
          <w:sz w:val="20"/>
          <w:szCs w:val="20"/>
          <w:color w:val="auto"/>
        </w:rPr>
      </w:pPr>
    </w:p>
    <w:p>
      <w:pPr>
        <w:jc w:val="both"/>
        <w:ind w:left="960" w:hanging="957"/>
        <w:spacing w:after="0" w:line="277" w:lineRule="auto"/>
        <w:tabs>
          <w:tab w:leader="none" w:pos="94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Inline XBRL Taxonomy Extension Label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9" w:lineRule="exact"/>
        <w:rPr>
          <w:sz w:val="20"/>
          <w:szCs w:val="20"/>
          <w:color w:val="auto"/>
        </w:rPr>
      </w:pPr>
    </w:p>
    <w:p>
      <w:pPr>
        <w:ind w:left="960" w:hanging="952"/>
        <w:spacing w:after="0" w:line="277" w:lineRule="auto"/>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September 30, 2021, has been formatted in Inline XBRL.</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5540" w:right="4380" w:hanging="5532"/>
        <w:spacing w:after="0" w:line="555" w:lineRule="auto"/>
        <w:tabs>
          <w:tab w:leader="none" w:pos="338"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Portions of this exhibit have been omitted in compliance with Item 601 of Regulation S-K.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055"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Portions of this exhibit indicated by bracketed asterisks have been omitted because they are not material and would likely cause competitive harm to Harrow Health, Inc. and Wakamoto Pharmaceutical Co., LTD. if publicly disclosed.</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BASIC SALE AND PURCHASE AGREEMENT</w:t>
      </w:r>
    </w:p>
    <w:p>
      <w:pPr>
        <w:spacing w:after="0" w:line="229" w:lineRule="exact"/>
        <w:rPr>
          <w:sz w:val="20"/>
          <w:szCs w:val="20"/>
          <w:color w:val="auto"/>
        </w:rPr>
      </w:pPr>
    </w:p>
    <w:p>
      <w:pPr>
        <w:jc w:val="both"/>
        <w:ind w:left="360"/>
        <w:spacing w:after="0" w:line="267" w:lineRule="auto"/>
        <w:rPr>
          <w:sz w:val="20"/>
          <w:szCs w:val="20"/>
          <w:color w:val="auto"/>
        </w:rPr>
      </w:pPr>
      <w:r>
        <w:rPr>
          <w:rFonts w:ascii="Arial" w:cs="Arial" w:eastAsia="Arial" w:hAnsi="Arial"/>
          <w:sz w:val="16"/>
          <w:szCs w:val="16"/>
          <w:color w:val="auto"/>
        </w:rPr>
        <w:t>This BASIC SALE AND PURCHASE AGREEMENT (hereinafter referred to as this “Agreement”) made and entered into this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August, 2021 (hereinafter referred to as the “Effective Date”), by and between WAKAMOTO PHARMACEUTICAL CO., LTD., a corporation duly incorporated and existing under the laws of Japan, having its principal place of business at 2-2, Nihonbashi Honcho 2-chome, Chuo-ku, Tokyo, 103-8330 Japan (hereinafter referred to as “Wakamoto”) and Harrow Health, Inc., a corporation organized and existing under the laws of State of Delaware, having its principal place of business at 102 Woodmont Blvd., Suite 610, Nashville, TN 37205 USA (hereinafter referred to as “Harrow”),</w:t>
      </w:r>
    </w:p>
    <w:p>
      <w:pPr>
        <w:spacing w:after="0" w:line="18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WITNESSETH:</w:t>
      </w:r>
    </w:p>
    <w:p>
      <w:pPr>
        <w:spacing w:after="0" w:line="200" w:lineRule="exact"/>
        <w:rPr>
          <w:sz w:val="20"/>
          <w:szCs w:val="20"/>
          <w:color w:val="auto"/>
        </w:rPr>
      </w:pPr>
    </w:p>
    <w:p>
      <w:pPr>
        <w:spacing w:after="0" w:line="241" w:lineRule="exact"/>
        <w:rPr>
          <w:sz w:val="20"/>
          <w:szCs w:val="20"/>
          <w:color w:val="auto"/>
        </w:rPr>
      </w:pPr>
    </w:p>
    <w:p>
      <w:pPr>
        <w:jc w:val="both"/>
        <w:ind w:left="360" w:right="20"/>
        <w:spacing w:after="0" w:line="277" w:lineRule="auto"/>
        <w:rPr>
          <w:sz w:val="20"/>
          <w:szCs w:val="20"/>
          <w:color w:val="auto"/>
        </w:rPr>
      </w:pPr>
      <w:r>
        <w:rPr>
          <w:rFonts w:ascii="Arial" w:cs="Arial" w:eastAsia="Arial" w:hAnsi="Arial"/>
          <w:sz w:val="18"/>
          <w:szCs w:val="18"/>
          <w:color w:val="auto"/>
        </w:rPr>
        <w:t>WHEREAS, Wakamoto is a developer, manufacturer, and supplier of products relating to pharmaceuticals and Harrow is a distributor of finished pharmaceutical products;</w:t>
      </w:r>
    </w:p>
    <w:p>
      <w:pPr>
        <w:spacing w:after="0" w:line="170" w:lineRule="exact"/>
        <w:rPr>
          <w:sz w:val="20"/>
          <w:szCs w:val="20"/>
          <w:color w:val="auto"/>
        </w:rPr>
      </w:pPr>
    </w:p>
    <w:p>
      <w:pPr>
        <w:jc w:val="both"/>
        <w:ind w:left="360"/>
        <w:spacing w:after="0" w:line="263" w:lineRule="auto"/>
        <w:rPr>
          <w:sz w:val="20"/>
          <w:szCs w:val="20"/>
          <w:color w:val="auto"/>
        </w:rPr>
      </w:pPr>
      <w:r>
        <w:rPr>
          <w:rFonts w:ascii="Arial" w:cs="Arial" w:eastAsia="Arial" w:hAnsi="Arial"/>
          <w:sz w:val="18"/>
          <w:szCs w:val="18"/>
          <w:color w:val="auto"/>
        </w:rPr>
        <w:t>WHEREAS, Wakamoto and Harrow have been respectively interested in sale by Wakamoto and purchase by Harrow of the certain products and have explored a business opportunity in the United States of America and Canada including their territories and possessions (hereinafter referred to as “Territory”), by using their respective capabilities;</w:t>
      </w:r>
    </w:p>
    <w:p>
      <w:pPr>
        <w:spacing w:after="0" w:line="184" w:lineRule="exact"/>
        <w:rPr>
          <w:sz w:val="20"/>
          <w:szCs w:val="20"/>
          <w:color w:val="auto"/>
        </w:rPr>
      </w:pPr>
    </w:p>
    <w:p>
      <w:pPr>
        <w:jc w:val="both"/>
        <w:ind w:left="360"/>
        <w:spacing w:after="0" w:line="308" w:lineRule="auto"/>
        <w:rPr>
          <w:sz w:val="20"/>
          <w:szCs w:val="20"/>
          <w:color w:val="auto"/>
        </w:rPr>
      </w:pPr>
      <w:r>
        <w:rPr>
          <w:rFonts w:ascii="Arial" w:cs="Arial" w:eastAsia="Arial" w:hAnsi="Arial"/>
          <w:sz w:val="17"/>
          <w:szCs w:val="17"/>
          <w:color w:val="auto"/>
        </w:rPr>
        <w:t>WHEREAS, Wakamoto and Harrow are concurrently executing a License Agreement as of the Effective Date regarding the Development and Commercialization of the Product, as those terms are defined in the License Agreement (the “</w:t>
      </w:r>
      <w:r>
        <w:rPr>
          <w:rFonts w:ascii="Arial" w:cs="Arial" w:eastAsia="Arial" w:hAnsi="Arial"/>
          <w:sz w:val="17"/>
          <w:szCs w:val="17"/>
          <w:b w:val="1"/>
          <w:bCs w:val="1"/>
          <w:color w:val="auto"/>
        </w:rPr>
        <w:t>License Agreement</w:t>
      </w:r>
      <w:r>
        <w:rPr>
          <w:rFonts w:ascii="Arial" w:cs="Arial" w:eastAsia="Arial" w:hAnsi="Arial"/>
          <w:sz w:val="17"/>
          <w:szCs w:val="17"/>
          <w:color w:val="auto"/>
        </w:rPr>
        <w:t>”); and</w:t>
      </w:r>
    </w:p>
    <w:p>
      <w:pPr>
        <w:spacing w:after="0" w:line="146"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WHEREAS, Wakamoto and Harrow have basically reached common understanding that it would be beneficial for each party to promote the certain sale and purchase;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it is hereby agreed upon by the parties hereto as follows:</w:t>
      </w:r>
    </w:p>
    <w:p>
      <w:pPr>
        <w:spacing w:after="0" w:line="225" w:lineRule="exact"/>
        <w:rPr>
          <w:sz w:val="20"/>
          <w:szCs w:val="20"/>
          <w:color w:val="auto"/>
        </w:rPr>
      </w:pPr>
    </w:p>
    <w:p>
      <w:pPr>
        <w:ind w:left="740" w:hanging="381"/>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 and Transactions</w:t>
      </w:r>
    </w:p>
    <w:p>
      <w:pPr>
        <w:spacing w:after="0" w:line="225"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In accordance with the provisions of this Agreement, Wakamoto shall continuously sell the products separately agreed upon by the parties following the basic conditions as set forth in Annex 1 attached hereto (hereinafter referred to as the “Product”) to Harrow, and Harrow shall purchase the Product from Wakamoto at the prices as set forth in Annex 1. Both parties agree that Wakamoto shall exclusively supply the Product to Harrow in the Territory and Harrow shall purchase all of its requirements of the Product in the Territory exclusively from Wakamoto. Harrow’s purchases of each order of Product shall be made through purchase orders/individual agreements (hereinafter referred to as the “Individual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left="381" w:hanging="381"/>
        <w:spacing w:after="0"/>
        <w:tabs>
          <w:tab w:leader="none" w:pos="38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Order Schedule and Individual Agreement</w:t>
      </w:r>
    </w:p>
    <w:p>
      <w:pPr>
        <w:spacing w:after="0" w:line="117" w:lineRule="exact"/>
        <w:rPr>
          <w:sz w:val="20"/>
          <w:szCs w:val="20"/>
          <w:color w:val="auto"/>
        </w:rPr>
      </w:pPr>
    </w:p>
    <w:p>
      <w:pPr>
        <w:jc w:val="both"/>
        <w:ind w:left="761" w:hanging="499"/>
        <w:spacing w:after="0" w:line="286" w:lineRule="auto"/>
        <w:tabs>
          <w:tab w:leader="none" w:pos="741"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Harrow shall inform Wakamoto of the scheduled order of the Product for the next one (1) year until the end of [***]. The quantity of the scheduled order shall have no binding force on Wakamoto and Harrow, but the Parties shall make their best effort to observe such schedule, and if there is wide ranging change in the schedule, Harrow shall notify thereof to Wakamoto without delay.</w:t>
      </w:r>
    </w:p>
    <w:p>
      <w:pPr>
        <w:spacing w:after="0" w:line="165" w:lineRule="exact"/>
        <w:rPr>
          <w:sz w:val="20"/>
          <w:szCs w:val="20"/>
          <w:color w:val="auto"/>
        </w:rPr>
      </w:pPr>
    </w:p>
    <w:p>
      <w:pPr>
        <w:jc w:val="both"/>
        <w:ind w:left="761" w:hanging="499"/>
        <w:spacing w:after="0" w:line="273" w:lineRule="auto"/>
        <w:tabs>
          <w:tab w:leader="none" w:pos="741"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Individual Agreement shall be established through the offer by Harrow submitting a written purchase order, which specifies the name, the quantity, the unit price, the delivery time, the delivery place, the trade conditions, the package for delivery and otherwise of the Product and the acceptance thereof by Wakamoto submitting the written acceptance of the purchase order to Harrow. Harrow shall submit the Individual Agreement to Wakamoto not less than [***] before the desired delivery time, and upon submitting the written acceptance by Wakamoto, each Individual Agreement shall be properly established. In the event the Wakamoto can offer Harrow a shortened lead time for Individual Agreements, Wakamoto shall advise Harrow of such shortened lead time.</w:t>
      </w:r>
    </w:p>
    <w:p>
      <w:pPr>
        <w:spacing w:after="0" w:line="178" w:lineRule="exact"/>
        <w:rPr>
          <w:sz w:val="20"/>
          <w:szCs w:val="20"/>
          <w:color w:val="auto"/>
        </w:rPr>
      </w:pPr>
    </w:p>
    <w:p>
      <w:pPr>
        <w:jc w:val="both"/>
        <w:ind w:left="761" w:hanging="499"/>
        <w:spacing w:after="0" w:line="263" w:lineRule="auto"/>
        <w:tabs>
          <w:tab w:leader="none" w:pos="741"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 the event that Wakamoto is unable to meet the scheduled order from Harrow as set forth in Article 2.1, Wakamoto and Harrow shall meet and confer in good faith discussions to determine how best to satisfy Harrow’s demand, including considering adding or changing the site for manufacturing of Product for Individual Agreements.</w:t>
      </w:r>
    </w:p>
    <w:p>
      <w:pPr>
        <w:spacing w:after="0" w:line="184" w:lineRule="exact"/>
        <w:rPr>
          <w:sz w:val="20"/>
          <w:szCs w:val="20"/>
          <w:color w:val="auto"/>
        </w:rPr>
      </w:pPr>
    </w:p>
    <w:p>
      <w:pPr>
        <w:jc w:val="both"/>
        <w:ind w:left="761" w:hanging="499"/>
        <w:spacing w:after="0" w:line="263" w:lineRule="auto"/>
        <w:tabs>
          <w:tab w:leader="none" w:pos="741"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In the event that Wakamoto is unable to deliver Product on or before the scheduled delivery date in an Individual Agreement, Wakamoto shall notify Harrow of that fact without delay and consult about the countermeasure. The Parties shall work together to implement a satisfactory countermeasure, but if the Parties jointly agree, orders for Individual Agreements can be canceled.</w:t>
      </w:r>
    </w:p>
    <w:p>
      <w:pPr>
        <w:spacing w:after="0" w:line="184" w:lineRule="exact"/>
        <w:rPr>
          <w:sz w:val="20"/>
          <w:szCs w:val="20"/>
          <w:color w:val="auto"/>
        </w:rPr>
      </w:pPr>
    </w:p>
    <w:p>
      <w:pPr>
        <w:ind w:left="381" w:hanging="381"/>
        <w:spacing w:after="0"/>
        <w:tabs>
          <w:tab w:leader="none" w:pos="38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Delivery</w:t>
      </w:r>
    </w:p>
    <w:p>
      <w:pPr>
        <w:spacing w:after="0" w:line="225" w:lineRule="exact"/>
        <w:rPr>
          <w:sz w:val="20"/>
          <w:szCs w:val="20"/>
          <w:color w:val="auto"/>
        </w:rPr>
      </w:pPr>
    </w:p>
    <w:p>
      <w:pPr>
        <w:jc w:val="both"/>
        <w:ind w:left="381" w:hanging="377"/>
        <w:spacing w:after="0" w:line="263" w:lineRule="auto"/>
        <w:tabs>
          <w:tab w:leader="none" w:pos="361" w:val="left"/>
        </w:tabs>
        <w:rPr>
          <w:sz w:val="20"/>
          <w:szCs w:val="20"/>
          <w:color w:val="auto"/>
        </w:rPr>
      </w:pPr>
      <w:r>
        <w:rPr>
          <w:rFonts w:ascii="Arial" w:cs="Arial" w:eastAsia="Arial" w:hAnsi="Arial"/>
          <w:sz w:val="18"/>
          <w:szCs w:val="18"/>
          <w:color w:val="auto"/>
        </w:rPr>
        <w:t>3.1</w:t>
        <w:tab/>
        <w:t>The delivery time shall mean the date that Wakamoto shall deliver the Product stipulated in the Individual Agreement to the place designated by Harrow and shall be decided between the parties hereto in each Individual Agreement. Wakamoto and Harrow, however, may designate the delivery time in the certain term or the certain deadline in the Individual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262890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0" w:name="page51"/>
    <w:bookmarkEnd w:id="50"/>
    <w:p>
      <w:pPr>
        <w:jc w:val="both"/>
        <w:ind w:left="381" w:hanging="377"/>
        <w:spacing w:after="0" w:line="286" w:lineRule="auto"/>
        <w:tabs>
          <w:tab w:leader="none" w:pos="361"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Unless otherwise agreed upon by the parties in the Individual Agreement, Wakamoto shall deliver the Product upon CIF Newark International Airport (EWR), the United States of America basis in accordance with the delivery time and the delivery place specified in the Individual Agreement. Upon the proper delivery of the Product, the written receipt of the Product shall be submitted to Wakamoto.</w:t>
      </w:r>
    </w:p>
    <w:p>
      <w:pPr>
        <w:spacing w:after="0" w:line="165" w:lineRule="exact"/>
        <w:rPr>
          <w:sz w:val="20"/>
          <w:szCs w:val="20"/>
          <w:color w:val="auto"/>
        </w:rPr>
      </w:pPr>
    </w:p>
    <w:p>
      <w:pPr>
        <w:ind w:left="1"/>
        <w:spacing w:after="0"/>
        <w:tabs>
          <w:tab w:leader="none" w:pos="361"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Wakamoto and Harrow shall discuss and agree upon when they intend to change the delivery time.</w:t>
      </w:r>
    </w:p>
    <w:p>
      <w:pPr>
        <w:spacing w:after="0" w:line="225" w:lineRule="exact"/>
        <w:rPr>
          <w:sz w:val="20"/>
          <w:szCs w:val="20"/>
          <w:color w:val="auto"/>
        </w:rPr>
      </w:pPr>
    </w:p>
    <w:p>
      <w:pPr>
        <w:jc w:val="both"/>
        <w:ind w:left="381" w:hanging="377"/>
        <w:spacing w:after="0" w:line="263" w:lineRule="auto"/>
        <w:tabs>
          <w:tab w:leader="none" w:pos="361"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 xml:space="preserve">Customs and Other Duties. </w:t>
      </w:r>
      <w:r>
        <w:rPr>
          <w:rFonts w:ascii="Arial" w:cs="Arial" w:eastAsia="Arial" w:hAnsi="Arial"/>
          <w:sz w:val="18"/>
          <w:szCs w:val="18"/>
          <w:color w:val="auto"/>
        </w:rPr>
        <w:t>All duties and charges, including government levy and customs duties, in the country in which Wakamoto’s</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manufacturing facility is located, including any duties, taxes, VATs or similar charges arising with respect to the manufacture, sale, exportation and shipment of the Product by Wakamoto to Harrow, shall be borne and paid by Wakamoto.</w:t>
      </w:r>
    </w:p>
    <w:p>
      <w:pPr>
        <w:spacing w:after="0" w:line="184" w:lineRule="exact"/>
        <w:rPr>
          <w:sz w:val="20"/>
          <w:szCs w:val="20"/>
          <w:color w:val="auto"/>
        </w:rPr>
      </w:pPr>
    </w:p>
    <w:p>
      <w:pPr>
        <w:ind w:left="381" w:hanging="381"/>
        <w:spacing w:after="0"/>
        <w:tabs>
          <w:tab w:leader="none" w:pos="38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Acceptance of Product</w:t>
      </w:r>
    </w:p>
    <w:p>
      <w:pPr>
        <w:spacing w:after="0" w:line="225" w:lineRule="exact"/>
        <w:rPr>
          <w:sz w:val="20"/>
          <w:szCs w:val="20"/>
          <w:color w:val="auto"/>
        </w:rPr>
      </w:pPr>
    </w:p>
    <w:p>
      <w:pPr>
        <w:jc w:val="both"/>
        <w:ind w:left="381" w:hanging="377"/>
        <w:spacing w:after="0" w:line="259" w:lineRule="auto"/>
        <w:tabs>
          <w:tab w:leader="none" w:pos="361" w:val="left"/>
        </w:tabs>
        <w:rPr>
          <w:sz w:val="20"/>
          <w:szCs w:val="20"/>
          <w:color w:val="auto"/>
        </w:rPr>
      </w:pPr>
      <w:r>
        <w:rPr>
          <w:rFonts w:ascii="Arial" w:cs="Arial" w:eastAsia="Arial" w:hAnsi="Arial"/>
          <w:sz w:val="18"/>
          <w:szCs w:val="18"/>
          <w:color w:val="auto"/>
        </w:rPr>
        <w:t>4.1</w:t>
        <w:tab/>
        <w:t>Harrow shall conduct the inspections of the external appearance and the quantity within [***] of Harrow after the delivery of the Product, and the time point of the pass of such inspections of the external appearance and the quantity shall be the acceptance of such Product by Harrow, provided, however, that Harrow’s acceptance of the Product shall not relieve Wakamoto from any liability or obligation with respect to the Product hereunder.</w:t>
      </w:r>
    </w:p>
    <w:p>
      <w:pPr>
        <w:spacing w:after="0" w:line="187" w:lineRule="exact"/>
        <w:rPr>
          <w:sz w:val="20"/>
          <w:szCs w:val="20"/>
          <w:color w:val="auto"/>
        </w:rPr>
      </w:pPr>
    </w:p>
    <w:p>
      <w:pPr>
        <w:jc w:val="both"/>
        <w:ind w:left="381" w:hanging="377"/>
        <w:spacing w:after="0" w:line="263" w:lineRule="auto"/>
        <w:tabs>
          <w:tab w:leader="none" w:pos="361" w:val="left"/>
        </w:tabs>
        <w:rPr>
          <w:sz w:val="20"/>
          <w:szCs w:val="20"/>
          <w:color w:val="auto"/>
        </w:rPr>
      </w:pPr>
      <w:r>
        <w:rPr>
          <w:rFonts w:ascii="Arial" w:cs="Arial" w:eastAsia="Arial" w:hAnsi="Arial"/>
          <w:sz w:val="18"/>
          <w:szCs w:val="18"/>
          <w:color w:val="auto"/>
        </w:rPr>
        <w:t>4.2</w:t>
        <w:tab/>
        <w:t>If the Product does not pass the inspections of the external appearance and the quantity set forth in Article 4.1 above, Harrow shall notify Wakamoto of such effect without delay, and Wakamoto shall, under instructions by Harrow, conduct the delivery of the replacement of the Product, the decrease of the price amount in accordance with the short of the quantity or otherwise.</w:t>
      </w:r>
    </w:p>
    <w:p>
      <w:pPr>
        <w:spacing w:after="0" w:line="184" w:lineRule="exact"/>
        <w:rPr>
          <w:sz w:val="20"/>
          <w:szCs w:val="20"/>
          <w:color w:val="auto"/>
        </w:rPr>
      </w:pPr>
    </w:p>
    <w:p>
      <w:pPr>
        <w:ind w:left="381" w:hanging="381"/>
        <w:spacing w:after="0"/>
        <w:tabs>
          <w:tab w:leader="none" w:pos="38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Transfer of Ownership</w:t>
      </w:r>
    </w:p>
    <w:p>
      <w:pPr>
        <w:spacing w:after="0" w:line="225" w:lineRule="exact"/>
        <w:rPr>
          <w:rFonts w:ascii="Arial" w:cs="Arial" w:eastAsia="Arial" w:hAnsi="Arial"/>
          <w:sz w:val="18"/>
          <w:szCs w:val="18"/>
          <w:color w:val="auto"/>
        </w:rPr>
      </w:pPr>
    </w:p>
    <w:p>
      <w:pPr>
        <w:ind w:left="401"/>
        <w:spacing w:after="0" w:line="277" w:lineRule="auto"/>
        <w:rPr>
          <w:rFonts w:ascii="Arial" w:cs="Arial" w:eastAsia="Arial" w:hAnsi="Arial"/>
          <w:sz w:val="18"/>
          <w:szCs w:val="18"/>
          <w:color w:val="auto"/>
        </w:rPr>
      </w:pPr>
      <w:r>
        <w:rPr>
          <w:rFonts w:ascii="Arial" w:cs="Arial" w:eastAsia="Arial" w:hAnsi="Arial"/>
          <w:sz w:val="18"/>
          <w:szCs w:val="18"/>
          <w:color w:val="auto"/>
        </w:rPr>
        <w:t>The ownership of the Product shall be transferred from Wakamoto to Harrow as soon as the Product has set down inside the ship/airplane, even in the case where the payment of the price amount has not been made yet.</w:t>
      </w:r>
    </w:p>
    <w:p>
      <w:pPr>
        <w:spacing w:after="0" w:line="251" w:lineRule="exact"/>
        <w:rPr>
          <w:sz w:val="20"/>
          <w:szCs w:val="20"/>
          <w:color w:val="auto"/>
        </w:rPr>
      </w:pPr>
    </w:p>
    <w:p>
      <w:pPr>
        <w:ind w:left="381" w:hanging="381"/>
        <w:spacing w:after="0"/>
        <w:tabs>
          <w:tab w:leader="none" w:pos="3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Quality Assurance</w:t>
      </w:r>
    </w:p>
    <w:p>
      <w:pPr>
        <w:spacing w:after="0" w:line="225" w:lineRule="exact"/>
        <w:rPr>
          <w:rFonts w:ascii="Arial" w:cs="Arial" w:eastAsia="Arial" w:hAnsi="Arial"/>
          <w:sz w:val="18"/>
          <w:szCs w:val="18"/>
          <w:color w:val="auto"/>
        </w:rPr>
      </w:pPr>
    </w:p>
    <w:p>
      <w:pPr>
        <w:jc w:val="both"/>
        <w:ind w:left="401"/>
        <w:spacing w:after="0" w:line="311" w:lineRule="auto"/>
        <w:rPr>
          <w:rFonts w:ascii="Arial" w:cs="Arial" w:eastAsia="Arial" w:hAnsi="Arial"/>
          <w:sz w:val="18"/>
          <w:szCs w:val="18"/>
          <w:color w:val="auto"/>
        </w:rPr>
      </w:pPr>
      <w:r>
        <w:rPr>
          <w:rFonts w:ascii="Arial" w:cs="Arial" w:eastAsia="Arial" w:hAnsi="Arial"/>
          <w:sz w:val="16"/>
          <w:szCs w:val="16"/>
          <w:color w:val="auto"/>
        </w:rPr>
        <w:t>Wakamoto represents and warrants that the quality of the Product to be sold to Harrow hereunder meets the items and the standards with respect to the quality separately agreed upon by the parties hereto, which items and standards shall be in compliance with cGMPs and all Applicable Laws. The separate quality agreement shall be entered into at least nine (9) months prior to delivery of the launch quantities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240665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773" w:right="339" w:bottom="1440" w:gutter="0" w:footer="0" w:header="0"/>
        </w:sectPr>
      </w:pPr>
    </w:p>
    <w:bookmarkStart w:id="51" w:name="page52"/>
    <w:bookmarkEnd w:id="51"/>
    <w:p>
      <w:pPr>
        <w:ind w:left="381" w:hanging="381"/>
        <w:spacing w:after="0"/>
        <w:tabs>
          <w:tab w:leader="none" w:pos="38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Quality Inspection</w:t>
      </w:r>
    </w:p>
    <w:p>
      <w:pPr>
        <w:spacing w:after="0" w:line="225" w:lineRule="exact"/>
        <w:rPr>
          <w:sz w:val="20"/>
          <w:szCs w:val="20"/>
          <w:color w:val="auto"/>
        </w:rPr>
      </w:pPr>
    </w:p>
    <w:p>
      <w:pPr>
        <w:ind w:left="1"/>
        <w:spacing w:after="0"/>
        <w:tabs>
          <w:tab w:leader="none" w:pos="361"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Harrow shall conduct the quality inspection after the acceptance of the Product without delay, and notify Wakamoto of the result thereof.</w:t>
      </w:r>
    </w:p>
    <w:p>
      <w:pPr>
        <w:spacing w:after="0" w:line="225" w:lineRule="exact"/>
        <w:rPr>
          <w:sz w:val="20"/>
          <w:szCs w:val="20"/>
          <w:color w:val="auto"/>
        </w:rPr>
      </w:pPr>
    </w:p>
    <w:p>
      <w:pPr>
        <w:ind w:left="381" w:right="20" w:hanging="377"/>
        <w:spacing w:after="0" w:line="277" w:lineRule="auto"/>
        <w:tabs>
          <w:tab w:leader="none" w:pos="361" w:val="left"/>
        </w:tabs>
        <w:rPr>
          <w:sz w:val="20"/>
          <w:szCs w:val="20"/>
          <w:color w:val="auto"/>
        </w:rPr>
      </w:pPr>
      <w:r>
        <w:rPr>
          <w:rFonts w:ascii="Arial" w:cs="Arial" w:eastAsia="Arial" w:hAnsi="Arial"/>
          <w:sz w:val="18"/>
          <w:szCs w:val="18"/>
          <w:color w:val="auto"/>
        </w:rPr>
        <w:t>7.2</w:t>
        <w:tab/>
        <w:t>The quality inspection set forth in Article 7.1 above shall be conducted in accordance with the ways and standards of the inspection in matters with respect to the quality separately agreed upon by the parties hereto.</w:t>
      </w:r>
    </w:p>
    <w:p>
      <w:pPr>
        <w:spacing w:after="0" w:line="251" w:lineRule="exact"/>
        <w:rPr>
          <w:sz w:val="20"/>
          <w:szCs w:val="20"/>
          <w:color w:val="auto"/>
        </w:rPr>
      </w:pPr>
    </w:p>
    <w:p>
      <w:pPr>
        <w:ind w:left="381" w:hanging="381"/>
        <w:spacing w:after="0"/>
        <w:tabs>
          <w:tab w:leader="none" w:pos="38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Measures upon Rejection</w:t>
      </w:r>
    </w:p>
    <w:p>
      <w:pPr>
        <w:spacing w:after="0" w:line="225" w:lineRule="exact"/>
        <w:rPr>
          <w:rFonts w:ascii="Arial" w:cs="Arial" w:eastAsia="Arial" w:hAnsi="Arial"/>
          <w:sz w:val="18"/>
          <w:szCs w:val="18"/>
          <w:color w:val="auto"/>
        </w:rPr>
      </w:pPr>
    </w:p>
    <w:p>
      <w:pPr>
        <w:jc w:val="both"/>
        <w:ind w:left="401"/>
        <w:spacing w:after="0" w:line="271" w:lineRule="auto"/>
        <w:rPr>
          <w:rFonts w:ascii="Arial" w:cs="Arial" w:eastAsia="Arial" w:hAnsi="Arial"/>
          <w:sz w:val="18"/>
          <w:szCs w:val="18"/>
          <w:color w:val="auto"/>
        </w:rPr>
      </w:pPr>
      <w:r>
        <w:rPr>
          <w:rFonts w:ascii="Arial" w:cs="Arial" w:eastAsia="Arial" w:hAnsi="Arial"/>
          <w:sz w:val="17"/>
          <w:szCs w:val="17"/>
          <w:color w:val="auto"/>
        </w:rPr>
        <w:t>As a result of the quality inspection set forth in Article 7 above, if the rejected Product occurs by incongruence, Harrow shall notify Wakamoto of such effect within [***] after receiving the Product from Wakamoto in the case of apparent defects, or [***] from discovery by Harrow in the case of latent defects, and if that fact is also confirmed by Wakamoto, Wakamoto shall refund or subtract the price amount equivalent to that of the rejected Product from Harrow’s amount of payment. However, if Wakamoto and Harrow have inconsistencies to the incongruence of the Product, Wakamoto and Harrow agree to request the independent third party of recognized repute enough to evaluate the incongruence of the Product to take final confirmation with prior agreement between Wakamoto and Harrow, and the parties shall not have any objections to the result. The fees and expenses of the third party making the determination shall be paid by Harrow if the Product is found to be in compliance with the Specifications and cGMPs; otherwise, such fees and expenses shall be paid by Wakamoto.</w:t>
      </w:r>
    </w:p>
    <w:p>
      <w:pPr>
        <w:spacing w:after="0" w:line="178" w:lineRule="exact"/>
        <w:rPr>
          <w:sz w:val="20"/>
          <w:szCs w:val="20"/>
          <w:color w:val="auto"/>
        </w:rPr>
      </w:pPr>
    </w:p>
    <w:p>
      <w:pPr>
        <w:ind w:left="381" w:hanging="381"/>
        <w:spacing w:after="0"/>
        <w:tabs>
          <w:tab w:leader="none" w:pos="38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Warranty/Indemnification/Insurance</w:t>
      </w:r>
    </w:p>
    <w:p>
      <w:pPr>
        <w:spacing w:after="0" w:line="117" w:lineRule="exact"/>
        <w:rPr>
          <w:sz w:val="20"/>
          <w:szCs w:val="20"/>
          <w:color w:val="auto"/>
        </w:rPr>
      </w:pPr>
    </w:p>
    <w:p>
      <w:pPr>
        <w:jc w:val="both"/>
        <w:ind w:left="381" w:right="20" w:hanging="377"/>
        <w:spacing w:after="0" w:line="277" w:lineRule="auto"/>
        <w:tabs>
          <w:tab w:leader="none" w:pos="361" w:val="left"/>
        </w:tabs>
        <w:rPr>
          <w:sz w:val="20"/>
          <w:szCs w:val="20"/>
          <w:color w:val="auto"/>
        </w:rPr>
      </w:pPr>
      <w:r>
        <w:rPr>
          <w:rFonts w:ascii="Arial" w:cs="Arial" w:eastAsia="Arial" w:hAnsi="Arial"/>
          <w:sz w:val="18"/>
          <w:szCs w:val="18"/>
          <w:color w:val="auto"/>
        </w:rPr>
        <w:t>9.1</w:t>
        <w:tab/>
        <w:t>Wakamoto represents and warrants that it has the full authority to perform its obligations provided hereunder, including but not limited to rights and licenses to sell the Product.</w:t>
      </w:r>
    </w:p>
    <w:p>
      <w:pPr>
        <w:spacing w:after="0" w:line="170" w:lineRule="exact"/>
        <w:rPr>
          <w:sz w:val="20"/>
          <w:szCs w:val="20"/>
          <w:color w:val="auto"/>
        </w:rPr>
      </w:pPr>
    </w:p>
    <w:p>
      <w:pPr>
        <w:jc w:val="both"/>
        <w:ind w:left="381" w:hanging="377"/>
        <w:spacing w:after="0" w:line="254" w:lineRule="auto"/>
        <w:tabs>
          <w:tab w:leader="none" w:pos="361" w:val="left"/>
        </w:tabs>
        <w:rPr>
          <w:sz w:val="20"/>
          <w:szCs w:val="20"/>
          <w:color w:val="auto"/>
        </w:rPr>
      </w:pPr>
      <w:r>
        <w:rPr>
          <w:rFonts w:ascii="Arial" w:cs="Arial" w:eastAsia="Arial" w:hAnsi="Arial"/>
          <w:sz w:val="18"/>
          <w:szCs w:val="18"/>
          <w:color w:val="auto"/>
        </w:rPr>
        <w:t>9.2</w:t>
        <w:tab/>
        <w:t>Wakamoto represents and warrants that any item in the Product in every respect is free from any defect and error for a period of [***] from the acceptance thereof in accordance with Article 4.1 above. All Product delivered to Harrow will meet the Specifications, and shall be manufactured and labeled in compliance with cGMPs, all Applicable Laws and the Quality Agreement. All Product, when delivered to Harrow, shall not be adulterated or misbranded and will, at the time of such delivery, be free and clear of all liens, security interests and other encumbrances. Wakamoto’s method of manufacturing the Product shall not violate any third party intellectual property rights. If any defect or error is discovered in any item in the Product, Wakamoto shall, immediately, at Wakamoto’s sole cost and expense, correct such defect and error or replace such Product under instructions by Harrow.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269875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773" w:right="339" w:bottom="1440" w:gutter="0" w:footer="0" w:header="0"/>
        </w:sectPr>
      </w:pPr>
    </w:p>
    <w:bookmarkStart w:id="52" w:name="page53"/>
    <w:bookmarkEnd w:id="52"/>
    <w:p>
      <w:pPr>
        <w:jc w:val="both"/>
        <w:ind w:left="381" w:hanging="377"/>
        <w:spacing w:after="0" w:line="289" w:lineRule="auto"/>
        <w:tabs>
          <w:tab w:leader="none" w:pos="361"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Wakamoto Indemnification</w:t>
      </w:r>
      <w:r>
        <w:rPr>
          <w:rFonts w:ascii="Arial" w:cs="Arial" w:eastAsia="Arial" w:hAnsi="Arial"/>
          <w:sz w:val="16"/>
          <w:szCs w:val="16"/>
          <w:color w:val="auto"/>
        </w:rPr>
        <w:t>. Wakamoto shall indemnify and hold Harrow, and its Affiliates, and their respective officers, directors, shareholders,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employees, agents and representatives (collectively “Harrow Indemnitees”) harmless from any damage, expense, loss, or liability, including reasonable attorney’s fees, arising out of or resulting from any third party claims against Harrow, to the extent caused by (i) a violation of any of Wakamoto’s warranties (ii) the negligence or willful misconduct of Wakamoto, or (iii) Wakamoto’s breach of this Agreement, including failure to perform any act required by or in compliance with Wakamoto’s obligations under this Agreement or another breach of this Agreement; provided, however, that Wakamoto shall not have any obligation to indemnify Harrow to the extent a claim results from the negligence or willful misconduct of Harrow or Harrow’s breach of this Agreement. Harrow shall give Wakamoto notice of any claim for which Harrow may be entitled to indemnification and shall cooperate with Wakamoto in the defense of such claims. Notwithstanding the foregoing, at its election, and at its own expense, Wakamoto (or its insurers) may assume direction and control of the defense of any such claim.</w:t>
      </w:r>
    </w:p>
    <w:p>
      <w:pPr>
        <w:spacing w:after="0" w:line="166" w:lineRule="exact"/>
        <w:rPr>
          <w:sz w:val="20"/>
          <w:szCs w:val="20"/>
          <w:color w:val="auto"/>
        </w:rPr>
      </w:pPr>
    </w:p>
    <w:p>
      <w:pPr>
        <w:jc w:val="both"/>
        <w:ind w:left="381" w:hanging="377"/>
        <w:spacing w:after="0" w:line="254" w:lineRule="auto"/>
        <w:tabs>
          <w:tab w:leader="none" w:pos="361"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Harrow Indemnification</w:t>
      </w:r>
      <w:r>
        <w:rPr>
          <w:rFonts w:ascii="Arial" w:cs="Arial" w:eastAsia="Arial" w:hAnsi="Arial"/>
          <w:sz w:val="18"/>
          <w:szCs w:val="18"/>
          <w:color w:val="auto"/>
        </w:rPr>
        <w:t>. Harrow shall indemnify and hold Wakamoto, and its Affiliates, and their respective officers, directors,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agents and representatives (collectively “Wakamoto Indemnitees”) harmless from any damage, expense, loss, or liability, including reasonable attorney’s fees, arising out of or resulting from any third party claims made or threatened against Wakamoto to the extent caused by (i) any failure of Harrow to comply with any Applicable Law regarding the possession, distribution, labeling, or sale of the Product, (ii) the negligence or willful misconduct of Harrow, and (iii) violation of any of Harrow’s warranties, provided, however, that Harrow shall not have any obligation to indemnify Wakamoto to the extent a claim is caused by the negligence or willful misconduct of Wakamoto or Wakamoto’s breach of this Agreement. Wakamoto shall give Harrow notice of any claim for which Wakamoto may be entitled to indemnification and shall cooperate with Harrow in the defense of such claims.</w:t>
      </w:r>
    </w:p>
    <w:p>
      <w:pPr>
        <w:spacing w:after="0" w:line="192" w:lineRule="exact"/>
        <w:rPr>
          <w:sz w:val="20"/>
          <w:szCs w:val="20"/>
          <w:color w:val="auto"/>
        </w:rPr>
      </w:pPr>
    </w:p>
    <w:p>
      <w:pPr>
        <w:jc w:val="both"/>
        <w:ind w:left="381" w:hanging="377"/>
        <w:spacing w:after="0" w:line="263" w:lineRule="auto"/>
        <w:tabs>
          <w:tab w:leader="none" w:pos="361"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Insuranc</w:t>
      </w:r>
      <w:r>
        <w:rPr>
          <w:rFonts w:ascii="Arial" w:cs="Arial" w:eastAsia="Arial" w:hAnsi="Arial"/>
          <w:sz w:val="18"/>
          <w:szCs w:val="18"/>
          <w:color w:val="auto"/>
        </w:rPr>
        <w:t>e. Each Party shall maintain adequate insurance to protect itself from and against any claims or liabilities that may arise directly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indirectly as a result of its performance under this Agreement. A Party shall notify the other Party at least [***] prior to any cancellation of an insurance policy subject to this Section 9.5.</w:t>
      </w:r>
    </w:p>
    <w:p>
      <w:pPr>
        <w:spacing w:after="0" w:line="184" w:lineRule="exact"/>
        <w:rPr>
          <w:sz w:val="20"/>
          <w:szCs w:val="20"/>
          <w:color w:val="auto"/>
        </w:rPr>
      </w:pPr>
    </w:p>
    <w:p>
      <w:pPr>
        <w:ind w:left="1"/>
        <w:spacing w:after="0"/>
        <w:tabs>
          <w:tab w:leader="none" w:pos="361"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The provisions under this Article 9 shall also apply for the License Agreement.</w:t>
      </w:r>
    </w:p>
    <w:p>
      <w:pPr>
        <w:spacing w:after="0" w:line="200" w:lineRule="exact"/>
        <w:rPr>
          <w:sz w:val="20"/>
          <w:szCs w:val="20"/>
          <w:color w:val="auto"/>
        </w:rPr>
      </w:pPr>
    </w:p>
    <w:p>
      <w:pPr>
        <w:spacing w:after="0" w:line="241" w:lineRule="exact"/>
        <w:rPr>
          <w:sz w:val="20"/>
          <w:szCs w:val="20"/>
          <w:color w:val="auto"/>
        </w:rPr>
      </w:pPr>
    </w:p>
    <w:p>
      <w:pPr>
        <w:ind w:left="381" w:hanging="381"/>
        <w:spacing w:after="0"/>
        <w:tabs>
          <w:tab w:leader="none" w:pos="38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Payment of Price</w:t>
      </w:r>
    </w:p>
    <w:p>
      <w:pPr>
        <w:spacing w:after="0" w:line="23" w:lineRule="exact"/>
        <w:rPr>
          <w:sz w:val="20"/>
          <w:szCs w:val="20"/>
          <w:color w:val="auto"/>
        </w:rPr>
      </w:pPr>
    </w:p>
    <w:p>
      <w:pPr>
        <w:jc w:val="both"/>
        <w:ind w:left="341"/>
        <w:spacing w:after="0" w:line="255" w:lineRule="auto"/>
        <w:rPr>
          <w:sz w:val="20"/>
          <w:szCs w:val="20"/>
          <w:color w:val="auto"/>
        </w:rPr>
      </w:pPr>
      <w:r>
        <w:rPr>
          <w:rFonts w:ascii="Arial" w:cs="Arial" w:eastAsia="Arial" w:hAnsi="Arial"/>
          <w:sz w:val="18"/>
          <w:szCs w:val="18"/>
          <w:color w:val="auto"/>
        </w:rPr>
        <w:t>After receiving the air waybill for the amount of Product shipped (AWB), Harrow shall pay the total amount for such shipped Product to Wakamoto by telegraphic/wire transfer to Wakamoto’s bank account within [***] from AWB date, provided, however, that the parties may agree upon different payment conditions thereafter with mutual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266700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3" w:name="page54"/>
    <w:bookmarkEnd w:id="53"/>
    <w:p>
      <w:pPr>
        <w:ind w:left="381" w:hanging="381"/>
        <w:spacing w:after="0"/>
        <w:tabs>
          <w:tab w:leader="none" w:pos="38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left="381" w:hanging="377"/>
        <w:spacing w:after="0" w:line="263" w:lineRule="auto"/>
        <w:rPr>
          <w:sz w:val="20"/>
          <w:szCs w:val="20"/>
          <w:color w:val="auto"/>
        </w:rPr>
      </w:pPr>
      <w:r>
        <w:rPr>
          <w:rFonts w:ascii="Arial" w:cs="Arial" w:eastAsia="Arial" w:hAnsi="Arial"/>
          <w:sz w:val="18"/>
          <w:szCs w:val="18"/>
          <w:color w:val="auto"/>
        </w:rPr>
        <w:t>11.1 No party hereto may disclose the fact that Wakamoto and Harrow have executed and delivered this Agreement and any contents hereof to any third party without prior written consent of the other party, unless the fact or the content in question meets any one of (a) through (f) set forth in Article 11.3 below.</w:t>
      </w:r>
    </w:p>
    <w:p>
      <w:pPr>
        <w:spacing w:after="0" w:line="184" w:lineRule="exact"/>
        <w:rPr>
          <w:sz w:val="20"/>
          <w:szCs w:val="20"/>
          <w:color w:val="auto"/>
        </w:rPr>
      </w:pPr>
    </w:p>
    <w:p>
      <w:pPr>
        <w:jc w:val="both"/>
        <w:ind w:left="381" w:hanging="377"/>
        <w:spacing w:after="0" w:line="269" w:lineRule="auto"/>
        <w:rPr>
          <w:sz w:val="20"/>
          <w:szCs w:val="20"/>
          <w:color w:val="auto"/>
        </w:rPr>
      </w:pPr>
      <w:r>
        <w:rPr>
          <w:rFonts w:ascii="Arial" w:cs="Arial" w:eastAsia="Arial" w:hAnsi="Arial"/>
          <w:sz w:val="17"/>
          <w:szCs w:val="17"/>
          <w:color w:val="auto"/>
        </w:rPr>
        <w:t>11.2 Each party hereto agrees, during the effective term hereof and for five (5) years after expiration or termination hereof, not to disclose the confidential information of the other party, which means all of proprietary or non-public information, including but not limited to any and all verbal, written, graphic, or electronically transmitted and/or machine-reproduced trade secrets, electronic files, software, hardware, patents and patent applications, including but not limited to drawings, claims, and amendments, inventions, know-how, samples, prototypes, models, parts, technical drawings, specifications, designs, depictions, ideas, works of authorship, improvements, developments, plans for research and development, present or future products, testing information, business and business practices, customers, suppliers, prices, works in progress, marketing plans or strategies, finances, and sales, disclosed, received, or known, whether directly or indirectly, from the other party hereto (hereinafter referred to as the “Confidential Information”) to any third party, to keep the Confidential Information in strict confidence and secret with a duty of due care of a prudent manager, and not to use the Confidential Information for any other purpose than the performance of this Agreement without prior written consent of the other party.</w:t>
      </w:r>
    </w:p>
    <w:p>
      <w:pPr>
        <w:spacing w:after="0" w:line="185" w:lineRule="exact"/>
        <w:rPr>
          <w:sz w:val="20"/>
          <w:szCs w:val="20"/>
          <w:color w:val="auto"/>
        </w:rPr>
      </w:pPr>
    </w:p>
    <w:p>
      <w:pPr>
        <w:jc w:val="both"/>
        <w:ind w:left="381" w:hanging="377"/>
        <w:spacing w:after="0" w:line="277" w:lineRule="auto"/>
        <w:rPr>
          <w:sz w:val="20"/>
          <w:szCs w:val="20"/>
          <w:color w:val="auto"/>
        </w:rPr>
      </w:pPr>
      <w:r>
        <w:rPr>
          <w:rFonts w:ascii="Arial" w:cs="Arial" w:eastAsia="Arial" w:hAnsi="Arial"/>
          <w:sz w:val="18"/>
          <w:szCs w:val="18"/>
          <w:color w:val="auto"/>
        </w:rPr>
        <w:t>11.3 Notwithstanding the provision of Article 11.2 above, any of the following information shall not be included in nor considered as the Confidential Information.</w:t>
      </w:r>
    </w:p>
    <w:p>
      <w:pPr>
        <w:spacing w:after="0" w:line="170" w:lineRule="exact"/>
        <w:rPr>
          <w:sz w:val="20"/>
          <w:szCs w:val="20"/>
          <w:color w:val="auto"/>
        </w:rPr>
      </w:pPr>
    </w:p>
    <w:p>
      <w:pPr>
        <w:ind w:left="761" w:hanging="370"/>
        <w:spacing w:after="0"/>
        <w:tabs>
          <w:tab w:leader="none" w:pos="7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which is already publicly available at the time of disclosure, receipt, or knowing;</w:t>
      </w:r>
    </w:p>
    <w:p>
      <w:pPr>
        <w:spacing w:after="0" w:line="225" w:lineRule="exact"/>
        <w:rPr>
          <w:rFonts w:ascii="Arial" w:cs="Arial" w:eastAsia="Arial" w:hAnsi="Arial"/>
          <w:sz w:val="18"/>
          <w:szCs w:val="18"/>
          <w:color w:val="auto"/>
        </w:rPr>
      </w:pPr>
    </w:p>
    <w:p>
      <w:pPr>
        <w:ind w:left="761" w:hanging="370"/>
        <w:spacing w:after="0"/>
        <w:tabs>
          <w:tab w:leader="none" w:pos="7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which becomes publicly available after disclosure, receipt, or knowing without any default of the receiving or knowing party;</w:t>
      </w:r>
    </w:p>
    <w:p>
      <w:pPr>
        <w:spacing w:after="0" w:line="248" w:lineRule="exact"/>
        <w:rPr>
          <w:rFonts w:ascii="Arial" w:cs="Arial" w:eastAsia="Arial" w:hAnsi="Arial"/>
          <w:sz w:val="16"/>
          <w:szCs w:val="16"/>
          <w:color w:val="auto"/>
        </w:rPr>
      </w:pPr>
    </w:p>
    <w:p>
      <w:pPr>
        <w:ind w:left="761" w:hanging="370"/>
        <w:spacing w:after="0"/>
        <w:tabs>
          <w:tab w:leader="none" w:pos="7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which is already known to the disclosed, receiving or knowing party at the time of disclosure, receipt, or knowing;</w:t>
      </w:r>
    </w:p>
    <w:p>
      <w:pPr>
        <w:spacing w:after="0" w:line="225" w:lineRule="exact"/>
        <w:rPr>
          <w:rFonts w:ascii="Arial" w:cs="Arial" w:eastAsia="Arial" w:hAnsi="Arial"/>
          <w:sz w:val="18"/>
          <w:szCs w:val="18"/>
          <w:color w:val="auto"/>
        </w:rPr>
      </w:pPr>
    </w:p>
    <w:p>
      <w:pPr>
        <w:ind w:left="761" w:hanging="370"/>
        <w:spacing w:after="0" w:line="277" w:lineRule="auto"/>
        <w:tabs>
          <w:tab w:leader="none" w:pos="7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which is independently learned or developed by the disclosed, receiving or knowing party without any use of or access to the Confidential Information;</w:t>
      </w:r>
    </w:p>
    <w:p>
      <w:pPr>
        <w:spacing w:after="0" w:line="170" w:lineRule="exact"/>
        <w:rPr>
          <w:rFonts w:ascii="Arial" w:cs="Arial" w:eastAsia="Arial" w:hAnsi="Arial"/>
          <w:sz w:val="18"/>
          <w:szCs w:val="18"/>
          <w:color w:val="auto"/>
        </w:rPr>
      </w:pPr>
    </w:p>
    <w:p>
      <w:pPr>
        <w:ind w:left="761" w:hanging="370"/>
        <w:spacing w:after="0"/>
        <w:tabs>
          <w:tab w:leader="none" w:pos="7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which is disclosed, received or known from a third party who is not in breach of an obligation of confidentiality or secrecy; or</w:t>
      </w:r>
    </w:p>
    <w:p>
      <w:pPr>
        <w:spacing w:after="0" w:line="248" w:lineRule="exact"/>
        <w:rPr>
          <w:rFonts w:ascii="Arial" w:cs="Arial" w:eastAsia="Arial" w:hAnsi="Arial"/>
          <w:sz w:val="16"/>
          <w:szCs w:val="16"/>
          <w:color w:val="auto"/>
        </w:rPr>
      </w:pPr>
    </w:p>
    <w:p>
      <w:pPr>
        <w:ind w:left="761" w:right="20" w:hanging="370"/>
        <w:spacing w:after="0" w:line="277" w:lineRule="auto"/>
        <w:tabs>
          <w:tab w:leader="none" w:pos="7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which is disclosed to the judicial or governmental authorities or other third parties under and within requirement by a valid subpoena, warrant, order or similar thereto, which has proper legal or equitable compelling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254635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773" w:right="339" w:bottom="1440" w:gutter="0" w:footer="0" w:header="0"/>
        </w:sectPr>
      </w:pPr>
    </w:p>
    <w:bookmarkStart w:id="54" w:name="page55"/>
    <w:bookmarkEnd w:id="54"/>
    <w:p>
      <w:pPr>
        <w:jc w:val="both"/>
        <w:ind w:left="761" w:hanging="499"/>
        <w:spacing w:after="0" w:line="254" w:lineRule="auto"/>
        <w:tabs>
          <w:tab w:leader="none" w:pos="741" w:val="left"/>
        </w:tabs>
        <w:rPr>
          <w:sz w:val="20"/>
          <w:szCs w:val="20"/>
          <w:color w:val="auto"/>
        </w:rPr>
      </w:pPr>
      <w:r>
        <w:rPr>
          <w:rFonts w:ascii="Arial" w:cs="Arial" w:eastAsia="Arial" w:hAnsi="Arial"/>
          <w:sz w:val="18"/>
          <w:szCs w:val="18"/>
          <w:color w:val="auto"/>
        </w:rPr>
        <w:t>11.4</w:t>
        <w:tab/>
        <w:t>Any Confidential Information to be disclosed hereunder in tangible form shall be clearly marked “Confidential,” “Proprietary,” “Secret,” or other description, which reasonably represents the confidential, proprietary, or secret nature thereof and if the Confidential Information is to be disclosed orally or visually, the disclosing party shall designate it as Confidential Information upon such oral or visual disclosure and provide the other party a written notification, which specifies and summarizes such orally or visually disclosed Confidential Information, within thirty (30) days after such oral or visual disclosure. Notwithstanding the above, the failure to mark any such information shall not relieve the receiving party of its obligations under this Article if the information would readily be understood to be proprietary information of the disclosing party.</w:t>
      </w:r>
    </w:p>
    <w:p>
      <w:pPr>
        <w:spacing w:after="0" w:line="195" w:lineRule="exact"/>
        <w:rPr>
          <w:sz w:val="20"/>
          <w:szCs w:val="20"/>
          <w:color w:val="auto"/>
        </w:rPr>
      </w:pPr>
    </w:p>
    <w:p>
      <w:pPr>
        <w:jc w:val="both"/>
        <w:ind w:left="761" w:right="20" w:hanging="499"/>
        <w:spacing w:after="0" w:line="308" w:lineRule="auto"/>
        <w:tabs>
          <w:tab w:leader="none" w:pos="741"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If either party hereto wishes to make any copy or extract of the Confidential Information, such party hereto shall obtain prior written consent of the other party hereto and maintain such copy or extract in strict confidence and secret as well as set forth herein.</w:t>
      </w:r>
    </w:p>
    <w:p>
      <w:pPr>
        <w:spacing w:after="0" w:line="146" w:lineRule="exact"/>
        <w:rPr>
          <w:sz w:val="20"/>
          <w:szCs w:val="20"/>
          <w:color w:val="auto"/>
        </w:rPr>
      </w:pPr>
    </w:p>
    <w:p>
      <w:pPr>
        <w:jc w:val="both"/>
        <w:ind w:left="761" w:hanging="499"/>
        <w:spacing w:after="0" w:line="277" w:lineRule="auto"/>
        <w:tabs>
          <w:tab w:leader="none" w:pos="741" w:val="left"/>
        </w:tabs>
        <w:rPr>
          <w:sz w:val="20"/>
          <w:szCs w:val="20"/>
          <w:color w:val="auto"/>
        </w:rPr>
      </w:pPr>
      <w:r>
        <w:rPr>
          <w:rFonts w:ascii="Arial" w:cs="Arial" w:eastAsia="Arial" w:hAnsi="Arial"/>
          <w:sz w:val="18"/>
          <w:szCs w:val="18"/>
          <w:color w:val="auto"/>
        </w:rPr>
        <w:t>11.6</w:t>
        <w:tab/>
        <w:t>If either party breaches any of its obligations with respect to the Confidential Information hereunder, the other party shall be entitled to seek any specific performance and/or injunctive relief to protect its interests therein.</w:t>
      </w:r>
    </w:p>
    <w:p>
      <w:pPr>
        <w:spacing w:after="0" w:line="170" w:lineRule="exact"/>
        <w:rPr>
          <w:sz w:val="20"/>
          <w:szCs w:val="20"/>
          <w:color w:val="auto"/>
        </w:rPr>
      </w:pPr>
    </w:p>
    <w:p>
      <w:pPr>
        <w:jc w:val="both"/>
        <w:ind w:left="761" w:hanging="499"/>
        <w:spacing w:after="0" w:line="272" w:lineRule="auto"/>
        <w:tabs>
          <w:tab w:leader="none" w:pos="741"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Upon any written request by the disclosing party, or if no request is made, upon expiration or termination of this Agreement, the other party shall promptly return to the disclosing party any Confidential Information and all copies, extracts, and other materials, which contain the Confidential Information, including but not limited to drawings, documents, and electromagnetic records, or, alternatively, if instructed by the disclosing party, shall destroy the Confidential Information and such copies, extracts, and materials. Following the return or destruction of any Confidential Information and such copies, extracts, and materials, the other party shall provide the disclosing party hereto with a certificate confirming that any Confidential Information, including all copies, extracts, and other materials, which contain the Confidential Information, has been either returned or destroyed.</w:t>
      </w:r>
    </w:p>
    <w:p>
      <w:pPr>
        <w:spacing w:after="0" w:line="177" w:lineRule="exact"/>
        <w:rPr>
          <w:sz w:val="20"/>
          <w:szCs w:val="20"/>
          <w:color w:val="auto"/>
        </w:rPr>
      </w:pPr>
    </w:p>
    <w:p>
      <w:pPr>
        <w:ind w:left="261"/>
        <w:spacing w:after="0"/>
        <w:tabs>
          <w:tab w:leader="none" w:pos="741"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The provisions under this Article 11 shall also apply for the License Agreement.</w:t>
      </w:r>
    </w:p>
    <w:p>
      <w:pPr>
        <w:spacing w:after="0" w:line="225" w:lineRule="exact"/>
        <w:rPr>
          <w:sz w:val="20"/>
          <w:szCs w:val="20"/>
          <w:color w:val="auto"/>
        </w:rPr>
      </w:pPr>
    </w:p>
    <w:p>
      <w:pPr>
        <w:ind w:left="381" w:hanging="381"/>
        <w:spacing w:after="0"/>
        <w:tabs>
          <w:tab w:leader="none" w:pos="38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Report</w:t>
      </w:r>
    </w:p>
    <w:p>
      <w:pPr>
        <w:spacing w:after="0" w:line="225" w:lineRule="exact"/>
        <w:rPr>
          <w:rFonts w:ascii="Arial" w:cs="Arial" w:eastAsia="Arial" w:hAnsi="Arial"/>
          <w:sz w:val="18"/>
          <w:szCs w:val="18"/>
          <w:color w:val="auto"/>
        </w:rPr>
      </w:pPr>
    </w:p>
    <w:p>
      <w:pPr>
        <w:ind w:left="401" w:right="20"/>
        <w:spacing w:after="0" w:line="277" w:lineRule="auto"/>
        <w:rPr>
          <w:rFonts w:ascii="Arial" w:cs="Arial" w:eastAsia="Arial" w:hAnsi="Arial"/>
          <w:sz w:val="18"/>
          <w:szCs w:val="18"/>
          <w:color w:val="auto"/>
        </w:rPr>
      </w:pPr>
      <w:r>
        <w:rPr>
          <w:rFonts w:ascii="Arial" w:cs="Arial" w:eastAsia="Arial" w:hAnsi="Arial"/>
          <w:sz w:val="18"/>
          <w:szCs w:val="18"/>
          <w:color w:val="auto"/>
        </w:rPr>
        <w:t>Wakamoto may anytime require the report by Harrow with respect to the performance and the compliance of this Agreement and/or the Individual Agreement and Harrow shall promptly respond to such requirement.</w:t>
      </w:r>
    </w:p>
    <w:p>
      <w:pPr>
        <w:spacing w:after="0" w:line="170" w:lineRule="exact"/>
        <w:rPr>
          <w:rFonts w:ascii="Arial" w:cs="Arial" w:eastAsia="Arial" w:hAnsi="Arial"/>
          <w:sz w:val="18"/>
          <w:szCs w:val="18"/>
          <w:color w:val="auto"/>
        </w:rPr>
      </w:pPr>
    </w:p>
    <w:p>
      <w:pPr>
        <w:ind w:left="381" w:hanging="381"/>
        <w:spacing w:after="0"/>
        <w:tabs>
          <w:tab w:leader="none" w:pos="38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Audit</w:t>
      </w:r>
    </w:p>
    <w:p>
      <w:pPr>
        <w:spacing w:after="0" w:line="225" w:lineRule="exact"/>
        <w:rPr>
          <w:rFonts w:ascii="Arial" w:cs="Arial" w:eastAsia="Arial" w:hAnsi="Arial"/>
          <w:sz w:val="18"/>
          <w:szCs w:val="18"/>
          <w:color w:val="auto"/>
        </w:rPr>
      </w:pPr>
    </w:p>
    <w:p>
      <w:pPr>
        <w:jc w:val="both"/>
        <w:ind w:left="401"/>
        <w:spacing w:after="0" w:line="263" w:lineRule="auto"/>
        <w:rPr>
          <w:rFonts w:ascii="Arial" w:cs="Arial" w:eastAsia="Arial" w:hAnsi="Arial"/>
          <w:sz w:val="18"/>
          <w:szCs w:val="18"/>
          <w:color w:val="auto"/>
        </w:rPr>
      </w:pPr>
      <w:r>
        <w:rPr>
          <w:rFonts w:ascii="Arial" w:cs="Arial" w:eastAsia="Arial" w:hAnsi="Arial"/>
          <w:sz w:val="18"/>
          <w:szCs w:val="18"/>
          <w:color w:val="auto"/>
        </w:rPr>
        <w:t>A Party may upon prior written notice to the other Party not more than once per year, except for cause where quality issues are identified, enter the other Party’s facilities for the purpose of the audit of the situation of the performance and the compliance by such other Party of this Agreement and/or the Individual Agreement, and such other Party shall cooperate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262890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5" w:name="page56"/>
    <w:bookmarkEnd w:id="55"/>
    <w:p>
      <w:pPr>
        <w:ind w:left="381" w:hanging="381"/>
        <w:spacing w:after="0"/>
        <w:tabs>
          <w:tab w:leader="none" w:pos="38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p>
    <w:p>
      <w:pPr>
        <w:spacing w:after="0" w:line="225" w:lineRule="exact"/>
        <w:rPr>
          <w:rFonts w:ascii="Arial" w:cs="Arial" w:eastAsia="Arial" w:hAnsi="Arial"/>
          <w:sz w:val="18"/>
          <w:szCs w:val="18"/>
          <w:color w:val="auto"/>
        </w:rPr>
      </w:pPr>
    </w:p>
    <w:p>
      <w:pPr>
        <w:jc w:val="both"/>
        <w:ind w:left="381" w:firstLine="2"/>
        <w:spacing w:after="0" w:line="268" w:lineRule="auto"/>
        <w:rPr>
          <w:rFonts w:ascii="Arial" w:cs="Arial" w:eastAsia="Arial" w:hAnsi="Arial"/>
          <w:sz w:val="18"/>
          <w:szCs w:val="18"/>
          <w:color w:val="auto"/>
        </w:rPr>
      </w:pPr>
      <w:r>
        <w:rPr>
          <w:rFonts w:ascii="Arial" w:cs="Arial" w:eastAsia="Arial" w:hAnsi="Arial"/>
          <w:sz w:val="17"/>
          <w:szCs w:val="17"/>
          <w:color w:val="auto"/>
        </w:rPr>
        <w:t>EXCEPT IN THE CASE OF WILLFUL MISCONDUCT, FRAUD OR INDEMNITY OBLIGATIONS, IN NO EVENT SHALL WAKAMOTO AND ITS AFFILIATES, INCLUDING THEIR RESPECTIVE SHAREHOLDERS, DIRECTORS, OFFICERS, EMPLOYEES, AND AGENTS, BE LIABLE FOR ANY SPECIAL, INDIRECT, INCIDENTAL, CONSEQUENTIAL OR PUNITIVE DAMAGE(S), OR SIMILAR THERETO, WHETHER IN CONTRACT, TORT, NEGLIGENCE, STRICT LIABILITY OR OTHERWISE, REGARDLESS OF THE BASIS OF THE CLAIM, ARISING OUT OF OR RELATING TO OR IN CONNECTION WITH THIS AGREEMENT, OR THE BREACH THEREOF, EVEN IF WAKAMOTO OR ITS AFFILIATES, INCLUDING THEIR RESPECTIVE SHAREHOLDERS, DIRECTORS, OFFICERS, EMPLOYEES, AND AGENTS, HAS BEEN ADVISED, KNEW OR SHOULD HAVE KNOWN THE POSSIBILITY OF SUCH DAMAGE(S). EXCEPT IN THE CASE OF WILLFUL MISCONDUCT, FRAUD OR INDEMNITY OBLIGATIONS, IN CASE OF ANY CLAIM BY HARROW AGAINST WAKAMOTO AND/OR ITS AFFILIATE, INCLUDING THEIR RESPECTIVE SHAREHOLDERS, DIRECTORS, OFFICERS, EMPLOYEES, AND AGENTS, ARISING OUT OF OR RELATING TO OR IN CONNECTION WITH THIS AGREEMENT, OR THE BREACH THEREOF, WAKAMOTO’S AND ITS AFFILIATES’ TOTAL LIABILITY SHALL BE LIMITED TO THE PRICE AMOUNT WHICH HAS BEEN ALREADY RECEIVED BY WAKAMOTO FROM HARROW UNDER THIS AGREEMENT DURING A YEAR IN WHICH THE CAUSE OF SUCH DAMAGE(S) OCCURS. THE PARTIES HERETO ACKNOWLEDGE AND AGREE THAT THE LIMITATION OF LIABILITY SET FORTH IN THIS ARTICLE 14 IS A REASONABLE ALLOCATION OF RISK BETWEEN THE PARTIES HERETO AND REFLECTS THE RESPECTIVE REMUNERATION AND POTENTIAL LIABILITIES WHICH THE PARTIES HERETO REASONABLY EXPECT TO RECEIVE AND/OR INCUR. THIS PROVISION SHALL ALSO APPLY FOR THE LICENSE AGREEMENT.</w:t>
      </w:r>
    </w:p>
    <w:p>
      <w:pPr>
        <w:spacing w:after="0" w:line="179" w:lineRule="exact"/>
        <w:rPr>
          <w:rFonts w:ascii="Arial" w:cs="Arial" w:eastAsia="Arial" w:hAnsi="Arial"/>
          <w:sz w:val="18"/>
          <w:szCs w:val="18"/>
          <w:color w:val="auto"/>
        </w:rPr>
      </w:pPr>
    </w:p>
    <w:p>
      <w:pPr>
        <w:ind w:left="381" w:hanging="381"/>
        <w:spacing w:after="0"/>
        <w:tabs>
          <w:tab w:leader="none" w:pos="38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Effective Term</w:t>
      </w:r>
    </w:p>
    <w:p>
      <w:pPr>
        <w:spacing w:after="0" w:line="225" w:lineRule="exact"/>
        <w:rPr>
          <w:sz w:val="20"/>
          <w:szCs w:val="20"/>
          <w:color w:val="auto"/>
        </w:rPr>
      </w:pPr>
    </w:p>
    <w:p>
      <w:pPr>
        <w:jc w:val="both"/>
        <w:ind w:left="341"/>
        <w:spacing w:after="0" w:line="279" w:lineRule="auto"/>
        <w:rPr>
          <w:sz w:val="20"/>
          <w:szCs w:val="20"/>
          <w:color w:val="auto"/>
        </w:rPr>
      </w:pPr>
      <w:r>
        <w:rPr>
          <w:rFonts w:ascii="Arial" w:cs="Arial" w:eastAsia="Arial" w:hAnsi="Arial"/>
          <w:sz w:val="17"/>
          <w:szCs w:val="17"/>
          <w:color w:val="auto"/>
        </w:rPr>
        <w:t>This Agreement shall become effective as of the Effective Date first above written and be in full force until the end of the fifth (5th) year from the date of first approval of the Product in the Territory, with Harrow allowed an option to extend for additional five year renewal terms once [***] units of the Licensed Product are sold by Harrow annually, provided, however, that this Agreement is not terminated earlier in accordance with Article 16. The provisions under this Article 15 and those of Articles 16 and 17 shall also apply for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254635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6" w:name="page57"/>
    <w:bookmarkEnd w:id="56"/>
    <w:p>
      <w:pPr>
        <w:ind w:left="381" w:hanging="381"/>
        <w:spacing w:after="0"/>
        <w:tabs>
          <w:tab w:leader="none" w:pos="38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Early Termination</w:t>
      </w:r>
    </w:p>
    <w:p>
      <w:pPr>
        <w:spacing w:after="0" w:line="225" w:lineRule="exact"/>
        <w:rPr>
          <w:sz w:val="20"/>
          <w:szCs w:val="20"/>
          <w:color w:val="auto"/>
        </w:rPr>
      </w:pPr>
    </w:p>
    <w:p>
      <w:pPr>
        <w:jc w:val="both"/>
        <w:ind w:left="381" w:hanging="377"/>
        <w:spacing w:after="0" w:line="263" w:lineRule="auto"/>
        <w:rPr>
          <w:sz w:val="20"/>
          <w:szCs w:val="20"/>
          <w:color w:val="auto"/>
        </w:rPr>
      </w:pPr>
      <w:r>
        <w:rPr>
          <w:rFonts w:ascii="Arial" w:cs="Arial" w:eastAsia="Arial" w:hAnsi="Arial"/>
          <w:sz w:val="18"/>
          <w:szCs w:val="18"/>
          <w:color w:val="auto"/>
        </w:rPr>
        <w:t>16.1 Either party hereto may terminate a part of or a whole of this Agreement and/or the Individual Agreement upon written notice in the event the other party fails to comply with any one of the terms and conditions of this Agreement and/or the Individual Agreement and fails to cure such non-compliance within thirty (30) days of receiving written notice thereof.</w:t>
      </w:r>
    </w:p>
    <w:p>
      <w:pPr>
        <w:spacing w:after="0" w:line="184" w:lineRule="exact"/>
        <w:rPr>
          <w:sz w:val="20"/>
          <w:szCs w:val="20"/>
          <w:color w:val="auto"/>
        </w:rPr>
      </w:pPr>
    </w:p>
    <w:p>
      <w:pPr>
        <w:jc w:val="both"/>
        <w:ind w:left="381" w:hanging="377"/>
        <w:spacing w:after="0" w:line="277" w:lineRule="auto"/>
        <w:rPr>
          <w:sz w:val="20"/>
          <w:szCs w:val="20"/>
          <w:color w:val="auto"/>
        </w:rPr>
      </w:pPr>
      <w:r>
        <w:rPr>
          <w:rFonts w:ascii="Arial" w:cs="Arial" w:eastAsia="Arial" w:hAnsi="Arial"/>
          <w:sz w:val="18"/>
          <w:szCs w:val="18"/>
          <w:color w:val="auto"/>
        </w:rPr>
        <w:t>16.2 Either party hereto may immediately terminate a part of or a whole of this Agreement and/or the Individual Agreements without giving a notice, if the other party hereto:</w:t>
      </w:r>
    </w:p>
    <w:p>
      <w:pPr>
        <w:spacing w:after="0" w:line="170" w:lineRule="exact"/>
        <w:rPr>
          <w:sz w:val="20"/>
          <w:szCs w:val="20"/>
          <w:color w:val="auto"/>
        </w:rPr>
      </w:pPr>
    </w:p>
    <w:p>
      <w:pPr>
        <w:ind w:left="761" w:right="20" w:hanging="383"/>
        <w:spacing w:after="0" w:line="277" w:lineRule="auto"/>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becomes insolvent, files an application for bankruptcy, enters into corporate reorganization proceedings or civil rehabilitation proceedings, or any other similar procedures for remedy under the applicable laws;</w:t>
      </w:r>
    </w:p>
    <w:p>
      <w:pPr>
        <w:spacing w:after="0" w:line="170" w:lineRule="exact"/>
        <w:rPr>
          <w:rFonts w:ascii="Arial" w:cs="Arial" w:eastAsia="Arial" w:hAnsi="Arial"/>
          <w:sz w:val="18"/>
          <w:szCs w:val="18"/>
          <w:color w:val="auto"/>
        </w:rPr>
      </w:pPr>
    </w:p>
    <w:p>
      <w:pPr>
        <w:ind w:left="761" w:hanging="383"/>
        <w:spacing w:after="0"/>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judicially or governmentally attached or forfeited, whether wholly or partly, its business or assets;</w:t>
      </w:r>
    </w:p>
    <w:p>
      <w:pPr>
        <w:spacing w:after="0" w:line="225" w:lineRule="exact"/>
        <w:rPr>
          <w:rFonts w:ascii="Arial" w:cs="Arial" w:eastAsia="Arial" w:hAnsi="Arial"/>
          <w:sz w:val="18"/>
          <w:szCs w:val="18"/>
          <w:color w:val="auto"/>
        </w:rPr>
      </w:pPr>
    </w:p>
    <w:p>
      <w:pPr>
        <w:ind w:left="761" w:hanging="383"/>
        <w:spacing w:after="0"/>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resolves its dissolution or liquidation;</w:t>
      </w:r>
    </w:p>
    <w:p>
      <w:pPr>
        <w:spacing w:after="0" w:line="225" w:lineRule="exact"/>
        <w:rPr>
          <w:rFonts w:ascii="Arial" w:cs="Arial" w:eastAsia="Arial" w:hAnsi="Arial"/>
          <w:sz w:val="18"/>
          <w:szCs w:val="18"/>
          <w:color w:val="auto"/>
        </w:rPr>
      </w:pPr>
    </w:p>
    <w:p>
      <w:pPr>
        <w:ind w:left="761" w:hanging="383"/>
        <w:spacing w:after="0"/>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transferred, sold, merged, acquired, or disposed, whether wholly or partly, in its business or assets relating hereto;</w:t>
      </w:r>
    </w:p>
    <w:p>
      <w:pPr>
        <w:spacing w:after="0" w:line="225" w:lineRule="exact"/>
        <w:rPr>
          <w:rFonts w:ascii="Arial" w:cs="Arial" w:eastAsia="Arial" w:hAnsi="Arial"/>
          <w:sz w:val="18"/>
          <w:szCs w:val="18"/>
          <w:color w:val="auto"/>
        </w:rPr>
      </w:pPr>
    </w:p>
    <w:p>
      <w:pPr>
        <w:ind w:left="761" w:hanging="383"/>
        <w:spacing w:after="0"/>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changed in its control, controllable ownership, or principal shareholder; or</w:t>
      </w:r>
    </w:p>
    <w:p>
      <w:pPr>
        <w:spacing w:after="0" w:line="225" w:lineRule="exact"/>
        <w:rPr>
          <w:rFonts w:ascii="Arial" w:cs="Arial" w:eastAsia="Arial" w:hAnsi="Arial"/>
          <w:sz w:val="18"/>
          <w:szCs w:val="18"/>
          <w:color w:val="auto"/>
        </w:rPr>
      </w:pPr>
    </w:p>
    <w:p>
      <w:pPr>
        <w:ind w:left="761" w:hanging="383"/>
        <w:spacing w:after="0"/>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materially breaches any one of the terms and conditions of this Agreement and/or the Individual Agreement.</w:t>
      </w:r>
    </w:p>
    <w:p>
      <w:pPr>
        <w:spacing w:after="0" w:line="225" w:lineRule="exact"/>
        <w:rPr>
          <w:sz w:val="20"/>
          <w:szCs w:val="20"/>
          <w:color w:val="auto"/>
        </w:rPr>
      </w:pPr>
    </w:p>
    <w:p>
      <w:pPr>
        <w:ind w:left="401"/>
        <w:spacing w:after="0"/>
        <w:rPr>
          <w:sz w:val="20"/>
          <w:szCs w:val="20"/>
          <w:color w:val="auto"/>
        </w:rPr>
      </w:pPr>
      <w:r>
        <w:rPr>
          <w:rFonts w:ascii="Arial" w:cs="Arial" w:eastAsia="Arial" w:hAnsi="Arial"/>
          <w:sz w:val="17"/>
          <w:szCs w:val="17"/>
          <w:color w:val="auto"/>
        </w:rPr>
        <w:t>If either party meets any one of items (a) through (e) above, such party shall immediately notify the other party of such effect in writing.</w:t>
      </w:r>
    </w:p>
    <w:p>
      <w:pPr>
        <w:spacing w:after="0" w:line="237" w:lineRule="exact"/>
        <w:rPr>
          <w:sz w:val="20"/>
          <w:szCs w:val="20"/>
          <w:color w:val="auto"/>
        </w:rPr>
      </w:pPr>
    </w:p>
    <w:p>
      <w:pPr>
        <w:ind w:left="381" w:hanging="377"/>
        <w:spacing w:after="0" w:line="277" w:lineRule="auto"/>
        <w:rPr>
          <w:sz w:val="20"/>
          <w:szCs w:val="20"/>
          <w:color w:val="auto"/>
        </w:rPr>
      </w:pPr>
      <w:r>
        <w:rPr>
          <w:rFonts w:ascii="Arial" w:cs="Arial" w:eastAsia="Arial" w:hAnsi="Arial"/>
          <w:sz w:val="18"/>
          <w:szCs w:val="18"/>
          <w:color w:val="auto"/>
        </w:rPr>
        <w:t>16.3 Each Party acknowledges and agrees that, in the case that Harrow fails to launch the Product within four (4) years from the Effective Date, Wakamoto shall have a right to terminate this Agreement, in whole or in part.</w:t>
      </w:r>
    </w:p>
    <w:p>
      <w:pPr>
        <w:spacing w:after="0" w:line="170" w:lineRule="exact"/>
        <w:rPr>
          <w:sz w:val="20"/>
          <w:szCs w:val="20"/>
          <w:color w:val="auto"/>
        </w:rPr>
      </w:pPr>
    </w:p>
    <w:p>
      <w:pPr>
        <w:ind w:left="381" w:hanging="377"/>
        <w:spacing w:after="0" w:line="277" w:lineRule="auto"/>
        <w:rPr>
          <w:sz w:val="20"/>
          <w:szCs w:val="20"/>
          <w:color w:val="auto"/>
        </w:rPr>
      </w:pPr>
      <w:r>
        <w:rPr>
          <w:rFonts w:ascii="Arial" w:cs="Arial" w:eastAsia="Arial" w:hAnsi="Arial"/>
          <w:sz w:val="18"/>
          <w:szCs w:val="18"/>
          <w:color w:val="auto"/>
        </w:rPr>
        <w:t>16.4 Furthermore, the terminated party in accordance with the provisions of Article 16.1, 16.2, or 16.3 above shall forfeit the benefit of time and shall immediately make payment of any and all debt hereunder in cash to the terminating party.</w:t>
      </w:r>
    </w:p>
    <w:p>
      <w:pPr>
        <w:spacing w:after="0" w:line="170" w:lineRule="exact"/>
        <w:rPr>
          <w:sz w:val="20"/>
          <w:szCs w:val="20"/>
          <w:color w:val="auto"/>
        </w:rPr>
      </w:pPr>
    </w:p>
    <w:p>
      <w:pPr>
        <w:ind w:left="381" w:hanging="381"/>
        <w:spacing w:after="0"/>
        <w:tabs>
          <w:tab w:leader="none" w:pos="38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After Expiration or Termination</w:t>
      </w:r>
    </w:p>
    <w:p>
      <w:pPr>
        <w:spacing w:after="0" w:line="225" w:lineRule="exact"/>
        <w:rPr>
          <w:sz w:val="20"/>
          <w:szCs w:val="20"/>
          <w:color w:val="auto"/>
        </w:rPr>
      </w:pPr>
    </w:p>
    <w:p>
      <w:pPr>
        <w:jc w:val="both"/>
        <w:ind w:left="381" w:hanging="377"/>
        <w:spacing w:after="0" w:line="308" w:lineRule="auto"/>
        <w:rPr>
          <w:sz w:val="20"/>
          <w:szCs w:val="20"/>
          <w:color w:val="auto"/>
        </w:rPr>
      </w:pPr>
      <w:r>
        <w:rPr>
          <w:rFonts w:ascii="Arial" w:cs="Arial" w:eastAsia="Arial" w:hAnsi="Arial"/>
          <w:sz w:val="17"/>
          <w:szCs w:val="17"/>
          <w:color w:val="auto"/>
        </w:rPr>
        <w:t>17.1 After expiration or termination of this Agreement, the parties hereto shall be released from any obligations or responsibilities hereunder, except for those set forth in the provisions of this Agreement, which survive any expiration or termination as set forth in Article 17.2 below.</w:t>
      </w:r>
    </w:p>
    <w:p>
      <w:pPr>
        <w:spacing w:after="0" w:line="146" w:lineRule="exact"/>
        <w:rPr>
          <w:sz w:val="20"/>
          <w:szCs w:val="20"/>
          <w:color w:val="auto"/>
        </w:rPr>
      </w:pPr>
    </w:p>
    <w:p>
      <w:pPr>
        <w:jc w:val="both"/>
        <w:ind w:left="381" w:hanging="377"/>
        <w:spacing w:after="0" w:line="301" w:lineRule="auto"/>
        <w:rPr>
          <w:sz w:val="20"/>
          <w:szCs w:val="20"/>
          <w:color w:val="auto"/>
        </w:rPr>
      </w:pPr>
      <w:r>
        <w:rPr>
          <w:rFonts w:ascii="Arial" w:cs="Arial" w:eastAsia="Arial" w:hAnsi="Arial"/>
          <w:sz w:val="16"/>
          <w:szCs w:val="16"/>
          <w:color w:val="auto"/>
        </w:rPr>
        <w:t>17.2 The provisions of Articles 9, 11, 14, 16.3 and 17 through 31, and other provisions which by their nature or content shall survive any expiration or termination of this Agreement. For the avoidance of doubt, any Individual Agreement for the purchase of Product materialized before such expiration or termination of this agreement shall remain in effect and Harrow shall have the obligation to make payment of the price of Product under such Individual Agreement provided that Wakamoto delivers such Product to Harrow as is set forth in the Individual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245745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7" w:name="page58"/>
    <w:bookmarkEnd w:id="57"/>
    <w:p>
      <w:pPr>
        <w:ind w:left="381" w:hanging="381"/>
        <w:spacing w:after="0"/>
        <w:tabs>
          <w:tab w:leader="none" w:pos="3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Elimination of Anti-social Forces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color w:val="auto"/>
        </w:rPr>
        <w:t>18.1 Wakamoto and Harrow each represent and warrant to the other party the following matters upon the Effective Date and for the future:</w:t>
      </w:r>
    </w:p>
    <w:p>
      <w:pPr>
        <w:spacing w:after="0" w:line="237" w:lineRule="exact"/>
        <w:rPr>
          <w:sz w:val="20"/>
          <w:szCs w:val="20"/>
          <w:color w:val="auto"/>
        </w:rPr>
      </w:pPr>
    </w:p>
    <w:p>
      <w:pPr>
        <w:jc w:val="both"/>
        <w:ind w:left="761" w:hanging="370"/>
        <w:spacing w:after="0" w:line="275" w:lineRule="auto"/>
        <w:tabs>
          <w:tab w:leader="none" w:pos="76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Itself and its executives or persons, which have substantial influence on the management, including but not limited to employees in important positions (hereinafter collectively referred to as the “Executives”) are not organized crime groups, members of an organized crime group, persons for whom five (5) years have not yet passed since leaving an organized crime group, associate members of an organized crime group, corporations related to an organized crime group, corporate racketeers, thug groups pretending to be social activists, special intellectual violent organizations, or others equivalent thereto (hereinafter collectively referred to as the “ASFs”);</w:t>
      </w:r>
    </w:p>
    <w:p>
      <w:pPr>
        <w:spacing w:after="0" w:line="176" w:lineRule="exact"/>
        <w:rPr>
          <w:rFonts w:ascii="Arial" w:cs="Arial" w:eastAsia="Arial" w:hAnsi="Arial"/>
          <w:sz w:val="17"/>
          <w:szCs w:val="17"/>
          <w:color w:val="auto"/>
        </w:rPr>
      </w:pPr>
    </w:p>
    <w:p>
      <w:pPr>
        <w:ind w:left="761" w:hanging="370"/>
        <w:spacing w:after="0"/>
        <w:tabs>
          <w:tab w:leader="none" w:pos="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ASFs do not control the management;</w:t>
      </w:r>
    </w:p>
    <w:p>
      <w:pPr>
        <w:spacing w:after="0" w:line="225" w:lineRule="exact"/>
        <w:rPr>
          <w:rFonts w:ascii="Arial" w:cs="Arial" w:eastAsia="Arial" w:hAnsi="Arial"/>
          <w:sz w:val="18"/>
          <w:szCs w:val="18"/>
          <w:color w:val="auto"/>
        </w:rPr>
      </w:pPr>
    </w:p>
    <w:p>
      <w:pPr>
        <w:ind w:left="761" w:hanging="370"/>
        <w:spacing w:after="0"/>
        <w:tabs>
          <w:tab w:leader="none" w:pos="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ASFs do not substantially relate to the management;</w:t>
      </w:r>
    </w:p>
    <w:p>
      <w:pPr>
        <w:spacing w:after="0" w:line="225" w:lineRule="exact"/>
        <w:rPr>
          <w:rFonts w:ascii="Arial" w:cs="Arial" w:eastAsia="Arial" w:hAnsi="Arial"/>
          <w:sz w:val="18"/>
          <w:szCs w:val="18"/>
          <w:color w:val="auto"/>
        </w:rPr>
      </w:pPr>
    </w:p>
    <w:p>
      <w:pPr>
        <w:ind w:left="761" w:hanging="370"/>
        <w:spacing w:after="0" w:line="277" w:lineRule="auto"/>
        <w:tabs>
          <w:tab w:leader="none" w:pos="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Itself and the Executives do not cooperate in or have relation to maintenance or operation of the ASFs, by, including without limitation, offering funds or giving special treatment to the ASFs; and</w:t>
      </w:r>
    </w:p>
    <w:p>
      <w:pPr>
        <w:spacing w:after="0" w:line="170" w:lineRule="exact"/>
        <w:rPr>
          <w:rFonts w:ascii="Arial" w:cs="Arial" w:eastAsia="Arial" w:hAnsi="Arial"/>
          <w:sz w:val="18"/>
          <w:szCs w:val="18"/>
          <w:color w:val="auto"/>
        </w:rPr>
      </w:pPr>
    </w:p>
    <w:p>
      <w:pPr>
        <w:ind w:left="761" w:hanging="370"/>
        <w:spacing w:after="0"/>
        <w:tabs>
          <w:tab w:leader="none" w:pos="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the above, itself and the Executives have no relation which should be socially reprehensible to the ASFs.</w:t>
      </w:r>
    </w:p>
    <w:p>
      <w:pPr>
        <w:spacing w:after="0" w:line="225" w:lineRule="exact"/>
        <w:rPr>
          <w:sz w:val="20"/>
          <w:szCs w:val="20"/>
          <w:color w:val="auto"/>
        </w:rPr>
      </w:pPr>
    </w:p>
    <w:p>
      <w:pPr>
        <w:ind w:left="381" w:hanging="377"/>
        <w:spacing w:after="0" w:line="308" w:lineRule="auto"/>
        <w:rPr>
          <w:sz w:val="20"/>
          <w:szCs w:val="20"/>
          <w:color w:val="auto"/>
        </w:rPr>
      </w:pPr>
      <w:r>
        <w:rPr>
          <w:rFonts w:ascii="Arial" w:cs="Arial" w:eastAsia="Arial" w:hAnsi="Arial"/>
          <w:sz w:val="17"/>
          <w:szCs w:val="17"/>
          <w:color w:val="auto"/>
        </w:rPr>
        <w:t>18.2 Wakamoto and Harrow shall not, whether by itself or through a third party, conduct any act which meets any one of the following against the other party, its Executives, employees, shareholders, affiliates and subsidiaries, business connections or others equivalent thereto:</w:t>
      </w:r>
    </w:p>
    <w:p>
      <w:pPr>
        <w:spacing w:after="0" w:line="146" w:lineRule="exact"/>
        <w:rPr>
          <w:sz w:val="20"/>
          <w:szCs w:val="20"/>
          <w:color w:val="auto"/>
        </w:rPr>
      </w:pPr>
    </w:p>
    <w:p>
      <w:pPr>
        <w:ind w:left="761" w:hanging="370"/>
        <w:spacing w:after="0"/>
        <w:tabs>
          <w:tab w:leader="none" w:pos="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Demand with violence;</w:t>
      </w:r>
    </w:p>
    <w:p>
      <w:pPr>
        <w:spacing w:after="0" w:line="225" w:lineRule="exact"/>
        <w:rPr>
          <w:rFonts w:ascii="Arial" w:cs="Arial" w:eastAsia="Arial" w:hAnsi="Arial"/>
          <w:sz w:val="18"/>
          <w:szCs w:val="18"/>
          <w:color w:val="auto"/>
        </w:rPr>
      </w:pPr>
    </w:p>
    <w:p>
      <w:pPr>
        <w:ind w:left="761" w:hanging="370"/>
        <w:spacing w:after="0"/>
        <w:tabs>
          <w:tab w:leader="none" w:pos="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Unjustly demand beyond legal liability;</w:t>
      </w:r>
    </w:p>
    <w:p>
      <w:pPr>
        <w:spacing w:after="0" w:line="225" w:lineRule="exact"/>
        <w:rPr>
          <w:rFonts w:ascii="Arial" w:cs="Arial" w:eastAsia="Arial" w:hAnsi="Arial"/>
          <w:sz w:val="18"/>
          <w:szCs w:val="18"/>
          <w:color w:val="auto"/>
        </w:rPr>
      </w:pPr>
    </w:p>
    <w:p>
      <w:pPr>
        <w:ind w:left="761" w:hanging="370"/>
        <w:spacing w:after="0"/>
        <w:tabs>
          <w:tab w:leader="none" w:pos="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Threaten with speech and behavior or use violence with respect to transactions;</w:t>
      </w:r>
    </w:p>
    <w:p>
      <w:pPr>
        <w:spacing w:after="0" w:line="225" w:lineRule="exact"/>
        <w:rPr>
          <w:rFonts w:ascii="Arial" w:cs="Arial" w:eastAsia="Arial" w:hAnsi="Arial"/>
          <w:sz w:val="18"/>
          <w:szCs w:val="18"/>
          <w:color w:val="auto"/>
        </w:rPr>
      </w:pPr>
    </w:p>
    <w:p>
      <w:pPr>
        <w:ind w:left="761" w:right="20" w:hanging="370"/>
        <w:spacing w:after="0" w:line="277" w:lineRule="auto"/>
        <w:tabs>
          <w:tab w:leader="none" w:pos="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honor or credit of the other party through spreading rumors, or use fraudulent means or force, or interrupt business of the other party; or</w:t>
      </w:r>
    </w:p>
    <w:p>
      <w:pPr>
        <w:spacing w:after="0" w:line="170" w:lineRule="exact"/>
        <w:rPr>
          <w:rFonts w:ascii="Arial" w:cs="Arial" w:eastAsia="Arial" w:hAnsi="Arial"/>
          <w:sz w:val="18"/>
          <w:szCs w:val="18"/>
          <w:color w:val="auto"/>
        </w:rPr>
      </w:pPr>
    </w:p>
    <w:p>
      <w:pPr>
        <w:ind w:left="761" w:hanging="370"/>
        <w:spacing w:after="0"/>
        <w:tabs>
          <w:tab w:leader="none" w:pos="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the above, act that is equivalent to (a) through (d) above.</w:t>
      </w:r>
    </w:p>
    <w:p>
      <w:pPr>
        <w:spacing w:after="0" w:line="117" w:lineRule="exact"/>
        <w:rPr>
          <w:sz w:val="20"/>
          <w:szCs w:val="20"/>
          <w:color w:val="auto"/>
        </w:rPr>
      </w:pPr>
    </w:p>
    <w:p>
      <w:pPr>
        <w:jc w:val="both"/>
        <w:ind w:left="381" w:hanging="377"/>
        <w:spacing w:after="0" w:line="277" w:lineRule="auto"/>
        <w:rPr>
          <w:sz w:val="20"/>
          <w:szCs w:val="20"/>
          <w:color w:val="auto"/>
        </w:rPr>
      </w:pPr>
      <w:r>
        <w:rPr>
          <w:rFonts w:ascii="Arial" w:cs="Arial" w:eastAsia="Arial" w:hAnsi="Arial"/>
          <w:sz w:val="18"/>
          <w:szCs w:val="18"/>
          <w:color w:val="auto"/>
        </w:rPr>
        <w:t>18.3 If any matter which breaches any one of the items in Article 18.1 or 18.2 above is found, Wakamoto and Harrow shall immediately notify the other party of such fact.</w:t>
      </w:r>
    </w:p>
    <w:p>
      <w:pPr>
        <w:spacing w:after="0" w:line="170" w:lineRule="exact"/>
        <w:rPr>
          <w:sz w:val="20"/>
          <w:szCs w:val="20"/>
          <w:color w:val="auto"/>
        </w:rPr>
      </w:pPr>
    </w:p>
    <w:p>
      <w:pPr>
        <w:jc w:val="both"/>
        <w:ind w:left="381" w:hanging="377"/>
        <w:spacing w:after="0" w:line="263" w:lineRule="auto"/>
        <w:rPr>
          <w:sz w:val="20"/>
          <w:szCs w:val="20"/>
          <w:color w:val="auto"/>
        </w:rPr>
      </w:pPr>
      <w:r>
        <w:rPr>
          <w:rFonts w:ascii="Arial" w:cs="Arial" w:eastAsia="Arial" w:hAnsi="Arial"/>
          <w:sz w:val="18"/>
          <w:szCs w:val="18"/>
          <w:color w:val="auto"/>
        </w:rPr>
        <w:t>18.4 Wakamoto and Harrow may, if the other party breaches any one of provisions of Articles 18.1 through 18.3 above, cancel any and all agreements related to the transactions, immediately, without demand and by written notice, and may claim damages arising out of or in connection with such cancellation against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262890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58" w:name="page59"/>
    <w:bookmarkEnd w:id="58"/>
    <w:p>
      <w:pPr>
        <w:ind w:left="381" w:hanging="377"/>
        <w:spacing w:after="0" w:line="277" w:lineRule="auto"/>
        <w:rPr>
          <w:sz w:val="20"/>
          <w:szCs w:val="20"/>
          <w:color w:val="auto"/>
        </w:rPr>
      </w:pPr>
      <w:r>
        <w:rPr>
          <w:rFonts w:ascii="Arial" w:cs="Arial" w:eastAsia="Arial" w:hAnsi="Arial"/>
          <w:sz w:val="18"/>
          <w:szCs w:val="18"/>
          <w:color w:val="auto"/>
        </w:rPr>
        <w:t>18.5 In the case where Wakamoto or Harrow cancels the agreement pursuant to Article 18.4 above, the canceling party shall have neither liability nor responsibility for damages, even if the other party incurs the damage or loss by such cancellation.</w:t>
      </w:r>
    </w:p>
    <w:p>
      <w:pPr>
        <w:spacing w:after="0" w:line="170" w:lineRule="exact"/>
        <w:rPr>
          <w:sz w:val="20"/>
          <w:szCs w:val="20"/>
          <w:color w:val="auto"/>
        </w:rPr>
      </w:pPr>
    </w:p>
    <w:p>
      <w:pPr>
        <w:ind w:left="381" w:hanging="381"/>
        <w:spacing w:after="0"/>
        <w:tabs>
          <w:tab w:leader="none" w:pos="38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 and Trade Conditions</w:t>
      </w:r>
    </w:p>
    <w:p>
      <w:pPr>
        <w:spacing w:after="0" w:line="225" w:lineRule="exact"/>
        <w:rPr>
          <w:sz w:val="20"/>
          <w:szCs w:val="20"/>
          <w:color w:val="auto"/>
        </w:rPr>
      </w:pPr>
    </w:p>
    <w:p>
      <w:pPr>
        <w:jc w:val="both"/>
        <w:ind w:left="381" w:hanging="377"/>
        <w:spacing w:after="0" w:line="263" w:lineRule="auto"/>
        <w:rPr>
          <w:sz w:val="20"/>
          <w:szCs w:val="20"/>
          <w:color w:val="auto"/>
        </w:rPr>
      </w:pPr>
      <w:r>
        <w:rPr>
          <w:rFonts w:ascii="Arial" w:cs="Arial" w:eastAsia="Arial" w:hAnsi="Arial"/>
          <w:sz w:val="18"/>
          <w:szCs w:val="18"/>
          <w:color w:val="auto"/>
        </w:rPr>
        <w:t>19.1 This Agreement has been executed and delivered at Delaware, The United States of America and shall be governed by and construed in accordance with the laws of Delaware, without application of conflict of law principles thereof. The application of the U.N. Convention on Contracts for the International Sale of Goods (1980) is excluded.</w:t>
      </w:r>
    </w:p>
    <w:p>
      <w:pPr>
        <w:spacing w:after="0" w:line="184" w:lineRule="exact"/>
        <w:rPr>
          <w:sz w:val="20"/>
          <w:szCs w:val="20"/>
          <w:color w:val="auto"/>
        </w:rPr>
      </w:pPr>
    </w:p>
    <w:p>
      <w:pPr>
        <w:jc w:val="both"/>
        <w:ind w:left="381" w:hanging="377"/>
        <w:spacing w:after="0" w:line="263" w:lineRule="auto"/>
        <w:rPr>
          <w:sz w:val="20"/>
          <w:szCs w:val="20"/>
          <w:color w:val="auto"/>
        </w:rPr>
      </w:pPr>
      <w:r>
        <w:rPr>
          <w:rFonts w:ascii="Arial" w:cs="Arial" w:eastAsia="Arial" w:hAnsi="Arial"/>
          <w:sz w:val="18"/>
          <w:szCs w:val="18"/>
          <w:color w:val="auto"/>
        </w:rPr>
        <w:t>19.2 The terms and conditions for delivery and trade arising out of or relating to or in connection with this Agreement, if any, shall be construed in accordance with the Incoterms 2020 (International Chamber of Commerce Publication Number 715, ICC Rules for the Use of Domestic and International Trade Terms).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19.3 The provisions of this Article 19, and Articles 20-26 and 28-31 shall also apply for the License Agreement.</w:t>
      </w:r>
    </w:p>
    <w:p>
      <w:pPr>
        <w:spacing w:after="0" w:line="225" w:lineRule="exact"/>
        <w:rPr>
          <w:sz w:val="20"/>
          <w:szCs w:val="20"/>
          <w:color w:val="auto"/>
        </w:rPr>
      </w:pPr>
    </w:p>
    <w:p>
      <w:pPr>
        <w:ind w:left="381" w:hanging="381"/>
        <w:spacing w:after="0"/>
        <w:tabs>
          <w:tab w:leader="none" w:pos="38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Arbitration</w:t>
      </w:r>
    </w:p>
    <w:p>
      <w:pPr>
        <w:spacing w:after="0" w:line="225" w:lineRule="exact"/>
        <w:rPr>
          <w:rFonts w:ascii="Arial" w:cs="Arial" w:eastAsia="Arial" w:hAnsi="Arial"/>
          <w:sz w:val="18"/>
          <w:szCs w:val="18"/>
          <w:color w:val="auto"/>
        </w:rPr>
      </w:pPr>
    </w:p>
    <w:p>
      <w:pPr>
        <w:jc w:val="both"/>
        <w:ind w:left="401"/>
        <w:spacing w:after="0" w:line="257" w:lineRule="auto"/>
        <w:rPr>
          <w:rFonts w:ascii="Arial" w:cs="Arial" w:eastAsia="Arial" w:hAnsi="Arial"/>
          <w:sz w:val="18"/>
          <w:szCs w:val="18"/>
          <w:color w:val="auto"/>
        </w:rPr>
      </w:pPr>
      <w:r>
        <w:rPr>
          <w:rFonts w:ascii="Arial" w:cs="Arial" w:eastAsia="Arial" w:hAnsi="Arial"/>
          <w:sz w:val="18"/>
          <w:szCs w:val="18"/>
          <w:color w:val="auto"/>
        </w:rPr>
        <w:t>All disputes arising out of or in connection with this Agreement shall be finally settled under the Rules of Arbitration of the International Chamber of Commerce by one or more arbitrators appointed in accordance with the said Rules. The place of arbitration shall be Delaware if the arbitration is requested by Wakamoto or Tokyo, Japan if the arbitration is requested by Harrow. The language of arbitration shall be the English language. The arbitral award is final and shall be binding on both parties, but if the arbitral award is dissatisfied, each party may apply to the court having jurisdiction over the enforcement of the arbitral award.</w:t>
      </w:r>
    </w:p>
    <w:p>
      <w:pPr>
        <w:spacing w:after="0" w:line="187" w:lineRule="exact"/>
        <w:rPr>
          <w:rFonts w:ascii="Arial" w:cs="Arial" w:eastAsia="Arial" w:hAnsi="Arial"/>
          <w:sz w:val="18"/>
          <w:szCs w:val="18"/>
          <w:color w:val="auto"/>
        </w:rPr>
      </w:pPr>
    </w:p>
    <w:p>
      <w:pPr>
        <w:ind w:left="381" w:hanging="381"/>
        <w:spacing w:after="0"/>
        <w:tabs>
          <w:tab w:leader="none" w:pos="38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w:t>
      </w:r>
    </w:p>
    <w:p>
      <w:pPr>
        <w:spacing w:after="0" w:line="225" w:lineRule="exact"/>
        <w:rPr>
          <w:sz w:val="20"/>
          <w:szCs w:val="20"/>
          <w:color w:val="auto"/>
        </w:rPr>
      </w:pPr>
    </w:p>
    <w:p>
      <w:pPr>
        <w:jc w:val="both"/>
        <w:ind w:left="381" w:hanging="377"/>
        <w:spacing w:after="0" w:line="259" w:lineRule="auto"/>
        <w:rPr>
          <w:sz w:val="20"/>
          <w:szCs w:val="20"/>
          <w:color w:val="auto"/>
        </w:rPr>
      </w:pPr>
      <w:r>
        <w:rPr>
          <w:rFonts w:ascii="Arial" w:cs="Arial" w:eastAsia="Arial" w:hAnsi="Arial"/>
          <w:sz w:val="18"/>
          <w:szCs w:val="18"/>
          <w:color w:val="auto"/>
        </w:rPr>
        <w:t>21.1 All notices and other communications between the parties under or relating to or in connection with this Agreement shall be delivered in writing to the respective parties at the address set forth in Article 21.3 below. Such notices and other communications shall be deemed effective upon the earliest to occur of: (a) actual delivery; (b) seven (7) business days after mailing via registered airmail, addressed and postage prepaid; or (c) actual receipt by the receiving party via facsimile or electronic mail.</w:t>
      </w:r>
    </w:p>
    <w:p>
      <w:pPr>
        <w:spacing w:after="0" w:line="187" w:lineRule="exact"/>
        <w:rPr>
          <w:sz w:val="20"/>
          <w:szCs w:val="20"/>
          <w:color w:val="auto"/>
        </w:rPr>
      </w:pPr>
    </w:p>
    <w:p>
      <w:pPr>
        <w:jc w:val="both"/>
        <w:ind w:left="381" w:right="20" w:hanging="377"/>
        <w:spacing w:after="0" w:line="277" w:lineRule="auto"/>
        <w:rPr>
          <w:sz w:val="20"/>
          <w:szCs w:val="20"/>
          <w:color w:val="auto"/>
        </w:rPr>
      </w:pPr>
      <w:r>
        <w:rPr>
          <w:rFonts w:ascii="Arial" w:cs="Arial" w:eastAsia="Arial" w:hAnsi="Arial"/>
          <w:sz w:val="18"/>
          <w:szCs w:val="18"/>
          <w:color w:val="auto"/>
        </w:rPr>
        <w:t>21.2 The Parties agree that (a) the Product shall be initially manufactured at Wakamoto’s third party manufacturer in [***] (which currently supplies the Japanese market), and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254635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773" w:right="339" w:bottom="1440" w:gutter="0" w:footer="0" w:header="0"/>
        </w:sectPr>
      </w:pPr>
    </w:p>
    <w:bookmarkStart w:id="59" w:name="page60"/>
    <w:bookmarkEnd w:id="59"/>
    <w:p>
      <w:pPr>
        <w:ind w:left="381" w:hanging="377"/>
        <w:spacing w:after="0" w:line="277" w:lineRule="auto"/>
        <w:rPr>
          <w:sz w:val="20"/>
          <w:szCs w:val="20"/>
          <w:color w:val="auto"/>
        </w:rPr>
      </w:pPr>
      <w:r>
        <w:rPr>
          <w:rFonts w:ascii="Arial" w:cs="Arial" w:eastAsia="Arial" w:hAnsi="Arial"/>
          <w:sz w:val="18"/>
          <w:szCs w:val="18"/>
          <w:color w:val="auto"/>
        </w:rPr>
        <w:t>21.3 All notices and other communications between the parties under or relating to or in connection with this Agreement shall be addressed to the following or as otherwise directed in writing by either party to the other party:</w:t>
      </w:r>
    </w:p>
    <w:p>
      <w:pPr>
        <w:sectPr>
          <w:pgSz w:w="11900" w:h="16838" w:orient="portrait"/>
          <w:cols w:equalWidth="0" w:num="1">
            <w:col w:w="10881"/>
          </w:cols>
          <w:pgMar w:left="679" w:top="692" w:right="339" w:bottom="1440" w:gutter="0" w:footer="0" w:header="0"/>
        </w:sectPr>
      </w:pPr>
    </w:p>
    <w:p>
      <w:pPr>
        <w:spacing w:after="0" w:line="170" w:lineRule="exact"/>
        <w:rPr>
          <w:sz w:val="20"/>
          <w:szCs w:val="20"/>
          <w:color w:val="auto"/>
        </w:rPr>
      </w:pPr>
    </w:p>
    <w:p>
      <w:pPr>
        <w:ind w:left="401"/>
        <w:spacing w:after="0"/>
        <w:rPr>
          <w:sz w:val="20"/>
          <w:szCs w:val="20"/>
          <w:color w:val="auto"/>
        </w:rPr>
      </w:pPr>
      <w:r>
        <w:rPr>
          <w:rFonts w:ascii="Arial" w:cs="Arial" w:eastAsia="Arial" w:hAnsi="Arial"/>
          <w:sz w:val="16"/>
          <w:szCs w:val="16"/>
          <w:color w:val="auto"/>
        </w:rPr>
        <w:t>To Harrow:</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 Wakamoto:</w:t>
      </w:r>
    </w:p>
    <w:p>
      <w:pPr>
        <w:spacing w:after="0" w:line="200" w:lineRule="exact"/>
        <w:rPr>
          <w:sz w:val="20"/>
          <w:szCs w:val="20"/>
          <w:color w:val="auto"/>
        </w:rPr>
      </w:pPr>
    </w:p>
    <w:p>
      <w:pPr>
        <w:sectPr>
          <w:pgSz w:w="11900" w:h="16838" w:orient="portrait"/>
          <w:cols w:equalWidth="0" w:num="2">
            <w:col w:w="4261" w:space="720"/>
            <w:col w:w="5900"/>
          </w:cols>
          <w:pgMar w:left="679" w:top="692" w:right="339" w:bottom="1440" w:gutter="0" w:footer="0" w:header="0"/>
          <w:type w:val="continuous"/>
        </w:sectPr>
      </w:pPr>
    </w:p>
    <w:p>
      <w:pPr>
        <w:spacing w:after="0" w:line="48" w:lineRule="exact"/>
        <w:rPr>
          <w:sz w:val="20"/>
          <w:szCs w:val="20"/>
          <w:color w:val="auto"/>
        </w:rPr>
      </w:pPr>
    </w:p>
    <w:p>
      <w:pPr>
        <w:ind w:left="401"/>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ind w:left="401"/>
        <w:spacing w:after="0"/>
        <w:rPr>
          <w:sz w:val="20"/>
          <w:szCs w:val="20"/>
          <w:color w:val="auto"/>
        </w:rPr>
      </w:pPr>
      <w:r>
        <w:rPr>
          <w:rFonts w:ascii="Arial" w:cs="Arial" w:eastAsia="Arial" w:hAnsi="Arial"/>
          <w:sz w:val="16"/>
          <w:szCs w:val="16"/>
          <w:color w:val="auto"/>
        </w:rPr>
        <w:t>102 Woodmont Blvd. Suite 610</w:t>
      </w:r>
    </w:p>
    <w:p>
      <w:pPr>
        <w:spacing w:after="0" w:line="32" w:lineRule="exact"/>
        <w:rPr>
          <w:sz w:val="20"/>
          <w:szCs w:val="20"/>
          <w:color w:val="auto"/>
        </w:rPr>
      </w:pPr>
    </w:p>
    <w:p>
      <w:pPr>
        <w:ind w:left="401"/>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401"/>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401"/>
        <w:spacing w:after="0"/>
        <w:rPr>
          <w:sz w:val="20"/>
          <w:szCs w:val="20"/>
          <w:color w:val="auto"/>
        </w:rPr>
      </w:pPr>
      <w:r>
        <w:rPr>
          <w:rFonts w:ascii="Arial" w:cs="Arial" w:eastAsia="Arial" w:hAnsi="Arial"/>
          <w:sz w:val="18"/>
          <w:szCs w:val="18"/>
          <w:color w:val="auto"/>
        </w:rPr>
        <w:t>Attention: Andrew Boll</w:t>
      </w:r>
    </w:p>
    <w:p>
      <w:pPr>
        <w:spacing w:after="0" w:line="9" w:lineRule="exact"/>
        <w:rPr>
          <w:sz w:val="20"/>
          <w:szCs w:val="20"/>
          <w:color w:val="auto"/>
        </w:rPr>
      </w:pPr>
    </w:p>
    <w:p>
      <w:pPr>
        <w:ind w:left="401"/>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401"/>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WAKAMOTO PHARMACEUTICAL CO.,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2-2, Nihonbashi Honcho 2-chome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Chuo-ku, Tokyo, 103-8330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Atsushi Saito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ectPr>
          <w:pgSz w:w="11900" w:h="16838" w:orient="portrait"/>
          <w:cols w:equalWidth="0" w:num="2">
            <w:col w:w="4261" w:space="720"/>
            <w:col w:w="5900"/>
          </w:cols>
          <w:pgMar w:left="679" w:top="692" w:right="339" w:bottom="1440" w:gutter="0" w:footer="0" w:header="0"/>
          <w:type w:val="continuous"/>
        </w:sectPr>
      </w:pPr>
    </w:p>
    <w:p>
      <w:pPr>
        <w:jc w:val="both"/>
        <w:ind w:left="381" w:hanging="377"/>
        <w:spacing w:after="0" w:line="301" w:lineRule="auto"/>
        <w:rPr>
          <w:sz w:val="20"/>
          <w:szCs w:val="20"/>
          <w:color w:val="auto"/>
        </w:rPr>
      </w:pPr>
      <w:r>
        <w:rPr>
          <w:rFonts w:ascii="Arial" w:cs="Arial" w:eastAsia="Arial" w:hAnsi="Arial"/>
          <w:sz w:val="16"/>
          <w:szCs w:val="16"/>
          <w:color w:val="auto"/>
        </w:rPr>
        <w:t>21.4 No provision herein, however, may be construed nor interpreted that any right, privilege, or benefit of each party to receive notices and other documents under and in accordance with the applicable laws, regulations, treaties, or conventions, including but not limited to the Convention Relating to Civil Procedure concluded at the Hague on 1st day of March, 1954 and the Convention on the Service Abroad of Judicial and Extrajudicial Documents in Civil or Commercial Matters concluded at the Hague on 15th day of November, 1965, is waived or limited.</w:t>
      </w:r>
    </w:p>
    <w:p>
      <w:pPr>
        <w:spacing w:after="0" w:line="157" w:lineRule="exact"/>
        <w:rPr>
          <w:sz w:val="20"/>
          <w:szCs w:val="20"/>
          <w:color w:val="auto"/>
        </w:rPr>
      </w:pPr>
    </w:p>
    <w:p>
      <w:pPr>
        <w:ind w:left="381" w:hanging="381"/>
        <w:spacing w:after="0"/>
        <w:tabs>
          <w:tab w:leader="none" w:pos="381"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Force Majeure</w:t>
      </w:r>
    </w:p>
    <w:p>
      <w:pPr>
        <w:spacing w:after="0" w:line="225" w:lineRule="exact"/>
        <w:rPr>
          <w:rFonts w:ascii="Arial" w:cs="Arial" w:eastAsia="Arial" w:hAnsi="Arial"/>
          <w:sz w:val="18"/>
          <w:szCs w:val="18"/>
          <w:color w:val="auto"/>
        </w:rPr>
      </w:pPr>
    </w:p>
    <w:p>
      <w:pPr>
        <w:jc w:val="both"/>
        <w:ind w:left="401"/>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A delay in or failure of performance of each party hereto shall not constitute default under this Agreement nor give rise to any claim for damages if any to the extent such delay or failure is caused by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which means and includes without limitation fire, windstorms, typhoons or cyclones, hurricanes, lightning, landslide, earthquakes, </w:t>
      </w:r>
      <w:r>
        <w:rPr>
          <w:rFonts w:ascii="Arial" w:cs="Arial" w:eastAsia="Arial" w:hAnsi="Arial"/>
          <w:sz w:val="16"/>
          <w:szCs w:val="16"/>
          <w:i w:val="1"/>
          <w:iCs w:val="1"/>
          <w:color w:val="auto"/>
        </w:rPr>
        <w:t>tsunami</w:t>
      </w:r>
      <w:r>
        <w:rPr>
          <w:rFonts w:ascii="Arial" w:cs="Arial" w:eastAsia="Arial" w:hAnsi="Arial"/>
          <w:sz w:val="16"/>
          <w:szCs w:val="16"/>
          <w:color w:val="auto"/>
        </w:rPr>
        <w:t xml:space="preserve">, volcanic activity, floods, explosion, plagues, epidemics, inevitable accidents, acts of God, lockouts, strikes, sabotages, labor disputes, commotion, riots, insurrection, rebellion, military or usurped power, civil war, terrorism, </w:t>
      </w:r>
      <w:r>
        <w:rPr>
          <w:rFonts w:ascii="Arial" w:cs="Arial" w:eastAsia="Arial" w:hAnsi="Arial"/>
          <w:sz w:val="16"/>
          <w:szCs w:val="16"/>
          <w:i w:val="1"/>
          <w:iCs w:val="1"/>
          <w:color w:val="auto"/>
        </w:rPr>
        <w:t>coup d’état</w:t>
      </w:r>
      <w:r>
        <w:rPr>
          <w:rFonts w:ascii="Arial" w:cs="Arial" w:eastAsia="Arial" w:hAnsi="Arial"/>
          <w:sz w:val="16"/>
          <w:szCs w:val="16"/>
          <w:color w:val="auto"/>
        </w:rPr>
        <w:t>, revolution, hostilities, invasion, acts of foreign enemies, war (whether declared or undeclared), munitions, explosive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ionizing radiation or contamination by radioactivity, failure or shortage of supply of labor, material, power or utility, transportation difficulty, embargoes, blockades, prohibition of export or import, refusal to issue an export or import license, legal restrictions, actions of the judicial or governmental authority or any </w:t>
      </w:r>
      <w:r>
        <w:rPr>
          <w:rFonts w:ascii="Arial" w:cs="Arial" w:eastAsia="Arial" w:hAnsi="Arial"/>
          <w:sz w:val="16"/>
          <w:szCs w:val="16"/>
          <w:i w:val="1"/>
          <w:iCs w:val="1"/>
          <w:color w:val="auto"/>
        </w:rPr>
        <w:t>de jure</w:t>
      </w:r>
      <w:r>
        <w:rPr>
          <w:rFonts w:ascii="Arial" w:cs="Arial" w:eastAsia="Arial" w:hAnsi="Arial"/>
          <w:sz w:val="16"/>
          <w:szCs w:val="16"/>
          <w:color w:val="auto"/>
        </w:rPr>
        <w:t xml:space="preserve"> or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authority or ruler and any other justifiable or unforeseeable cause beyond the reasonable control of the party hereto affected. In the event that either party ceases to perform its obligations under this Agreement due to the occurrence of a Force Majeure event, such party shall: (a) immediately notify the other party in writing of such Force Majeure event and its expected duration;</w:t>
      </w:r>
    </w:p>
    <w:p>
      <w:pPr>
        <w:spacing w:after="0" w:line="4" w:lineRule="exact"/>
        <w:rPr>
          <w:rFonts w:ascii="Arial" w:cs="Arial" w:eastAsia="Arial" w:hAnsi="Arial"/>
          <w:sz w:val="18"/>
          <w:szCs w:val="18"/>
          <w:color w:val="auto"/>
        </w:rPr>
      </w:pPr>
    </w:p>
    <w:p>
      <w:pPr>
        <w:jc w:val="both"/>
        <w:ind w:left="401"/>
        <w:spacing w:after="0" w:line="253" w:lineRule="auto"/>
        <w:rPr>
          <w:rFonts w:ascii="Arial" w:cs="Arial" w:eastAsia="Arial" w:hAnsi="Arial"/>
          <w:sz w:val="18"/>
          <w:szCs w:val="18"/>
          <w:color w:val="auto"/>
        </w:rPr>
      </w:pPr>
      <w:r>
        <w:rPr>
          <w:rFonts w:ascii="Arial" w:cs="Arial" w:eastAsia="Arial" w:hAnsi="Arial"/>
          <w:sz w:val="18"/>
          <w:szCs w:val="18"/>
          <w:color w:val="auto"/>
        </w:rPr>
        <w:t>(b) take all reasonable steps to recommence performance of its obligations under this Agreement as soon as possible. In the event that any Force Majeure event delays a party’s performance for more than ninety (90) days following notice by such party pursuant to this Agreement, then the Parties shall discuss in good faith the modification of the Parties’ obligations under this Agreement in order to mitigate the delays caused by such Force Majeure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268605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type w:val="continuous"/>
        </w:sectPr>
      </w:pPr>
    </w:p>
    <w:bookmarkStart w:id="60" w:name="page61"/>
    <w:bookmarkEnd w:id="60"/>
    <w:p>
      <w:pPr>
        <w:ind w:left="381" w:hanging="381"/>
        <w:spacing w:after="0"/>
        <w:tabs>
          <w:tab w:leader="none" w:pos="38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Assignment</w:t>
      </w:r>
    </w:p>
    <w:p>
      <w:pPr>
        <w:spacing w:after="0" w:line="225" w:lineRule="exact"/>
        <w:rPr>
          <w:rFonts w:ascii="Arial" w:cs="Arial" w:eastAsia="Arial" w:hAnsi="Arial"/>
          <w:sz w:val="18"/>
          <w:szCs w:val="18"/>
          <w:color w:val="auto"/>
        </w:rPr>
      </w:pPr>
    </w:p>
    <w:p>
      <w:pPr>
        <w:jc w:val="both"/>
        <w:ind w:left="381"/>
        <w:spacing w:after="0" w:line="257" w:lineRule="auto"/>
        <w:rPr>
          <w:rFonts w:ascii="Arial" w:cs="Arial" w:eastAsia="Arial" w:hAnsi="Arial"/>
          <w:sz w:val="18"/>
          <w:szCs w:val="18"/>
          <w:color w:val="auto"/>
        </w:rPr>
      </w:pPr>
      <w:r>
        <w:rPr>
          <w:rFonts w:ascii="Arial" w:cs="Arial" w:eastAsia="Arial" w:hAnsi="Arial"/>
          <w:sz w:val="18"/>
          <w:szCs w:val="18"/>
          <w:color w:val="auto"/>
        </w:rPr>
        <w:t>Neither this Agreement nor any of the rights and obligations hereunder may be assigned or transferred by a party hereto to any third party without prior written approval of the other party, which shall not be unreasonably withheld, except that no prior written consent is required in the event of assignment to an Affiliate or a successor in business to which this Agreement pertains. All of the terms, conditions, covenants, and agreements set forth herein shall inure to the benefit of, and be binding upon, any successor and any permitted assignees of the respective parties hereto.</w:t>
      </w:r>
    </w:p>
    <w:p>
      <w:pPr>
        <w:spacing w:after="0" w:line="187" w:lineRule="exact"/>
        <w:rPr>
          <w:rFonts w:ascii="Arial" w:cs="Arial" w:eastAsia="Arial" w:hAnsi="Arial"/>
          <w:sz w:val="18"/>
          <w:szCs w:val="18"/>
          <w:color w:val="auto"/>
        </w:rPr>
      </w:pPr>
    </w:p>
    <w:p>
      <w:pPr>
        <w:ind w:left="381" w:hanging="381"/>
        <w:spacing w:after="0"/>
        <w:tabs>
          <w:tab w:leader="none" w:pos="38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Waiver</w:t>
      </w:r>
    </w:p>
    <w:p>
      <w:pPr>
        <w:spacing w:after="0" w:line="225" w:lineRule="exact"/>
        <w:rPr>
          <w:rFonts w:ascii="Arial" w:cs="Arial" w:eastAsia="Arial" w:hAnsi="Arial"/>
          <w:sz w:val="18"/>
          <w:szCs w:val="18"/>
          <w:color w:val="auto"/>
        </w:rPr>
      </w:pPr>
    </w:p>
    <w:p>
      <w:pPr>
        <w:jc w:val="both"/>
        <w:ind w:left="381"/>
        <w:spacing w:after="0" w:line="255" w:lineRule="auto"/>
        <w:rPr>
          <w:rFonts w:ascii="Arial" w:cs="Arial" w:eastAsia="Arial" w:hAnsi="Arial"/>
          <w:sz w:val="18"/>
          <w:szCs w:val="18"/>
          <w:color w:val="auto"/>
        </w:rPr>
      </w:pPr>
      <w:r>
        <w:rPr>
          <w:rFonts w:ascii="Arial" w:cs="Arial" w:eastAsia="Arial" w:hAnsi="Arial"/>
          <w:sz w:val="18"/>
          <w:szCs w:val="18"/>
          <w:color w:val="auto"/>
        </w:rPr>
        <w:t>In no event shall any obligation of each party hereto under this Agreement be discharged in whole or in part by waiver or renunciation unless such waiver or renunciation is made in writing and is signed by a duly authorized representative of the other party. No waiver by each party hereto with respect to any breach or default of the other party or with respect to any provision or condition of this Agreement shall be deemed to constitute either a waiver of any subsequent breach or default or continuing waiver with respect to the same or any other provision or condition of this Agreement, unless there is a written document to that express effect signed by a duly authorized representative of either party hereto, as the case may be.</w:t>
      </w:r>
    </w:p>
    <w:p>
      <w:pPr>
        <w:spacing w:after="0" w:line="192" w:lineRule="exact"/>
        <w:rPr>
          <w:rFonts w:ascii="Arial" w:cs="Arial" w:eastAsia="Arial" w:hAnsi="Arial"/>
          <w:sz w:val="18"/>
          <w:szCs w:val="18"/>
          <w:color w:val="auto"/>
        </w:rPr>
      </w:pPr>
    </w:p>
    <w:p>
      <w:pPr>
        <w:ind w:left="381" w:hanging="381"/>
        <w:spacing w:after="0"/>
        <w:tabs>
          <w:tab w:leader="none" w:pos="38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Entirety and Amendment</w:t>
      </w:r>
    </w:p>
    <w:p>
      <w:pPr>
        <w:spacing w:after="0" w:line="225" w:lineRule="exact"/>
        <w:rPr>
          <w:rFonts w:ascii="Arial" w:cs="Arial" w:eastAsia="Arial" w:hAnsi="Arial"/>
          <w:sz w:val="18"/>
          <w:szCs w:val="18"/>
          <w:color w:val="auto"/>
        </w:rPr>
      </w:pPr>
    </w:p>
    <w:p>
      <w:pPr>
        <w:jc w:val="both"/>
        <w:ind w:left="401"/>
        <w:spacing w:after="0" w:line="263" w:lineRule="auto"/>
        <w:rPr>
          <w:rFonts w:ascii="Arial" w:cs="Arial" w:eastAsia="Arial" w:hAnsi="Arial"/>
          <w:sz w:val="18"/>
          <w:szCs w:val="18"/>
          <w:color w:val="auto"/>
        </w:rPr>
      </w:pPr>
      <w:r>
        <w:rPr>
          <w:rFonts w:ascii="Arial" w:cs="Arial" w:eastAsia="Arial" w:hAnsi="Arial"/>
          <w:sz w:val="18"/>
          <w:szCs w:val="18"/>
          <w:color w:val="auto"/>
        </w:rPr>
        <w:t>This Agreement and the License Agreement constitutes the entire agreement between the parties hereto with respect to the subject matter hereof and shall supersede any previous understandings or agreements relating thereto. This Agreement may be amended only by a written instrument duly signed by the authorized representative of each party hereto.</w:t>
      </w:r>
    </w:p>
    <w:p>
      <w:pPr>
        <w:spacing w:after="0" w:line="183" w:lineRule="exact"/>
        <w:rPr>
          <w:rFonts w:ascii="Arial" w:cs="Arial" w:eastAsia="Arial" w:hAnsi="Arial"/>
          <w:sz w:val="18"/>
          <w:szCs w:val="18"/>
          <w:color w:val="auto"/>
        </w:rPr>
      </w:pPr>
    </w:p>
    <w:p>
      <w:pPr>
        <w:ind w:left="381" w:hanging="381"/>
        <w:spacing w:after="0"/>
        <w:tabs>
          <w:tab w:leader="none" w:pos="38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25" w:lineRule="exact"/>
        <w:rPr>
          <w:rFonts w:ascii="Arial" w:cs="Arial" w:eastAsia="Arial" w:hAnsi="Arial"/>
          <w:sz w:val="18"/>
          <w:szCs w:val="18"/>
          <w:color w:val="auto"/>
        </w:rPr>
      </w:pPr>
    </w:p>
    <w:p>
      <w:pPr>
        <w:jc w:val="both"/>
        <w:ind w:left="401"/>
        <w:spacing w:after="0" w:line="259" w:lineRule="auto"/>
        <w:rPr>
          <w:rFonts w:ascii="Arial" w:cs="Arial" w:eastAsia="Arial" w:hAnsi="Arial"/>
          <w:sz w:val="18"/>
          <w:szCs w:val="18"/>
          <w:color w:val="auto"/>
        </w:rPr>
      </w:pPr>
      <w:r>
        <w:rPr>
          <w:rFonts w:ascii="Arial" w:cs="Arial" w:eastAsia="Arial" w:hAnsi="Arial"/>
          <w:sz w:val="18"/>
          <w:szCs w:val="18"/>
          <w:color w:val="auto"/>
        </w:rPr>
        <w:t>Should any provision of this Agreement be invalid, illegal or unenforceable in any respect, such provision shall be severed and the parties specifically intend that the remaining provisions shall continue as valid, legal and enforceable, and these provisions shall be integrated and interpreted in such a way as to give them maximum enforceability and validity under the applicable laws, while retaining the original intent of the parties with respect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264795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61" w:name="page62"/>
    <w:bookmarkEnd w:id="61"/>
    <w:p>
      <w:pPr>
        <w:ind w:left="381" w:hanging="381"/>
        <w:spacing w:after="0"/>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p>
    <w:p>
      <w:pPr>
        <w:spacing w:after="0" w:line="225" w:lineRule="exact"/>
        <w:rPr>
          <w:rFonts w:ascii="Arial" w:cs="Arial" w:eastAsia="Arial" w:hAnsi="Arial"/>
          <w:sz w:val="18"/>
          <w:szCs w:val="18"/>
          <w:color w:val="auto"/>
        </w:rPr>
      </w:pPr>
    </w:p>
    <w:p>
      <w:pPr>
        <w:jc w:val="both"/>
        <w:ind w:left="401"/>
        <w:spacing w:after="0" w:line="301" w:lineRule="auto"/>
        <w:rPr>
          <w:rFonts w:ascii="Arial" w:cs="Arial" w:eastAsia="Arial" w:hAnsi="Arial"/>
          <w:sz w:val="18"/>
          <w:szCs w:val="18"/>
          <w:color w:val="auto"/>
        </w:rPr>
      </w:pPr>
      <w:r>
        <w:rPr>
          <w:rFonts w:ascii="Arial" w:cs="Arial" w:eastAsia="Arial" w:hAnsi="Arial"/>
          <w:sz w:val="16"/>
          <w:szCs w:val="16"/>
          <w:color w:val="auto"/>
        </w:rPr>
        <w:t>Each party hereto shall comply with all applicable laws, rules, regulations, orders, licenses, consents, and decrees of any governmental, local, municipal, or any other authority, agency or body and all other requirements having force and applicable at any time with affect in any manner to this Agreement or each party’s performance thereunder. In case of failure, the failing party shall bear any additional cost resulting from such non-compliance, including costs for any remedial work. The provisions of this Article 27 shall also apply for the License Agreement.</w:t>
      </w:r>
    </w:p>
    <w:p>
      <w:pPr>
        <w:spacing w:after="0" w:line="157" w:lineRule="exact"/>
        <w:rPr>
          <w:rFonts w:ascii="Arial" w:cs="Arial" w:eastAsia="Arial" w:hAnsi="Arial"/>
          <w:sz w:val="18"/>
          <w:szCs w:val="18"/>
          <w:color w:val="auto"/>
        </w:rPr>
      </w:pPr>
    </w:p>
    <w:p>
      <w:pPr>
        <w:ind w:left="381" w:hanging="381"/>
        <w:spacing w:after="0"/>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License</w:t>
      </w:r>
    </w:p>
    <w:p>
      <w:pPr>
        <w:spacing w:after="0" w:line="225" w:lineRule="exact"/>
        <w:rPr>
          <w:rFonts w:ascii="Arial" w:cs="Arial" w:eastAsia="Arial" w:hAnsi="Arial"/>
          <w:sz w:val="18"/>
          <w:szCs w:val="18"/>
          <w:color w:val="auto"/>
        </w:rPr>
      </w:pPr>
    </w:p>
    <w:p>
      <w:pPr>
        <w:jc w:val="both"/>
        <w:ind w:left="401"/>
        <w:spacing w:after="0" w:line="257" w:lineRule="auto"/>
        <w:rPr>
          <w:rFonts w:ascii="Arial" w:cs="Arial" w:eastAsia="Arial" w:hAnsi="Arial"/>
          <w:sz w:val="18"/>
          <w:szCs w:val="18"/>
          <w:color w:val="auto"/>
        </w:rPr>
      </w:pPr>
      <w:r>
        <w:rPr>
          <w:rFonts w:ascii="Arial" w:cs="Arial" w:eastAsia="Arial" w:hAnsi="Arial"/>
          <w:sz w:val="18"/>
          <w:szCs w:val="18"/>
          <w:color w:val="auto"/>
        </w:rPr>
        <w:t>The parties hereto acknowledge and agree that this Agreement, but not the License Agreement, shall not be construed as granting or conferring any rights by license, estoppel or otherwise, expressly, impliedly, under any patent, utility model right, design patent, trademark, copyright, trade secret, or other proprietary rights of each party, or for any invention, discovery or improvement made, conceived or acquired prior to or after the date of this Agreement by each party other than those rights expressly granted or conferred under this Agreement. All licenses granted by Wakamoto to Harrow shall be governed by the License Agreement.</w:t>
      </w:r>
    </w:p>
    <w:p>
      <w:pPr>
        <w:spacing w:after="0" w:line="187" w:lineRule="exact"/>
        <w:rPr>
          <w:rFonts w:ascii="Arial" w:cs="Arial" w:eastAsia="Arial" w:hAnsi="Arial"/>
          <w:sz w:val="18"/>
          <w:szCs w:val="18"/>
          <w:color w:val="auto"/>
        </w:rPr>
      </w:pPr>
    </w:p>
    <w:p>
      <w:pPr>
        <w:ind w:left="381" w:hanging="381"/>
        <w:spacing w:after="0"/>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Independent Contractors</w:t>
      </w:r>
    </w:p>
    <w:p>
      <w:pPr>
        <w:spacing w:after="0" w:line="225" w:lineRule="exact"/>
        <w:rPr>
          <w:rFonts w:ascii="Arial" w:cs="Arial" w:eastAsia="Arial" w:hAnsi="Arial"/>
          <w:sz w:val="18"/>
          <w:szCs w:val="18"/>
          <w:color w:val="auto"/>
        </w:rPr>
      </w:pPr>
    </w:p>
    <w:p>
      <w:pPr>
        <w:jc w:val="both"/>
        <w:ind w:left="401"/>
        <w:spacing w:after="0" w:line="279" w:lineRule="auto"/>
        <w:rPr>
          <w:rFonts w:ascii="Arial" w:cs="Arial" w:eastAsia="Arial" w:hAnsi="Arial"/>
          <w:sz w:val="18"/>
          <w:szCs w:val="18"/>
          <w:color w:val="auto"/>
        </w:rPr>
      </w:pPr>
      <w:r>
        <w:rPr>
          <w:rFonts w:ascii="Arial" w:cs="Arial" w:eastAsia="Arial" w:hAnsi="Arial"/>
          <w:sz w:val="17"/>
          <w:szCs w:val="17"/>
          <w:color w:val="auto"/>
        </w:rPr>
        <w:t>The parties hereto acknowledge and agree that this Agreement shall not be construed nor interpreted as creating any franchise, agency, partnership, joint venture, consortium or employment relationship, or similar thereto, between the parties hereto. The relationship between the parties hereto under this Agreement shall be solely that of independent contractors. Neither party shall have nor hold itself out as having any right, power or authority to assume, create or incur any cost, expenses, liability or obligation on behalf of the other party.</w:t>
      </w:r>
    </w:p>
    <w:p>
      <w:pPr>
        <w:spacing w:after="0" w:line="171" w:lineRule="exact"/>
        <w:rPr>
          <w:rFonts w:ascii="Arial" w:cs="Arial" w:eastAsia="Arial" w:hAnsi="Arial"/>
          <w:sz w:val="18"/>
          <w:szCs w:val="18"/>
          <w:color w:val="auto"/>
        </w:rPr>
      </w:pPr>
    </w:p>
    <w:p>
      <w:pPr>
        <w:ind w:left="381" w:hanging="381"/>
        <w:spacing w:after="0"/>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Binding</w:t>
      </w:r>
    </w:p>
    <w:p>
      <w:pPr>
        <w:spacing w:after="0" w:line="225" w:lineRule="exact"/>
        <w:rPr>
          <w:rFonts w:ascii="Arial" w:cs="Arial" w:eastAsia="Arial" w:hAnsi="Arial"/>
          <w:sz w:val="18"/>
          <w:szCs w:val="18"/>
          <w:color w:val="auto"/>
        </w:rPr>
      </w:pPr>
    </w:p>
    <w:p>
      <w:pPr>
        <w:jc w:val="both"/>
        <w:ind w:left="401"/>
        <w:spacing w:after="0" w:line="263" w:lineRule="auto"/>
        <w:rPr>
          <w:rFonts w:ascii="Arial" w:cs="Arial" w:eastAsia="Arial" w:hAnsi="Arial"/>
          <w:sz w:val="18"/>
          <w:szCs w:val="18"/>
          <w:color w:val="auto"/>
        </w:rPr>
      </w:pPr>
      <w:r>
        <w:rPr>
          <w:rFonts w:ascii="Arial" w:cs="Arial" w:eastAsia="Arial" w:hAnsi="Arial"/>
          <w:sz w:val="18"/>
          <w:szCs w:val="18"/>
          <w:color w:val="auto"/>
        </w:rPr>
        <w:t>The parties hereto acknowledge and agree that this Agreement shall not be construed or interpreted as binding each party hereto to enter into certain contractual, business, or any other relationship than the same expressly provided herein and that each party hereto shall have full option to or not to enter into such other relationship with the other party at such party’s sole discretion.</w:t>
      </w:r>
    </w:p>
    <w:p>
      <w:pPr>
        <w:spacing w:after="0" w:line="264" w:lineRule="exact"/>
        <w:rPr>
          <w:rFonts w:ascii="Arial" w:cs="Arial" w:eastAsia="Arial" w:hAnsi="Arial"/>
          <w:sz w:val="18"/>
          <w:szCs w:val="18"/>
          <w:color w:val="auto"/>
        </w:rPr>
      </w:pPr>
    </w:p>
    <w:p>
      <w:pPr>
        <w:ind w:left="381" w:hanging="381"/>
        <w:spacing w:after="0"/>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w:t>
      </w:r>
    </w:p>
    <w:p>
      <w:pPr>
        <w:spacing w:after="0" w:line="225" w:lineRule="exact"/>
        <w:rPr>
          <w:sz w:val="20"/>
          <w:szCs w:val="20"/>
          <w:color w:val="auto"/>
        </w:rPr>
      </w:pPr>
    </w:p>
    <w:p>
      <w:pPr>
        <w:ind w:left="401" w:right="20"/>
        <w:spacing w:after="0" w:line="277" w:lineRule="auto"/>
        <w:rPr>
          <w:sz w:val="20"/>
          <w:szCs w:val="20"/>
          <w:color w:val="auto"/>
        </w:rPr>
      </w:pPr>
      <w:r>
        <w:rPr>
          <w:rFonts w:ascii="Arial" w:cs="Arial" w:eastAsia="Arial" w:hAnsi="Arial"/>
          <w:sz w:val="18"/>
          <w:szCs w:val="18"/>
          <w:color w:val="auto"/>
        </w:rPr>
        <w:t>The heading to the provisions of Articles of this Agreement have been inserted only to facilitate reference and shall not be taken as being of any significance whatsoever in the construction and interpretation of this Agreement.</w:t>
      </w:r>
    </w:p>
    <w:p>
      <w:pPr>
        <w:spacing w:after="0" w:line="166" w:lineRule="exact"/>
        <w:rPr>
          <w:sz w:val="20"/>
          <w:szCs w:val="20"/>
          <w:color w:val="auto"/>
        </w:rPr>
      </w:pPr>
    </w:p>
    <w:p>
      <w:pPr>
        <w:ind w:left="5081"/>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291465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692" w:right="339" w:bottom="1440" w:gutter="0" w:footer="0" w:header="0"/>
        </w:sectPr>
      </w:pPr>
    </w:p>
    <w:bookmarkStart w:id="62" w:name="page63"/>
    <w:bookmarkEnd w:id="62"/>
    <w:p>
      <w:pPr>
        <w:spacing w:after="0" w:line="308" w:lineRule="auto"/>
        <w:rPr>
          <w:sz w:val="20"/>
          <w:szCs w:val="20"/>
          <w:color w:val="auto"/>
        </w:rPr>
      </w:pPr>
      <w:r>
        <w:rPr>
          <w:rFonts w:ascii="Arial" w:cs="Arial" w:eastAsia="Arial" w:hAnsi="Arial"/>
          <w:sz w:val="17"/>
          <w:szCs w:val="17"/>
          <w:color w:val="auto"/>
        </w:rPr>
        <w:t>IN WITNESS WHEREOF, the parties hereto have executed this Agreement to be signed by their duly authorized representatives in duplicate, each copy to be considered an original, as of the Effective Date first above written and each party respectively retains one (1) original copy hereof.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HARROW HEALTH, INC.</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WAKAMOTO PHARMACEUTICAL CO., LTD.</w:t>
            </w:r>
          </w:p>
        </w:tc>
        <w:tc>
          <w:tcPr>
            <w:tcW w:w="0" w:type="dxa"/>
            <w:vAlign w:val="bottom"/>
          </w:tcPr>
          <w:p>
            <w:pPr>
              <w:spacing w:after="0"/>
              <w:rPr>
                <w:sz w:val="1"/>
                <w:szCs w:val="1"/>
                <w:color w:val="auto"/>
              </w:rPr>
            </w:pPr>
          </w:p>
        </w:tc>
      </w:tr>
      <w:tr>
        <w:trPr>
          <w:trHeight w:val="439"/>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78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Norihisa Kojima</w:t>
            </w: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Mark L. Baum</w:t>
            </w:r>
          </w:p>
        </w:tc>
        <w:tc>
          <w:tcPr>
            <w:tcW w:w="780" w:type="dxa"/>
            <w:vAlign w:val="bottom"/>
            <w:vMerge w:val="continue"/>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Norihisa Kojima</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CEO</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0" w:type="dxa"/>
            <w:vAlign w:val="bottom"/>
          </w:tcPr>
          <w:p>
            <w:pPr>
              <w:spacing w:after="0"/>
              <w:rPr>
                <w:sz w:val="1"/>
                <w:szCs w:val="1"/>
                <w:color w:val="auto"/>
              </w:rPr>
            </w:pP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line="190" w:lineRule="exact"/>
              <w:rPr>
                <w:sz w:val="20"/>
                <w:szCs w:val="20"/>
                <w:color w:val="auto"/>
              </w:rPr>
            </w:pPr>
            <w:r>
              <w:rPr>
                <w:rFonts w:ascii="Arial" w:cs="Arial" w:eastAsia="Arial" w:hAnsi="Arial"/>
                <w:sz w:val="18"/>
                <w:szCs w:val="18"/>
                <w:color w:val="auto"/>
              </w:rPr>
              <w:t>August 16, 2021</w:t>
            </w:r>
          </w:p>
        </w:tc>
        <w:tc>
          <w:tcPr>
            <w:tcW w:w="780" w:type="dxa"/>
            <w:vAlign w:val="bottom"/>
          </w:tcPr>
          <w:p>
            <w:pPr>
              <w:ind w:left="220"/>
              <w:spacing w:after="0" w:line="190" w:lineRule="exact"/>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line="190" w:lineRule="exact"/>
              <w:rPr>
                <w:sz w:val="20"/>
                <w:szCs w:val="20"/>
                <w:color w:val="auto"/>
              </w:rPr>
            </w:pPr>
            <w:r>
              <w:rPr>
                <w:rFonts w:ascii="Arial" w:cs="Arial" w:eastAsia="Arial" w:hAnsi="Arial"/>
                <w:sz w:val="18"/>
                <w:szCs w:val="18"/>
                <w:color w:val="auto"/>
              </w:rPr>
              <w:t>August 18, 2021</w:t>
            </w:r>
          </w:p>
        </w:tc>
        <w:tc>
          <w:tcPr>
            <w:tcW w:w="0" w:type="dxa"/>
            <w:vAlign w:val="bottom"/>
          </w:tcPr>
          <w:p>
            <w:pPr>
              <w:spacing w:after="0"/>
              <w:rPr>
                <w:sz w:val="1"/>
                <w:szCs w:val="1"/>
                <w:color w:val="auto"/>
              </w:rPr>
            </w:pPr>
          </w:p>
        </w:tc>
      </w:tr>
      <w:tr>
        <w:trPr>
          <w:trHeight w:val="459"/>
        </w:trPr>
        <w:tc>
          <w:tcPr>
            <w:tcW w:w="58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82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1"/>
              </w:rPr>
              <w:t>Annex 1</w:t>
            </w:r>
          </w:p>
        </w:tc>
      </w:tr>
      <w:tr>
        <w:trPr>
          <w:trHeight w:val="20"/>
        </w:trPr>
        <w:tc>
          <w:tcPr>
            <w:tcW w:w="15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53"/>
        </w:trPr>
        <w:tc>
          <w:tcPr>
            <w:tcW w:w="1580" w:type="dxa"/>
            <w:vAlign w:val="bottom"/>
          </w:tcPr>
          <w:p>
            <w:pPr>
              <w:spacing w:after="0"/>
              <w:rPr>
                <w:sz w:val="24"/>
                <w:szCs w:val="24"/>
                <w:color w:val="auto"/>
              </w:rPr>
            </w:pPr>
          </w:p>
        </w:tc>
        <w:tc>
          <w:tcPr>
            <w:tcW w:w="948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89"/>
              </w:rPr>
              <w:t>Basic Conditions for the Product to be sold by Wakamoto and to be purchased by Harrow</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Product Name</w:t>
            </w:r>
          </w:p>
        </w:tc>
        <w:tc>
          <w:tcPr>
            <w:tcW w:w="9480" w:type="dxa"/>
            <w:vAlign w:val="bottom"/>
            <w:gridSpan w:val="4"/>
          </w:tcPr>
          <w:p>
            <w:pPr>
              <w:ind w:left="1900"/>
              <w:spacing w:after="0"/>
              <w:rPr>
                <w:sz w:val="20"/>
                <w:szCs w:val="20"/>
                <w:color w:val="auto"/>
              </w:rPr>
            </w:pPr>
            <w:r>
              <w:rPr>
                <w:rFonts w:ascii="Arial" w:cs="Arial" w:eastAsia="Arial" w:hAnsi="Arial"/>
                <w:sz w:val="18"/>
                <w:szCs w:val="18"/>
                <w:color w:val="auto"/>
              </w:rPr>
              <w:t>Triamcinolone Acetonide*, MAQAID, ophthalmic injection 40 mg</w:t>
            </w:r>
          </w:p>
        </w:tc>
      </w:tr>
      <w:tr>
        <w:trPr>
          <w:trHeight w:val="418"/>
        </w:trPr>
        <w:tc>
          <w:tcPr>
            <w:tcW w:w="1580" w:type="dxa"/>
            <w:vAlign w:val="bottom"/>
          </w:tcPr>
          <w:p>
            <w:pPr>
              <w:spacing w:after="0"/>
              <w:rPr>
                <w:sz w:val="24"/>
                <w:szCs w:val="24"/>
                <w:color w:val="auto"/>
              </w:rPr>
            </w:pPr>
          </w:p>
        </w:tc>
        <w:tc>
          <w:tcPr>
            <w:tcW w:w="9480" w:type="dxa"/>
            <w:vAlign w:val="bottom"/>
            <w:gridSpan w:val="4"/>
          </w:tcPr>
          <w:p>
            <w:pPr>
              <w:ind w:left="1900"/>
              <w:spacing w:after="0"/>
              <w:rPr>
                <w:sz w:val="20"/>
                <w:szCs w:val="20"/>
                <w:color w:val="auto"/>
              </w:rPr>
            </w:pPr>
            <w:r>
              <w:rPr>
                <w:rFonts w:ascii="Arial" w:cs="Arial" w:eastAsia="Arial" w:hAnsi="Arial"/>
                <w:sz w:val="18"/>
                <w:szCs w:val="18"/>
                <w:color w:val="auto"/>
                <w:w w:val="93"/>
              </w:rPr>
              <w:t>*An aseptically filled sterile powder that is admixed with a liquid carrier medium prior to administration.</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Supply Price</w:t>
            </w:r>
          </w:p>
        </w:tc>
        <w:tc>
          <w:tcPr>
            <w:tcW w:w="2100" w:type="dxa"/>
            <w:vAlign w:val="bottom"/>
          </w:tcPr>
          <w:p>
            <w:pPr>
              <w:ind w:left="1900"/>
              <w:spacing w:after="0"/>
              <w:rPr>
                <w:sz w:val="20"/>
                <w:szCs w:val="20"/>
                <w:color w:val="auto"/>
              </w:rPr>
            </w:pPr>
            <w:r>
              <w:rPr>
                <w:rFonts w:ascii="Arial" w:cs="Arial" w:eastAsia="Arial" w:hAnsi="Arial"/>
                <w:sz w:val="18"/>
                <w:szCs w:val="18"/>
                <w:color w:val="auto"/>
              </w:rPr>
              <w:t>1)</w:t>
            </w:r>
          </w:p>
        </w:tc>
        <w:tc>
          <w:tcPr>
            <w:tcW w:w="7380" w:type="dxa"/>
            <w:vAlign w:val="bottom"/>
            <w:gridSpan w:val="3"/>
          </w:tcPr>
          <w:p>
            <w:pPr>
              <w:ind w:left="40"/>
              <w:spacing w:after="0"/>
              <w:rPr>
                <w:sz w:val="20"/>
                <w:szCs w:val="20"/>
                <w:color w:val="auto"/>
              </w:rPr>
            </w:pPr>
            <w:r>
              <w:rPr>
                <w:rFonts w:ascii="Arial" w:cs="Arial" w:eastAsia="Arial" w:hAnsi="Arial"/>
                <w:sz w:val="18"/>
                <w:szCs w:val="18"/>
                <w:color w:val="auto"/>
              </w:rPr>
              <w:t>[***] JPY/vial (CIF) for the first [***] vials sold annually</w:t>
            </w:r>
          </w:p>
        </w:tc>
      </w:tr>
      <w:tr>
        <w:trPr>
          <w:trHeight w:val="432"/>
        </w:trPr>
        <w:tc>
          <w:tcPr>
            <w:tcW w:w="1580" w:type="dxa"/>
            <w:vAlign w:val="bottom"/>
          </w:tcPr>
          <w:p>
            <w:pPr>
              <w:spacing w:after="0"/>
              <w:rPr>
                <w:sz w:val="24"/>
                <w:szCs w:val="24"/>
                <w:color w:val="auto"/>
              </w:rPr>
            </w:pPr>
          </w:p>
        </w:tc>
        <w:tc>
          <w:tcPr>
            <w:tcW w:w="2100" w:type="dxa"/>
            <w:vAlign w:val="bottom"/>
          </w:tcPr>
          <w:p>
            <w:pPr>
              <w:ind w:left="1900"/>
              <w:spacing w:after="0"/>
              <w:rPr>
                <w:sz w:val="20"/>
                <w:szCs w:val="20"/>
                <w:color w:val="auto"/>
              </w:rPr>
            </w:pPr>
            <w:r>
              <w:rPr>
                <w:rFonts w:ascii="Arial" w:cs="Arial" w:eastAsia="Arial" w:hAnsi="Arial"/>
                <w:sz w:val="18"/>
                <w:szCs w:val="18"/>
                <w:color w:val="auto"/>
              </w:rPr>
              <w:t>2)</w:t>
            </w:r>
          </w:p>
        </w:tc>
        <w:tc>
          <w:tcPr>
            <w:tcW w:w="7380" w:type="dxa"/>
            <w:vAlign w:val="bottom"/>
            <w:gridSpan w:val="3"/>
          </w:tcPr>
          <w:p>
            <w:pPr>
              <w:ind w:left="40"/>
              <w:spacing w:after="0"/>
              <w:rPr>
                <w:sz w:val="20"/>
                <w:szCs w:val="20"/>
                <w:color w:val="auto"/>
              </w:rPr>
            </w:pPr>
            <w:r>
              <w:rPr>
                <w:rFonts w:ascii="Arial" w:cs="Arial" w:eastAsia="Arial" w:hAnsi="Arial"/>
                <w:sz w:val="18"/>
                <w:szCs w:val="18"/>
                <w:color w:val="auto"/>
              </w:rPr>
              <w:t>[***] JPY/vial (CIF) for vials over [***] vials sold annually</w:t>
            </w:r>
          </w:p>
        </w:tc>
      </w:tr>
    </w:tbl>
    <w:p>
      <w:pPr>
        <w:spacing w:after="0" w:line="20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*Batch Quantity is around [***] vials/batch</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*Minimum purchase unit is [***] vials [***]batches)/ shipment</w:t>
      </w:r>
    </w:p>
    <w:p>
      <w:pPr>
        <w:spacing w:after="0" w:line="225"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any generic version of the Product begins to be marketed and sold in the above Indications and Territory, or if the price of any branded product that is a triamcinolone acetonide ophthalmic injection 40 mg/ml is reduced by more than [***], this Supply Price should be negotiated and be finally decided by Wakamoto and Harrow.</w:t>
      </w:r>
    </w:p>
    <w:p>
      <w:pPr>
        <w:spacing w:after="0" w:line="18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*Harrow bear the product liability coverage of the Product in the territory.</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The rate of exchange to be used in computing the amount of currency equivalent in United States Dollars</w:t>
      </w:r>
    </w:p>
    <w:p>
      <w:pPr>
        <w:spacing w:after="0" w:line="46"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shall be the monthly average exchange rate between each currency of origin and U.S. Dollars as reported</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by Bloomberg or an equivalent</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resource as agreed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75" w:right="419" w:bottom="1440" w:gutter="0" w:footer="0" w:header="0"/>
        </w:sectPr>
      </w:pPr>
    </w:p>
    <w:bookmarkStart w:id="64" w:name="page65"/>
    <w:bookmarkEnd w:id="64"/>
    <w:p>
      <w:pPr>
        <w:ind w:left="10120"/>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Portions of this exhibit indicated by bracketed asterisks have been omitted because they are not material and would likely cause competitive harm to Harrow Health, Inc. if publicly disclosed.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WAKAMOTO PHARMACEUTICAL CO.,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AUGUST </w:t>
      </w:r>
      <w:r>
        <w:rPr>
          <w:rFonts w:ascii="Arial" w:cs="Arial" w:eastAsia="Arial" w:hAnsi="Arial"/>
          <w:sz w:val="18"/>
          <w:szCs w:val="18"/>
          <w:b w:val="1"/>
          <w:bCs w:val="1"/>
          <w:u w:val="single" w:color="auto"/>
          <w:color w:val="auto"/>
        </w:rPr>
        <w:t>18</w:t>
      </w:r>
      <w:r>
        <w:rPr>
          <w:rFonts w:ascii="Arial" w:cs="Arial" w:eastAsia="Arial" w:hAnsi="Arial"/>
          <w:sz w:val="18"/>
          <w:szCs w:val="18"/>
          <w:b w:val="1"/>
          <w:bCs w:val="1"/>
          <w:color w:val="auto"/>
        </w:rPr>
        <w:t>, 2021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effective as of the day of August,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Wakamoto Pharmaceutical Co., Ltd. Japanese corporation having its principal place of business at 2-2-2, Nihonbashi Honcho, Chuo-ku, Tokyo, 103-8330, Japan, including its Affiliates (“</w:t>
      </w:r>
      <w:r>
        <w:rPr>
          <w:rFonts w:ascii="Arial" w:cs="Arial" w:eastAsia="Arial" w:hAnsi="Arial"/>
          <w:sz w:val="18"/>
          <w:szCs w:val="18"/>
          <w:u w:val="single" w:color="auto"/>
          <w:color w:val="auto"/>
        </w:rPr>
        <w:t>Wakamoto</w:t>
      </w:r>
      <w:r>
        <w:rPr>
          <w:rFonts w:ascii="Arial" w:cs="Arial" w:eastAsia="Arial" w:hAnsi="Arial"/>
          <w:sz w:val="18"/>
          <w:szCs w:val="18"/>
          <w:color w:val="auto"/>
        </w:rPr>
        <w:t>”), and Harrow Health, Inc., a Delaware corporation having its principal place of business at 102 Woodmont Blvd., Suite 610, Nashville, TN 37205 USA, including its Affiliates (“</w:t>
      </w:r>
      <w:r>
        <w:rPr>
          <w:rFonts w:ascii="Arial" w:cs="Arial" w:eastAsia="Arial" w:hAnsi="Arial"/>
          <w:sz w:val="18"/>
          <w:szCs w:val="18"/>
          <w:u w:val="single" w:color="auto"/>
          <w:color w:val="auto"/>
        </w:rPr>
        <w:t>Harrow</w:t>
      </w:r>
      <w:r>
        <w:rPr>
          <w:rFonts w:ascii="Arial" w:cs="Arial" w:eastAsia="Arial" w:hAnsi="Arial"/>
          <w:sz w:val="18"/>
          <w:szCs w:val="18"/>
          <w:color w:val="auto"/>
        </w:rPr>
        <w:t>”). Wakamoto and Harrow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Harrow is a pharmaceutical company engaged in the research, development and commercialization of products useful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amelioration, treatment or prevention of ophthalmic diseases and conditions.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Wakamoto is a pharmaceutical company that has developed and commercialized in certain countries a triamcinolone acetonide</w:t>
      </w:r>
      <w:r>
        <w:rPr>
          <w:rFonts w:ascii="Arial" w:cs="Arial" w:eastAsia="Arial" w:hAnsi="Arial"/>
          <w:sz w:val="17"/>
          <w:szCs w:val="17"/>
          <w:b w:val="1"/>
          <w:bCs w:val="1"/>
          <w:color w:val="auto"/>
        </w:rPr>
        <w:t xml:space="preserve"> </w:t>
      </w:r>
      <w:r>
        <w:rPr>
          <w:rFonts w:ascii="Arial" w:cs="Arial" w:eastAsia="Arial" w:hAnsi="Arial"/>
          <w:sz w:val="17"/>
          <w:szCs w:val="17"/>
          <w:color w:val="auto"/>
        </w:rPr>
        <w:t>ophthalmic 40 mg injection formulation (an aseptically filled sterile powder that is admixed with a liquid carrier medium prior to administration, including all modifications to the current formulation) (the “</w:t>
      </w:r>
      <w:r>
        <w:rPr>
          <w:rFonts w:ascii="Arial" w:cs="Arial" w:eastAsia="Arial" w:hAnsi="Arial"/>
          <w:sz w:val="17"/>
          <w:szCs w:val="17"/>
          <w:u w:val="single" w:color="auto"/>
          <w:color w:val="auto"/>
        </w:rPr>
        <w:t>Product</w:t>
      </w:r>
      <w:r>
        <w:rPr>
          <w:rFonts w:ascii="Arial" w:cs="Arial" w:eastAsia="Arial" w:hAnsi="Arial"/>
          <w:sz w:val="17"/>
          <w:szCs w:val="17"/>
          <w:color w:val="auto"/>
        </w:rPr>
        <w:t>”) that can be potentially used for one or more ophthalmic indications.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Wakamoto is capable of commercially manufacturing the Product.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Harrow wishes to be granted, and Wakamoto desires to grant, an exclusive license under the Product, its formulation, and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in order to obtain regulatory approval and commercialization of the Product in the Territory (as defined below) for the Licensed Indications (as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Wakamoto wishes to supply the Product for Harrow and Harrow wishes to purchase the Product from Wakamoto for commercialization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Territory.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Wakamoto and Harrow are concurrently executing a Basic Sale and Purchase Agreement as of the Effective Date regarding the supply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Product (the “</w:t>
      </w:r>
      <w:r>
        <w:rPr>
          <w:rFonts w:ascii="Arial" w:cs="Arial" w:eastAsia="Arial" w:hAnsi="Arial"/>
          <w:sz w:val="18"/>
          <w:szCs w:val="18"/>
          <w:b w:val="1"/>
          <w:bCs w:val="1"/>
          <w:color w:val="auto"/>
        </w:rPr>
        <w:t>Supply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agreements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600" w:type="dxa"/>
            <w:vAlign w:val="bottom"/>
            <w:gridSpan w:val="3"/>
          </w:tcPr>
          <w:p>
            <w:pPr>
              <w:ind w:left="1860"/>
              <w:spacing w:after="0"/>
              <w:rPr>
                <w:sz w:val="20"/>
                <w:szCs w:val="20"/>
                <w:color w:val="auto"/>
              </w:rPr>
            </w:pPr>
            <w:r>
              <w:rPr>
                <w:rFonts w:ascii="Arial" w:cs="Arial" w:eastAsia="Arial" w:hAnsi="Arial"/>
                <w:sz w:val="18"/>
                <w:szCs w:val="18"/>
                <w:b w:val="1"/>
                <w:bCs w:val="1"/>
                <w:color w:val="auto"/>
              </w:rPr>
              <w:t>ARTICLE 1. DEFINITIONS</w:t>
            </w:r>
          </w:p>
        </w:tc>
      </w:tr>
      <w:tr>
        <w:trPr>
          <w:trHeight w:val="391"/>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1.1</w:t>
            </w:r>
          </w:p>
        </w:tc>
        <w:tc>
          <w:tcPr>
            <w:tcW w:w="10640" w:type="dxa"/>
            <w:vAlign w:val="bottom"/>
            <w:gridSpan w:val="5"/>
          </w:tcPr>
          <w:p>
            <w:pPr>
              <w:ind w:left="360"/>
              <w:spacing w:after="0"/>
              <w:rPr>
                <w:sz w:val="20"/>
                <w:szCs w:val="20"/>
                <w:color w:val="auto"/>
              </w:rPr>
            </w:pPr>
            <w:r>
              <w:rPr>
                <w:rFonts w:ascii="Arial" w:cs="Arial" w:eastAsia="Arial" w:hAnsi="Arial"/>
                <w:sz w:val="18"/>
                <w:szCs w:val="18"/>
                <w:color w:val="auto"/>
                <w:w w:val="92"/>
              </w:rPr>
              <w:t>“Accounting Standards” means United States Generally Accepted Accounting Principles (“GAAP”); provided, that, to the extent that a Party</w:t>
            </w: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1360" w:hanging="5570"/>
        <w:spacing w:after="0" w:line="527" w:lineRule="auto"/>
        <w:rPr>
          <w:sz w:val="20"/>
          <w:szCs w:val="20"/>
          <w:color w:val="auto"/>
        </w:rPr>
      </w:pPr>
      <w:r>
        <w:rPr>
          <w:rFonts w:ascii="Arial" w:cs="Arial" w:eastAsia="Arial" w:hAnsi="Arial"/>
          <w:sz w:val="18"/>
          <w:szCs w:val="18"/>
          <w:color w:val="auto"/>
        </w:rPr>
        <w:t>adopts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Accounting Standards shall mean IFRS in either case, consistently applied.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particular Party, a Person that 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by contract, as a general partner or manager or otherwise.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statutes, ordinances, regulations, rules, or orders of any kind whatsoever of any Governmental Authority, including the U.S. Food, Drug and Cosmetic Act, (21 U.S.C. §301 et seq.) (“</w:t>
      </w:r>
      <w:r>
        <w:rPr>
          <w:rFonts w:ascii="Arial" w:cs="Arial" w:eastAsia="Arial" w:hAnsi="Arial"/>
          <w:sz w:val="18"/>
          <w:szCs w:val="18"/>
          <w:u w:val="single" w:color="auto"/>
          <w:color w:val="auto"/>
        </w:rPr>
        <w:t>FFDCA</w:t>
      </w:r>
      <w:r>
        <w:rPr>
          <w:rFonts w:ascii="Arial" w:cs="Arial" w:eastAsia="Arial" w:hAnsi="Arial"/>
          <w:sz w:val="18"/>
          <w:szCs w:val="18"/>
          <w:color w:val="auto"/>
        </w:rPr>
        <w:t>”), Public Health Service Act, (42 U.S.C. §201 et seq) (“</w:t>
      </w:r>
      <w:r>
        <w:rPr>
          <w:rFonts w:ascii="Arial" w:cs="Arial" w:eastAsia="Arial" w:hAnsi="Arial"/>
          <w:sz w:val="18"/>
          <w:szCs w:val="18"/>
          <w:u w:val="single" w:color="auto"/>
          <w:color w:val="auto"/>
        </w:rPr>
        <w:t>PHSA</w:t>
      </w:r>
      <w:r>
        <w:rPr>
          <w:rFonts w:ascii="Arial" w:cs="Arial" w:eastAsia="Arial" w:hAnsi="Arial"/>
          <w:sz w:val="18"/>
          <w:szCs w:val="18"/>
          <w:color w:val="auto"/>
        </w:rPr>
        <w:t>”), Prescription Drug Marketing Act, the Generic Drug Enforcement Act of 1992 (21 U.S.C. §335a et seq.), U.S. Patent Act (35 U.S.C. §1 et seq.), Federal Civil False Claims Act (31 U.S.C. §3729 et seq.), and the Anti-Kickback Statute (42 U.S.C. §1320a-7b et seq.), GCP, GLP, and GMP, all as amended from time to time, together with any rules, regulations, and compliance guidance promulgated thereunder and including any foreign equivalents of any of the foregoing.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10640" w:type="dxa"/>
            <w:vAlign w:val="bottom"/>
            <w:gridSpan w:val="3"/>
          </w:tcPr>
          <w:p>
            <w:pPr>
              <w:jc w:val="right"/>
              <w:spacing w:after="0"/>
              <w:rPr>
                <w:sz w:val="20"/>
                <w:szCs w:val="20"/>
                <w:color w:val="auto"/>
              </w:rPr>
            </w:pPr>
            <w:r>
              <w:rPr>
                <w:rFonts w:ascii="Arial" w:cs="Arial" w:eastAsia="Arial" w:hAnsi="Arial"/>
                <w:sz w:val="18"/>
                <w:szCs w:val="18"/>
                <w:color w:val="auto"/>
                <w:w w:val="94"/>
              </w:rPr>
              <w:t>“Business Day” means a day other than Saturday, Sunday or any other day on which commercial banks located in New York City, New York,</w:t>
            </w:r>
          </w:p>
        </w:tc>
      </w:tr>
      <w:tr>
        <w:trPr>
          <w:trHeight w:val="20"/>
        </w:trPr>
        <w:tc>
          <w:tcPr>
            <w:tcW w:w="108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Arial" w:cs="Arial" w:eastAsia="Arial" w:hAnsi="Arial"/>
                <w:sz w:val="18"/>
                <w:szCs w:val="18"/>
                <w:color w:val="auto"/>
              </w:rPr>
              <w:t>U.S., or Tokyo, Japan, are obligated by Applicable Law to close.</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106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“Calendar Year” means the twelve (12) month period ending on December 31; provided, however, that (a) the first Calendar Year of the Term,</w:t>
            </w:r>
          </w:p>
        </w:tc>
      </w:tr>
      <w:tr>
        <w:trPr>
          <w:trHeight w:val="20"/>
        </w:trPr>
        <w:tc>
          <w:tcPr>
            <w:tcW w:w="6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180" w:type="dxa"/>
            <w:vAlign w:val="bottom"/>
            <w:tcBorders>
              <w:left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shall begin on the Effective Date and end on December 31, 2021; and (b) the last Calendar Year of the Term shall end on the effective date of expiration or termination of this Agreement.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 Party (an “</w:t>
      </w:r>
      <w:r>
        <w:rPr>
          <w:rFonts w:ascii="Arial" w:cs="Arial" w:eastAsia="Arial" w:hAnsi="Arial"/>
          <w:sz w:val="18"/>
          <w:szCs w:val="18"/>
          <w:u w:val="single" w:color="auto"/>
          <w:color w:val="auto"/>
        </w:rPr>
        <w:t>Acquired Party</w:t>
      </w:r>
      <w:r>
        <w:rPr>
          <w:rFonts w:ascii="Arial" w:cs="Arial" w:eastAsia="Arial" w:hAnsi="Arial"/>
          <w:sz w:val="18"/>
          <w:szCs w:val="18"/>
          <w:color w:val="auto"/>
        </w:rPr>
        <w:t>”), the occurrence of any of the following events from and after the Effective Date: (a) any Person or group of Persons becomes the beneficial owner (directly or indirectly) of voting securities representing more than fifty percent (50%) of the total voting power of all of the then-outstanding voting securities of such Acquired Party; (b) the consummation of a merger, consolidation, recapitalization, or reorganization of such Acquired Party, other than any such transaction, which results in stockholders or equity holders of such Acquired Party, or an Affiliate of such Acquired Party, immediately prior to such transaction owning at least fifty percent (50%) of the outstanding securities of the surviving entity (or its parent entity) immediately following such transaction; or (c) the sale or other transfer to a Third Party of all or substantially all of such Acquired Party’s assets which relate to this Agreement. Notwithstanding the foregoing, an investment transaction by venture capital or other financial investors not engaged in the pharmaceutical or biotechnology business and not otherwise affiliated with a pharmaceutical or biotechnology company, the purpose of which is to raise capital for a Party for working capital purposes only, shall not be deemed to be a Change of Control for purposes of this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1.7</w:t>
            </w:r>
          </w:p>
        </w:tc>
        <w:tc>
          <w:tcPr>
            <w:tcW w:w="10280" w:type="dxa"/>
            <w:vAlign w:val="bottom"/>
            <w:gridSpan w:val="3"/>
          </w:tcPr>
          <w:p>
            <w:pPr>
              <w:jc w:val="right"/>
              <w:spacing w:after="0"/>
              <w:rPr>
                <w:sz w:val="20"/>
                <w:szCs w:val="20"/>
                <w:color w:val="auto"/>
              </w:rPr>
            </w:pPr>
            <w:r>
              <w:rPr>
                <w:rFonts w:ascii="Arial" w:cs="Arial" w:eastAsia="Arial" w:hAnsi="Arial"/>
                <w:sz w:val="18"/>
                <w:szCs w:val="18"/>
                <w:color w:val="auto"/>
                <w:w w:val="98"/>
              </w:rPr>
              <w:t>“Clinical Trial” means any human clinical study, veterinary clinical study, bioequivalence study or trial of Products in the Field in the</w:t>
            </w:r>
          </w:p>
        </w:tc>
      </w:t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Territory.</w:t>
            </w:r>
          </w:p>
        </w:tc>
        <w:tc>
          <w:tcPr>
            <w:tcW w:w="3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940" w:type="dxa"/>
            <w:vAlign w:val="bottom"/>
          </w:tcPr>
          <w:p>
            <w:pPr>
              <w:spacing w:after="0"/>
              <w:rPr>
                <w:sz w:val="20"/>
                <w:szCs w:val="20"/>
                <w:color w:val="auto"/>
              </w:rPr>
            </w:pPr>
          </w:p>
        </w:tc>
      </w:tr>
      <w:tr>
        <w:trPr>
          <w:trHeight w:val="439"/>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gridSpan w:val="3"/>
          </w:tcPr>
          <w:p>
            <w:pPr>
              <w:jc w:val="right"/>
              <w:ind w:right="55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692" w:right="339" w:bottom="1440" w:gutter="0" w:footer="0" w:header="0"/>
        </w:sectPr>
      </w:pPr>
    </w:p>
    <w:bookmarkStart w:id="67" w:name="page68"/>
    <w:bookmarkEnd w:id="67"/>
    <w:p>
      <w:pPr>
        <w:jc w:val="both"/>
        <w:spacing w:after="0" w:line="270"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Commercialize</w:t>
      </w:r>
      <w:r>
        <w:rPr>
          <w:rFonts w:ascii="Arial" w:cs="Arial" w:eastAsia="Arial" w:hAnsi="Arial"/>
          <w:sz w:val="17"/>
          <w:szCs w:val="17"/>
          <w:color w:val="auto"/>
        </w:rPr>
        <w:t>” or “</w:t>
      </w:r>
      <w:r>
        <w:rPr>
          <w:rFonts w:ascii="Arial" w:cs="Arial" w:eastAsia="Arial" w:hAnsi="Arial"/>
          <w:sz w:val="17"/>
          <w:szCs w:val="17"/>
          <w:u w:val="single" w:color="auto"/>
          <w:color w:val="auto"/>
        </w:rPr>
        <w:t>Commercialization</w:t>
      </w:r>
      <w:r>
        <w:rPr>
          <w:rFonts w:ascii="Arial" w:cs="Arial" w:eastAsia="Arial" w:hAnsi="Arial"/>
          <w:sz w:val="17"/>
          <w:szCs w:val="17"/>
          <w:color w:val="auto"/>
        </w:rPr>
        <w:t>” means all activities, whether initiated or conducted prior to or following Regulatory Approval for a Product in the Field and in the Territory, undertaken in support of the promotion, marketing, sale and distribution (including importing, exporting, transporting, customs clearance, warehousing, invoicing, handling and delivering Product to customers) of the Product, including: (a) sales force efforts, detailing, advertising, marketing and preparation and use of Promotional Materials, sales and distribution, pricing, contracting managed markets and medical affairs, including activities with respect to medical education and the distribution of medical information, clinical science liaison activities, and the conduct of investigator initiated sponsored research programs and health economics and outcomes research, and (b) product security activities, including enhancing supply chain security, implementing brand protection technologies, intelligence gathering, forensic analysis, customs recordation, and anti-counterfeiting enforcement action, such as taking Internet countermeasures, collaborating with law enforcement and seeking criminal restitution. “Commercialize” means to engage in Commercialization activities.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 with respect to the efforts to be expended, or considerations to be undertaken, by a Party or its Affiliate with respect to any objective, activity or decision to be undertaken hereunder, reasonable, good faith efforts to accomplish such objective, activity or decision as used by a company in the industry of a similar size and profile as such Party to accomplish a similar objective, activity or decision, it being understood that with respect to Development and Commercialization of the Product, such efforts shall be consistent with those efforts to develop or commercialize, as the case may be, a product owned by such company or to which it has rights, which product is of similar market potential as the Product, and at a similar stage of its product life, taking into account the establishment of the product in the marketplace, the competitiveness of the marketplace, the proprietary position of the product, the regulatory status involved, and the profitability of the product, in the case of each such factor as in existence and as reasonably projected to be in existence during the Term of this Agreement, as well as other relevant factors including without limitation efficacy and patient safety, which efforts shall correspond at least to the same type (quality and quantity) of channels, methods, investments, and staff (including, without limitation, sales force), which are used by reputable pharmaceutical companies that are engaged in pharmaceutical business in the marketing of their own products with a similar potential in the Territory.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Control</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with respect to any Information, Know-How, Patent or other intellectual property right, the possession (including ownership) by a Party or its Affiliates, of the ability (without taking into account any rights granted by one Party to the other Party under the terms of this Agreement) to grant access, a license or a sublicense to such Information, Know- How, Patent or other intellectual property right without violating the terms of any agreement or other arrangement with, or necessitating the consent of, any Third Party, at such time that the Party would be first required under this Agreement to grant the other Party such access, license or sublicense. Notwithstanding the foregoing, a Party and its Affiliates will not be deemed to “Control” any Information, Know-How, Patent or other intellectual property right that, prior to the consummation of a Change of Control of such Party, is owned or in-licensed by a Third Party that becomes an Affiliate of such Acquired Party after the Effective Date as a result of such Change of Control unless (a) prior to the consummation of such Change of Control, such Acquired Party or any of its Affiliates also Controlled such Information, Know-How, Patent or other intellectual property right, or (b) the Information, Know-How, Patent or other intellectual property right owned or in-licensed by such Third Party were not used in the performance of activities under this Agreement prior to the consummation of such Change of Control, but after the consummation of such Change of Control, the Acquired Party or any of its Affiliates determines to use or uses any such Information, Know-How, Patent or other intellectual property right in the performance of its obligations or exercise of its rights under this Agreement, in each of which cases ((a) and (b)), such Information, Know-How, Patent or other intellectual property right will be “Controlled” by such Party for purposes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jc w:val="both"/>
        <w:spacing w:after="0" w:line="279"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Development</w:t>
      </w:r>
      <w:r>
        <w:rPr>
          <w:rFonts w:ascii="Arial" w:cs="Arial" w:eastAsia="Arial" w:hAnsi="Arial"/>
          <w:sz w:val="17"/>
          <w:szCs w:val="17"/>
          <w:color w:val="auto"/>
        </w:rPr>
        <w:t>” means all research, non-clinical and clinical drug development activities, including toxicology, pharmacology, and other non-clinical efforts, statistical analysis, formulation development, delivery system development, statistical analysis, the performance of Clinical Trials, or other activities reasonably necessary in order to obtain Regulatory Approval of Products in the Field in the Territory. “Development” shall exclude all Commercialization activities and Regulatory Activities. When used as a verb, “Develop” means to engage in Development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Exploit</w:t>
      </w:r>
      <w:r>
        <w:rPr>
          <w:rFonts w:ascii="Arial" w:cs="Arial" w:eastAsia="Arial" w:hAnsi="Arial"/>
          <w:sz w:val="18"/>
          <w:szCs w:val="18"/>
          <w:color w:val="auto"/>
        </w:rPr>
        <w:t>” or “</w:t>
      </w:r>
      <w:r>
        <w:rPr>
          <w:rFonts w:ascii="Arial" w:cs="Arial" w:eastAsia="Arial" w:hAnsi="Arial"/>
          <w:sz w:val="18"/>
          <w:szCs w:val="18"/>
          <w:u w:val="single" w:color="auto"/>
          <w:color w:val="auto"/>
        </w:rPr>
        <w:t>Exploitation</w:t>
      </w:r>
      <w:r>
        <w:rPr>
          <w:rFonts w:ascii="Arial" w:cs="Arial" w:eastAsia="Arial" w:hAnsi="Arial"/>
          <w:sz w:val="18"/>
          <w:szCs w:val="18"/>
          <w:color w:val="auto"/>
        </w:rPr>
        <w:t>” means to research, distribute, import, export, use, have used, sell, have sold, or offer for sale, including to Develop, Commercialize, register, modify, enhance, improve, or otherwise dispose of or perform Regulatory Activities.</w:t>
      </w:r>
    </w:p>
    <w:p>
      <w:pPr>
        <w:spacing w:after="0" w:line="1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any successor agency thereto.</w:t>
      </w:r>
    </w:p>
    <w:p>
      <w:pPr>
        <w:spacing w:after="0" w:line="22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FFDCA</w:t>
      </w:r>
      <w:r>
        <w:rPr>
          <w:rFonts w:ascii="Arial" w:cs="Arial" w:eastAsia="Arial" w:hAnsi="Arial"/>
          <w:sz w:val="16"/>
          <w:szCs w:val="16"/>
          <w:color w:val="auto"/>
        </w:rPr>
        <w:t>” means the Federal Food, Drug and Cosmetic Act under United States Code, Title 21, as amended.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Field</w:t>
      </w:r>
      <w:r>
        <w:rPr>
          <w:rFonts w:ascii="Arial" w:cs="Arial" w:eastAsia="Arial" w:hAnsi="Arial"/>
          <w:sz w:val="18"/>
          <w:szCs w:val="18"/>
          <w:color w:val="auto"/>
        </w:rPr>
        <w:t>” means diagnosis, treatment, amelioration, or prevention of any and all ophthalmic diseases or indications, including any symptoms thereof, human or animal.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any event beyond the reasonable control of the affected Party including embargoes; war or acts of war, including terrorism, insurrections, riots, or civil unrest; strikes, lockouts or other labor disturbances; epidemics, pandemics, the spread of infectious diseases, and quarantines; fire, floods, earthquakes, tsunami or other acts of nature; or acts, omissions or delays in acting by any Governmental Authority (including the refusal of the competent Governmental Authorities to issue required Regulatory Approvals due to reasons other than the affected Party’s or its Affiliate’s negligence or willful misconduct or breach of any term or condition of this Agreement or any other cause within the reasonable control of the affected Party or its Affiliates) and failure of plant or machinery (provided, that, such event or failure could not have been prevented by the exercise of skill, diligence, and prudence that would be reasonably and ordinarily expected from a skilled and experienced person engaged in the same type of undertaking under the same or similar circumstances).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Good Clinical Practices</w:t>
      </w:r>
      <w:r>
        <w:rPr>
          <w:rFonts w:ascii="Arial" w:cs="Arial" w:eastAsia="Arial" w:hAnsi="Arial"/>
          <w:sz w:val="17"/>
          <w:szCs w:val="17"/>
          <w:color w:val="auto"/>
        </w:rPr>
        <w:t>”, “</w:t>
      </w:r>
      <w:r>
        <w:rPr>
          <w:rFonts w:ascii="Arial" w:cs="Arial" w:eastAsia="Arial" w:hAnsi="Arial"/>
          <w:sz w:val="17"/>
          <w:szCs w:val="17"/>
          <w:u w:val="single" w:color="auto"/>
          <w:color w:val="auto"/>
        </w:rPr>
        <w:t>GCP</w:t>
      </w:r>
      <w:r>
        <w:rPr>
          <w:rFonts w:ascii="Arial" w:cs="Arial" w:eastAsia="Arial" w:hAnsi="Arial"/>
          <w:sz w:val="17"/>
          <w:szCs w:val="17"/>
          <w:color w:val="auto"/>
        </w:rPr>
        <w:t>” or “</w:t>
      </w:r>
      <w:r>
        <w:rPr>
          <w:rFonts w:ascii="Arial" w:cs="Arial" w:eastAsia="Arial" w:hAnsi="Arial"/>
          <w:sz w:val="17"/>
          <w:szCs w:val="17"/>
          <w:u w:val="single" w:color="auto"/>
          <w:color w:val="auto"/>
        </w:rPr>
        <w:t>cGCP</w:t>
      </w:r>
      <w:r>
        <w:rPr>
          <w:rFonts w:ascii="Arial" w:cs="Arial" w:eastAsia="Arial" w:hAnsi="Arial"/>
          <w:sz w:val="17"/>
          <w:szCs w:val="17"/>
          <w:color w:val="auto"/>
        </w:rPr>
        <w:t>” means the then-current standards, practices and procedures promulgated or endorsed by the FDA as set forth in the guidelines adopted by the International Conference on Harmonization (“</w:t>
      </w:r>
      <w:r>
        <w:rPr>
          <w:rFonts w:ascii="Arial" w:cs="Arial" w:eastAsia="Arial" w:hAnsi="Arial"/>
          <w:sz w:val="17"/>
          <w:szCs w:val="17"/>
          <w:u w:val="single" w:color="auto"/>
          <w:color w:val="auto"/>
        </w:rPr>
        <w:t>ICH</w:t>
      </w:r>
      <w:r>
        <w:rPr>
          <w:rFonts w:ascii="Arial" w:cs="Arial" w:eastAsia="Arial" w:hAnsi="Arial"/>
          <w:sz w:val="17"/>
          <w:szCs w:val="17"/>
          <w:color w:val="auto"/>
        </w:rPr>
        <w:t>”), titled “Guidance for Industry E6 Good Clinical Practice: Consolidated Guidance,” (or any successor document) including related regulatory requirements imposed by the FDA and comparable regulatory standards, practices any other Regulatory Authority applicable to the Territory, as they may be updated from time to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Good Laboratory Practices</w:t>
      </w:r>
      <w:r>
        <w:rPr>
          <w:rFonts w:ascii="Arial" w:cs="Arial" w:eastAsia="Arial" w:hAnsi="Arial"/>
          <w:sz w:val="18"/>
          <w:szCs w:val="18"/>
          <w:color w:val="auto"/>
        </w:rPr>
        <w:t>”, “</w:t>
      </w:r>
      <w:r>
        <w:rPr>
          <w:rFonts w:ascii="Arial" w:cs="Arial" w:eastAsia="Arial" w:hAnsi="Arial"/>
          <w:sz w:val="18"/>
          <w:szCs w:val="18"/>
          <w:u w:val="single" w:color="auto"/>
          <w:color w:val="auto"/>
        </w:rPr>
        <w:t>GLP</w:t>
      </w:r>
      <w:r>
        <w:rPr>
          <w:rFonts w:ascii="Arial" w:cs="Arial" w:eastAsia="Arial" w:hAnsi="Arial"/>
          <w:sz w:val="18"/>
          <w:szCs w:val="18"/>
          <w:color w:val="auto"/>
        </w:rPr>
        <w:t>”, or “</w:t>
      </w:r>
      <w:r>
        <w:rPr>
          <w:rFonts w:ascii="Arial" w:cs="Arial" w:eastAsia="Arial" w:hAnsi="Arial"/>
          <w:sz w:val="18"/>
          <w:szCs w:val="18"/>
          <w:u w:val="single" w:color="auto"/>
          <w:color w:val="auto"/>
        </w:rPr>
        <w:t>cGLP</w:t>
      </w:r>
      <w:r>
        <w:rPr>
          <w:rFonts w:ascii="Arial" w:cs="Arial" w:eastAsia="Arial" w:hAnsi="Arial"/>
          <w:sz w:val="18"/>
          <w:szCs w:val="18"/>
          <w:color w:val="auto"/>
        </w:rPr>
        <w:t>” means the then-current standards, practices and procedures promulgated or endorsed by the FDA as set forth in 21 C.F.R. Part 58 (or any successor statute or regulation), including related regulatory requirements imposed by the FDA and comparable regulatory standards, practices and procedures promulgated by any other Regulatory Authority applicable to the Territory, as they may be updated from time to time, including applicable guidelines promulgated under the ICH.</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Good Manufacturing Practices</w:t>
      </w:r>
      <w:r>
        <w:rPr>
          <w:rFonts w:ascii="Arial" w:cs="Arial" w:eastAsia="Arial" w:hAnsi="Arial"/>
          <w:sz w:val="18"/>
          <w:szCs w:val="18"/>
          <w:color w:val="auto"/>
        </w:rPr>
        <w:t>”, “</w:t>
      </w:r>
      <w:r>
        <w:rPr>
          <w:rFonts w:ascii="Arial" w:cs="Arial" w:eastAsia="Arial" w:hAnsi="Arial"/>
          <w:sz w:val="18"/>
          <w:szCs w:val="18"/>
          <w:u w:val="single" w:color="auto"/>
          <w:color w:val="auto"/>
        </w:rPr>
        <w:t>GMP</w:t>
      </w:r>
      <w:r>
        <w:rPr>
          <w:rFonts w:ascii="Arial" w:cs="Arial" w:eastAsia="Arial" w:hAnsi="Arial"/>
          <w:sz w:val="18"/>
          <w:szCs w:val="18"/>
          <w:color w:val="auto"/>
        </w:rPr>
        <w:t>”, or “</w:t>
      </w:r>
      <w:r>
        <w:rPr>
          <w:rFonts w:ascii="Arial" w:cs="Arial" w:eastAsia="Arial" w:hAnsi="Arial"/>
          <w:sz w:val="18"/>
          <w:szCs w:val="18"/>
          <w:u w:val="single" w:color="auto"/>
          <w:color w:val="auto"/>
        </w:rPr>
        <w:t>cGMP</w:t>
      </w:r>
      <w:r>
        <w:rPr>
          <w:rFonts w:ascii="Arial" w:cs="Arial" w:eastAsia="Arial" w:hAnsi="Arial"/>
          <w:sz w:val="18"/>
          <w:szCs w:val="18"/>
          <w:color w:val="auto"/>
        </w:rPr>
        <w:t>” means the then-current good manufacturing practices required by the FDA, as set forth in the FFDCA, as amended, and the regulations promulgated thereunder, for the manufacture and testing of pharmaceutical materials, and comparable Applicable Law related to the manufacture and testing of pharmaceutical materials in jurisdictions outside the U.S and the regulations promulgated thereunder, in each case as they may be updated from time to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Harrow Invention</w:t>
      </w:r>
      <w:r>
        <w:rPr>
          <w:rFonts w:ascii="Arial" w:cs="Arial" w:eastAsia="Arial" w:hAnsi="Arial"/>
          <w:sz w:val="18"/>
          <w:szCs w:val="18"/>
          <w:color w:val="auto"/>
        </w:rPr>
        <w:t>” means any Invention that is made solely by Harrow’s own employees, agents, or independent contractors in the course of conducting its activities under this Agreement or otherwise relating to the Exploitation of Products in the Field in the Territory, together with all intellectual property rights therein.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Harrow Know-How</w:t>
      </w:r>
      <w:r>
        <w:rPr>
          <w:rFonts w:ascii="Arial" w:cs="Arial" w:eastAsia="Arial" w:hAnsi="Arial"/>
          <w:sz w:val="18"/>
          <w:szCs w:val="18"/>
          <w:color w:val="auto"/>
        </w:rPr>
        <w:t>” means all Know-How Controlled by Harrow during the Term that is necessary or useful to Exploit or Products in the Field. Harrow Know-How includes all Harrow Inventions but excludes any Information contained within a Harrow Patent.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Harrow Patents</w:t>
      </w:r>
      <w:r>
        <w:rPr>
          <w:rFonts w:ascii="Arial" w:cs="Arial" w:eastAsia="Arial" w:hAnsi="Arial"/>
          <w:sz w:val="18"/>
          <w:szCs w:val="18"/>
          <w:color w:val="auto"/>
        </w:rPr>
        <w:t>” means all Patents Controlled by Harrow during the Term that are necessary or useful to Exploit Products in the Field in the Territory. As of the Effective Date there are no existing Harrow Patents in the Territory.</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Harrow Technology</w:t>
      </w:r>
      <w:r>
        <w:rPr>
          <w:rFonts w:ascii="Arial" w:cs="Arial" w:eastAsia="Arial" w:hAnsi="Arial"/>
          <w:sz w:val="16"/>
          <w:szCs w:val="16"/>
          <w:color w:val="auto"/>
        </w:rPr>
        <w:t>” means all Harrow Know-How and Harrow Patents.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IND</w:t>
      </w:r>
      <w:r>
        <w:rPr>
          <w:rFonts w:ascii="Arial" w:cs="Arial" w:eastAsia="Arial" w:hAnsi="Arial"/>
          <w:sz w:val="18"/>
          <w:szCs w:val="18"/>
          <w:color w:val="auto"/>
        </w:rPr>
        <w:t>” means (a) an Investigational New Drug application as defined in the FFDCA, as amended, and applicable regulations promulgated hereunder by the FDA, (b) a clinical trial authorization application for a product filed with a Regulatory Authority in any other regulatory jurisdiction outside the U.S., the filing of which (in the case of (a) or (b)) is necessary to commence or conduct clinical testing of a pharmaceutical product in humans in such jurisdiction, or (c) documentation issued by a Regulatory Authority that permits the conduct of clinical testing of a product in humans in such jurisdiction.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Indication</w:t>
      </w:r>
      <w:r>
        <w:rPr>
          <w:rFonts w:ascii="Arial" w:cs="Arial" w:eastAsia="Arial" w:hAnsi="Arial"/>
          <w:sz w:val="18"/>
          <w:szCs w:val="18"/>
          <w:color w:val="auto"/>
        </w:rPr>
        <w:t>” means a human or animal disease or medical condition which is approved by a Regulatory Authority to be included as a discrete claim (as opposed to a subset of a claim) in the Labeling of a Product based on the results of a separate Clinical Trial sufficient to support Regulatory Approval of such claim.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Information</w:t>
      </w:r>
      <w:r>
        <w:rPr>
          <w:rFonts w:ascii="Arial" w:cs="Arial" w:eastAsia="Arial" w:hAnsi="Arial"/>
          <w:sz w:val="18"/>
          <w:szCs w:val="18"/>
          <w:color w:val="auto"/>
        </w:rPr>
        <w:t>” means information, inventions, discoveries, compositions, formulations, formulas, practices, procedures, processes, methods, knowledge, know-how, trade secrets, technology, techniques, designs, drawings, correspondence, computer programs, documents, apparatus, results, strategies, regulatory documentation, information and submissions pertaining to, or made in association with, filings with any Governmental Authority or patent office, data, including pharmacological, toxicological, non-clinical and clinical data, analytical and quality control data, manufacturing data and descriptions, market data, financial data or descriptions, devices, assays, chemical formulations, specifications, material, product samples and other samples, physical, chemical and biological materials, and the like, in written, electronic, oral or other tangible or intangible form, now known or hereafter developed, whether or not patentable.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Inventions</w:t>
      </w:r>
      <w:r>
        <w:rPr>
          <w:rFonts w:ascii="Arial" w:cs="Arial" w:eastAsia="Arial" w:hAnsi="Arial"/>
          <w:sz w:val="18"/>
          <w:szCs w:val="18"/>
          <w:color w:val="auto"/>
        </w:rPr>
        <w:t>” means any and all inventions, discoveries and developments, whether or not patentable, made, conceived or reduced to practice in the course of performance of this Agreement or otherwise relating to the Exploitation of Products in the Field in the Territory, whether made, conceived or reduced to practice solely by, or on behalf of, Wakamoto, Harrow or the Parties jointly.</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u w:val="single" w:color="auto"/>
          <w:color w:val="auto"/>
        </w:rPr>
        <w:t>Joint Know-How</w:t>
      </w:r>
      <w:r>
        <w:rPr>
          <w:rFonts w:ascii="Arial" w:cs="Arial" w:eastAsia="Arial" w:hAnsi="Arial"/>
          <w:sz w:val="17"/>
          <w:szCs w:val="17"/>
          <w:color w:val="auto"/>
        </w:rPr>
        <w:t>” means all Information and Inventions jointly Controlled by Wakamoto and Harrow during the Term that is/are necessary or useful to Exploit the Product in the Field in the Territory. Joint Know-How excludes any Information contained within a Joint Patent.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Joint Patents</w:t>
      </w:r>
      <w:r>
        <w:rPr>
          <w:rFonts w:ascii="Arial" w:cs="Arial" w:eastAsia="Arial" w:hAnsi="Arial"/>
          <w:sz w:val="18"/>
          <w:szCs w:val="18"/>
          <w:color w:val="auto"/>
        </w:rPr>
        <w:t>” means all Patents jointly Controlled by Wakamoto and Harrow during the Term that are necessary or useful to Exploit the Product in the Field in the Territory. As of the Effective Date there are no existing Joint Patents in the Territory.</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Technology</w:t>
      </w:r>
      <w:r>
        <w:rPr>
          <w:rFonts w:ascii="Arial" w:cs="Arial" w:eastAsia="Arial" w:hAnsi="Arial"/>
          <w:sz w:val="16"/>
          <w:szCs w:val="16"/>
          <w:color w:val="auto"/>
        </w:rPr>
        <w:t>” means, collectively, all Joint Know-How and Joint Patents.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Know-How</w:t>
      </w:r>
      <w:r>
        <w:rPr>
          <w:rFonts w:ascii="Arial" w:cs="Arial" w:eastAsia="Arial" w:hAnsi="Arial"/>
          <w:sz w:val="18"/>
          <w:szCs w:val="18"/>
          <w:color w:val="auto"/>
        </w:rPr>
        <w:t>” means, with respect to a Party, all Information and Inventions Controlled by such Party. Know-How excludes any Information contained within a Party’s Patents.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Labeling</w:t>
      </w:r>
      <w:r>
        <w:rPr>
          <w:rFonts w:ascii="Arial" w:cs="Arial" w:eastAsia="Arial" w:hAnsi="Arial"/>
          <w:sz w:val="18"/>
          <w:szCs w:val="18"/>
          <w:color w:val="auto"/>
        </w:rPr>
        <w:t>” means the healthcare professional information or patient information that is part of a Product’s Regulatory Approval Application or Regulatory Approval, including the package insert, medication guides, summary of product characteristics, patient information leaflets, company core safety information and company core data sheet.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Licensed Indications</w:t>
      </w:r>
      <w:r>
        <w:rPr>
          <w:rFonts w:ascii="Arial" w:cs="Arial" w:eastAsia="Arial" w:hAnsi="Arial"/>
          <w:sz w:val="18"/>
          <w:szCs w:val="18"/>
          <w:color w:val="auto"/>
        </w:rPr>
        <w:t>” means: (a) Visualization of vitreous body during vitrectomy; (b) Treatment for diabetic macular edema by intravitreal injection; (c) Alleviation of macular edema associated with diabetic macular edema, retinal vein occlusion or non-infectious uveitis by sub- tenon’s injection; and (d) any other ophthalmic related condition, human or animal.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Manufacture</w:t>
      </w:r>
      <w:r>
        <w:rPr>
          <w:rFonts w:ascii="Arial" w:cs="Arial" w:eastAsia="Arial" w:hAnsi="Arial"/>
          <w:sz w:val="18"/>
          <w:szCs w:val="18"/>
          <w:color w:val="auto"/>
        </w:rPr>
        <w:t>” means all activities related to the manufacturing the Product, or any ingredient thereof, for Development, Commercialization and Regulatory Activities, including the production, manufacture, processing, filling, finishing, and holding of Products and any intermediate thereof, labeling, packaging, Product testing, release of Products or any ingredient thereof, quality assurance activities related to isolation and manufacturing and release of Products, and any stability tests and regulatory activities related to any of the foregoing. When used as a verb, “Manufacture” means to engage in manufacturing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jc w:val="both"/>
        <w:ind w:right="20"/>
        <w:spacing w:after="0" w:line="311" w:lineRule="auto"/>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NDA</w:t>
      </w:r>
      <w:r>
        <w:rPr>
          <w:rFonts w:ascii="Arial" w:cs="Arial" w:eastAsia="Arial" w:hAnsi="Arial"/>
          <w:sz w:val="16"/>
          <w:szCs w:val="16"/>
          <w:color w:val="auto"/>
        </w:rPr>
        <w:t>” means a New Drug Application or supplemental New Drug Application as contemplated by Section 505(b) of the FFDCA, as amended, and the regulations promulgated thereunder, submitted to the FDA pursuant to Part 314 of Title 21 of the U.S. C.F.R., including any amendments thereto. References herein to NDA shall include, to the extent applicable, any comparable applications filed in countries in the Territory outside the U.S.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Product, the gross amounts invoiced or received by Harrow, its Affiliates and its respective sublicensees for sales of such Product to unaffiliated Third Parties, less the following deductions:</w:t>
      </w:r>
    </w:p>
    <w:p>
      <w:pPr>
        <w:spacing w:after="0" w:line="170" w:lineRule="exact"/>
        <w:rPr>
          <w:sz w:val="20"/>
          <w:szCs w:val="20"/>
          <w:color w:val="auto"/>
        </w:rPr>
      </w:pPr>
    </w:p>
    <w:p>
      <w:pPr>
        <w:ind w:left="760" w:right="20" w:firstLine="652"/>
        <w:spacing w:after="0" w:line="342" w:lineRule="auto"/>
        <w:tabs>
          <w:tab w:leader="none" w:pos="26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customary cash, trade or quantity discounts, charge-back payments, and rebates actually granted to trade customers, managed health care organizations, pharmaceutical benefit managers, group purchasing organizations and national, state, or local government;</w:t>
      </w:r>
    </w:p>
    <w:p>
      <w:pPr>
        <w:spacing w:after="0" w:line="123" w:lineRule="exact"/>
        <w:rPr>
          <w:rFonts w:ascii="Arial" w:cs="Arial" w:eastAsia="Arial" w:hAnsi="Arial"/>
          <w:sz w:val="16"/>
          <w:szCs w:val="16"/>
          <w:color w:val="auto"/>
        </w:rPr>
      </w:pPr>
    </w:p>
    <w:p>
      <w:pPr>
        <w:ind w:left="760" w:firstLine="652"/>
        <w:spacing w:after="0" w:line="277" w:lineRule="auto"/>
        <w:tabs>
          <w:tab w:leader="none" w:pos="23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credits, rebates or allowances actually allowed upon prompt payment or on account of claims, damaged goods, rejections or returns of such Product, including in connection with recalls, and the actual amount of any retroactive price reductions;</w:t>
      </w:r>
    </w:p>
    <w:p>
      <w:pPr>
        <w:spacing w:after="0" w:line="170" w:lineRule="exact"/>
        <w:rPr>
          <w:rFonts w:ascii="Arial" w:cs="Arial" w:eastAsia="Arial" w:hAnsi="Arial"/>
          <w:sz w:val="18"/>
          <w:szCs w:val="18"/>
          <w:color w:val="auto"/>
        </w:rPr>
      </w:pPr>
    </w:p>
    <w:p>
      <w:pPr>
        <w:jc w:val="both"/>
        <w:ind w:left="760" w:firstLine="652"/>
        <w:spacing w:after="0" w:line="286" w:lineRule="auto"/>
        <w:tabs>
          <w:tab w:leader="none" w:pos="24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packaging, freight, postage, shipping, transportation, warehousing, handling and insurance charges, in each case actually allowed or paid for delivery of such Product, and any customary payments with respect to the Product actually made to wholesalers or other distributors, in each case actually allowed or paid for distribution and delivery of Product, to the extent billed or recognized;</w:t>
      </w:r>
    </w:p>
    <w:p>
      <w:pPr>
        <w:spacing w:after="0" w:line="165" w:lineRule="exact"/>
        <w:rPr>
          <w:rFonts w:ascii="Arial" w:cs="Arial" w:eastAsia="Arial" w:hAnsi="Arial"/>
          <w:sz w:val="17"/>
          <w:szCs w:val="17"/>
          <w:color w:val="auto"/>
        </w:rPr>
      </w:pPr>
    </w:p>
    <w:p>
      <w:pPr>
        <w:jc w:val="both"/>
        <w:ind w:left="760" w:firstLine="652"/>
        <w:spacing w:after="0" w:line="257" w:lineRule="auto"/>
        <w:tabs>
          <w:tab w:leader="none" w:pos="23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 (other than income taxes), duties, tariffs, mandated contribution or other governmental charges levied on the sale of such Product, including VAT, excise taxes, sales taxes and that portion of the annual fee on prescription drug manufacturers imposed by the Patient Protection and Affordable Care Act, Pub. L. No. 111-148 (as amended), that Harrow, its Affiliates or (sub)licensees, as applicable, allocate to sales of such Product in accordance with Harrow’s, its Affiliates’ or (sub)licensees’ standard policies and procedures consistently applied across its products, as applicable; and</w:t>
      </w:r>
    </w:p>
    <w:p>
      <w:pPr>
        <w:spacing w:after="0" w:line="187" w:lineRule="exact"/>
        <w:rPr>
          <w:rFonts w:ascii="Arial" w:cs="Arial" w:eastAsia="Arial" w:hAnsi="Arial"/>
          <w:sz w:val="18"/>
          <w:szCs w:val="18"/>
          <w:color w:val="auto"/>
        </w:rPr>
      </w:pPr>
    </w:p>
    <w:p>
      <w:pPr>
        <w:ind w:left="760" w:firstLine="652"/>
        <w:spacing w:after="0" w:line="277" w:lineRule="auto"/>
        <w:tabs>
          <w:tab w:leader="none" w:pos="24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sales, credits or allowances given or made with respect to Products for indigent patient, Clinical Trial and any unpaid compassionate or named patient, charitable or humanitarian programs.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Notwithstanding the foregoing, dispositions of any Product by Harrow to its Affiliates or by Harrow or its Affiliates to its respective sublicensees, in each case, for resale shall not be considered to be a sale for purposes of the definition of Net Sales hereunder unless such Affiliate end customer or sublicensee end customer is the last Person in the distribution chain of the Product. In any event, any amounts received or invoiced by Harrow, its Affiliates, or its sublicensees shall be accounted for only once. For purposes of determining Net Sales, a Product shall be deemed to be sold when recorded as a sale by Harrow, its Affiliates or its respective sublicensees in accordance with the applicable Accounting Standards. For clarity, a particular deduction may only be accounted for once in the calculation of Net Sales. Net Sales shall exclude any samples of Product transferred or disposed of at no expense for promotional or educational purposes. For the avoidance of doubt, and for all purposes under this Agreement, Net Sales shall be accounted for in accordance with standard accounting practices, as practiced by Harrow its Affiliates or its respective sublicensees in the relevant country in the Territory, but in any event in accordance with the applicable Accounting Standards, as consistently applied in such country in the Territory.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color w:val="auto"/>
        </w:rPr>
        <w:t>1.38 “</w:t>
      </w:r>
      <w:r>
        <w:rPr>
          <w:rFonts w:ascii="Arial" w:cs="Arial" w:eastAsia="Arial" w:hAnsi="Arial"/>
          <w:sz w:val="17"/>
          <w:szCs w:val="17"/>
          <w:u w:val="single" w:color="auto"/>
          <w:color w:val="auto"/>
        </w:rPr>
        <w:t>Patents</w:t>
      </w:r>
      <w:r>
        <w:rPr>
          <w:rFonts w:ascii="Arial" w:cs="Arial" w:eastAsia="Arial" w:hAnsi="Arial"/>
          <w:sz w:val="17"/>
          <w:szCs w:val="17"/>
          <w:color w:val="auto"/>
        </w:rPr>
        <w:t>” means all: (a) patents, including any utility or design patent; (b) patent applications, including provisional, substitutions, divisional, continuations, continuations in-part or renewals; (c) patents of addition, restorations, extensions, supplementary protection certificates, registration or confirmation patents, patents resulting from post-grant proceedings, re-issues and re-examinations; (d) other patents or patent applications claiming priority directly or indirectly to: (i) any such specified patent or patent application specified in (a) through (c), or (ii) any patent or patent application from which a patent or patent application specified in (a) through (c) claim direct or indirect priority; (e) inventor’s certificates; (f) other rights issued from a Governmental Authority similar to any of the foregoing specified in (a) through (e); and (g) in each of (a) through (f), whether such patent, patent application or other right arises in the U.S. or any other jurisdiction in the Territory.</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Patent Term Extension</w:t>
      </w:r>
      <w:r>
        <w:rPr>
          <w:rFonts w:ascii="Arial" w:cs="Arial" w:eastAsia="Arial" w:hAnsi="Arial"/>
          <w:sz w:val="18"/>
          <w:szCs w:val="18"/>
          <w:color w:val="auto"/>
        </w:rPr>
        <w:t>” means any term extensions, supplementary protection certificates and equivalents thereof offering patent protection beyond the initial term with respect to any issued patents.</w:t>
      </w:r>
    </w:p>
    <w:p>
      <w:pPr>
        <w:spacing w:after="0" w:line="1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Payments</w:t>
      </w:r>
      <w:r>
        <w:rPr>
          <w:rFonts w:ascii="Arial" w:cs="Arial" w:eastAsia="Arial" w:hAnsi="Arial"/>
          <w:sz w:val="16"/>
          <w:szCs w:val="16"/>
          <w:color w:val="auto"/>
        </w:rPr>
        <w:t>” is defined in Section 7.3(a).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Pricing Approval</w:t>
      </w:r>
      <w:r>
        <w:rPr>
          <w:rFonts w:ascii="Arial" w:cs="Arial" w:eastAsia="Arial" w:hAnsi="Arial"/>
          <w:sz w:val="18"/>
          <w:szCs w:val="18"/>
          <w:color w:val="auto"/>
        </w:rPr>
        <w:t>” means any approval, agreement, determination or decision by a Governmental Authority establishing prices that can be charged and/or reimbursed for a Product in a jurisdiction where the applicable Governmental Authority or Regulatory Authority approves or determines the pricing of pharmaceutical products.</w:t>
      </w:r>
    </w:p>
    <w:p>
      <w:pPr>
        <w:spacing w:after="0" w:line="184"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Product</w:t>
      </w:r>
      <w:r>
        <w:rPr>
          <w:rFonts w:ascii="Arial" w:cs="Arial" w:eastAsia="Arial" w:hAnsi="Arial"/>
          <w:sz w:val="16"/>
          <w:szCs w:val="16"/>
          <w:color w:val="auto"/>
        </w:rPr>
        <w:t>” is defined in the preamble of this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Product Complaint</w:t>
      </w:r>
      <w:r>
        <w:rPr>
          <w:rFonts w:ascii="Arial" w:cs="Arial" w:eastAsia="Arial" w:hAnsi="Arial"/>
          <w:sz w:val="16"/>
          <w:szCs w:val="16"/>
          <w:color w:val="auto"/>
        </w:rPr>
        <w:t>” means any Information that comes to the attention of either Party, its Affiliates or its sublicensees, concerning any dissatisfaction regarding a Product of such a nature and magnitude that it is required under the Applicable Law to be collected, maintained and reported to a Regulatory Authority, including reports of actual or suspected product tampering, contamination, mislabeling or inclusion of improper ingredients.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Product Liabilities</w:t>
      </w:r>
      <w:r>
        <w:rPr>
          <w:rFonts w:ascii="Arial" w:cs="Arial" w:eastAsia="Arial" w:hAnsi="Arial"/>
          <w:sz w:val="18"/>
          <w:szCs w:val="18"/>
          <w:color w:val="auto"/>
        </w:rPr>
        <w:t>” means all losses, damages, fees, expenses and other liabilities asserted by any Third Parties against a Party and resulting from or relating to human use of Products, including use in Clinical Trials or Commercialization of the Products or Regulatory Activities, in the Territory during the Term, but excluding all losses, damages, fees, expenses and other liabilities that are a result of a Party’s, its Affiliates’ or its sublicensee’s gross negligence, willful misconduct or breach of such Party’s obligations under this Agreement, including its representations and warranties made hereunder. For the avoidance of doubt, Product Liabilities include reasonable attorneys’ and experts’ fees and expenses relating to any claim or potential claim against a Party, its Affiliate, or its sublicensee. Product Liabilities shall not include any losses, damages, fees, expenses and other liabilities associated with recalls and/or the voluntary or involuntary withdrawal of Products.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Promotional Materials</w:t>
      </w:r>
      <w:r>
        <w:rPr>
          <w:rFonts w:ascii="Arial" w:cs="Arial" w:eastAsia="Arial" w:hAnsi="Arial"/>
          <w:sz w:val="18"/>
          <w:szCs w:val="18"/>
          <w:color w:val="auto"/>
        </w:rPr>
        <w:t>” means all written, printed, graphic, electronic, audio or video presentations of information, including journal advertisements, sales visual aids, formulary binders, reprints, direct mail, direct-to-consumer advertising, disease awareness materials, internet postings, broadcast advertisements and sales reminder aides (for example, note pads, pens and other such items, if appropriate) that, in each case, are permitted under Applicable Law, and intended for use or used by or on behalf of Harrow , its Affiliates or its sublicensees in connection with the Commercialization of a Product in the Territory.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Regulatory Activities</w:t>
      </w:r>
      <w:r>
        <w:rPr>
          <w:rFonts w:ascii="Arial" w:cs="Arial" w:eastAsia="Arial" w:hAnsi="Arial"/>
          <w:sz w:val="18"/>
          <w:szCs w:val="18"/>
          <w:color w:val="auto"/>
        </w:rPr>
        <w:t>” means all activities, other than Development and Commercialization activities, that are reasonably necessary in order to obtain and maintain Regulatory Approval of Products in the Field in the Territory, including but not limited to (a) the preparation, filing, and maintenance of Regulatory Materials, including the filing of annual updates, and (b) the conduct of post-marketing Studies.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1.48 “</w:t>
      </w:r>
      <w:r>
        <w:rPr>
          <w:rFonts w:ascii="Arial" w:cs="Arial" w:eastAsia="Arial" w:hAnsi="Arial"/>
          <w:sz w:val="16"/>
          <w:szCs w:val="16"/>
          <w:u w:val="single" w:color="auto"/>
          <w:color w:val="auto"/>
        </w:rPr>
        <w:t>Regulatory Approval</w:t>
      </w:r>
      <w:r>
        <w:rPr>
          <w:rFonts w:ascii="Arial" w:cs="Arial" w:eastAsia="Arial" w:hAnsi="Arial"/>
          <w:sz w:val="16"/>
          <w:szCs w:val="16"/>
          <w:color w:val="auto"/>
        </w:rPr>
        <w:t>” means any approval (including supplement, amendment, pre- and post-approval), Pricing Approvals and reimbursement approvals, licenses, registrations or authorizations of any national, regional, state or local Regulatory Authority, department, bureau, commission, council or other Government Authority, that is necessary for the Commercialization of Products under this Agreement in a particular country in the Territory.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Regulatory Approval Application</w:t>
      </w:r>
      <w:r>
        <w:rPr>
          <w:rFonts w:ascii="Arial" w:cs="Arial" w:eastAsia="Arial" w:hAnsi="Arial"/>
          <w:sz w:val="18"/>
          <w:szCs w:val="18"/>
          <w:color w:val="auto"/>
        </w:rPr>
        <w:t>” means a NDA or any corresponding application for Regulatory Approval in the Territory, including, in each case, all supplements, amendments, variations, extensions and renewals thereof.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applicable Governmental Authority that holds responsibility for granting of Regulatory Approval for development and commercialization of the Product in a country or jurisdiction in the Territory, including in the U.S., the FDA; and in Canada, Health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Regulatory Documentation</w:t>
      </w:r>
      <w:r>
        <w:rPr>
          <w:rFonts w:ascii="Arial" w:cs="Arial" w:eastAsia="Arial" w:hAnsi="Arial"/>
          <w:sz w:val="18"/>
          <w:szCs w:val="18"/>
          <w:color w:val="auto"/>
        </w:rPr>
        <w:t>” means, with respect to Products, all (a) Regulatory Materials, including all data contained therein and all supporting documents created for, submitted to or received from an applicable governmental agency or Regulatory Authority relating to such Regulatory Materials; and (b) other documentation or Information Controlled by a Party which is reasonably necessary in order to Exploit the Product in the Field in the Territory, including any registrations and licenses, regulatory drug lists, advertising and promotion documents shared with Regulatory Authorities, adverse event files, complaint files and Manufacturing records.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Regulatory Materials</w:t>
      </w:r>
      <w:r>
        <w:rPr>
          <w:rFonts w:ascii="Arial" w:cs="Arial" w:eastAsia="Arial" w:hAnsi="Arial"/>
          <w:sz w:val="18"/>
          <w:szCs w:val="18"/>
          <w:color w:val="auto"/>
        </w:rPr>
        <w:t>” means, all documentation, correspondence, submissions and notifications submitted to or received from a Regulatory Authority in order to Exploit a Product in the Field in the Territory. For the avoidance of doubt, Regulatory Materials shall include, with respect to Products, all INDs, Regulatory Approval Applications, Regulatory Approvals (including Pricing Approvals), and amendments and supplements for any of the foregoing, as well as the contents of any minutes from meetings (whether in person or by audio conference or videoconference) with a Regulatory Authority.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ind w:left="120"/>
        <w:spacing w:after="0"/>
        <w:tabs>
          <w:tab w:leader="none" w:pos="8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Supply Agreement</w:t>
      </w:r>
      <w:r>
        <w:rPr>
          <w:rFonts w:ascii="Arial" w:cs="Arial" w:eastAsia="Arial" w:hAnsi="Arial"/>
          <w:sz w:val="16"/>
          <w:szCs w:val="16"/>
          <w:color w:val="auto"/>
        </w:rPr>
        <w:t>” is defined in Section 6.2.</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the United States of America and Canada, including their territories and possessions.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 Person other than Wakamoto and Harrow and their respective Affiliates.</w:t>
      </w:r>
    </w:p>
    <w:p>
      <w:pPr>
        <w:spacing w:after="0" w:line="22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means Wakamoto’s MAQAID trademark.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Wakamoto Invention</w:t>
      </w:r>
      <w:r>
        <w:rPr>
          <w:rFonts w:ascii="Arial" w:cs="Arial" w:eastAsia="Arial" w:hAnsi="Arial"/>
          <w:sz w:val="18"/>
          <w:szCs w:val="18"/>
          <w:color w:val="auto"/>
        </w:rPr>
        <w:t>” means any Invention that is made solely by Wakamoto’s own employees, agents, or independent contractors relating to the Exploitation of the Product in the Field in the Territory, together with all intellectual property rights therein.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Wakamoto Know-How</w:t>
      </w:r>
      <w:r>
        <w:rPr>
          <w:rFonts w:ascii="Arial" w:cs="Arial" w:eastAsia="Arial" w:hAnsi="Arial"/>
          <w:sz w:val="17"/>
          <w:szCs w:val="17"/>
          <w:color w:val="auto"/>
        </w:rPr>
        <w:t>” means all Know-How Controlled by Wakamoto during the Term, which is necessary or useful to Exploit Products in the Field in the Territory. Wakamoto Know-How includes all Wakamoto Inventions but excludes any Information contained within a Wakamoto Patent.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Wakamoto Patents</w:t>
      </w:r>
      <w:r>
        <w:rPr>
          <w:rFonts w:ascii="Arial" w:cs="Arial" w:eastAsia="Arial" w:hAnsi="Arial"/>
          <w:sz w:val="18"/>
          <w:szCs w:val="18"/>
          <w:color w:val="auto"/>
        </w:rPr>
        <w:t>” means all Patents Controlled by Wakamoto, during the Term that are necessary or useful to Exploit Products in the Field in the Territory. As of the Effective Date there are no existing Wakamoto Patents in the Territory.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1.60</w:t>
            </w: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rPr>
              <w:t>“Wakamoto Technology” means, collectively, all Wakamoto Know-How and Wakamoto Patents.</w:t>
            </w:r>
          </w:p>
        </w:tc>
      </w:tr>
      <w:tr>
        <w:trPr>
          <w:trHeight w:val="453"/>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680" w:type="dxa"/>
            <w:vAlign w:val="bottom"/>
          </w:tcPr>
          <w:p>
            <w:pPr>
              <w:ind w:left="1120"/>
              <w:spacing w:after="0"/>
              <w:rPr>
                <w:sz w:val="20"/>
                <w:szCs w:val="20"/>
                <w:color w:val="auto"/>
              </w:rPr>
            </w:pPr>
            <w:r>
              <w:rPr>
                <w:rFonts w:ascii="Arial" w:cs="Arial" w:eastAsia="Arial" w:hAnsi="Arial"/>
                <w:sz w:val="18"/>
                <w:szCs w:val="18"/>
                <w:b w:val="1"/>
                <w:bCs w:val="1"/>
                <w:color w:val="auto"/>
              </w:rPr>
              <w:t>ARTICLE 2. LICENSES</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License from Wakamoto to Harrow. Subject to the terms and conditions of this Agreement, Wakamoto hereby grants to Harrow an exclusive</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as to Wakamoto) license in the Field in the Territory, with the right to grant sublicenses, to develop, promote, market, sell and distribute the Product for the Licensed Indications within the Territory. For the avoidance of doubt, manufacturing of Licensed Product is not included within the scope of the license as Wakamoto shall be responsible for manufacturing and providing Product to Harrow. The license grant in this Section 2.1 expressly includes: (i) a license of all Wakamoto Technology within the Field in the Territory; and (ii) a license of all of Wakamoto’s rights in Joint Technology within the Field in the Territory.</w:t>
      </w:r>
    </w:p>
    <w:p>
      <w:pPr>
        <w:spacing w:after="0" w:line="18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Sublicenses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77" w:lineRule="auto"/>
        <w:tabs>
          <w:tab w:leader="none" w:pos="16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Harrow shall have the right to grant sublicenses, through multiple tiers, under the rights granted by Wakamoto to Harrow under Section 2.1 to one or more Third Parties.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sublicense shall refer to and be subordinate to this Agreement and, except to the extent the Parties otherwise agree in writing, any such sublicense must be consistent in all material respects with the terms and conditions of this Agreement. Harrow shall remain responsible for the performance of this Agreement and the performance of its sublicense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5" w:name="page76"/>
    <w:bookmarkEnd w:id="75"/>
    <w:p>
      <w:pPr>
        <w:jc w:val="both"/>
        <w:ind w:firstLine="656"/>
        <w:spacing w:after="0" w:line="273" w:lineRule="auto"/>
        <w:tabs>
          <w:tab w:leader="none" w:pos="16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an early termination of Harrow’s license rights under this Agreement, Wakamoto shall offer any Third Party sublicensee under a sublicense granted by Harrow or its Affiliates pursuant to this Section 2.2 that was in effect on the effective date of termination of Harrow’s license rights under this Agreement the right to enter into a license agreement directly with Wakamoto on substantially the same terms and conditions under which such rights and licenses were granted to such sublicensee, provided that such sublicensee (i) is not then in breach of its sublicense, (ii) agrees to comply with all the terms of this Agreement to the extent applicable to the rights sublicensed to it by Harrow, and (iii) such agreement does not impose any obligations upon Wakamoto that exceed the obligations of Wakamoto under this Agreement.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No license or other right is or shall be created or granted hereunder by implication, estoppel, or otherwise. All licenses and rights are or shall be granted only as expressly provided in this Agreement. All rights not expressly granted by a Party under this Agreement are reserved by the Party and may not be used by the other Party for any purpose.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20" w:type="dxa"/>
            <w:vAlign w:val="bottom"/>
          </w:tcPr>
          <w:p>
            <w:pPr>
              <w:jc w:val="right"/>
              <w:ind w:right="5030"/>
              <w:spacing w:after="0"/>
              <w:rPr>
                <w:sz w:val="20"/>
                <w:szCs w:val="20"/>
                <w:color w:val="auto"/>
              </w:rPr>
            </w:pPr>
            <w:r>
              <w:rPr>
                <w:rFonts w:ascii="Arial" w:cs="Arial" w:eastAsia="Arial" w:hAnsi="Arial"/>
                <w:sz w:val="18"/>
                <w:szCs w:val="18"/>
                <w:b w:val="1"/>
                <w:bCs w:val="1"/>
                <w:color w:val="auto"/>
              </w:rPr>
              <w:t>ARTICLE 3.</w:t>
            </w:r>
          </w:p>
        </w:tc>
      </w:tr>
      <w:tr>
        <w:trPr>
          <w:trHeight w:val="234"/>
        </w:trPr>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20" w:type="dxa"/>
            <w:vAlign w:val="bottom"/>
          </w:tcPr>
          <w:p>
            <w:pPr>
              <w:jc w:val="right"/>
              <w:ind w:right="4830"/>
              <w:spacing w:after="0"/>
              <w:rPr>
                <w:sz w:val="20"/>
                <w:szCs w:val="20"/>
                <w:color w:val="auto"/>
              </w:rPr>
            </w:pPr>
            <w:r>
              <w:rPr>
                <w:rFonts w:ascii="Arial" w:cs="Arial" w:eastAsia="Arial" w:hAnsi="Arial"/>
                <w:sz w:val="18"/>
                <w:szCs w:val="18"/>
                <w:b w:val="1"/>
                <w:bCs w:val="1"/>
                <w:color w:val="auto"/>
              </w:rPr>
              <w:t>DEVELOPMENT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jc w:val="right"/>
              <w:spacing w:after="0"/>
              <w:rPr>
                <w:sz w:val="20"/>
                <w:szCs w:val="20"/>
                <w:color w:val="auto"/>
              </w:rPr>
            </w:pPr>
            <w:r>
              <w:rPr>
                <w:rFonts w:ascii="Arial" w:cs="Arial" w:eastAsia="Arial" w:hAnsi="Arial"/>
                <w:sz w:val="18"/>
                <w:szCs w:val="18"/>
                <w:color w:val="auto"/>
                <w:w w:val="93"/>
              </w:rPr>
              <w:t>Harrow Development. Harrow shall be solely responsible for: (a) all activities related to the Development of the Products in the Field in the</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Arial" w:cs="Arial" w:eastAsia="Arial" w:hAnsi="Arial"/>
                <w:sz w:val="18"/>
                <w:szCs w:val="18"/>
                <w:color w:val="auto"/>
              </w:rPr>
              <w:t>Territory; and (b) all expenses, including Third Party expenses, related to such Development activities.</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jc w:val="right"/>
              <w:spacing w:after="0"/>
              <w:rPr>
                <w:sz w:val="20"/>
                <w:szCs w:val="20"/>
                <w:color w:val="auto"/>
              </w:rPr>
            </w:pPr>
            <w:r>
              <w:rPr>
                <w:rFonts w:ascii="Arial" w:cs="Arial" w:eastAsia="Arial" w:hAnsi="Arial"/>
                <w:sz w:val="18"/>
                <w:szCs w:val="18"/>
                <w:color w:val="auto"/>
                <w:w w:val="93"/>
              </w:rPr>
              <w:t>Wakamoto Development. Wakamoto shall be solely responsible for all activities related to the Manufacture of the Products in the Field for</w:t>
            </w:r>
          </w:p>
        </w:tc>
      </w:tr>
      <w:tr>
        <w:trPr>
          <w:trHeight w:val="20"/>
        </w:trPr>
        <w:tc>
          <w:tcPr>
            <w:tcW w:w="10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Development and Regulatory Activities in the Territory. Wakamoto’s Manufacture of the Products for Commercialization shall be governed by the Supply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Development Diligence</w:t>
      </w:r>
      <w:r>
        <w:rPr>
          <w:rFonts w:ascii="Arial" w:cs="Arial" w:eastAsia="Arial" w:hAnsi="Arial"/>
          <w:sz w:val="18"/>
          <w:szCs w:val="18"/>
          <w:color w:val="auto"/>
        </w:rPr>
        <w:t>. Harrow shall use Commercially Reasonable Efforts to Develop a Product for the Licensed Indications in the Territory. Harrow shall use commercially reasonable efforts to plan to initiate one or more Clinical Studies of the Product for the Licensed Indication(s) within 12 months from the Effective date of the Agreement, if such Clinical Studies are deemed necessary to obtain Regulatory Approval of the Licensed Product in the Territory.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Supply of Product for Clinical Studies</w:t>
      </w:r>
      <w:r>
        <w:rPr>
          <w:rFonts w:ascii="Arial" w:cs="Arial" w:eastAsia="Arial" w:hAnsi="Arial"/>
          <w:sz w:val="17"/>
          <w:szCs w:val="17"/>
          <w:color w:val="auto"/>
        </w:rPr>
        <w:t>. Wakamoto shall supply all Product for all Clinical Studies needed for Harrow’s Development responsibilities. The cost for such Product to Harrow shall be [***] Japanese Yen/vial (CIF Newark International Airport (EWR), Incoterms (2020)).</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Transfer of Wakamoto Know-How</w:t>
      </w:r>
      <w:r>
        <w:rPr>
          <w:rFonts w:ascii="Arial" w:cs="Arial" w:eastAsia="Arial" w:hAnsi="Arial"/>
          <w:sz w:val="18"/>
          <w:szCs w:val="18"/>
          <w:color w:val="auto"/>
        </w:rPr>
        <w:t>. Promptly following the Effective Date, and promptly during the Term upon such Wakamoto Know-How being obtained or generated by Wakamoto, Wakamoto shall provide to Harrow, at no additional expense and on an “as is” basis to Harrow, all Wakamoto Know-How as is necessary or useful to enable Harrow to conduct Development activities, Commercialization activities and Regulatory Activities under this Agreement or otherwise to practice the licenses granted to it under this Agreement, to the extent such Wakamoto Know-How has not previously been provided to Harrow. Notwithstanding the above, and except for its obligations under Section 3.2, Wakamoto shall not be responsible for any Development costs, including pre-IND consultation fees.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Records; Disclosure of Data and Results</w:t>
      </w:r>
      <w:r>
        <w:rPr>
          <w:rFonts w:ascii="Arial" w:cs="Arial" w:eastAsia="Arial" w:hAnsi="Arial"/>
          <w:sz w:val="17"/>
          <w:szCs w:val="17"/>
          <w:color w:val="auto"/>
        </w:rPr>
        <w:t>. In conformity with Applicable Law, standard pharmaceutical industry practices and the terms and conditions of this Agreement, each Party shall prepare and maintain, or shall cause to be prepared and maintained, complete and accurate written records, accounts, notes, reports and data with respect to Development activities conducted pursuant to this Agreement; provided, that, in no instance shall such records be maintained for less than two (2) years following the end of the Calendar Year to which the records pertain.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60" w:type="dxa"/>
            <w:vAlign w:val="bottom"/>
          </w:tcPr>
          <w:p>
            <w:pPr>
              <w:ind w:left="1500"/>
              <w:spacing w:after="0"/>
              <w:rPr>
                <w:sz w:val="20"/>
                <w:szCs w:val="20"/>
                <w:color w:val="auto"/>
              </w:rPr>
            </w:pPr>
            <w:r>
              <w:rPr>
                <w:rFonts w:ascii="Arial" w:cs="Arial" w:eastAsia="Arial" w:hAnsi="Arial"/>
                <w:sz w:val="18"/>
                <w:szCs w:val="18"/>
                <w:b w:val="1"/>
                <w:bCs w:val="1"/>
                <w:color w:val="auto"/>
              </w:rPr>
              <w:t>ARTICLE 4. REGULATORY</w:t>
            </w:r>
          </w:p>
        </w:tc>
      </w:tr>
      <w:tr>
        <w:trPr>
          <w:trHeight w:val="392"/>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4.1</w:t>
            </w: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Regulatory Responsibility. Harrow shall be solely responsible for preparing, filing and managing all Regulatory Materials with respect to</w:t>
            </w:r>
          </w:p>
        </w:tc>
      </w:tr>
      <w:tr>
        <w:trPr>
          <w:trHeight w:val="20"/>
        </w:trPr>
        <w:tc>
          <w:tcPr>
            <w:tcW w:w="10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Products in the Field in the Territory at its sole expense, shall own such Regulatory Materials and shall have sole discretion in determining the best regulatory strategy for obtaining approval of the Product. Harrow shall be responsible for payment of the drug application filing fees (i.e., the PDUFA fee in the United States and the corresponding new drug application fee for Health Canada) and shall be responsible for conducting all meetings and managing communications with the Regulatory Authorities in the Territory. Notwithstanding the above, Wakamoto shall fully cooperate with Harrow to the extent necessary for Harrow’s submission and management of Regulatory Documentation, including but not limited to information relating to the Manufacture of the Product.</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Adverse Event Reporting and Safety Data Exchange</w:t>
      </w:r>
      <w:r>
        <w:rPr>
          <w:rFonts w:ascii="Arial" w:cs="Arial" w:eastAsia="Arial" w:hAnsi="Arial"/>
          <w:sz w:val="16"/>
          <w:szCs w:val="16"/>
          <w:color w:val="auto"/>
        </w:rPr>
        <w:t>. During the Term, Harrow shall have the sole responsibility for the monitoring of all clinical experiences, maintaining the global safety database, safety monitoring, pharmacovigilance surveillance, compliance and filing of all required safety reports to Regulatory Authorities in the Territory, including annual safety reports, throughout the Development and Commercialization of the Products.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Regulatory Authority Communications Received by a Party</w:t>
      </w:r>
      <w:r>
        <w:rPr>
          <w:rFonts w:ascii="Arial" w:cs="Arial" w:eastAsia="Arial" w:hAnsi="Arial"/>
          <w:sz w:val="16"/>
          <w:szCs w:val="16"/>
          <w:color w:val="auto"/>
        </w:rPr>
        <w:t>. Each Party shall keep the other Party informed in a timely manner, compliant with the reporting requirements of Regulatory Authorities in the Territory, of the notification of any action by, or notification or other information which it receives (directly or indirectly) from any Regulatory Authority and any regulatory authority outside of the Territory, including, but not limited to Japan’s Pharmaceuticals and Medical Devices Agency (PDMA) under the authority of Ministry of Health, Labour and Welfare (MHLW), which: (a) raises any material concerns regarding the safety or efficacy of a Product; (b) indicates or suggests a potential material liability of Harrow to Third Parties in connection with a Product; (c) is reasonably likely to lead to a recall or market withdrawal of a Product; or (d) relates to expedited and periodic reports of adverse events with respect to a Product, or Product Complaints, and which may have a material impact on obtaining or maintaining Regulatory Approvals or the continued Commercialization of a Product, as then conducted. Wakamoto shall fully cooperate with and assist Harrow in complying with regulatory obligations and communications, including by providing to Harrow, in a timely manner after a request, such Information and documentation in Wakamoto’s possession as may be necessary or helpful for Harrow to prepare a response to an inquiry from a Regulatory Authority.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Audits</w:t>
      </w:r>
      <w:r>
        <w:rPr>
          <w:rFonts w:ascii="Arial" w:cs="Arial" w:eastAsia="Arial" w:hAnsi="Arial"/>
          <w:sz w:val="16"/>
          <w:szCs w:val="16"/>
          <w:color w:val="auto"/>
        </w:rPr>
        <w:t>. If a Regulatory Authority notifies Wakamoto that it plans to conduct an inspection or audit of its facility or a facility under contract with it with regard to a Product in the Territory, then Wakamoto shall notify Harrow as soon as practicably possible after receipt of such notification of such audit or inspection and provide copies of any materials provided to it by the applicable Regulatory Authority; provided, that Wakamoto shall not be required to notify Harrow of audits or inspections that are of a routine nature or that do not relate to a Product, except where such audits result in communications or actions of such Regulatory Authority which would reasonably be expected to have an impact upon the Product. In addition, if a Regulatory Authority conducts an unannounced inspection or audit of Wakamoto’s facility or a facility under contract with Wakamoto with regard to a Product in the Territory, then Wakamoto shall notify Harrow within [***] of commencement of such audit or inspection. Wakamoto shall cooperate with such Regulatory Authority and Harrow during such inspection or audit. Following receipt of the inspection or audit observations of such Regulatory Authority (a copy of which the Wakamoto shall promptly provide to Harrow), Wakamoto shall also provide Harrow with copies of any written communications received from Regulatory Authorities with respect to such facilities in a timely manner after receipt, to the extent such written communications relate to Products or the Manufacture thereof, and shall prepare the response to any such observations. Wakamoto shall provide Harrow with a copy of any proposed response to such communications and shall give good faith consideration to Harrow’s reasonable comments with respect to such proposed response. Wakamoto agrees to conform its activities under this Agreement to any commitments made in such a response.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10280" w:type="dxa"/>
            <w:vAlign w:val="bottom"/>
            <w:gridSpan w:val="3"/>
          </w:tcPr>
          <w:p>
            <w:pPr>
              <w:jc w:val="right"/>
              <w:spacing w:after="0"/>
              <w:rPr>
                <w:sz w:val="20"/>
                <w:szCs w:val="20"/>
                <w:color w:val="auto"/>
              </w:rPr>
            </w:pPr>
            <w:r>
              <w:rPr>
                <w:rFonts w:ascii="Arial" w:cs="Arial" w:eastAsia="Arial" w:hAnsi="Arial"/>
                <w:sz w:val="18"/>
                <w:szCs w:val="18"/>
                <w:color w:val="auto"/>
                <w:w w:val="92"/>
              </w:rPr>
              <w:t>Confidentiality of Regulatory Materials. All Regulatory Materials prepared by Harrow and Wakamoto, respectively, shall be deemed Harrow</w:t>
            </w:r>
          </w:p>
        </w:tc>
      </w:tr>
      <w:tr>
        <w:trPr>
          <w:trHeight w:val="20"/>
        </w:trPr>
        <w:tc>
          <w:tcPr>
            <w:tcW w:w="9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Arial" w:cs="Arial" w:eastAsia="Arial" w:hAnsi="Arial"/>
                <w:sz w:val="18"/>
                <w:szCs w:val="18"/>
                <w:color w:val="auto"/>
              </w:rPr>
              <w:t>and Wakamoto Confidential Information and subject to Article 11 of the Supply Agreement.</w:t>
            </w:r>
          </w:p>
        </w:tc>
      </w:tr>
      <w:tr>
        <w:trPr>
          <w:trHeight w:val="414"/>
        </w:trPr>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20" w:type="dxa"/>
            <w:vAlign w:val="bottom"/>
          </w:tcPr>
          <w:p>
            <w:pPr>
              <w:jc w:val="right"/>
              <w:ind w:right="503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20" w:type="dxa"/>
            <w:vAlign w:val="bottom"/>
          </w:tcPr>
          <w:p>
            <w:pPr>
              <w:jc w:val="right"/>
              <w:ind w:right="4490"/>
              <w:spacing w:after="0"/>
              <w:rPr>
                <w:sz w:val="20"/>
                <w:szCs w:val="20"/>
                <w:color w:val="auto"/>
              </w:rPr>
            </w:pPr>
            <w:r>
              <w:rPr>
                <w:rFonts w:ascii="Arial" w:cs="Arial" w:eastAsia="Arial" w:hAnsi="Arial"/>
                <w:sz w:val="18"/>
                <w:szCs w:val="18"/>
                <w:b w:val="1"/>
                <w:bCs w:val="1"/>
                <w:color w:val="auto"/>
              </w:rPr>
              <w:t>COMMERCIALIZATION</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5.1</w:t>
            </w:r>
          </w:p>
        </w:tc>
        <w:tc>
          <w:tcPr>
            <w:tcW w:w="10280" w:type="dxa"/>
            <w:vAlign w:val="bottom"/>
            <w:gridSpan w:val="3"/>
          </w:tcPr>
          <w:p>
            <w:pPr>
              <w:jc w:val="right"/>
              <w:spacing w:after="0"/>
              <w:rPr>
                <w:sz w:val="20"/>
                <w:szCs w:val="20"/>
                <w:color w:val="auto"/>
              </w:rPr>
            </w:pPr>
            <w:r>
              <w:rPr>
                <w:rFonts w:ascii="Arial" w:cs="Arial" w:eastAsia="Arial" w:hAnsi="Arial"/>
                <w:sz w:val="18"/>
                <w:szCs w:val="18"/>
                <w:color w:val="auto"/>
                <w:w w:val="92"/>
              </w:rPr>
              <w:t>Commercialization Activities. Subject to the terms and conditions of this Agreement, Harrow shall be solely responsible for all aspects of the</w:t>
            </w:r>
          </w:p>
        </w:tc>
      </w:tr>
      <w:tr>
        <w:trPr>
          <w:trHeight w:val="20"/>
        </w:trPr>
        <w:tc>
          <w:tcPr>
            <w:tcW w:w="960" w:type="dxa"/>
            <w:vAlign w:val="bottom"/>
            <w:tcBorders>
              <w:right w:val="single" w:sz="8" w:color="auto"/>
            </w:tcBorders>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Commercialization of Products in the Field in the Territory, including: (i) developing and executing a commercial launch and pre-launch plan, (ii) marketing and promotion; (iii) booking sales and distribution and performance of related services, including those described in Section 5.1(a); (iv) handling all aspects of order processing, invoicing and collection, inventory and receivables; (v) publications, (vi) providing customer support, including handling medical queries, and performing other related functions; (vii) conforming its practices and procedures in all respects to the Applicable Law relating to the marketing, detailing and promotion of Products in the Field in the Territory; and (viii) product security activities. Harrow shall be solely responsible for the review and approval of all Promotional Materials for compliance with Applicable Law, including submission, where appropriate, to the applicable Regulatory Authority. Except as otherwise provided in this Article 5, Harrow shall bear all of the expenses incurred in connection with all such Commercialization activities.</w:t>
      </w:r>
    </w:p>
    <w:p>
      <w:pPr>
        <w:spacing w:after="0" w:line="188" w:lineRule="exact"/>
        <w:rPr>
          <w:sz w:val="20"/>
          <w:szCs w:val="20"/>
          <w:color w:val="auto"/>
        </w:rPr>
      </w:pPr>
    </w:p>
    <w:p>
      <w:pPr>
        <w:jc w:val="both"/>
        <w:ind w:left="760" w:firstLine="652"/>
        <w:spacing w:after="0" w:line="272" w:lineRule="auto"/>
        <w:tabs>
          <w:tab w:leader="none" w:pos="2327"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Sales and Distribution</w:t>
      </w:r>
      <w:r>
        <w:rPr>
          <w:rFonts w:ascii="Arial" w:cs="Arial" w:eastAsia="Arial" w:hAnsi="Arial"/>
          <w:sz w:val="17"/>
          <w:szCs w:val="17"/>
          <w:color w:val="auto"/>
        </w:rPr>
        <w:t>. Harrow shall have the sole right and responsibility for handling all sales and distribution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returns, order processing, invoicing and collection, distribution (including importing, exporting, transporting, customs clearance, warehousing, invoicing, handling and delivering Products to customers), and inventory and receivables for Products in the Field in the Territory. Wakamoto shall not accept orders for the purchase of Products from Third Parties or make sales of Products to Third Parties in the Field in the Territory for its own account or for Harrow’s account. If Wakamoto receives any order for Products in the Field in the Territory, it shall refer such order to Harrow for acceptance or rejection. As a reference, estimated sales forecast of Products in the territory is shown in Annex 1 as just a sales goal without any guarantee that Harrow will achieve such goals, with Harrow’s failure to achieve such estimated sales forecast not being a basis entitling Wakamoto to terminate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both"/>
        <w:ind w:left="760" w:firstLine="652"/>
        <w:spacing w:after="0" w:line="289" w:lineRule="auto"/>
        <w:tabs>
          <w:tab w:leader="none" w:pos="2319"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Booking Sales and Setting Pricing. </w:t>
      </w:r>
      <w:r>
        <w:rPr>
          <w:rFonts w:ascii="Arial" w:cs="Arial" w:eastAsia="Arial" w:hAnsi="Arial"/>
          <w:sz w:val="16"/>
          <w:szCs w:val="16"/>
          <w:color w:val="auto"/>
        </w:rPr>
        <w:t>Harrow shall have the sole and exclusive right to book sales and determine all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of Products in the Territory, including (i) negotiating, establishing or modifying the terms and conditions regarding the sale of Products in the Field in the Territory, including any terms and conditions relating to or affecting (A) the price at which Products shall be sold, (B) discounts available to any Third Party payers (including managed care providers, indemnity plans, unions, self- insured entities, and government payer, insurance or contracting programs such as Medicare, Medicaid, or the U.S. Department of Veterans Affairs, or similar programs located in other countries of the Territory), (C) discounts attributable to payments on receivables, (D) distribution of Products, and (E) credits, price adjustments, or other discounts and allowances to be granted or refused; and (2) all activities relating to government price reporting with respect to Products in the Field in the Territory. Notwithstanding anything in this Agreement express or implied to the contrary, Wakamoto shall not have any right to direct, control, or approve Harrow’s pricing of Products for the Territory. However, Harrow shall ask Wakamoto’s opinion and pay attention enough to the determination of the price so as not to negatively affect the price of Product in Japan.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Trademarks</w:t>
      </w:r>
      <w:r>
        <w:rPr>
          <w:rFonts w:ascii="Arial" w:cs="Arial" w:eastAsia="Arial" w:hAnsi="Arial"/>
          <w:sz w:val="17"/>
          <w:szCs w:val="17"/>
          <w:color w:val="auto"/>
        </w:rPr>
        <w:t>. Except for the Trademark, Harrow shall be solely responsible, at its own expense, for all matters relating to the use of, and shall own, all trademarks, including all associated goodwill, used in the sale of Products in the Field in the Territory, including the selection, filing, prosecution, maintenance, defense and enforcement thereof. Notwithstanding the above, Wakamoto offers to Harrow the right to license the Trademark, along with all associated goodwill, on an exclusive basis (even as to Wakamoto) for use as the brand name of the Product in the Territory. Should Harrow elect to exercise this license right and use the Trademark as the brand name in the Territory, Harrow shall pay to Wakamoto a royalty in the amount of [***] percent [***] of its Net Sales. Payment of such amount shall be made within [***] following the end of each Calendar Quarter. Harrow agrees to use the Trademark consistent with guidelines that shall be provided by Wakamoto. Wakamoto shall be solely responsible, at its own expense, for the Trademark, including the selection, filing, prosecution, maintenance, defense and enforcement thereof.</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Commercialization Diligence</w:t>
      </w:r>
      <w:r>
        <w:rPr>
          <w:rFonts w:ascii="Arial" w:cs="Arial" w:eastAsia="Arial" w:hAnsi="Arial"/>
          <w:sz w:val="18"/>
          <w:szCs w:val="18"/>
          <w:color w:val="auto"/>
        </w:rPr>
        <w:t>. Harrow shall use Commercially Reasonable Efforts to Commercialize the Product for the Licensed Indications for which Harrow receives Regulatory Approval in the Territory. Notwithstanding the preceding sentence, Harrow shall not be obligated to launch the Product in the event that it either does not have a sufficient supply of Product or in the event that in the opinion of Harrow’s external patent counsel, launching the product would involve an unnecessary commercial patent infringement risk to Harrow.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0" w:type="dxa"/>
            <w:vAlign w:val="bottom"/>
          </w:tcPr>
          <w:p>
            <w:pPr>
              <w:jc w:val="center"/>
              <w:ind w:right="251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0" w:type="dxa"/>
            <w:vAlign w:val="bottom"/>
          </w:tcPr>
          <w:p>
            <w:pPr>
              <w:jc w:val="center"/>
              <w:ind w:right="2510"/>
              <w:spacing w:after="0"/>
              <w:rPr>
                <w:sz w:val="20"/>
                <w:szCs w:val="20"/>
                <w:color w:val="auto"/>
              </w:rPr>
            </w:pPr>
            <w:r>
              <w:rPr>
                <w:rFonts w:ascii="Arial" w:cs="Arial" w:eastAsia="Arial" w:hAnsi="Arial"/>
                <w:sz w:val="18"/>
                <w:szCs w:val="18"/>
                <w:b w:val="1"/>
                <w:bCs w:val="1"/>
                <w:color w:val="auto"/>
                <w:w w:val="99"/>
              </w:rPr>
              <w:t>MANUFACTURING AND SUPPLY</w:t>
            </w:r>
          </w:p>
        </w:tc>
      </w:tr>
      <w:tr>
        <w:trPr>
          <w:trHeight w:val="392"/>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6.1</w:t>
            </w: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General Supply Terms. During the Term, Wakamoto shall have the sole and exclusive right, at its sole expense, to Manufacture Products for</w:t>
            </w:r>
          </w:p>
        </w:tc>
      </w:tr>
      <w:tr>
        <w:trPr>
          <w:trHeight w:val="20"/>
        </w:trPr>
        <w:tc>
          <w:tcPr>
            <w:tcW w:w="9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by manufacturing them by itself or entrusting the manufacturing to qualified contract manufacturer, and the sole responsibility for the Manufacturing of Products, in each case for purposes of Development, Commercialization and for the conducting of Regulatory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Supply Agreement</w:t>
      </w:r>
      <w:r>
        <w:rPr>
          <w:rFonts w:ascii="Arial" w:cs="Arial" w:eastAsia="Arial" w:hAnsi="Arial"/>
          <w:sz w:val="18"/>
          <w:szCs w:val="18"/>
          <w:color w:val="auto"/>
        </w:rPr>
        <w:t>. Harrow’s purchase of Product from Wakamoto shall be governed by the Sale and Purchase Agreement that shall be simultaneously entered into on the Effective Date, (“</w:t>
      </w:r>
      <w:r>
        <w:rPr>
          <w:rFonts w:ascii="Arial" w:cs="Arial" w:eastAsia="Arial" w:hAnsi="Arial"/>
          <w:sz w:val="18"/>
          <w:szCs w:val="18"/>
          <w:u w:val="single" w:color="auto"/>
          <w:color w:val="auto"/>
        </w:rPr>
        <w:t>Supply Agreement</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Milestones</w:t>
      </w:r>
      <w:r>
        <w:rPr>
          <w:rFonts w:ascii="Arial" w:cs="Arial" w:eastAsia="Arial" w:hAnsi="Arial"/>
          <w:sz w:val="16"/>
          <w:szCs w:val="16"/>
          <w:color w:val="auto"/>
        </w:rPr>
        <w:t>.</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PAYMENTS</w:t>
      </w:r>
    </w:p>
    <w:p>
      <w:pPr>
        <w:spacing w:after="0" w:line="211" w:lineRule="exact"/>
        <w:rPr>
          <w:sz w:val="20"/>
          <w:szCs w:val="20"/>
          <w:color w:val="auto"/>
        </w:rPr>
      </w:pPr>
    </w:p>
    <w:p>
      <w:pPr>
        <w:jc w:val="both"/>
        <w:ind w:left="760" w:firstLine="652"/>
        <w:spacing w:after="0" w:line="259" w:lineRule="auto"/>
        <w:tabs>
          <w:tab w:leader="none" w:pos="2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Harrow shall make milestone payments to Wakamoto based on achievement of certain milestone events for Products as set forth in this Section 7.1. Harrow shall notify Wakamoto upon its achievement of each such milestone event and Harrow shall pay to Wakamoto the amounts set forth below within [***] after the achievement of the corresponding milestone event. Each milestone payment by Harrow to Wakamoto hereunder shall be payable only once and shall be non-refundable.</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237"/>
        </w:trPr>
        <w:tc>
          <w:tcPr>
            <w:tcW w:w="2880" w:type="dxa"/>
            <w:vAlign w:val="bottom"/>
          </w:tcPr>
          <w:p>
            <w:pPr>
              <w:ind w:left="100"/>
              <w:spacing w:after="0"/>
              <w:rPr>
                <w:sz w:val="20"/>
                <w:szCs w:val="20"/>
                <w:color w:val="auto"/>
              </w:rPr>
            </w:pPr>
            <w:r>
              <w:rPr>
                <w:rFonts w:ascii="Arial" w:cs="Arial" w:eastAsia="Arial" w:hAnsi="Arial"/>
                <w:sz w:val="18"/>
                <w:szCs w:val="18"/>
                <w:color w:val="auto"/>
              </w:rPr>
              <w:t>Milestone Number</w:t>
            </w: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Milestone Event</w:t>
            </w:r>
          </w:p>
        </w:tc>
        <w:tc>
          <w:tcPr>
            <w:tcW w:w="180" w:type="dxa"/>
            <w:vAlign w:val="bottom"/>
          </w:tcPr>
          <w:p>
            <w:pPr>
              <w:spacing w:after="0"/>
              <w:rPr>
                <w:sz w:val="20"/>
                <w:szCs w:val="20"/>
                <w:color w:val="auto"/>
              </w:rPr>
            </w:pPr>
          </w:p>
        </w:tc>
        <w:tc>
          <w:tcPr>
            <w:tcW w:w="2860" w:type="dxa"/>
            <w:vAlign w:val="bottom"/>
          </w:tcPr>
          <w:p>
            <w:pPr>
              <w:jc w:val="right"/>
              <w:ind w:right="230"/>
              <w:spacing w:after="0"/>
              <w:rPr>
                <w:sz w:val="20"/>
                <w:szCs w:val="20"/>
                <w:color w:val="auto"/>
              </w:rPr>
            </w:pPr>
            <w:r>
              <w:rPr>
                <w:rFonts w:ascii="Arial" w:cs="Arial" w:eastAsia="Arial" w:hAnsi="Arial"/>
                <w:sz w:val="18"/>
                <w:szCs w:val="18"/>
                <w:color w:val="auto"/>
                <w:w w:val="94"/>
              </w:rPr>
              <w:t>Milestone Payment (U.S. Dollars)</w:t>
            </w: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239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(ii)</w:t>
            </w: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239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2390"/>
              <w:spacing w:after="0"/>
              <w:rPr>
                <w:sz w:val="20"/>
                <w:szCs w:val="20"/>
                <w:color w:val="auto"/>
              </w:rPr>
            </w:pPr>
            <w:r>
              <w:rPr>
                <w:rFonts w:ascii="Arial" w:cs="Arial" w:eastAsia="Arial" w:hAnsi="Arial"/>
                <w:sz w:val="18"/>
                <w:szCs w:val="18"/>
                <w:color w:val="auto"/>
              </w:rPr>
              <w:t>[***]</w:t>
            </w: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(iv)</w:t>
            </w: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2390"/>
              <w:spacing w:after="0"/>
              <w:rPr>
                <w:sz w:val="20"/>
                <w:szCs w:val="20"/>
                <w:color w:val="auto"/>
              </w:rPr>
            </w:pPr>
            <w:r>
              <w:rPr>
                <w:rFonts w:ascii="Arial" w:cs="Arial" w:eastAsia="Arial" w:hAnsi="Arial"/>
                <w:sz w:val="18"/>
                <w:szCs w:val="18"/>
                <w:color w:val="auto"/>
              </w:rPr>
              <w:t>[***]</w:t>
            </w:r>
          </w:p>
        </w:tc>
      </w:tr>
      <w:tr>
        <w:trPr>
          <w:trHeight w:val="249"/>
        </w:trPr>
        <w:tc>
          <w:tcPr>
            <w:tcW w:w="288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left="760" w:firstLine="652"/>
        <w:spacing w:after="0" w:line="263" w:lineRule="auto"/>
        <w:tabs>
          <w:tab w:leader="none" w:pos="2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the above, the payment of milestone (iii) above shall be conditioned on Wakamoto having supplied sufficient launch quantities of the Product to Harrow pursuant to the Supply Agreement no [***] after FDA final approval of the Product for such Licensed Indication.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Net Sales Milestones</w:t>
      </w:r>
      <w:r>
        <w:rPr>
          <w:rFonts w:ascii="Arial" w:cs="Arial" w:eastAsia="Arial" w:hAnsi="Arial"/>
          <w:sz w:val="16"/>
          <w:szCs w:val="16"/>
          <w:color w:val="auto"/>
        </w:rPr>
        <w:t>.</w:t>
      </w:r>
    </w:p>
    <w:p>
      <w:pPr>
        <w:spacing w:after="0" w:line="225" w:lineRule="exact"/>
        <w:rPr>
          <w:sz w:val="20"/>
          <w:szCs w:val="20"/>
          <w:color w:val="auto"/>
        </w:rPr>
      </w:pPr>
    </w:p>
    <w:p>
      <w:pPr>
        <w:jc w:val="both"/>
        <w:ind w:left="760" w:firstLine="652"/>
        <w:spacing w:after="0" w:line="291" w:lineRule="auto"/>
        <w:tabs>
          <w:tab w:leader="none" w:pos="242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further consideration for the rights granted to Harrow, Harrow shall pay to Wakamoto the following milestones based upon its achievement of certain annual Net Sales within the Territory for the Product. Harrow shall furnish Wakamoto with a written statement specifying annual Net Sales and number of vials of the Product sold in the territory [***] after the end of each calendar year during the term of this Agreement, and then, Harrow shall notify Wakamoto if it has achieved each such milestone event and Harrow shall pay to Wakamoto the amounts set forth below [***] following the end of applicable calendar year upon satisfaction of the relevant annual net sales thresholds for the Licensed Product in the Territory as set forth in the table below. Each milestone payment by Harrow to Wakamoto hereunder shall be payable only once and shall be non-refundable. Multiple milestones can be achieved for the same calendar year.</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24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Annual Net Sales of Products in the Territory</w:t>
            </w:r>
          </w:p>
        </w:tc>
        <w:tc>
          <w:tcPr>
            <w:tcW w:w="4380" w:type="dxa"/>
            <w:vAlign w:val="bottom"/>
          </w:tcPr>
          <w:p>
            <w:pPr>
              <w:spacing w:after="0"/>
              <w:rPr>
                <w:sz w:val="20"/>
                <w:szCs w:val="20"/>
                <w:color w:val="auto"/>
              </w:rPr>
            </w:pPr>
            <w:r>
              <w:rPr>
                <w:rFonts w:ascii="Arial" w:cs="Arial" w:eastAsia="Arial" w:hAnsi="Arial"/>
                <w:sz w:val="18"/>
                <w:szCs w:val="18"/>
                <w:b w:val="1"/>
                <w:bCs w:val="1"/>
                <w:color w:val="auto"/>
              </w:rPr>
              <w:t>Milestone Payment (U.S. Dollars)</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8"/>
        </w:trPr>
        <w:tc>
          <w:tcPr>
            <w:tcW w:w="44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t>
            </w:r>
          </w:p>
        </w:tc>
      </w:tr>
    </w:tbl>
    <w:p>
      <w:pPr>
        <w:jc w:val="both"/>
        <w:spacing w:after="0" w:line="28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Audit</w:t>
      </w:r>
      <w:r>
        <w:rPr>
          <w:rFonts w:ascii="Arial" w:cs="Arial" w:eastAsia="Arial" w:hAnsi="Arial"/>
          <w:sz w:val="16"/>
          <w:szCs w:val="16"/>
          <w:color w:val="auto"/>
        </w:rPr>
        <w:t>. Each Party shall maintain complete and accurate records in sufficient detail to permit the other Party to confirm the accuracy of the calculation of milestone payments under this Agreement. Upon reasonable prior notice, such records shall be available during regular business hours for a period of [***] from the end of the Calendar Year to which they pertain for examination at the expense of the requesting Party by an independent certified public accountant selected by the requesting Party and reasonably acceptable to the other Party, for the sole purpose of verifying the accuracy of the financial reports and the correctness of payments furnished by the other Party pursuant to this Agreement. Any such auditor shall not disclose the other Party’s Confidential Information, except to the extent such disclosure is necessary to verify the accuracy of the financial reports furnished by the other Party or the amount of payments due by the other Party under this Agreement. Any amounts shown to be owed but unpaid shall be paid [***] [***] from the accountant’s report, plus interest (as set forth in Section 7.5 from the original due date). Any amounts shown to have been overpaid shall be refunded</w:t>
      </w:r>
    </w:p>
    <w:p>
      <w:pPr>
        <w:spacing w:after="0" w:line="3" w:lineRule="exact"/>
        <w:rPr>
          <w:sz w:val="20"/>
          <w:szCs w:val="20"/>
          <w:color w:val="auto"/>
        </w:rPr>
      </w:pPr>
    </w:p>
    <w:p>
      <w:pPr>
        <w:jc w:val="both"/>
        <w:ind w:firstLine="8"/>
        <w:spacing w:after="0" w:line="255" w:lineRule="auto"/>
        <w:tabs>
          <w:tab w:leader="none" w:pos="4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from the accountant’s report. The requesting Party shall bear the full expense of such audit, unless such audit discloses an underpayment by the other Party of [***] of the amount due, in which case the other Party shall bear the full expense of such audit. The audit rights set forth in this Section 7.4 shall survive the termination or expiration of this Agreement for one (1)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Late Payment/Currency Exchange</w:t>
      </w:r>
      <w:r>
        <w:rPr>
          <w:rFonts w:ascii="Arial" w:cs="Arial" w:eastAsia="Arial" w:hAnsi="Arial"/>
          <w:sz w:val="18"/>
          <w:szCs w:val="18"/>
          <w:color w:val="auto"/>
        </w:rPr>
        <w:t>. All payments due to a Party hereunder shall be made in U.S. Dollars by wire transfer of immediately available funds into an account designated by such Party. The rate of exchange to be used in computing the amount of currency equivalent in U.S. Dollars owed to a Party under this Agreement shall be the monthly average exchange rate between each currency of origin and U.S. Dollars as reported by Bloomberg or an equivalent resource as agreed by the Parties. If a Party does not receive payment of any sum due to it on or before the due date, simple interest shall thereafter accrue on the sum due to such Party until the date of payment [***] over the then-current prime rate quoted by Citibank in New York City or the maximum rate allowable by Applicable Law, whichever is lower.</w:t>
      </w:r>
    </w:p>
    <w:p>
      <w:pPr>
        <w:spacing w:after="0" w:line="188"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INTELLECTUAL </w:t>
      </w:r>
      <w:r>
        <w:rPr>
          <w:rFonts w:ascii="Arial" w:cs="Arial" w:eastAsia="Arial" w:hAnsi="Arial"/>
          <w:sz w:val="18"/>
          <w:szCs w:val="18"/>
          <w:b w:val="1"/>
          <w:bCs w:val="1"/>
          <w:color w:val="auto"/>
        </w:rPr>
        <w:t>PROPERTY MATTERS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Ownership of Inventions.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Harrow and Wakamoto represent, warrant, and covenant that as of the Effective Date of this Agreement with respect to Harrow Inventions and</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Wakamoto Inventions in the Territory:</w:t>
      </w:r>
    </w:p>
    <w:p>
      <w:pPr>
        <w:spacing w:after="0" w:line="211" w:lineRule="exact"/>
        <w:rPr>
          <w:sz w:val="20"/>
          <w:szCs w:val="20"/>
          <w:color w:val="auto"/>
        </w:rPr>
      </w:pPr>
    </w:p>
    <w:p>
      <w:pPr>
        <w:ind w:left="2060" w:hanging="648"/>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Harrow shall solely own all Harrow Inventions.</w:t>
      </w:r>
    </w:p>
    <w:p>
      <w:pPr>
        <w:spacing w:after="0" w:line="225" w:lineRule="exact"/>
        <w:rPr>
          <w:rFonts w:ascii="Arial" w:cs="Arial" w:eastAsia="Arial" w:hAnsi="Arial"/>
          <w:sz w:val="18"/>
          <w:szCs w:val="18"/>
          <w:color w:val="auto"/>
        </w:rPr>
      </w:pPr>
    </w:p>
    <w:p>
      <w:pPr>
        <w:ind w:left="2060" w:hanging="648"/>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Wakamoto shall solely own all Wakamoto Inventions.</w:t>
      </w:r>
    </w:p>
    <w:p>
      <w:pPr>
        <w:spacing w:after="0" w:line="225" w:lineRule="exact"/>
        <w:rPr>
          <w:rFonts w:ascii="Arial" w:cs="Arial" w:eastAsia="Arial" w:hAnsi="Arial"/>
          <w:sz w:val="18"/>
          <w:szCs w:val="18"/>
          <w:color w:val="auto"/>
        </w:rPr>
      </w:pPr>
    </w:p>
    <w:p>
      <w:pPr>
        <w:jc w:val="both"/>
        <w:ind w:left="760" w:firstLine="652"/>
        <w:spacing w:after="0" w:line="286" w:lineRule="auto"/>
        <w:tabs>
          <w:tab w:leader="none" w:pos="24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Article 2 of this Agreement, the Parties shall jointly own any Inventions that are made jointly by employees, agents, or independent contractors of each Party in the course of performing activities under this Agreement, or otherwise relating to the Exploitation of Products in the Field in the Territory together with all intellectual property rights therein (“Joint Inventions”).</w:t>
      </w:r>
    </w:p>
    <w:p>
      <w:pPr>
        <w:spacing w:after="0" w:line="165" w:lineRule="exact"/>
        <w:rPr>
          <w:rFonts w:ascii="Arial" w:cs="Arial" w:eastAsia="Arial" w:hAnsi="Arial"/>
          <w:sz w:val="17"/>
          <w:szCs w:val="17"/>
          <w:color w:val="auto"/>
        </w:rPr>
      </w:pPr>
    </w:p>
    <w:p>
      <w:pPr>
        <w:ind w:left="2060" w:hanging="648"/>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Inventorship shall be determined in accordance with U.S. patent laws.</w:t>
      </w:r>
    </w:p>
    <w:p>
      <w:pPr>
        <w:spacing w:after="0" w:line="225" w:lineRule="exact"/>
        <w:rPr>
          <w:rFonts w:ascii="Arial" w:cs="Arial" w:eastAsia="Arial" w:hAnsi="Arial"/>
          <w:sz w:val="18"/>
          <w:szCs w:val="18"/>
          <w:color w:val="auto"/>
        </w:rPr>
      </w:pPr>
    </w:p>
    <w:p>
      <w:pPr>
        <w:jc w:val="both"/>
        <w:ind w:left="760" w:firstLine="652"/>
        <w:spacing w:after="0" w:line="254" w:lineRule="auto"/>
        <w:tabs>
          <w:tab w:leader="none" w:pos="2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term of this Agreement, in the event that Wakamoto, either by itself or with a Third Party, develops an injectable ophthalmic product containing [***] as an active pharmaceutical ingredient that is different from the Product and will require a separate NDA (a “New Product”), Wakamoto, either by itself or through a Third Party, shall not Exploit such New Product in the Territory to Harrow’s detriment. In the same way as the above, Harrow, either by itself or with a Third Party, develops an injectable ophthalmic product containing [***] as an active pharmaceutical ingredient that is different from the Product and will require a separate registration out of the Territory, Harrow, either by itself or through a Third Party, shall not Exploit such products regarded equal to New Product out of the Territory to Wakamoto’s detriment.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 Both Harrow and Wakamoto shall promptly disclose to the other party any of their own Inventions, namely Harrow Inventions and Wakamoto Inventions, during the Term. With respect to any Joint Inventions, each Party shall promptly disclose to the other Party any invention disclosures, or other similar documents, submitted to it by its employees, agents or independent contractors describing the Joint Inventions, and all Information relating to such inventions to the extent necessary for the use of such Joint Technology and, to the extent patentable, for the preparation, filing and maintenance of any Patent with respect to such Invention.</w:t>
      </w:r>
    </w:p>
    <w:p>
      <w:pPr>
        <w:spacing w:after="0" w:line="18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Prosecution of Patents</w:t>
      </w:r>
      <w:r>
        <w:rPr>
          <w:rFonts w:ascii="Arial" w:cs="Arial" w:eastAsia="Arial" w:hAnsi="Arial"/>
          <w:sz w:val="16"/>
          <w:szCs w:val="16"/>
          <w:color w:val="auto"/>
        </w:rPr>
        <w:t>.</w:t>
      </w:r>
    </w:p>
    <w:p>
      <w:pPr>
        <w:spacing w:after="0" w:line="221" w:lineRule="exact"/>
        <w:rPr>
          <w:sz w:val="20"/>
          <w:szCs w:val="20"/>
          <w:color w:val="auto"/>
        </w:rPr>
      </w:pPr>
    </w:p>
    <w:p>
      <w:pPr>
        <w:jc w:val="both"/>
        <w:ind w:left="760" w:firstLine="652"/>
        <w:spacing w:after="0" w:line="286" w:lineRule="auto"/>
        <w:tabs>
          <w:tab w:leader="none" w:pos="2341"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Wakamoto Patents</w:t>
      </w:r>
      <w:r>
        <w:rPr>
          <w:rFonts w:ascii="Arial" w:cs="Arial" w:eastAsia="Arial" w:hAnsi="Arial"/>
          <w:sz w:val="16"/>
          <w:szCs w:val="16"/>
          <w:color w:val="auto"/>
        </w:rPr>
        <w:t>. Except as otherwise provided in this Section 8.3(a), Wakamoto shall have the first right and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at its own expense, to prepare, file, prosecute and maintain the Wakamoto Patents. Wakamoto shall provide Harrow a reasonable opportunity to review and comment on its efforts to prepare, file, prosecute and maintain Wakamoto Patents in the Territory, including by providing Harrow with a copy of material communications from any patent authority regarding any Wakamoto Patent, and by providing drafts of any material filings or responses to be made to such patent authorities in advance of submitting such filings or responses. Wakamoto shall consider Harrow’s comments regarding such communications and drafts in good faith. If Wakamoto determines in its discretion to abandon or not maintain any Wakamoto Patent that is being prosecuted or maintained by Wakamoto in the Territory, then Wakamoto shall provide Harrow with written notice of such determination within a period of time reasonably necessary to allow Harrow to determine, in its discretion, its interest in such Wakamoto Patent (which notice by Wakamoto shall be given [***] prior to the final deadline for any pending action or response that may be due with respect to such Wakamoto Patent with the applicable patent authority). If Harrow provides written notice expressing its interest in obtaining ownership of such Wakamoto Patent, (i) Wakamoto shall transfer to Harrow the control of such Wakamoto Patent in the Territory through the mutual discussion between Harrow and Wakamoto to determine the transfer (e.g., its scope, its value, etc.), (ii) Harrow will thereupon have the right, but not the obligation, to assume the prosecution and maintenance thereof at Harrow’s sole cost and expense (each, a “</w:t>
      </w:r>
      <w:r>
        <w:rPr>
          <w:rFonts w:ascii="Arial" w:cs="Arial" w:eastAsia="Arial" w:hAnsi="Arial"/>
          <w:sz w:val="16"/>
          <w:szCs w:val="16"/>
          <w:u w:val="single" w:color="auto"/>
          <w:color w:val="auto"/>
        </w:rPr>
        <w:t>Harrow Assumed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Patent</w:t>
      </w:r>
      <w:r>
        <w:rPr>
          <w:rFonts w:ascii="Arial" w:cs="Arial" w:eastAsia="Arial" w:hAnsi="Arial"/>
          <w:sz w:val="16"/>
          <w:szCs w:val="16"/>
          <w:color w:val="auto"/>
        </w:rPr>
        <w:t>”), through patent counsel or agents of its choice; and (b) Wakamoto shall promptly deliver to Harrow copies of all necessary files related to any Harrow Assumed Patents with respect to which responsibility has been transferred and shall take all actions and execute all documents reasonably necessary for Harrow to assume such activities, at Harrow’s request.</w:t>
      </w:r>
    </w:p>
    <w:p>
      <w:pPr>
        <w:spacing w:after="0" w:line="164" w:lineRule="exact"/>
        <w:rPr>
          <w:rFonts w:ascii="Arial" w:cs="Arial" w:eastAsia="Arial" w:hAnsi="Arial"/>
          <w:sz w:val="16"/>
          <w:szCs w:val="16"/>
          <w:color w:val="auto"/>
        </w:rPr>
      </w:pPr>
    </w:p>
    <w:p>
      <w:pPr>
        <w:ind w:left="2300" w:hanging="888"/>
        <w:spacing w:after="0"/>
        <w:tabs>
          <w:tab w:leader="none" w:pos="23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Harrow Patents</w:t>
      </w:r>
      <w:r>
        <w:rPr>
          <w:rFonts w:ascii="Arial" w:cs="Arial" w:eastAsia="Arial" w:hAnsi="Arial"/>
          <w:sz w:val="16"/>
          <w:szCs w:val="16"/>
          <w:color w:val="auto"/>
        </w:rPr>
        <w:t>. Harrow shall have the sole right and authority, at its own expense, to prepare, file, prosecute and maintain</w:t>
      </w:r>
    </w:p>
    <w:p>
      <w:pPr>
        <w:spacing w:after="0" w:line="50"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the Harrow Patents.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jc w:val="both"/>
        <w:ind w:left="-360" w:firstLine="652"/>
        <w:spacing w:after="0" w:line="285" w:lineRule="auto"/>
        <w:tabs>
          <w:tab w:leader="none" w:pos="1315"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Joint Patents</w:t>
      </w:r>
      <w:r>
        <w:rPr>
          <w:rFonts w:ascii="Arial" w:cs="Arial" w:eastAsia="Arial" w:hAnsi="Arial"/>
          <w:sz w:val="16"/>
          <w:szCs w:val="16"/>
          <w:color w:val="auto"/>
        </w:rPr>
        <w:t>. Except as otherwise provided in this Section 8.3(c), Harrow shall have the primary right and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file, prosecute and maintain the Joint Patents in the Territory at its own expense using patent counsel that is reasonably acceptable to Wakamoto. Harrow shall provide Wakamoto with a reasonable opportunity to review and comment on such efforts regarding such Joint Patent, including by providing Wakamoto with a copy of material communications from any patent authority in such country(ies) in the Territory regarding such Joint Patent, and by providing drafts of any material filings or responses to be made to such patent authorities in advance of submitting such filings or responses. Harrow shall consider Wakamoto’s comments regarding such communications and drafts in good faith. If Harrow determines in its sole discretion to abandon or not maintain any Joint Patent in any country(ies) of the Territory, then Harrow shall provide Wakamoto with written notice of such determination within a period of time reasonably necessary to allow Wakamoto to determine its interest in such Joint Patent (which notice from Harrow shall be given [***] prior to any final deadline for any pending action or response that may be due with respect to such Joint Patent with the applicable patent authority). In the event Wakamoto provides written notice expressing its interest in obtaining such Joint Patent(s), (a) Harrow shall assign and transfer to Wakamoto the ownership of, and interest in, such Joint Patent in the applicable jurisdiction in the Territory on behalf of Wakamoto through the mutual discussion between Harrow and Wakamoto to determine the transfer (e.g., its scope, its value, etc.); (b) Wakamoto will thereupon have the right, but not the obligation, to assume the prosecution and maintenance thereof at Wakamoto’s sole cost and expense (each, a “</w:t>
      </w:r>
      <w:r>
        <w:rPr>
          <w:rFonts w:ascii="Arial" w:cs="Arial" w:eastAsia="Arial" w:hAnsi="Arial"/>
          <w:sz w:val="16"/>
          <w:szCs w:val="16"/>
          <w:u w:val="single" w:color="auto"/>
          <w:color w:val="auto"/>
        </w:rPr>
        <w:t>Wakamoto Joint Assumed Patent</w:t>
      </w:r>
      <w:r>
        <w:rPr>
          <w:rFonts w:ascii="Arial" w:cs="Arial" w:eastAsia="Arial" w:hAnsi="Arial"/>
          <w:sz w:val="16"/>
          <w:szCs w:val="16"/>
          <w:color w:val="auto"/>
        </w:rPr>
        <w:t>”), through patent counsel or agents of its choice; and (c) Harrow shall promptly deliver to Wakamoto copies of all necessary files related to any Wakamoto Joint Assumed Patents with respect to which responsibility has been transferred and shall take all actions and execute all documents reasonably necessary for Wakamoto to assume such activities, at Wakamoto’s request. Harrow shall cooperate with Wakamoto for assignment and transfer of such Joint Patent(s) in such country. Wakamoto shall have the primary right and authority, to prepare, file, prosecute and maintain the Joint Patents outside of the Territory at its own expense.</w:t>
      </w:r>
    </w:p>
    <w:p>
      <w:pPr>
        <w:spacing w:after="0" w:line="387" w:lineRule="exact"/>
        <w:rPr>
          <w:rFonts w:ascii="Arial" w:cs="Arial" w:eastAsia="Arial" w:hAnsi="Arial"/>
          <w:sz w:val="16"/>
          <w:szCs w:val="16"/>
          <w:color w:val="auto"/>
        </w:rPr>
      </w:pPr>
    </w:p>
    <w:p>
      <w:pPr>
        <w:ind w:left="940" w:hanging="648"/>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Cooperation in Prosecution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00" w:firstLine="640"/>
        <w:spacing w:after="0" w:line="257" w:lineRule="auto"/>
        <w:tabs>
          <w:tab w:leader="none" w:pos="18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Party shall provide the other Party all reasonable assistance and cooperation in the Patent prosecution efforts in the Territory provided above in Sections 8.3(a) and (c), including providing any necessary powers of attorney and executing any other required documents or instruments for such prosecution, as well as further actions as set forth below. Such assistance and cooperation shall include making a Party’s inventors and other scientific advisors reasonably available to assist the other Party’s Patent preparation, filing, prosecution and maintenance efforts.</w:t>
      </w:r>
    </w:p>
    <w:p>
      <w:pPr>
        <w:spacing w:after="0" w:line="187" w:lineRule="exact"/>
        <w:rPr>
          <w:rFonts w:ascii="Arial" w:cs="Arial" w:eastAsia="Arial" w:hAnsi="Arial"/>
          <w:sz w:val="18"/>
          <w:szCs w:val="18"/>
          <w:color w:val="auto"/>
        </w:rPr>
      </w:pPr>
    </w:p>
    <w:p>
      <w:pPr>
        <w:jc w:val="both"/>
        <w:ind w:left="300" w:firstLine="640"/>
        <w:spacing w:after="0" w:line="259" w:lineRule="auto"/>
        <w:tabs>
          <w:tab w:leader="none" w:pos="22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communications between the Parties relating to the preparation, filing, prosecution or maintenance of Wakamoto Patents and Joint Patents, including copies of any draft or final documents or any communications received from or sent to patent offices or patenting authorities with respect to such Patents, shall be considered Confidential Information and subject to the confidentiality provisions of Article 10.</w:t>
      </w:r>
    </w:p>
    <w:p>
      <w:pPr>
        <w:spacing w:after="0" w:line="186" w:lineRule="exact"/>
        <w:rPr>
          <w:rFonts w:ascii="Arial" w:cs="Arial" w:eastAsia="Arial" w:hAnsi="Arial"/>
          <w:sz w:val="18"/>
          <w:szCs w:val="18"/>
          <w:color w:val="auto"/>
        </w:rPr>
      </w:pPr>
    </w:p>
    <w:p>
      <w:pPr>
        <w:jc w:val="both"/>
        <w:ind w:left="300" w:firstLine="640"/>
        <w:spacing w:after="0" w:line="259" w:lineRule="auto"/>
        <w:tabs>
          <w:tab w:leader="none" w:pos="20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Assignments in Wakamoto Patents and Joint Patents shall be effected as follows: (1) employees or agents of Wakamoto that are named as inventors on Wakamoto Patents shall assign their interest in such Patents to Wakamoto; and (2) employees or agents of Harrow or Wakamoto that are named as inventors on Joint Patents shall assign their interest in such Patents to their respective employer.</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3" w:name="page84"/>
    <w:bookmarkEnd w:id="83"/>
    <w:p>
      <w:pPr>
        <w:ind w:left="120"/>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Patent Term Extensions in the Territory</w:t>
      </w:r>
      <w:r>
        <w:rPr>
          <w:rFonts w:ascii="Arial" w:cs="Arial" w:eastAsia="Arial" w:hAnsi="Arial"/>
          <w:sz w:val="16"/>
          <w:szCs w:val="16"/>
          <w:color w:val="auto"/>
        </w:rPr>
        <w:t>.</w:t>
      </w:r>
    </w:p>
    <w:p>
      <w:pPr>
        <w:spacing w:after="0" w:line="225" w:lineRule="exact"/>
        <w:rPr>
          <w:sz w:val="20"/>
          <w:szCs w:val="20"/>
          <w:color w:val="auto"/>
        </w:rPr>
      </w:pPr>
    </w:p>
    <w:p>
      <w:pPr>
        <w:jc w:val="both"/>
        <w:ind w:left="760" w:firstLine="652"/>
        <w:spacing w:after="0" w:line="270" w:lineRule="auto"/>
        <w:tabs>
          <w:tab w:leader="none" w:pos="24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Harrow shall have the right to decide for the Parties on which, if any, of the Patents within Wakamoto Patents and Joint Patents in the Territory for which the Parties should seek Patent Term Extensions; provided, that, Harrow shall reasonably consider in good faith Wakamoto’s position in connection therewith. Subject to the foregoing, Harrow shall be responsible for applying for the Patent Term Extension, unless, with respect to Wakamoto Patents, the applicable patent authority requires Wakamoto to file such application and if Harrow wishes Wakamoto to file such application, Harrow shall be responsible for paying all governmental fees and Wakamoto’s documented external costs for such Wakamoto filed Patent Term Extensions. Wakamoto shall cooperate fully with Harrow in making such filings or actions, for example and without limitation, making available all required regulatory data and information and executing any required authorizations to apply for such Patent Term Extension. All expenses incurred in connection with activities of each Party with respect to the Patent(s) for which Patent Term Extensions are filed pursuant to this Section 8.4 shall be entirely borne by Harrow.</w:t>
      </w:r>
    </w:p>
    <w:p>
      <w:pPr>
        <w:spacing w:after="0" w:line="180" w:lineRule="exact"/>
        <w:rPr>
          <w:rFonts w:ascii="Arial" w:cs="Arial" w:eastAsia="Arial" w:hAnsi="Arial"/>
          <w:sz w:val="17"/>
          <w:szCs w:val="17"/>
          <w:color w:val="auto"/>
        </w:rPr>
      </w:pPr>
    </w:p>
    <w:p>
      <w:pPr>
        <w:ind w:left="2520" w:hanging="1108"/>
        <w:spacing w:after="0"/>
        <w:tabs>
          <w:tab w:leader="none" w:pos="2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Harrow shall have the sole right and authority, at its own expense, to seek Patent Term Extensions with respect to the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Harrow Patents.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Patent Listing; Compendia Listing</w:t>
      </w:r>
      <w:r>
        <w:rPr>
          <w:rFonts w:ascii="Arial" w:cs="Arial" w:eastAsia="Arial" w:hAnsi="Arial"/>
          <w:sz w:val="18"/>
          <w:szCs w:val="18"/>
          <w:color w:val="auto"/>
        </w:rPr>
        <w:t>. Harrow shall have the right to (i) file appropriate information with the FDA in the U.S. listing any Wakamoto Patents, Harrow Patents or Joint Patents in the FDA’s Orange Book; and (ii) with respect to other countries in the Territory, file appropriate information with the applicable Regulatory Authority listing any Wakamoto Patents, Harrow Patents or Joint Patents in the Patent listing source in such country in the Territory, if any. Upon request of Harrow, and to the extent required by any Applicable Laws, Wakamoto shall fully cooperate with Harrow to effectuate the above listing requirements.</w:t>
      </w:r>
    </w:p>
    <w:p>
      <w:pPr>
        <w:spacing w:after="0" w:line="18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Infringement of Patents by Third Parties</w:t>
      </w:r>
      <w:r>
        <w:rPr>
          <w:rFonts w:ascii="Arial" w:cs="Arial" w:eastAsia="Arial" w:hAnsi="Arial"/>
          <w:sz w:val="16"/>
          <w:szCs w:val="16"/>
          <w:color w:val="auto"/>
        </w:rPr>
        <w:t>.</w:t>
      </w:r>
    </w:p>
    <w:p>
      <w:pPr>
        <w:spacing w:after="0" w:line="221" w:lineRule="exact"/>
        <w:rPr>
          <w:sz w:val="20"/>
          <w:szCs w:val="20"/>
          <w:color w:val="auto"/>
        </w:rPr>
      </w:pPr>
    </w:p>
    <w:p>
      <w:pPr>
        <w:jc w:val="both"/>
        <w:ind w:left="760" w:firstLine="652"/>
        <w:spacing w:after="0" w:line="266" w:lineRule="auto"/>
        <w:tabs>
          <w:tab w:leader="none" w:pos="2327"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Notification</w:t>
      </w:r>
      <w:r>
        <w:rPr>
          <w:rFonts w:ascii="Arial" w:cs="Arial" w:eastAsia="Arial" w:hAnsi="Arial"/>
          <w:sz w:val="18"/>
          <w:szCs w:val="18"/>
          <w:color w:val="auto"/>
        </w:rPr>
        <w:t>. Each Party shall promptly notify the other Party in writing of any existing, alleged or threatened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Wakamoto Patents or Joint Patents in the Field in the Territory of which it becomes aware, and shall provide all Information in such Party’s possession or Control demonstrating such infringement.</w:t>
      </w:r>
    </w:p>
    <w:p>
      <w:pPr>
        <w:spacing w:after="0" w:line="175" w:lineRule="exact"/>
        <w:rPr>
          <w:rFonts w:ascii="Arial" w:cs="Arial" w:eastAsia="Arial" w:hAnsi="Arial"/>
          <w:sz w:val="18"/>
          <w:szCs w:val="18"/>
          <w:color w:val="auto"/>
        </w:rPr>
      </w:pPr>
    </w:p>
    <w:p>
      <w:pPr>
        <w:ind w:left="2060" w:hanging="648"/>
        <w:spacing w:after="0"/>
        <w:tabs>
          <w:tab w:leader="none" w:pos="20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Infringement of Wakamoto Patents or Joint Patents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420" w:firstLine="640"/>
        <w:spacing w:after="0" w:line="263" w:lineRule="auto"/>
        <w:tabs>
          <w:tab w:leader="none" w:pos="3114" w:val="left"/>
        </w:tabs>
        <w:numPr>
          <w:ilvl w:val="1"/>
          <w:numId w:val="53"/>
        </w:numPr>
        <w:rPr>
          <w:rFonts w:ascii="Arial" w:cs="Arial" w:eastAsia="Arial" w:hAnsi="Arial"/>
          <w:sz w:val="18"/>
          <w:szCs w:val="18"/>
          <w:color w:val="auto"/>
        </w:rPr>
      </w:pPr>
      <w:r>
        <w:rPr>
          <w:rFonts w:ascii="Arial" w:cs="Arial" w:eastAsia="Arial" w:hAnsi="Arial"/>
          <w:sz w:val="18"/>
          <w:szCs w:val="18"/>
          <w:color w:val="auto"/>
        </w:rPr>
        <w:t>Harrow shall have the first right, but not the obligation, at its own expense, to bring an appropriate suit or other action against any Third Party engaged in any existing, alleged or threatened infringement of Wakamoto Patents or Joint Patents, subject to Section 8.6(b)(ii) through 8.6(b)(v),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ind w:left="1980" w:hanging="1040"/>
        <w:spacing w:after="0"/>
        <w:tabs>
          <w:tab w:leader="none" w:pos="1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Harrow shall notify Wakamoto of its election to take any action in accordance with Section 8.6(b)(i) within the</w:t>
      </w:r>
    </w:p>
    <w:p>
      <w:pPr>
        <w:spacing w:after="0" w:line="46" w:lineRule="exact"/>
        <w:rPr>
          <w:rFonts w:ascii="Arial" w:cs="Arial" w:eastAsia="Arial" w:hAnsi="Arial"/>
          <w:sz w:val="16"/>
          <w:szCs w:val="16"/>
          <w:color w:val="auto"/>
        </w:rPr>
      </w:pPr>
    </w:p>
    <w:p>
      <w:pPr>
        <w:jc w:val="both"/>
        <w:ind w:left="300"/>
        <w:spacing w:after="0" w:line="253" w:lineRule="auto"/>
        <w:rPr>
          <w:rFonts w:ascii="Arial" w:cs="Arial" w:eastAsia="Arial" w:hAnsi="Arial"/>
          <w:sz w:val="16"/>
          <w:szCs w:val="16"/>
          <w:color w:val="auto"/>
        </w:rPr>
      </w:pPr>
      <w:r>
        <w:rPr>
          <w:rFonts w:ascii="Arial" w:cs="Arial" w:eastAsia="Arial" w:hAnsi="Arial"/>
          <w:sz w:val="18"/>
          <w:szCs w:val="18"/>
          <w:color w:val="auto"/>
        </w:rPr>
        <w:t>earlier of: (1) [***] after the first notice under 8.6(a); or (2) [***] before any time limit set forth in an Applicable Law or regulation. In the event Harrow does not so elect, Harrow shall so notify Wakamoto in writing, and Wakamoto shall have the right to commence a suit or take action to enforce the applicable Patent against such Third Party perpetrating such infringement in the Territory at its own expense. If one Party elects to bring suit or take action against the infringement, then the other Party shall have the right, prior to commencement of the trial, suit or action, to join any such suit or action.</w:t>
      </w:r>
    </w:p>
    <w:p>
      <w:pPr>
        <w:spacing w:after="0" w:line="190" w:lineRule="exact"/>
        <w:rPr>
          <w:rFonts w:ascii="Arial" w:cs="Arial" w:eastAsia="Arial" w:hAnsi="Arial"/>
          <w:sz w:val="16"/>
          <w:szCs w:val="16"/>
          <w:color w:val="auto"/>
        </w:rPr>
      </w:pPr>
    </w:p>
    <w:p>
      <w:pPr>
        <w:jc w:val="both"/>
        <w:ind w:left="300" w:firstLine="640"/>
        <w:spacing w:after="0" w:line="275" w:lineRule="auto"/>
        <w:tabs>
          <w:tab w:leader="none" w:pos="1902" w:val="left"/>
        </w:tabs>
        <w:numPr>
          <w:ilvl w:val="1"/>
          <w:numId w:val="54"/>
        </w:numPr>
        <w:rPr>
          <w:rFonts w:ascii="Arial" w:cs="Arial" w:eastAsia="Arial" w:hAnsi="Arial"/>
          <w:sz w:val="17"/>
          <w:szCs w:val="17"/>
          <w:color w:val="auto"/>
        </w:rPr>
      </w:pPr>
      <w:r>
        <w:rPr>
          <w:rFonts w:ascii="Arial" w:cs="Arial" w:eastAsia="Arial" w:hAnsi="Arial"/>
          <w:sz w:val="17"/>
          <w:szCs w:val="17"/>
          <w:color w:val="auto"/>
        </w:rPr>
        <w:t>Each Party shall provide to the Party enforcing any such rights under this Section 8.6(b) reasonable assistance in such enforcement, at such enforcing Party’s request and expense,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important aspects of such enforcement including determination of material litigation strategy, filing of dispositive papers to the competent court.</w:t>
      </w:r>
    </w:p>
    <w:p>
      <w:pPr>
        <w:spacing w:after="0" w:line="176" w:lineRule="exact"/>
        <w:rPr>
          <w:rFonts w:ascii="Arial" w:cs="Arial" w:eastAsia="Arial" w:hAnsi="Arial"/>
          <w:sz w:val="17"/>
          <w:szCs w:val="17"/>
          <w:color w:val="auto"/>
        </w:rPr>
      </w:pPr>
    </w:p>
    <w:p>
      <w:pPr>
        <w:jc w:val="both"/>
        <w:ind w:left="300" w:firstLine="640"/>
        <w:spacing w:after="0" w:line="255" w:lineRule="auto"/>
        <w:tabs>
          <w:tab w:leader="none" w:pos="19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enforcing Party shall have the sole right to settle any claim, suit or action that it brought under this Section 8.6(b) involving Wakamoto Patents or Joint Patents without the prior written consent of the other Party unless such settlement will (a) impose any liability or obligation on such other Party, (b) include the grant of any license, covenant or other rights to any Third Party that would conflict with or reduce the scope of the subject matter included under the rights and licenses granted to such other Party under this Agreement, or (c) otherwise materially affect the licenses or other rights granted to such other Party hereunder adversely in any respect.</w:t>
      </w:r>
    </w:p>
    <w:p>
      <w:pPr>
        <w:spacing w:after="0" w:line="192" w:lineRule="exact"/>
        <w:rPr>
          <w:rFonts w:ascii="Arial" w:cs="Arial" w:eastAsia="Arial" w:hAnsi="Arial"/>
          <w:sz w:val="18"/>
          <w:szCs w:val="18"/>
          <w:color w:val="auto"/>
        </w:rPr>
      </w:pPr>
    </w:p>
    <w:p>
      <w:pPr>
        <w:jc w:val="both"/>
        <w:ind w:left="300" w:firstLine="640"/>
        <w:spacing w:after="0" w:line="273" w:lineRule="auto"/>
        <w:tabs>
          <w:tab w:leader="none" w:pos="1977"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Party not bringing an action with respect to infringement in the Territory under this Section 8.6(b) shall be entitled to separate representation in such matter by counsel of its own choice and at its own expense, but such Party shall at all times cooperate fully with the Party bringing such action. If the non- enforcing Party requests that the Parties be jointly represented by the same outside counsel, the enforcing Party shall have the right to consent to such joint representation of the Parties, such consent not to be unreasonably withheld, delayed or conditioned. For clarity, the enforcing Party can withhold its consent to such joint representation where it has a good faith basis to believe there is a conflict between the Parties.</w:t>
      </w:r>
    </w:p>
    <w:p>
      <w:pPr>
        <w:spacing w:after="0" w:line="173" w:lineRule="exact"/>
        <w:rPr>
          <w:rFonts w:ascii="Arial" w:cs="Arial" w:eastAsia="Arial" w:hAnsi="Arial"/>
          <w:sz w:val="17"/>
          <w:szCs w:val="17"/>
          <w:color w:val="auto"/>
        </w:rPr>
      </w:pPr>
    </w:p>
    <w:p>
      <w:pPr>
        <w:jc w:val="both"/>
        <w:ind w:left="-360" w:firstLine="652"/>
        <w:spacing w:after="0" w:line="274" w:lineRule="auto"/>
        <w:tabs>
          <w:tab w:leader="none" w:pos="1383"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Infringement of Harrow Patents</w:t>
      </w:r>
      <w:r>
        <w:rPr>
          <w:rFonts w:ascii="Arial" w:cs="Arial" w:eastAsia="Arial" w:hAnsi="Arial"/>
          <w:sz w:val="17"/>
          <w:szCs w:val="17"/>
          <w:color w:val="auto"/>
        </w:rPr>
        <w:t>. For any and all infringement of any Harrow Patent, Harrow shall have the sole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right, but not the obligation, to bring, at Harrow’s expense and in its sole control, an appropriate suit or other action against any person or entity engaged in such infringement of the Harrow Patent. Wakamoto shall provide Harrow reasonable assistance in such enforcement, at Harrow’s reasonable request and expense, including joining such action as a party plaintiff if required by Applicable Law to pursue such action. Harrow shall retain one hundred percent (100%) of any recovery in connection with such suit or other action (after reimbursing Wakamoto for any of its expenses in connection with its assistance provided in accordance with this Section 8.6(c)).</w:t>
      </w:r>
    </w:p>
    <w:p>
      <w:pPr>
        <w:spacing w:after="0" w:line="173" w:lineRule="exact"/>
        <w:rPr>
          <w:rFonts w:ascii="Arial" w:cs="Arial" w:eastAsia="Arial" w:hAnsi="Arial"/>
          <w:sz w:val="17"/>
          <w:szCs w:val="17"/>
          <w:color w:val="auto"/>
        </w:rPr>
      </w:pPr>
    </w:p>
    <w:p>
      <w:pPr>
        <w:jc w:val="both"/>
        <w:ind w:left="-360" w:firstLine="652"/>
        <w:spacing w:after="0" w:line="303" w:lineRule="auto"/>
        <w:tabs>
          <w:tab w:leader="none" w:pos="12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Allocation of Proceeds</w:t>
      </w:r>
      <w:r>
        <w:rPr>
          <w:rFonts w:ascii="Arial" w:cs="Arial" w:eastAsia="Arial" w:hAnsi="Arial"/>
          <w:sz w:val="16"/>
          <w:szCs w:val="16"/>
          <w:color w:val="auto"/>
        </w:rPr>
        <w:t>. If either Party recovers monetary damages from any Third Party in a suit or action brought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8.6(b), 8.7 or 8.8 related to any alleged Product Infringement, whether such damages result from the infringement of Wakamoto Patents or Joint Patents, such recovery shall be allocated first to the reimbursement of any expenses incurred by the Parties in such litigation, action or license, and any remaining amounts shall be retained by the Party who has managed such litigation, action or license.</w:t>
      </w:r>
    </w:p>
    <w:p>
      <w:pPr>
        <w:spacing w:after="0" w:line="1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85" w:name="page86"/>
    <w:bookmarkEnd w:id="85"/>
    <w:p>
      <w:pPr>
        <w:spacing w:after="0"/>
        <w:tabs>
          <w:tab w:leader="none" w:pos="6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Infringement of Third Party Rights in the Territory</w:t>
      </w:r>
      <w:r>
        <w:rPr>
          <w:rFonts w:ascii="Arial" w:cs="Arial" w:eastAsia="Arial" w:hAnsi="Arial"/>
          <w:sz w:val="16"/>
          <w:szCs w:val="16"/>
          <w:color w:val="auto"/>
        </w:rPr>
        <w:t>.</w:t>
      </w:r>
    </w:p>
    <w:p>
      <w:pPr>
        <w:spacing w:after="0" w:line="221" w:lineRule="exact"/>
        <w:rPr>
          <w:sz w:val="20"/>
          <w:szCs w:val="20"/>
          <w:color w:val="auto"/>
        </w:rPr>
      </w:pPr>
    </w:p>
    <w:p>
      <w:pPr>
        <w:jc w:val="both"/>
        <w:ind w:left="640" w:firstLine="652"/>
        <w:spacing w:after="0" w:line="266" w:lineRule="auto"/>
        <w:tabs>
          <w:tab w:leader="none" w:pos="2234"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If any Product used or sold by Harrow or its sublicensees becomes the subject of a Third Party’s claim or assertion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infringement of a Patent granted by a jurisdiction within the Territory, the Party first having notice of the claim or assertion shall promptly notify the other Party.</w:t>
      </w:r>
    </w:p>
    <w:p>
      <w:pPr>
        <w:spacing w:after="0" w:line="175" w:lineRule="exact"/>
        <w:rPr>
          <w:rFonts w:ascii="Arial" w:cs="Arial" w:eastAsia="Arial" w:hAnsi="Arial"/>
          <w:sz w:val="18"/>
          <w:szCs w:val="18"/>
          <w:color w:val="auto"/>
        </w:rPr>
      </w:pPr>
    </w:p>
    <w:p>
      <w:pPr>
        <w:jc w:val="both"/>
        <w:ind w:left="640" w:firstLine="652"/>
        <w:spacing w:after="0" w:line="293" w:lineRule="auto"/>
        <w:tabs>
          <w:tab w:leader="none" w:pos="2226"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Defense</w:t>
      </w:r>
      <w:r>
        <w:rPr>
          <w:rFonts w:ascii="Arial" w:cs="Arial" w:eastAsia="Arial" w:hAnsi="Arial"/>
          <w:sz w:val="16"/>
          <w:szCs w:val="16"/>
          <w:color w:val="auto"/>
        </w:rPr>
        <w:t>. Harrow shall have the first right, but not the obligation, at its own expense, to defend any such Third Party claim</w:t>
      </w:r>
      <w:r>
        <w:rPr>
          <w:rFonts w:ascii="Arial" w:cs="Arial" w:eastAsia="Arial" w:hAnsi="Arial"/>
          <w:sz w:val="16"/>
          <w:szCs w:val="16"/>
          <w:b w:val="1"/>
          <w:bCs w:val="1"/>
          <w:color w:val="auto"/>
        </w:rPr>
        <w:t xml:space="preserve"> </w:t>
      </w:r>
      <w:r>
        <w:rPr>
          <w:rFonts w:ascii="Arial" w:cs="Arial" w:eastAsia="Arial" w:hAnsi="Arial"/>
          <w:sz w:val="16"/>
          <w:szCs w:val="16"/>
          <w:color w:val="auto"/>
        </w:rPr>
        <w:t>or assertion of infringement of a Patent as described in Section 8.7(a) above. If Harrow does not commence actions to defend such claim within</w:t>
      </w:r>
    </w:p>
    <w:p>
      <w:pPr>
        <w:spacing w:after="0" w:line="1" w:lineRule="exact"/>
        <w:rPr>
          <w:rFonts w:ascii="Arial" w:cs="Arial" w:eastAsia="Arial" w:hAnsi="Arial"/>
          <w:sz w:val="16"/>
          <w:szCs w:val="16"/>
          <w:color w:val="auto"/>
        </w:rPr>
      </w:pPr>
    </w:p>
    <w:p>
      <w:pPr>
        <w:jc w:val="both"/>
        <w:ind w:left="640" w:firstLine="4"/>
        <w:spacing w:after="0" w:line="287" w:lineRule="auto"/>
        <w:tabs>
          <w:tab w:leader="none" w:pos="110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after it receives notice thereof or if Harrow discontinues the defense of any such action after filing, then to the extent allowed by Applicable Law, Wakamoto shall have the right, but not the obligation, to control the defense of such claim by counsel of its choice, at Wakamoto’s expense. The non-defending Party shall reasonably cooperate with the Party conducting the defense of the claim or assertion, including if required to conduct such defense, furnishing a power of attorney. Any awards or amounts received in bringing any such action shall be first allocated to reimburse each Party’s expenses in such action, and any remaining amounts shall be retained by the defending Party. Notwithstanding the above, at all times during the Term if, as part of obtaining Regulatory Approval for the Product in the United States, there is so called Hatch Waxman litigation where Harrow will be the defendant in such litigation, then Harrow shall be solely responsible for managing the litigation, including selection of counsel, and shall be responsible for all associated costs, including external legal fees.</w:t>
      </w:r>
    </w:p>
    <w:p>
      <w:pPr>
        <w:spacing w:after="0" w:line="165" w:lineRule="exact"/>
        <w:rPr>
          <w:rFonts w:ascii="Arial" w:cs="Arial" w:eastAsia="Arial" w:hAnsi="Arial"/>
          <w:sz w:val="16"/>
          <w:szCs w:val="16"/>
          <w:color w:val="auto"/>
        </w:rPr>
      </w:pPr>
    </w:p>
    <w:p>
      <w:pPr>
        <w:jc w:val="both"/>
        <w:ind w:left="640" w:firstLine="652"/>
        <w:spacing w:after="0" w:line="288" w:lineRule="auto"/>
        <w:tabs>
          <w:tab w:leader="none" w:pos="2248"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Settlement; Licenses</w:t>
      </w:r>
      <w:r>
        <w:rPr>
          <w:rFonts w:ascii="Arial" w:cs="Arial" w:eastAsia="Arial" w:hAnsi="Arial"/>
          <w:sz w:val="16"/>
          <w:szCs w:val="16"/>
          <w:color w:val="auto"/>
        </w:rPr>
        <w:t>. The defending Party shall have the sole right to settle any claim, suit or action that it brought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8.7 unless such settlement will (a) impose any liability or obligation on such other Party, (b) include the grant of any license, covenant or other rights to any Third Party that would conflict with or reduce the scope of the subject matter included under the rights and licenses granted to such other Party under this Agreement, or (c) otherwise materially affect the licenses or other rights granted to such other Party hereunder adversely in any respect. In the event that it is determined by any court of competent jurisdiction or Harrow reasonably determines (in the opinion of independent patent counsel) that the Exploitation of a Product in the Territory, conducted in accordance with the terms and conditions of this Agreement, infringes any patent, copyright, trademark, data exclusivity right or trade secret right arising under Applicable Law of any Third Party, the Parties shall use Commercially Reasonable Efforts to, at Harrow’s discretion: (i) procure a license from such Third Party authorizing Harrow to continue to conduct such activities (in which case Section 8.6 shall apply); or (ii) modify such activities so as to render it non-infringing. In the event that Harrow, after using Commercially Reasonable Efforts, determines that neither of the foregoing alternatives is available or commercially feasible, Harrow may, at its discretion, terminate this Agreement in accordance with Section 11.5.</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692" w:right="339" w:bottom="1440" w:gutter="0" w:footer="0" w:header="0"/>
        </w:sectPr>
      </w:pPr>
    </w:p>
    <w:bookmarkStart w:id="86" w:name="page87"/>
    <w:bookmarkEnd w:id="86"/>
    <w:p>
      <w:pPr>
        <w:spacing w:after="0"/>
        <w:tabs>
          <w:tab w:leader="none" w:pos="6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Patent Oppositions and Other Proceedings</w:t>
      </w:r>
      <w:r>
        <w:rPr>
          <w:rFonts w:ascii="Arial" w:cs="Arial" w:eastAsia="Arial" w:hAnsi="Arial"/>
          <w:sz w:val="16"/>
          <w:szCs w:val="16"/>
          <w:color w:val="auto"/>
        </w:rPr>
        <w:t>.</w:t>
      </w:r>
    </w:p>
    <w:p>
      <w:pPr>
        <w:spacing w:after="0" w:line="221" w:lineRule="exact"/>
        <w:rPr>
          <w:sz w:val="20"/>
          <w:szCs w:val="20"/>
          <w:color w:val="auto"/>
        </w:rPr>
      </w:pPr>
    </w:p>
    <w:p>
      <w:pPr>
        <w:jc w:val="both"/>
        <w:ind w:left="640" w:firstLine="652"/>
        <w:spacing w:after="0" w:line="287" w:lineRule="auto"/>
        <w:tabs>
          <w:tab w:leader="none" w:pos="2288"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Third-Party Patent Rights</w:t>
      </w:r>
      <w:r>
        <w:rPr>
          <w:rFonts w:ascii="Arial" w:cs="Arial" w:eastAsia="Arial" w:hAnsi="Arial"/>
          <w:sz w:val="16"/>
          <w:szCs w:val="16"/>
          <w:color w:val="auto"/>
        </w:rPr>
        <w:t>. If either Party desires to bring an opposition, action for declaratory judgment, nullity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interference, declaration for non- infringement, reexamination or other attack upon the validity, title or enforceability of a Patent Controlled by a Third Party and having one or more claims that covers a Product, or the use, sale, offer for sale or importation of a Product (except insofar as such action is a counterclaim to or defense of, or accompanies a defense of, a Third Party’s claim or assertion of infringement under Section 8.7, in which case the provisions of Section 8.7 shall govern), such Party shall so notify the other Party and the Parties shall promptly confer to determine whether to bring such action or the manner in which to settle such action. Harrow shall have the first right, but not the obligation, to bring at its own expense and in its sole control such action in the Territory. If Harrow does not bring such an action in the Territory, [***] of notification thereof pursuant to this Section 8.8(a) (or earlier, if required by the nature of the proceeding), then Wakamoto shall have the right, but not the obligation, to bring, at Wakamoto’s sole expense, such action. The Party not bringing an action under this Section 8.8(a) shall be entitled to separate representation in such proceeding by counsel of its own choice and at its own expense, and shall cooperate fully with the Party bringing such action. Any awards or amounts received in bringing any such action shall be first allocated to reimburse each Party’s expenses in such action, and any remaining amounts shall be retained by the Party who brings such action.</w:t>
      </w:r>
    </w:p>
    <w:p>
      <w:pPr>
        <w:spacing w:after="0" w:line="171" w:lineRule="exact"/>
        <w:rPr>
          <w:rFonts w:ascii="Arial" w:cs="Arial" w:eastAsia="Arial" w:hAnsi="Arial"/>
          <w:sz w:val="16"/>
          <w:szCs w:val="16"/>
          <w:color w:val="auto"/>
        </w:rPr>
      </w:pPr>
    </w:p>
    <w:p>
      <w:pPr>
        <w:jc w:val="both"/>
        <w:ind w:left="640" w:firstLine="652"/>
        <w:spacing w:after="0" w:line="288" w:lineRule="auto"/>
        <w:tabs>
          <w:tab w:leader="none" w:pos="23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Parties’ Patent Rights. If any Wakamoto Patent or Joint Patent becomes the subject of any proceeding commenced by a Third Party within the 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8.6, in which case the provisions of Section 8.6 shall govern), then the Party responsible for filing, preparing, prosecuting and maintaining such Patent as set forth in Section 8.3 hereof, shall control such defense at its own expense. The controlling Party shall permit the non-controlling Party to participate in the proceeding to the extent permissible under Applicable Law, and to be represented by its own counsel in such proceeding, at the non-controlling Party’s expense. If either Party decides that it does not wish to defend against such action, then the other Party shall have a backup right to assume defense of such Third-Party action at its own expense. Any awards or amounts received in bringing any such action shall be first allocated to reimburse each Party’s expenses in such action, and any remaining amounts shall be retained by the controlling Party.</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69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Articles 9 and 27 of the Supply Agreement sets forth and shall govern the representations, warranties and covenants of the Parties under this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11 of the Supply Agreement sets forth and shall govern the confidentiality obligations under this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Articles 15, 16 and 17 of the Supply Agreement sets forth and shall govern the Term and Termination of this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termination of this Agreement, in addition to the provisions of this Agreement that continue in effect in accordance with their terms, the following provisions of this Agreement shall survive: Articles 1, 7 (but only to the extent relating to milestone events occurring on or prior to the date of termination or for sales of Product), 9, 10, 11, 12, 13 (solely as to activities arising during the Term or as to any activities conducted in the course of a Party’s exercise of a license surviving the Term), and 14 and Sections 2.2, 3.6, 4.2, 5.2, (with respect to any royalty obligations that arise on or prior to termination), 6.2, 7.4, 8.1, 8.2 (with respect to any disclosure obligations that arise on or prior to termination), 8.3(c), 8.3(d)(ii), 8.3(d)(iii) and 8.6(d) (to the extent any suit or action under that section is still pending upon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20 of the Supply Agreement sets forth and shall govern the Dispute Resolution Mechanism under this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anything in this Agreement to the contrary, any and all issues regarding the scope, construction, validity, and enforceability of any Patent or trademark relating to a Product that is the subject of this Agreement shall be determined in a court or other tribunal, as the case may be, of competent jurisdiction under the applicable patent or trademark laws of the country in which such Patent or trademark rights were granted or arose.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Article 9 of the Supply Agreement sets forth and shall govern the Indemnification and Insurance provisions under this Agreement. Article 14 of the Supply Agreement sets forth and shall govern the Limitation of Liability provisions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Articles 21-26 and 28-31 of the Supply Agreement sets forth and shall govern the miscellaneous provisions under this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and the Supply Agreement constitutes the entire agreement between the parties hereto with respect to the subject matter hereof and shall supersede any previous understandings or agreements relating thereto. This Agreement may be amended only by a written instrument duly signed by the authorized representative of each party 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signed by their duly authorized representatives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L. Baum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WAKAMOTO PHARMACEUTICAL CO.,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Norihisa Kojima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Norihisa Kojima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688" w:right="8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Annex 1</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2360" w:type="dxa"/>
            <w:vAlign w:val="bottom"/>
          </w:tcPr>
          <w:p>
            <w:pPr>
              <w:spacing w:after="0"/>
              <w:rPr>
                <w:sz w:val="24"/>
                <w:szCs w:val="24"/>
                <w:color w:val="auto"/>
              </w:rPr>
            </w:pPr>
          </w:p>
        </w:tc>
        <w:tc>
          <w:tcPr>
            <w:tcW w:w="7540" w:type="dxa"/>
            <w:vAlign w:val="bottom"/>
            <w:gridSpan w:val="11"/>
          </w:tcPr>
          <w:p>
            <w:pPr>
              <w:ind w:left="160"/>
              <w:spacing w:after="0"/>
              <w:rPr>
                <w:sz w:val="20"/>
                <w:szCs w:val="20"/>
                <w:color w:val="auto"/>
              </w:rPr>
            </w:pPr>
            <w:r>
              <w:rPr>
                <w:rFonts w:ascii="Arial" w:cs="Arial" w:eastAsia="Arial" w:hAnsi="Arial"/>
                <w:sz w:val="18"/>
                <w:szCs w:val="18"/>
                <w:color w:val="auto"/>
              </w:rPr>
              <w:t>Estimated Sales Forecast of Triamcinolone Acetonide, MAQAID, ophthalmic injection 40 mg</w:t>
            </w:r>
          </w:p>
        </w:tc>
        <w:tc>
          <w:tcPr>
            <w:tcW w:w="1340" w:type="dxa"/>
            <w:vAlign w:val="bottom"/>
          </w:tcPr>
          <w:p>
            <w:pPr>
              <w:spacing w:after="0"/>
              <w:rPr>
                <w:sz w:val="24"/>
                <w:szCs w:val="24"/>
                <w:color w:val="auto"/>
              </w:rPr>
            </w:pPr>
          </w:p>
        </w:tc>
      </w:tr>
      <w:tr>
        <w:trPr>
          <w:trHeight w:val="479"/>
        </w:trPr>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year</w:t>
            </w:r>
          </w:p>
        </w:tc>
        <w:tc>
          <w:tcPr>
            <w:tcW w:w="1580" w:type="dxa"/>
            <w:vAlign w:val="bottom"/>
            <w:gridSpan w:val="2"/>
          </w:tcPr>
          <w:p>
            <w:pPr>
              <w:ind w:left="380"/>
              <w:spacing w:after="0"/>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year</w:t>
            </w:r>
          </w:p>
        </w:tc>
        <w:tc>
          <w:tcPr>
            <w:tcW w:w="80" w:type="dxa"/>
            <w:vAlign w:val="bottom"/>
          </w:tcPr>
          <w:p>
            <w:pPr>
              <w:spacing w:after="0"/>
              <w:rPr>
                <w:sz w:val="24"/>
                <w:szCs w:val="24"/>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year</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year</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year</w:t>
            </w:r>
          </w:p>
        </w:tc>
      </w:tr>
      <w:tr>
        <w:trPr>
          <w:trHeight w:val="216"/>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Number of the Product (Vials)</w:t>
            </w:r>
          </w:p>
        </w:tc>
        <w:tc>
          <w:tcPr>
            <w:tcW w:w="1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r>
      <w:tr>
        <w:trPr>
          <w:trHeight w:val="655"/>
        </w:trPr>
        <w:tc>
          <w:tcPr>
            <w:tcW w:w="2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91" w:name="page92"/>
    <w:bookmarkEnd w:id="91"/>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920" w:hanging="453"/>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91"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60" w:hanging="45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hanging="456"/>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5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56"/>
        <w:spacing w:after="0" w:line="308" w:lineRule="auto"/>
        <w:tabs>
          <w:tab w:leader="none" w:pos="12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56"/>
        <w:spacing w:after="0" w:line="277"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September 30, 2021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04"/>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bullet"/>
      <w:start w:val="1"/>
    </w:lvl>
  </w:abstractNum>
  <w:abstractNum w:abstractNumId="15">
    <w:nsid w:val="5C482A97"/>
    <w:multiLevelType w:val="hybridMultilevel"/>
    <w:lvl w:ilvl="0">
      <w:lvlJc w:val="left"/>
      <w:lvlText w:val="2"/>
      <w:numFmt w:val="bullet"/>
      <w:start w:val="1"/>
    </w:lvl>
  </w:abstractNum>
  <w:abstractNum w:abstractNumId="16">
    <w:nsid w:val="2463B9EA"/>
    <w:multiLevelType w:val="hybridMultilevel"/>
    <w:lvl w:ilvl="0">
      <w:lvlJc w:val="left"/>
      <w:lvlText w:val="3"/>
      <w:numFmt w:val="bullet"/>
      <w:start w:val="1"/>
    </w:lvl>
  </w:abstractNum>
  <w:abstractNum w:abstractNumId="17">
    <w:nsid w:val="5E884ADC"/>
    <w:multiLevelType w:val="hybridMultilevel"/>
    <w:lvl w:ilvl="0">
      <w:lvlJc w:val="left"/>
      <w:lvlText w:val="4"/>
      <w:numFmt w:val="bullet"/>
      <w:start w:val="1"/>
    </w:lvl>
  </w:abstractNum>
  <w:abstractNum w:abstractNumId="18">
    <w:nsid w:val="51EAD36B"/>
    <w:multiLevelType w:val="hybridMultilevel"/>
    <w:lvl w:ilvl="0">
      <w:lvlJc w:val="left"/>
      <w:lvlText w:val="5"/>
      <w:numFmt w:val="bullet"/>
      <w:start w:val="1"/>
    </w:lvl>
  </w:abstractNum>
  <w:abstractNum w:abstractNumId="19">
    <w:nsid w:val="2D517796"/>
    <w:multiLevelType w:val="hybridMultilevel"/>
    <w:lvl w:ilvl="0">
      <w:lvlJc w:val="left"/>
      <w:lvlText w:val="6"/>
      <w:numFmt w:val="bullet"/>
      <w:start w:val="1"/>
    </w:lvl>
  </w:abstractNum>
  <w:abstractNum w:abstractNumId="20">
    <w:nsid w:val="580BD78F"/>
    <w:multiLevelType w:val="hybridMultilevel"/>
    <w:lvl w:ilvl="0">
      <w:lvlJc w:val="left"/>
      <w:lvlText w:val="7"/>
      <w:numFmt w:val="bullet"/>
      <w:start w:val="1"/>
    </w:lvl>
  </w:abstractNum>
  <w:abstractNum w:abstractNumId="21">
    <w:nsid w:val="153EA438"/>
    <w:multiLevelType w:val="hybridMultilevel"/>
    <w:lvl w:ilvl="0">
      <w:lvlJc w:val="left"/>
      <w:lvlText w:val="8"/>
      <w:numFmt w:val="bullet"/>
      <w:start w:val="1"/>
    </w:lvl>
  </w:abstractNum>
  <w:abstractNum w:abstractNumId="22">
    <w:nsid w:val="3855585C"/>
    <w:multiLevelType w:val="hybridMultilevel"/>
    <w:lvl w:ilvl="0">
      <w:lvlJc w:val="left"/>
      <w:lvlText w:val="9"/>
      <w:numFmt w:val="bullet"/>
      <w:start w:val="1"/>
    </w:lvl>
  </w:abstractNum>
  <w:abstractNum w:abstractNumId="23">
    <w:nsid w:val="70A64E2A"/>
    <w:multiLevelType w:val="hybridMultilevel"/>
    <w:lvl w:ilvl="0">
      <w:lvlJc w:val="left"/>
      <w:lvlText w:val="%1"/>
      <w:numFmt w:val="decimal"/>
      <w:start w:val="10"/>
    </w:lvl>
  </w:abstractNum>
  <w:abstractNum w:abstractNumId="24">
    <w:nsid w:val="6A2342EC"/>
    <w:multiLevelType w:val="hybridMultilevel"/>
    <w:lvl w:ilvl="0">
      <w:lvlJc w:val="left"/>
      <w:lvlText w:val="%1"/>
      <w:numFmt w:val="decimal"/>
      <w:start w:val="1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decimal"/>
      <w:start w:val="12"/>
    </w:lvl>
  </w:abstractNum>
  <w:abstractNum w:abstractNumId="27">
    <w:nsid w:val="725A06FB"/>
    <w:multiLevelType w:val="hybridMultilevel"/>
    <w:lvl w:ilvl="0">
      <w:lvlJc w:val="left"/>
      <w:lvlText w:val="%1"/>
      <w:numFmt w:val="decimal"/>
      <w:start w:val="14"/>
    </w:lvl>
  </w:abstractNum>
  <w:abstractNum w:abstractNumId="28">
    <w:nsid w:val="2CD89A32"/>
    <w:multiLevelType w:val="hybridMultilevel"/>
    <w:lvl w:ilvl="0">
      <w:lvlJc w:val="left"/>
      <w:lvlText w:val="%1"/>
      <w:numFmt w:val="decimal"/>
      <w:start w:val="16"/>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7"/>
    </w:lvl>
  </w:abstractNum>
  <w:abstractNum w:abstractNumId="31">
    <w:nsid w:val="4B588F54"/>
    <w:multiLevelType w:val="hybridMultilevel"/>
    <w:lvl w:ilvl="0">
      <w:lvlJc w:val="left"/>
      <w:lvlText w:val="%1"/>
      <w:numFmt w:val="decimal"/>
      <w:start w:val="18"/>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19"/>
    </w:lvl>
  </w:abstractNum>
  <w:abstractNum w:abstractNumId="35">
    <w:nsid w:val="7644A45C"/>
    <w:multiLevelType w:val="hybridMultilevel"/>
    <w:lvl w:ilvl="0">
      <w:lvlJc w:val="left"/>
      <w:lvlText w:val="%1"/>
      <w:numFmt w:val="decimal"/>
      <w:start w:val="20"/>
    </w:lvl>
  </w:abstractNum>
  <w:abstractNum w:abstractNumId="36">
    <w:nsid w:val="32FFF902"/>
    <w:multiLevelType w:val="hybridMultilevel"/>
    <w:lvl w:ilvl="0">
      <w:lvlJc w:val="left"/>
      <w:lvlText w:val="%1"/>
      <w:numFmt w:val="decimal"/>
      <w:start w:val="22"/>
    </w:lvl>
  </w:abstractNum>
  <w:abstractNum w:abstractNumId="37">
    <w:nsid w:val="684A481A"/>
    <w:multiLevelType w:val="hybridMultilevel"/>
    <w:lvl w:ilvl="0">
      <w:lvlJc w:val="left"/>
      <w:lvlText w:val="%1"/>
      <w:numFmt w:val="decimal"/>
      <w:start w:val="23"/>
    </w:lvl>
  </w:abstractNum>
  <w:abstractNum w:abstractNumId="38">
    <w:nsid w:val="579478FE"/>
    <w:multiLevelType w:val="hybridMultilevel"/>
    <w:lvl w:ilvl="0">
      <w:lvlJc w:val="left"/>
      <w:lvlText w:val="%1"/>
      <w:numFmt w:val="decimal"/>
      <w:start w:val="27"/>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3"/>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2"/>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3"/>
    </w:lvl>
    <w:lvl w:ilvl="1">
      <w:lvlJc w:val="left"/>
      <w:lvlText w:val="(%2)"/>
      <w:numFmt w:val="lowerRoman"/>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lvl w:ilvl="1">
      <w:lvlJc w:val="left"/>
      <w:lvlText w:val="(%2)"/>
      <w:numFmt w:val="lowerLetter"/>
      <w:start w:val="9"/>
    </w:lvl>
  </w:abstractNum>
  <w:abstractNum w:abstractNumId="53">
    <w:nsid w:val="1CF10FD8"/>
    <w:multiLevelType w:val="hybridMultilevel"/>
    <w:lvl w:ilvl="0">
      <w:lvlJc w:val="left"/>
      <w:lvlText w:val="%1"/>
      <w:numFmt w:val="lowerLetter"/>
      <w:start w:val="1"/>
    </w:lvl>
    <w:lvl w:ilvl="1">
      <w:lvlJc w:val="left"/>
      <w:lvlText w:val="(%2)"/>
      <w:numFmt w:val="lowerRoman"/>
      <w:start w:val="2"/>
    </w:lvl>
  </w:abstractNum>
  <w:abstractNum w:abstractNumId="54">
    <w:nsid w:val="180115BE"/>
    <w:multiLevelType w:val="hybridMultilevel"/>
    <w:lvl w:ilvl="0">
      <w:lvlJc w:val="left"/>
      <w:lvlText w:val="(%1)"/>
      <w:numFmt w:val="lowerLetter"/>
      <w:start w:val="3"/>
    </w:lvl>
    <w:lvl w:ilvl="1">
      <w:lvlJc w:val="left"/>
      <w:lvlText w:val="%2"/>
      <w:numFmt w:val="lowerRoman"/>
      <w:start w:val="1"/>
    </w:lvl>
  </w:abstractNum>
  <w:abstractNum w:abstractNumId="55">
    <w:nsid w:val="235BA861"/>
    <w:multiLevelType w:val="hybridMultilevel"/>
    <w:lvl w:ilvl="0">
      <w:lvlJc w:val="left"/>
      <w:lvlText w:val="[***]"/>
      <w:numFmt w:val="bullet"/>
      <w:start w:val="1"/>
    </w:lvl>
    <w:lvl w:ilvl="1">
      <w:lvlJc w:val="left"/>
      <w:lvlText w:val="(%2)"/>
      <w:numFmt w:val="lowerLetter"/>
      <w:start w:val="1"/>
    </w:lvl>
  </w:abstractNum>
  <w:abstractNum w:abstractNumId="56">
    <w:nsid w:val="47398C89"/>
    <w:multiLevelType w:val="hybridMultilevel"/>
    <w:lvl w:ilvl="0">
      <w:lvlJc w:val="left"/>
      <w:lvlText w:val="[***]"/>
      <w:numFmt w:val="bullet"/>
      <w:start w:val="1"/>
    </w:lvl>
    <w:lvl w:ilvl="1">
      <w:lvlJc w:val="left"/>
      <w:lvlText w:val="(%2)"/>
      <w:numFmt w:val="lowerLetter"/>
      <w:start w:val="3"/>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48" Type="http://schemas.openxmlformats.org/officeDocument/2006/relationships/hyperlink" Target="https://www.sec.gov/Archives/edgar/data/1360214/000149315221019181/ex10-2.htm" TargetMode="External"/><Relationship Id="rId49" Type="http://schemas.openxmlformats.org/officeDocument/2006/relationships/hyperlink" Target="https://www.sec.gov/Archives/edgar/data/1360214/00014931522102187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2021-11-09T16:32:53Z</dcterms:created>
  <dcterms:modified xsi:type="dcterms:W3CDTF">2021-11-09T16:32:53Z</dcterms:modified>
</cp:coreProperties>
</file>