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3" w:name="xdx_909_edei--DocumentQuarterlyReport_c2"/>
      <w:bookmarkEnd w:id="3"/>
      <w:r>
        <w:rPr>
          <w:caps w:val="false"/>
          <w:smallCaps w:val="false"/>
        </w:rPr>
        <w:t xml:space="preserve">☒ </w:t>
      </w:r>
      <w:r>
        <w:rPr>
          <w:rFonts w:ascii="Times New Roman;Times;Serif" w:hAnsi="Times New Roman;Times;Serif"/>
          <w:b/>
          <w:i w:val="false"/>
          <w:caps w:val="false"/>
          <w:smallCaps w:val="false"/>
          <w:sz w:val="20"/>
        </w:rPr>
        <w:t xml:space="preserve">QUARTERLY REPORT 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2_edei--DocumentPeriodEndDate_c202"/>
      <w:bookmarkEnd w:id="4"/>
      <w:r>
        <w:rPr>
          <w:rFonts w:ascii="Times New Roman;Times;Serif" w:hAnsi="Times New Roman;Times;Serif"/>
          <w:b/>
          <w:i w:val="false"/>
          <w:caps w:val="false"/>
          <w:smallCaps w:val="false"/>
          <w:sz w:val="20"/>
        </w:rPr>
        <w:t xml:space="preserve">March 31, </w:t>
      </w:r>
      <w:bookmarkStart w:id="5" w:name="xdx_90E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6" w:name="xdx_906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2_edei--EntityFileNumber_c20240101"/>
      <w:bookmarkEnd w:id="7"/>
      <w:r>
        <w:rPr>
          <w:rFonts w:ascii="Times New Roman;Times;Serif" w:hAnsi="Times New Roman;Times;Serif"/>
          <w:b/>
          <w:i w:val="false"/>
          <w:caps w:val="false"/>
          <w:smallCaps w:val="false"/>
          <w:sz w:val="20"/>
        </w:rPr>
        <w:t>001-35814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C_edei--EntityRegistrantName_c2024"/>
      <w:bookmarkEnd w:id="8"/>
      <w:r>
        <w:rPr>
          <w:rFonts w:ascii="Times New Roman;Times;Serif" w:hAnsi="Times New Roman;Times;Serif"/>
          <w:b/>
          <w:i w:val="false"/>
          <w:caps w:val="false"/>
          <w:smallCaps w:val="false"/>
          <w:sz w:val="36"/>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4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TaxIdentificationNum"/>
            <w:bookmarkEnd w:id="10"/>
            <w:r>
              <w:rPr>
                <w:rFonts w:ascii="Times New Roman;Times;Serif" w:hAnsi="Times New Roman;Times;Serif"/>
                <w:b/>
                <w:i w:val="false"/>
                <w:caps w:val="false"/>
                <w:smallCaps w:val="false"/>
                <w:sz w:val="20"/>
              </w:rPr>
              <w:t>45-0567010</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1" w:name="xdx_908_edei--EntityAddressAddressLine1_"/>
            <w:bookmarkEnd w:id="11"/>
            <w:r>
              <w:rPr>
                <w:rFonts w:ascii="Times New Roman;Times;Serif" w:hAnsi="Times New Roman;Times;Serif"/>
                <w:b/>
                <w:i w:val="false"/>
                <w:caps w:val="false"/>
                <w:smallCaps w:val="false"/>
                <w:sz w:val="20"/>
              </w:rPr>
              <w:t xml:space="preserve">102 Woodmont Blvd., </w:t>
            </w:r>
            <w:bookmarkStart w:id="12" w:name="xdx_901_edei--EntityAddressAddressLine2_"/>
            <w:bookmarkEnd w:id="12"/>
            <w:r>
              <w:rPr>
                <w:rFonts w:ascii="Times New Roman;Times;Serif" w:hAnsi="Times New Roman;Times;Serif"/>
                <w:b/>
                <w:i w:val="false"/>
                <w:caps w:val="false"/>
                <w:smallCaps w:val="false"/>
                <w:sz w:val="20"/>
              </w:rPr>
              <w:t>Suite 610</w:t>
            </w:r>
          </w:p>
          <w:p>
            <w:pPr>
              <w:pStyle w:val="TableContents"/>
              <w:bidi w:val="0"/>
              <w:spacing w:before="0" w:after="0"/>
              <w:jc w:val="center"/>
              <w:rPr>
                <w:rFonts w:ascii="Times New Roman;Times;Serif" w:hAnsi="Times New Roman;Times;Serif"/>
                <w:b/>
                <w:i w:val="false"/>
                <w:caps w:val="false"/>
                <w:smallCaps w:val="false"/>
                <w:sz w:val="20"/>
              </w:rPr>
            </w:pPr>
            <w:bookmarkStart w:id="13" w:name="xdx_903_edei--EntityAddressCityOrTown_c2"/>
            <w:bookmarkEnd w:id="13"/>
            <w:r>
              <w:rPr>
                <w:rFonts w:ascii="Times New Roman;Times;Serif" w:hAnsi="Times New Roman;Times;Serif"/>
                <w:b/>
                <w:i w:val="false"/>
                <w:caps w:val="false"/>
                <w:smallCaps w:val="false"/>
                <w:sz w:val="20"/>
              </w:rPr>
              <w:t xml:space="preserve">Nashville, </w:t>
            </w:r>
            <w:bookmarkStart w:id="14" w:name="xdx_90D_edei--EntityAddressStateOrProvin"/>
            <w:bookmarkEnd w:id="14"/>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7_edei--EntityAddressPostalZipCode"/>
            <w:bookmarkEnd w:id="15"/>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E_edei--CityAreaCode_c20240101__20"/>
      <w:bookmarkEnd w:id="16"/>
      <w:r>
        <w:rPr>
          <w:rFonts w:ascii="Times New Roman;Times;Serif" w:hAnsi="Times New Roman;Times;Serif"/>
          <w:b/>
          <w:i w:val="false"/>
          <w:caps w:val="false"/>
          <w:smallCaps w:val="false"/>
          <w:sz w:val="20"/>
        </w:rPr>
        <w:t xml:space="preserve">(615) </w:t>
      </w:r>
      <w:bookmarkStart w:id="17" w:name="xdx_900_edei--LocalPhoneNumber_c20240101"/>
      <w:bookmarkEnd w:id="17"/>
      <w:r>
        <w:rPr>
          <w:rFonts w:ascii="Times New Roman;Times;Serif" w:hAnsi="Times New Roman;Times;Serif"/>
          <w:b/>
          <w:i w:val="false"/>
          <w:caps w:val="false"/>
          <w:smallCaps w:val="false"/>
          <w:sz w:val="20"/>
        </w:rPr>
        <w:t>733-4730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12bTitle_c20240101"/>
            <w:bookmarkEnd w:id="18"/>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40101__2"/>
            <w:bookmarkEnd w:id="19"/>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1_edei--SecurityExchangeName_c2024"/>
            <w:bookmarkEnd w:id="20"/>
            <w:r>
              <w:rPr>
                <w:rFonts w:ascii="Times New Roman;Times;Serif" w:hAnsi="Times New Roman;Times;Serif"/>
                <w:b w:val="false"/>
                <w:i w:val="false"/>
                <w:caps w:val="false"/>
                <w:smallCaps w:val="false"/>
                <w:sz w:val="20"/>
              </w:rPr>
              <w:t>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12bTitle_c20240101"/>
            <w:bookmarkEnd w:id="21"/>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TradingSymbol_c20240101__2"/>
            <w:bookmarkEnd w:id="22"/>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B_edei--SecurityExchangeName_c2024"/>
            <w:bookmarkEnd w:id="23"/>
            <w:r>
              <w:rPr>
                <w:rFonts w:ascii="Times New Roman;Times;Serif" w:hAnsi="Times New Roman;Times;Serif"/>
                <w:b w:val="false"/>
                <w:i w:val="false"/>
                <w:caps w:val="false"/>
                <w:smallCaps w:val="false"/>
                <w:sz w:val="20"/>
              </w:rPr>
              <w:t>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A_edei--Security12bTitle_c20240101"/>
            <w:bookmarkEnd w:id="24"/>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D_edei--TradingSymbol_c20240101__2"/>
            <w:bookmarkEnd w:id="25"/>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6" w:name="xdx_90C_edei--SecurityExchangeName_c2024"/>
            <w:bookmarkEnd w:id="26"/>
            <w:r>
              <w:rPr>
                <w:rFonts w:ascii="Times New Roman;Times;Serif" w:hAnsi="Times New Roman;Times;Serif"/>
                <w:b w:val="false"/>
                <w:i w:val="false"/>
                <w:caps w:val="false"/>
                <w:smallCaps w:val="false"/>
                <w:sz w:val="20"/>
              </w:rPr>
              <w:t>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2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9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A_edei--EntityFilerCategory_c20240"/>
            <w:bookmarkEnd w:id="29"/>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0" w:name="xdx_90A_edei--EntitySmallBusiness_c20240"/>
            <w:bookmarkEnd w:id="30"/>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31" w:name="xdx_90E_edei--EntityEmergingGrowthCompan"/>
            <w:bookmarkEnd w:id="31"/>
            <w:r>
              <w:rPr>
                <w:caps w:val="false"/>
                <w:smallCaps w:val="false"/>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a check mark whether the registrant is a shell company (as defined in Rule 12b-2 of the Exchange Act). Yes ☐ No </w:t>
      </w:r>
      <w:bookmarkStart w:id="32" w:name="xdx_906_edei--EntityShellCompany_dbF_c20"/>
      <w:bookmarkEnd w:id="3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10, 2024, there were </w:t>
      </w:r>
      <w:bookmarkStart w:id="33" w:name="xdx_901_edei--EntityCommonStockSharesOut"/>
      <w:bookmarkEnd w:id="33"/>
      <w:r>
        <w:rPr>
          <w:rFonts w:ascii="Times New Roman;Times;Serif" w:hAnsi="Times New Roman;Times;Serif"/>
          <w:b w:val="false"/>
          <w:i w:val="false"/>
          <w:caps w:val="false"/>
          <w:smallCaps w:val="false"/>
          <w:sz w:val="20"/>
        </w:rPr>
        <w:t>35,381.935 shares of the registrant’s common stock, $0.001 par value, outstanding.</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jc w:val="both"/>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725"/>
        <w:gridCol w:w="60"/>
        <w:gridCol w:w="7280"/>
        <w:gridCol w:w="6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1">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2">
              <w:r>
                <w:rPr>
                  <w:rStyle w:val="InternetLink"/>
                  <w:rFonts w:ascii="Times New Roman;Times;Serif" w:hAnsi="Times New Roman;Times;Serif"/>
                  <w:b w:val="false"/>
                  <w:i w:val="false"/>
                  <w:caps w:val="false"/>
                  <w:smallCaps w:val="false"/>
                  <w:sz w:val="20"/>
                </w:rPr>
                <w:t>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5">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6">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7">
              <w:r>
                <w:rPr>
                  <w:rStyle w:val="InternetLink"/>
                  <w:rFonts w:ascii="Times New Roman;Times;Serif" w:hAnsi="Times New Roman;Times;Serif"/>
                  <w:b w:val="false"/>
                  <w:i w:val="false"/>
                  <w:caps w:val="false"/>
                  <w:smallCaps w:val="false"/>
                  <w:sz w:val="20"/>
                </w:rPr>
                <w:t>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8">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09">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10">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11">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12">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13">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k_014">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rFonts w:ascii="Times New Roman;Times;Serif" w:hAnsi="Times New Roman;Times;Serif"/>
          <w:b/>
          <w:i w:val="false"/>
          <w:caps w:val="false"/>
          <w:smallCaps w:val="false"/>
          <w:sz w:val="20"/>
        </w:rPr>
      </w:pPr>
      <w:bookmarkStart w:id="34" w:name="sk_001"/>
      <w:bookmarkEnd w:id="34"/>
      <w:r>
        <w:rPr>
          <w:rFonts w:ascii="Times New Roman;Times;Serif" w:hAnsi="Times New Roman;Times;Serif"/>
          <w:b/>
          <w:i w:val="false"/>
          <w:caps w:val="false"/>
          <w:smallCaps w:val="false"/>
          <w:sz w:val="20"/>
        </w:rPr>
        <w:t>FINANCIAL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5" w:name="sk_002"/>
      <w:bookmarkEnd w:id="35"/>
      <w:r>
        <w:rPr>
          <w:rFonts w:ascii="Times New Roman;Times;Serif" w:hAnsi="Times New Roman;Times;Serif"/>
          <w:b/>
          <w:i w:val="false"/>
          <w:caps w:val="false"/>
          <w:smallCaps w:val="false"/>
          <w:sz w:val="20"/>
        </w:rPr>
        <w:t>Item 1.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A_111_zwah7idxGmTg"/>
      <w:bookmarkStart w:id="37" w:name="xdx_30A_111_zwah7idxGmTg"/>
      <w:bookmarkEnd w:id="37"/>
    </w:p>
    <w:tbl>
      <w:tblPr>
        <w:tblW w:w="10205" w:type="dxa"/>
        <w:jc w:val="left"/>
        <w:tblInd w:w="0" w:type="dxa"/>
        <w:tblLayout w:type="fixed"/>
        <w:tblCellMar>
          <w:top w:w="0" w:type="dxa"/>
          <w:left w:w="0" w:type="dxa"/>
          <w:bottom w:w="0" w:type="dxa"/>
          <w:right w:w="0" w:type="dxa"/>
        </w:tblCellMar>
      </w:tblPr>
      <w:tblGrid>
        <w:gridCol w:w="7430"/>
        <w:gridCol w:w="60"/>
        <w:gridCol w:w="125"/>
        <w:gridCol w:w="1115"/>
        <w:gridCol w:w="80"/>
        <w:gridCol w:w="60"/>
        <w:gridCol w:w="125"/>
        <w:gridCol w:w="1115"/>
        <w:gridCol w:w="95"/>
      </w:tblGrid>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 w:name="xdx_496_20240331_zFJW57z8WfKa"/>
            <w:bookmarkEnd w:id="38"/>
          </w:p>
        </w:tc>
        <w:tc>
          <w:tcPr>
            <w:tcW w:w="124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9" w:name="xdx_49D_20231231_zBl1Br0iPzrk"/>
            <w:bookmarkEnd w:id="39"/>
          </w:p>
        </w:tc>
        <w:tc>
          <w:tcPr>
            <w:tcW w:w="124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 w:name="xdx_40B_eus-gaap--AssetsAbstract_iB_zL4a"/>
            <w:bookmarkEnd w:id="40"/>
          </w:p>
        </w:tc>
      </w:tr>
      <w:tr>
        <w:trPr/>
        <w:tc>
          <w:tcPr>
            <w:tcW w:w="74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 w:name="xdx_40C_eus-gaap--AssetsCurrentAbstract_"/>
            <w:bookmarkEnd w:id="4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 w:name="xdx_400_eus-gaap--CashAndCashEquivalents"/>
            <w:bookmarkEnd w:id="42"/>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68,538,000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74,085,000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 w:name="xdx_406_eus-gaap--ShortTermInvestments_i"/>
            <w:bookmarkEnd w:id="43"/>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Eton Pharmaceuticals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 w:name="xdx_40F_eus-gaap--AccountsReceivableNetC"/>
            <w:bookmarkEnd w:id="44"/>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28,960,000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37,271,000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 w:name="xdx_408_eus-gaap--InventoryNet_i02I_maAC"/>
            <w:bookmarkEnd w:id="45"/>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10,867,000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 w:name="xdx_400_eus-gaap--PrepaidExpenseAndOther"/>
            <w:bookmarkEnd w:id="46"/>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9,717,000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 w:name="xdx_40E_eus-gaap--AssetsCurrent_i02TI_mt"/>
            <w:bookmarkEnd w:id="47"/>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125,458,000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140,492,000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 w:name="xdx_403_eus-gaap--PropertyPlantAndEquipm"/>
            <w:bookmarkEnd w:id="48"/>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 w:name="xdx_40F_eus-gaap--CapitalizedComputerSof"/>
            <w:bookmarkEnd w:id="49"/>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software costs,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 w:name="xdx_401_eus-gaap--OperatingLeaseRightOfU"/>
            <w:bookmarkEnd w:id="50"/>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 w:name="xdx_40D_eus-gaap--IntangibleAssetsNetExc"/>
            <w:bookmarkEnd w:id="5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157,370,000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159,906,000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 w:name="xdx_40E_eus-gaap--Goodwill_i01I_maAz3Tg_"/>
            <w:bookmarkEnd w:id="52"/>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 w:name="xdx_404_eus-gaap--Assets_i01TI_mtAz3Tg_z"/>
            <w:bookmarkEnd w:id="53"/>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295,536,000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313,174,000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4" w:name="xdx_404_eus-gaap--LiabilitiesAndStockhol"/>
            <w:bookmarkEnd w:id="54"/>
          </w:p>
        </w:tc>
      </w:tr>
      <w:tr>
        <w:trPr/>
        <w:tc>
          <w:tcPr>
            <w:tcW w:w="74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5" w:name="xdx_40F_eus-gaap--LiabilitiesCurrentAbst"/>
            <w:bookmarkEnd w:id="55"/>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6" w:name="xdx_40E_eus-gaap--AccountsPayableAndAccr"/>
            <w:bookmarkEnd w:id="56"/>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24,581,000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 w:name="xdx_40F_ecustom--AccruedRebatesAndCopayA"/>
            <w:bookmarkEnd w:id="57"/>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rebates and copay assistance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19,442,000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 w:name="xdx_40E_eus-gaap--EmployeeRelatedLiabili"/>
            <w:bookmarkEnd w:id="58"/>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related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5,027,000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 w:name="xdx_40D_eus-gaap--ContractWithCustomerLi"/>
            <w:bookmarkEnd w:id="59"/>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 w:name="xdx_402_eus-gaap--OperatingLeaseLiabilit"/>
            <w:bookmarkEnd w:id="60"/>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operating lease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1" w:name="xdx_40D_eus-gaap--LiabilitiesCurrent_i02"/>
            <w:bookmarkEnd w:id="6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41,753,000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50,354,000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2" w:name="xdx_409_eus-gaap--OperatingLeaseLiabilit"/>
            <w:bookmarkEnd w:id="62"/>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6,716,000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 w:name="xdx_403_eus-gaap--AccountsPayableAndAccr"/>
            <w:bookmarkEnd w:id="63"/>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 w:name="xdx_40A_eus-gaap--LongTermNotesPayable_i"/>
            <w:bookmarkEnd w:id="64"/>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net of unamortized debt discount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184,148,000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183,172,000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 w:name="xdx_40A_eus-gaap--Liabilities_i02TI_mtLz"/>
            <w:bookmarkEnd w:id="65"/>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235,330,000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242,763,000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 w:name="xdx_402_eus-gaap--CommitmentsAndContinge"/>
            <w:bookmarkEnd w:id="66"/>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 w:name="xdx_402_eus-gaap--StockholdersEquityAbst"/>
            <w:bookmarkEnd w:id="67"/>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8" w:name="xdx_404_eus-gaap--CommonStockValue_i02I_"/>
            <w:bookmarkEnd w:id="68"/>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t>
            </w:r>
            <w:bookmarkStart w:id="69" w:name="xdx_90C_eus-gaap--CommonStockParOrStated"/>
            <w:bookmarkStart w:id="70" w:name="xdx_900_eus-gaap--CommonStockParOrStated"/>
            <w:bookmarkEnd w:id="69"/>
            <w:bookmarkEnd w:id="70"/>
            <w:r>
              <w:rPr>
                <w:rFonts w:ascii="Times New Roman;Times;Serif" w:hAnsi="Times New Roman;Times;Serif"/>
                <w:b w:val="false"/>
                <w:i w:val="false"/>
                <w:caps w:val="false"/>
                <w:smallCaps w:val="false"/>
                <w:sz w:val="20"/>
              </w:rPr>
              <w:t xml:space="preserve">0.001 par value, </w:t>
            </w:r>
            <w:bookmarkStart w:id="71" w:name="xdx_90D_eus-gaap--CommonStockSharesAutho"/>
            <w:bookmarkStart w:id="72" w:name="xdx_900_eus-gaap--CommonStockSharesAutho"/>
            <w:bookmarkEnd w:id="71"/>
            <w:bookmarkEnd w:id="72"/>
            <w:r>
              <w:rPr>
                <w:rFonts w:ascii="Times New Roman;Times;Serif" w:hAnsi="Times New Roman;Times;Serif"/>
                <w:b w:val="false"/>
                <w:i w:val="false"/>
                <w:caps w:val="false"/>
                <w:smallCaps w:val="false"/>
                <w:sz w:val="20"/>
              </w:rPr>
              <w:t xml:space="preserve">50,000,000 shares authorized, </w:t>
            </w:r>
            <w:bookmarkStart w:id="73" w:name="xdx_90F_eus-gaap--CommonStockSharesOutst"/>
            <w:bookmarkStart w:id="74" w:name="xdx_906_eus-gaap--CommonStockSharesIssue"/>
            <w:bookmarkEnd w:id="73"/>
            <w:bookmarkEnd w:id="74"/>
            <w:r>
              <w:rPr>
                <w:rFonts w:ascii="Times New Roman;Times;Serif" w:hAnsi="Times New Roman;Times;Serif"/>
                <w:b w:val="false"/>
                <w:i w:val="false"/>
                <w:caps w:val="false"/>
                <w:smallCaps w:val="false"/>
                <w:sz w:val="20"/>
              </w:rPr>
              <w:t xml:space="preserve">35,380,955 and </w:t>
            </w:r>
            <w:bookmarkStart w:id="75" w:name="xdx_902_eus-gaap--CommonStockSharesOutst"/>
            <w:bookmarkStart w:id="76" w:name="xdx_908_eus-gaap--CommonStockSharesIssue"/>
            <w:bookmarkEnd w:id="75"/>
            <w:bookmarkEnd w:id="76"/>
            <w:r>
              <w:rPr>
                <w:rFonts w:ascii="Times New Roman;Times;Serif" w:hAnsi="Times New Roman;Times;Serif"/>
                <w:b w:val="false"/>
                <w:i w:val="false"/>
                <w:caps w:val="false"/>
                <w:smallCaps w:val="false"/>
                <w:sz w:val="20"/>
              </w:rPr>
              <w:t>35,168,260 shares issued and outstanding at March 31, 2024 and December 31, 2023,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7" w:name="xdx_409_eus-gaap--AdditionalPaidInCapita"/>
            <w:bookmarkEnd w:id="77"/>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207,995,000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204,635,000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 w:name="xdx_40C_eus-gaap--RetainedEarningsAccumu"/>
            <w:bookmarkEnd w:id="78"/>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(147,469,000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(133,904,000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9" w:name="xdx_401_eus-gaap--StockholdersEquity_i02"/>
            <w:bookmarkEnd w:id="79"/>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HARROW, INC.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60,561,000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70,766,000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 w:name="xdx_408_eus-gaap--MinorityInterest_i02I_"/>
            <w:bookmarkEnd w:id="80"/>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1" w:name="xdx_402_eus-gaap--StockholdersEquityIncl"/>
            <w:bookmarkEnd w:id="8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60,206,000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70,411,000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 w:name="xdx_408_eus-gaap--LiabilitiesAndStockhol"/>
            <w:bookmarkEnd w:id="82"/>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295,536,000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313,174,000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CONDENSED CONSOLIDATED STATEMENTS OF OPERATIONS</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83" w:name="xdx_308_113_zAXogoXJmI6f"/>
      <w:bookmarkStart w:id="84" w:name="xdx_308_113_zAXogoXJmI6f"/>
      <w:bookmarkEnd w:id="84"/>
    </w:p>
    <w:tbl>
      <w:tblPr>
        <w:tblW w:w="10205" w:type="dxa"/>
        <w:jc w:val="left"/>
        <w:tblInd w:w="0" w:type="dxa"/>
        <w:tblLayout w:type="fixed"/>
        <w:tblCellMar>
          <w:top w:w="0" w:type="dxa"/>
          <w:left w:w="0" w:type="dxa"/>
          <w:bottom w:w="0" w:type="dxa"/>
          <w:right w:w="0" w:type="dxa"/>
        </w:tblCellMar>
      </w:tblPr>
      <w:tblGrid>
        <w:gridCol w:w="7279"/>
        <w:gridCol w:w="60"/>
        <w:gridCol w:w="141"/>
        <w:gridCol w:w="1195"/>
        <w:gridCol w:w="95"/>
        <w:gridCol w:w="60"/>
        <w:gridCol w:w="141"/>
        <w:gridCol w:w="1119"/>
        <w:gridCol w:w="115"/>
      </w:tblGrid>
      <w:tr>
        <w:trPr/>
        <w:tc>
          <w:tcPr>
            <w:tcW w:w="72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 w:name="xdx_49E_20240101__20240331_zKBSGPPz2KZ6"/>
            <w:bookmarkEnd w:id="85"/>
          </w:p>
        </w:tc>
        <w:tc>
          <w:tcPr>
            <w:tcW w:w="1336"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 w:name="xdx_498_20230101__20230331_zyIh9KcLB6lj"/>
            <w:bookmarkEnd w:id="86"/>
          </w:p>
        </w:tc>
        <w:tc>
          <w:tcPr>
            <w:tcW w:w="126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5" w:type="dxa"/>
            <w:tcBorders/>
            <w:vAlign w:val="center"/>
          </w:tcPr>
          <w:p>
            <w:pPr>
              <w:pStyle w:val="TableContents"/>
              <w:bidi w:val="0"/>
              <w:spacing w:before="0" w:after="283"/>
              <w:jc w:val="left"/>
              <w:rPr/>
            </w:pPr>
            <w:r>
              <w:rPr/>
              <w:t> </w:t>
            </w:r>
          </w:p>
        </w:tc>
      </w:tr>
      <w:tr>
        <w:trPr/>
        <w:tc>
          <w:tcPr>
            <w:tcW w:w="72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1" w:type="dxa"/>
            <w:gridSpan w:val="6"/>
            <w:tcBorders/>
            <w:vAlign w:val="center"/>
          </w:tcPr>
          <w:p>
            <w:pPr>
              <w:pStyle w:val="TableContents"/>
              <w:bidi w:val="0"/>
              <w:spacing w:before="0" w:after="283"/>
              <w:jc w:val="center"/>
              <w:rPr/>
            </w:pPr>
            <w:r>
              <w:rPr/>
              <w:t>For the Three Months Ended</w:t>
            </w:r>
          </w:p>
        </w:tc>
        <w:tc>
          <w:tcPr>
            <w:tcW w:w="115" w:type="dxa"/>
            <w:tcBorders/>
            <w:vAlign w:val="center"/>
          </w:tcPr>
          <w:p>
            <w:pPr>
              <w:pStyle w:val="TableContents"/>
              <w:bidi w:val="0"/>
              <w:spacing w:before="0" w:after="283"/>
              <w:jc w:val="left"/>
              <w:rPr/>
            </w:pPr>
            <w:r>
              <w:rPr/>
              <w:t> </w:t>
            </w:r>
          </w:p>
        </w:tc>
      </w:tr>
      <w:tr>
        <w:trPr/>
        <w:tc>
          <w:tcPr>
            <w:tcW w:w="72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1" w:type="dxa"/>
            <w:gridSpan w:val="6"/>
            <w:tcBorders>
              <w:bottom w:val="single" w:sz="12" w:space="0" w:color="000000"/>
            </w:tcBorders>
            <w:tcMar>
              <w:bottom w:w="28" w:type="dxa"/>
            </w:tcMar>
            <w:vAlign w:val="center"/>
          </w:tcPr>
          <w:p>
            <w:pPr>
              <w:pStyle w:val="TableContents"/>
              <w:bidi w:val="0"/>
              <w:spacing w:before="0" w:after="283"/>
              <w:jc w:val="center"/>
              <w:rPr/>
            </w:pPr>
            <w:r>
              <w:rPr/>
              <w:t>March 31,</w:t>
            </w:r>
          </w:p>
        </w:tc>
        <w:tc>
          <w:tcPr>
            <w:tcW w:w="115" w:type="dxa"/>
            <w:tcBorders/>
            <w:vAlign w:val="center"/>
          </w:tcPr>
          <w:p>
            <w:pPr>
              <w:pStyle w:val="TableContents"/>
              <w:bidi w:val="0"/>
              <w:spacing w:before="0" w:after="283"/>
              <w:jc w:val="left"/>
              <w:rPr/>
            </w:pPr>
            <w:r>
              <w:rPr/>
              <w:t> </w:t>
            </w:r>
          </w:p>
        </w:tc>
      </w:tr>
      <w:tr>
        <w:trPr/>
        <w:tc>
          <w:tcPr>
            <w:tcW w:w="72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6"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5" w:type="dxa"/>
            <w:tcBorders/>
            <w:vAlign w:val="center"/>
          </w:tcPr>
          <w:p>
            <w:pPr>
              <w:pStyle w:val="TableContents"/>
              <w:bidi w:val="0"/>
              <w:spacing w:before="0" w:after="283"/>
              <w:jc w:val="left"/>
              <w:rPr/>
            </w:pPr>
            <w:r>
              <w:rPr/>
              <w:t> </w:t>
            </w:r>
            <w:bookmarkStart w:id="87" w:name="xdx_400_eus-gaap--RevenuesAbstract_iB_zB"/>
            <w:bookmarkEnd w:id="87"/>
          </w:p>
        </w:tc>
      </w:tr>
      <w:tr>
        <w:trPr/>
        <w:tc>
          <w:tcPr>
            <w:tcW w:w="7279"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336"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0" w:type="dxa"/>
            <w:gridSpan w:val="2"/>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bookmarkStart w:id="88" w:name="xdx_40E_eus-gaap--RevenueFromContractWit"/>
            <w:bookmarkEnd w:id="88"/>
          </w:p>
        </w:tc>
      </w:tr>
      <w:tr>
        <w:trPr/>
        <w:tc>
          <w:tcPr>
            <w:tcW w:w="7279" w:type="dxa"/>
            <w:tcBorders/>
            <w:shd w:fill="FFFFFF" w:val="clear"/>
            <w:vAlign w:val="center"/>
          </w:tcPr>
          <w:p>
            <w:pPr>
              <w:pStyle w:val="TableContents"/>
              <w:bidi w:val="0"/>
              <w:spacing w:before="0" w:after="283"/>
              <w:jc w:val="left"/>
              <w:rPr/>
            </w:pPr>
            <w:r>
              <w:rPr/>
              <w:t>Product sales,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95" w:type="dxa"/>
            <w:tcBorders/>
            <w:shd w:fill="FFFFFF" w:val="clear"/>
            <w:vAlign w:val="center"/>
          </w:tcPr>
          <w:p>
            <w:pPr>
              <w:pStyle w:val="TableContents"/>
              <w:bidi w:val="0"/>
              <w:spacing w:before="0" w:after="283"/>
              <w:jc w:val="right"/>
              <w:rPr/>
            </w:pPr>
            <w:r>
              <w:rPr/>
              <w:t>34,508,000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9" w:type="dxa"/>
            <w:tcBorders/>
            <w:shd w:fill="FFFFFF" w:val="clear"/>
            <w:vAlign w:val="center"/>
          </w:tcPr>
          <w:p>
            <w:pPr>
              <w:pStyle w:val="TableContents"/>
              <w:bidi w:val="0"/>
              <w:spacing w:before="0" w:after="283"/>
              <w:jc w:val="right"/>
              <w:rPr/>
            </w:pPr>
            <w:r>
              <w:rPr/>
              <w:t>20,453,000</w:t>
            </w:r>
          </w:p>
        </w:tc>
        <w:tc>
          <w:tcPr>
            <w:tcW w:w="115" w:type="dxa"/>
            <w:tcBorders/>
            <w:shd w:fill="FFFFFF" w:val="clear"/>
            <w:vAlign w:val="center"/>
          </w:tcPr>
          <w:p>
            <w:pPr>
              <w:pStyle w:val="TableContents"/>
              <w:bidi w:val="0"/>
              <w:spacing w:before="0" w:after="283"/>
              <w:jc w:val="left"/>
              <w:rPr/>
            </w:pPr>
            <w:r>
              <w:rPr/>
              <w:t> </w:t>
            </w:r>
            <w:bookmarkStart w:id="89" w:name="xdx_40C_eus-gaap--RevenueFromContractWit"/>
            <w:bookmarkEnd w:id="89"/>
          </w:p>
        </w:tc>
      </w:tr>
      <w:tr>
        <w:trPr/>
        <w:tc>
          <w:tcPr>
            <w:tcW w:w="7279" w:type="dxa"/>
            <w:tcBorders/>
            <w:shd w:fill="CCEEFF" w:val="clear"/>
            <w:vAlign w:val="center"/>
          </w:tcPr>
          <w:p>
            <w:pPr>
              <w:pStyle w:val="TableContents"/>
              <w:bidi w:val="0"/>
              <w:spacing w:before="0" w:after="283"/>
              <w:jc w:val="left"/>
              <w:rPr/>
            </w:pPr>
            <w:r>
              <w:rPr/>
              <w:t>Other revenues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CCEEFF" w:val="clear"/>
            <w:tcMar>
              <w:bottom w:w="28" w:type="dxa"/>
            </w:tcMar>
            <w:vAlign w:val="center"/>
          </w:tcPr>
          <w:p>
            <w:pPr>
              <w:pStyle w:val="TableContents"/>
              <w:bidi w:val="0"/>
              <w:spacing w:before="0" w:after="283"/>
              <w:jc w:val="right"/>
              <w:rPr/>
            </w:pPr>
            <w:r>
              <w:rPr/>
              <w:t>79,000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5,650,000</w:t>
            </w:r>
          </w:p>
        </w:tc>
        <w:tc>
          <w:tcPr>
            <w:tcW w:w="115" w:type="dxa"/>
            <w:tcBorders/>
            <w:shd w:fill="CCEEFF" w:val="clear"/>
            <w:vAlign w:val="center"/>
          </w:tcPr>
          <w:p>
            <w:pPr>
              <w:pStyle w:val="TableContents"/>
              <w:bidi w:val="0"/>
              <w:spacing w:before="0" w:after="283"/>
              <w:jc w:val="left"/>
              <w:rPr/>
            </w:pPr>
            <w:r>
              <w:rPr/>
              <w:t> </w:t>
            </w:r>
            <w:bookmarkStart w:id="90" w:name="xdx_40F_eus-gaap--RevenueFromContractWit"/>
            <w:bookmarkEnd w:id="90"/>
          </w:p>
        </w:tc>
      </w:tr>
      <w:tr>
        <w:trPr/>
        <w:tc>
          <w:tcPr>
            <w:tcW w:w="7279"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34,587,000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26,103,000</w:t>
            </w:r>
          </w:p>
        </w:tc>
        <w:tc>
          <w:tcPr>
            <w:tcW w:w="115" w:type="dxa"/>
            <w:tcBorders/>
            <w:shd w:fill="FFFFFF" w:val="clear"/>
            <w:vAlign w:val="center"/>
          </w:tcPr>
          <w:p>
            <w:pPr>
              <w:pStyle w:val="TableContents"/>
              <w:bidi w:val="0"/>
              <w:spacing w:before="0" w:after="283"/>
              <w:jc w:val="left"/>
              <w:rPr/>
            </w:pPr>
            <w:r>
              <w:rPr/>
              <w:t> </w:t>
            </w:r>
            <w:bookmarkStart w:id="91" w:name="xdx_40C_eus-gaap--CostOfGoodsAndServices"/>
            <w:bookmarkEnd w:id="91"/>
          </w:p>
        </w:tc>
      </w:tr>
      <w:tr>
        <w:trPr/>
        <w:tc>
          <w:tcPr>
            <w:tcW w:w="7279"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CCEEFF" w:val="clear"/>
            <w:tcMar>
              <w:bottom w:w="28" w:type="dxa"/>
            </w:tcMar>
            <w:vAlign w:val="center"/>
          </w:tcPr>
          <w:p>
            <w:pPr>
              <w:pStyle w:val="TableContents"/>
              <w:bidi w:val="0"/>
              <w:spacing w:before="0" w:after="283"/>
              <w:jc w:val="right"/>
              <w:rPr/>
            </w:pPr>
            <w:r>
              <w:rPr/>
              <w:t>(10,553,000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(8,271,000</w:t>
            </w:r>
          </w:p>
        </w:tc>
        <w:tc>
          <w:tcPr>
            <w:tcW w:w="115" w:type="dxa"/>
            <w:tcBorders/>
            <w:shd w:fill="CCEEFF" w:val="clear"/>
            <w:vAlign w:val="center"/>
          </w:tcPr>
          <w:p>
            <w:pPr>
              <w:pStyle w:val="TableContents"/>
              <w:bidi w:val="0"/>
              <w:spacing w:before="0" w:after="283"/>
              <w:jc w:val="left"/>
              <w:rPr/>
            </w:pPr>
            <w:r>
              <w:rPr/>
              <w:t>)</w:t>
            </w:r>
            <w:bookmarkStart w:id="92" w:name="xdx_404_eus-gaap--GrossProfit_iT_mtCzS1o"/>
            <w:bookmarkEnd w:id="92"/>
          </w:p>
        </w:tc>
      </w:tr>
      <w:tr>
        <w:trPr/>
        <w:tc>
          <w:tcPr>
            <w:tcW w:w="7279"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FFFFFF" w:val="clear"/>
            <w:tcMar>
              <w:bottom w:w="28" w:type="dxa"/>
            </w:tcMar>
            <w:vAlign w:val="center"/>
          </w:tcPr>
          <w:p>
            <w:pPr>
              <w:pStyle w:val="TableContents"/>
              <w:bidi w:val="0"/>
              <w:spacing w:before="0" w:after="283"/>
              <w:jc w:val="right"/>
              <w:rPr/>
            </w:pPr>
            <w:r>
              <w:rPr/>
              <w:t>24,034,000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17,832,000</w:t>
            </w:r>
          </w:p>
        </w:tc>
        <w:tc>
          <w:tcPr>
            <w:tcW w:w="115" w:type="dxa"/>
            <w:tcBorders/>
            <w:shd w:fill="FFFFFF" w:val="clear"/>
            <w:vAlign w:val="center"/>
          </w:tcPr>
          <w:p>
            <w:pPr>
              <w:pStyle w:val="TableContents"/>
              <w:bidi w:val="0"/>
              <w:spacing w:before="0" w:after="283"/>
              <w:jc w:val="left"/>
              <w:rPr/>
            </w:pPr>
            <w:r>
              <w:rPr/>
              <w:t> </w:t>
            </w:r>
            <w:bookmarkStart w:id="93" w:name="xdx_400_eus-gaap--OperatingExpensesAbstr"/>
            <w:bookmarkEnd w:id="93"/>
          </w:p>
        </w:tc>
      </w:tr>
      <w:tr>
        <w:trPr/>
        <w:tc>
          <w:tcPr>
            <w:tcW w:w="727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94" w:name="xdx_40D_eus-gaap--SellingGeneralAndAdmin"/>
            <w:bookmarkEnd w:id="94"/>
          </w:p>
        </w:tc>
      </w:tr>
      <w:tr>
        <w:trPr/>
        <w:tc>
          <w:tcPr>
            <w:tcW w:w="7279"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28,813,000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15,888,000</w:t>
            </w:r>
          </w:p>
        </w:tc>
        <w:tc>
          <w:tcPr>
            <w:tcW w:w="115" w:type="dxa"/>
            <w:tcBorders/>
            <w:shd w:fill="FFFFFF" w:val="clear"/>
            <w:vAlign w:val="center"/>
          </w:tcPr>
          <w:p>
            <w:pPr>
              <w:pStyle w:val="TableContents"/>
              <w:bidi w:val="0"/>
              <w:spacing w:before="0" w:after="283"/>
              <w:jc w:val="left"/>
              <w:rPr/>
            </w:pPr>
            <w:r>
              <w:rPr/>
              <w:t> </w:t>
            </w:r>
            <w:bookmarkStart w:id="95" w:name="xdx_405_eus-gaap--ResearchAndDevelopment"/>
            <w:bookmarkEnd w:id="95"/>
          </w:p>
        </w:tc>
      </w:tr>
      <w:tr>
        <w:trPr/>
        <w:tc>
          <w:tcPr>
            <w:tcW w:w="7279"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CCEEFF" w:val="clear"/>
            <w:tcMar>
              <w:bottom w:w="28" w:type="dxa"/>
            </w:tcMar>
            <w:vAlign w:val="center"/>
          </w:tcPr>
          <w:p>
            <w:pPr>
              <w:pStyle w:val="TableContents"/>
              <w:bidi w:val="0"/>
              <w:spacing w:before="0" w:after="283"/>
              <w:jc w:val="right"/>
              <w:rPr/>
            </w:pPr>
            <w:r>
              <w:rPr/>
              <w:t>2,149,000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734,000</w:t>
            </w:r>
          </w:p>
        </w:tc>
        <w:tc>
          <w:tcPr>
            <w:tcW w:w="115" w:type="dxa"/>
            <w:tcBorders/>
            <w:shd w:fill="CCEEFF" w:val="clear"/>
            <w:vAlign w:val="center"/>
          </w:tcPr>
          <w:p>
            <w:pPr>
              <w:pStyle w:val="TableContents"/>
              <w:bidi w:val="0"/>
              <w:spacing w:before="0" w:after="283"/>
              <w:jc w:val="left"/>
              <w:rPr/>
            </w:pPr>
            <w:r>
              <w:rPr/>
              <w:t> </w:t>
            </w:r>
            <w:bookmarkStart w:id="96" w:name="xdx_40F_eus-gaap--OperatingExpenses_i01T"/>
            <w:bookmarkEnd w:id="96"/>
          </w:p>
        </w:tc>
      </w:tr>
      <w:tr>
        <w:trPr/>
        <w:tc>
          <w:tcPr>
            <w:tcW w:w="7279"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FFFFFF" w:val="clear"/>
            <w:tcMar>
              <w:bottom w:w="28" w:type="dxa"/>
            </w:tcMar>
            <w:vAlign w:val="center"/>
          </w:tcPr>
          <w:p>
            <w:pPr>
              <w:pStyle w:val="TableContents"/>
              <w:bidi w:val="0"/>
              <w:spacing w:before="0" w:after="283"/>
              <w:jc w:val="right"/>
              <w:rPr/>
            </w:pPr>
            <w:r>
              <w:rPr/>
              <w:t>30,962,000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16,622,000</w:t>
            </w:r>
          </w:p>
        </w:tc>
        <w:tc>
          <w:tcPr>
            <w:tcW w:w="115" w:type="dxa"/>
            <w:tcBorders/>
            <w:shd w:fill="FFFFFF" w:val="clear"/>
            <w:vAlign w:val="center"/>
          </w:tcPr>
          <w:p>
            <w:pPr>
              <w:pStyle w:val="TableContents"/>
              <w:bidi w:val="0"/>
              <w:spacing w:before="0" w:after="283"/>
              <w:jc w:val="left"/>
              <w:rPr/>
            </w:pPr>
            <w:r>
              <w:rPr/>
              <w:t> </w:t>
            </w:r>
            <w:bookmarkStart w:id="97" w:name="xdx_408_eus-gaap--OperatingIncomeLoss_iT"/>
            <w:bookmarkEnd w:id="97"/>
          </w:p>
        </w:tc>
      </w:tr>
      <w:tr>
        <w:trPr/>
        <w:tc>
          <w:tcPr>
            <w:tcW w:w="7279" w:type="dxa"/>
            <w:tcBorders/>
            <w:shd w:fill="CCEEFF" w:val="clear"/>
            <w:vAlign w:val="center"/>
          </w:tcPr>
          <w:p>
            <w:pPr>
              <w:pStyle w:val="TableContents"/>
              <w:bidi w:val="0"/>
              <w:spacing w:before="0" w:after="283"/>
              <w:jc w:val="left"/>
              <w:rPr/>
            </w:pPr>
            <w:r>
              <w:rPr/>
              <w:t>(Loss)income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CCEEFF" w:val="clear"/>
            <w:tcMar>
              <w:bottom w:w="28" w:type="dxa"/>
            </w:tcMar>
            <w:vAlign w:val="center"/>
          </w:tcPr>
          <w:p>
            <w:pPr>
              <w:pStyle w:val="TableContents"/>
              <w:bidi w:val="0"/>
              <w:spacing w:before="0" w:after="283"/>
              <w:jc w:val="right"/>
              <w:rPr/>
            </w:pPr>
            <w:r>
              <w:rPr/>
              <w:t>(6,928,000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1,210,000</w:t>
            </w:r>
          </w:p>
        </w:tc>
        <w:tc>
          <w:tcPr>
            <w:tcW w:w="115" w:type="dxa"/>
            <w:tcBorders/>
            <w:shd w:fill="CCEEFF" w:val="clear"/>
            <w:vAlign w:val="center"/>
          </w:tcPr>
          <w:p>
            <w:pPr>
              <w:pStyle w:val="TableContents"/>
              <w:bidi w:val="0"/>
              <w:spacing w:before="0" w:after="283"/>
              <w:jc w:val="left"/>
              <w:rPr/>
            </w:pPr>
            <w:r>
              <w:rPr/>
              <w:t> </w:t>
            </w:r>
            <w:bookmarkStart w:id="98" w:name="xdx_404_eus-gaap--NonoperatingIncomeExpe"/>
            <w:bookmarkEnd w:id="98"/>
          </w:p>
        </w:tc>
      </w:tr>
      <w:tr>
        <w:trPr/>
        <w:tc>
          <w:tcPr>
            <w:tcW w:w="7279"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99" w:name="xdx_40A_eus-gaap--InterestExpense_i01N_d"/>
            <w:bookmarkEnd w:id="99"/>
          </w:p>
        </w:tc>
      </w:tr>
      <w:tr>
        <w:trPr/>
        <w:tc>
          <w:tcPr>
            <w:tcW w:w="7279"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(5,415,000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(4,747,000</w:t>
            </w:r>
          </w:p>
        </w:tc>
        <w:tc>
          <w:tcPr>
            <w:tcW w:w="115" w:type="dxa"/>
            <w:tcBorders/>
            <w:shd w:fill="CCEEFF" w:val="clear"/>
            <w:vAlign w:val="center"/>
          </w:tcPr>
          <w:p>
            <w:pPr>
              <w:pStyle w:val="TableContents"/>
              <w:bidi w:val="0"/>
              <w:spacing w:before="0" w:after="283"/>
              <w:jc w:val="left"/>
              <w:rPr/>
            </w:pPr>
            <w:r>
              <w:rPr/>
              <w:t>)</w:t>
            </w:r>
            <w:bookmarkStart w:id="100" w:name="xdx_400_eus-gaap--GainLossOnInvestments_"/>
            <w:bookmarkEnd w:id="100"/>
          </w:p>
        </w:tc>
      </w:tr>
      <w:tr>
        <w:trPr/>
        <w:tc>
          <w:tcPr>
            <w:tcW w:w="7279" w:type="dxa"/>
            <w:tcBorders/>
            <w:shd w:fill="FFFFFF" w:val="clear"/>
            <w:vAlign w:val="center"/>
          </w:tcPr>
          <w:p>
            <w:pPr>
              <w:pStyle w:val="TableContents"/>
              <w:bidi w:val="0"/>
              <w:spacing w:before="0" w:after="283"/>
              <w:jc w:val="left"/>
              <w:rPr/>
            </w:pPr>
            <w:r>
              <w:rPr/>
              <w:t>Investment (loss) gain from Eton Pharmaceuticals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(1,248,000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2,042,000</w:t>
            </w:r>
          </w:p>
        </w:tc>
        <w:tc>
          <w:tcPr>
            <w:tcW w:w="115" w:type="dxa"/>
            <w:tcBorders/>
            <w:shd w:fill="FFFFFF" w:val="clear"/>
            <w:vAlign w:val="center"/>
          </w:tcPr>
          <w:p>
            <w:pPr>
              <w:pStyle w:val="TableContents"/>
              <w:bidi w:val="0"/>
              <w:spacing w:before="0" w:after="283"/>
              <w:jc w:val="left"/>
              <w:rPr/>
            </w:pPr>
            <w:r>
              <w:rPr/>
              <w:t> </w:t>
            </w:r>
            <w:bookmarkStart w:id="101" w:name="xdx_404_eus-gaap--ExtinguishmentOfDebtGa"/>
            <w:bookmarkEnd w:id="101"/>
          </w:p>
        </w:tc>
      </w:tr>
      <w:tr>
        <w:trPr/>
        <w:tc>
          <w:tcPr>
            <w:tcW w:w="7279"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(5,465,000</w:t>
            </w:r>
          </w:p>
        </w:tc>
        <w:tc>
          <w:tcPr>
            <w:tcW w:w="115" w:type="dxa"/>
            <w:tcBorders/>
            <w:shd w:fill="CCEEFF" w:val="clear"/>
            <w:vAlign w:val="center"/>
          </w:tcPr>
          <w:p>
            <w:pPr>
              <w:pStyle w:val="TableContents"/>
              <w:bidi w:val="0"/>
              <w:spacing w:before="0" w:after="283"/>
              <w:jc w:val="left"/>
              <w:rPr/>
            </w:pPr>
            <w:r>
              <w:rPr/>
              <w:t>)</w:t>
            </w:r>
            <w:bookmarkStart w:id="102" w:name="xdx_40F_eus-gaap--OtherNonoperatingIncom"/>
            <w:bookmarkEnd w:id="102"/>
          </w:p>
        </w:tc>
      </w:tr>
      <w:tr>
        <w:trPr/>
        <w:tc>
          <w:tcPr>
            <w:tcW w:w="7279"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FFFFFF" w:val="clear"/>
            <w:tcMar>
              <w:bottom w:w="28" w:type="dxa"/>
            </w:tcMar>
            <w:vAlign w:val="center"/>
          </w:tcPr>
          <w:p>
            <w:pPr>
              <w:pStyle w:val="TableContents"/>
              <w:bidi w:val="0"/>
              <w:spacing w:before="0" w:after="283"/>
              <w:jc w:val="right"/>
              <w:rPr/>
            </w:pPr>
            <w:r>
              <w:rPr/>
              <w:t>26,000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29,000</w:t>
            </w:r>
          </w:p>
        </w:tc>
        <w:tc>
          <w:tcPr>
            <w:tcW w:w="115" w:type="dxa"/>
            <w:tcBorders/>
            <w:shd w:fill="FFFFFF" w:val="clear"/>
            <w:vAlign w:val="center"/>
          </w:tcPr>
          <w:p>
            <w:pPr>
              <w:pStyle w:val="TableContents"/>
              <w:bidi w:val="0"/>
              <w:spacing w:before="0" w:after="283"/>
              <w:jc w:val="left"/>
              <w:rPr/>
            </w:pPr>
            <w:r>
              <w:rPr/>
              <w:t> </w:t>
            </w:r>
            <w:bookmarkStart w:id="103" w:name="xdx_40E_eus-gaap--NonoperatingIncomeExpe"/>
            <w:bookmarkEnd w:id="103"/>
          </w:p>
        </w:tc>
      </w:tr>
      <w:tr>
        <w:trPr/>
        <w:tc>
          <w:tcPr>
            <w:tcW w:w="7279"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CCEEFF" w:val="clear"/>
            <w:tcMar>
              <w:bottom w:w="28" w:type="dxa"/>
            </w:tcMar>
            <w:vAlign w:val="center"/>
          </w:tcPr>
          <w:p>
            <w:pPr>
              <w:pStyle w:val="TableContents"/>
              <w:bidi w:val="0"/>
              <w:spacing w:before="0" w:after="283"/>
              <w:jc w:val="right"/>
              <w:rPr/>
            </w:pPr>
            <w:r>
              <w:rPr/>
              <w:t>(6,637,000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(8,141,000</w:t>
            </w:r>
          </w:p>
        </w:tc>
        <w:tc>
          <w:tcPr>
            <w:tcW w:w="115" w:type="dxa"/>
            <w:tcBorders/>
            <w:shd w:fill="CCEEFF" w:val="clear"/>
            <w:vAlign w:val="center"/>
          </w:tcPr>
          <w:p>
            <w:pPr>
              <w:pStyle w:val="TableContents"/>
              <w:bidi w:val="0"/>
              <w:spacing w:before="0" w:after="283"/>
              <w:jc w:val="left"/>
              <w:rPr/>
            </w:pPr>
            <w:r>
              <w:rPr/>
              <w:t>)</w:t>
            </w:r>
            <w:bookmarkStart w:id="104" w:name="xdx_40A_eus-gaap--IncomeLossFromContinui"/>
            <w:bookmarkEnd w:id="104"/>
          </w:p>
        </w:tc>
      </w:tr>
      <w:tr>
        <w:trPr/>
        <w:tc>
          <w:tcPr>
            <w:tcW w:w="7279"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(13,565,000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(6,931,000</w:t>
            </w:r>
          </w:p>
        </w:tc>
        <w:tc>
          <w:tcPr>
            <w:tcW w:w="115" w:type="dxa"/>
            <w:tcBorders/>
            <w:shd w:fill="FFFFFF" w:val="clear"/>
            <w:vAlign w:val="center"/>
          </w:tcPr>
          <w:p>
            <w:pPr>
              <w:pStyle w:val="TableContents"/>
              <w:bidi w:val="0"/>
              <w:spacing w:before="0" w:after="283"/>
              <w:jc w:val="left"/>
              <w:rPr/>
            </w:pPr>
            <w:r>
              <w:rPr/>
              <w:t>)</w:t>
            </w:r>
            <w:bookmarkStart w:id="105" w:name="xdx_403_eus-gaap--IncomeTaxExpenseBenefi"/>
            <w:bookmarkEnd w:id="105"/>
          </w:p>
        </w:tc>
      </w:tr>
      <w:tr>
        <w:trPr/>
        <w:tc>
          <w:tcPr>
            <w:tcW w:w="7279"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283"/>
              <w:jc w:val="right"/>
              <w:rPr/>
            </w:pPr>
            <w:r>
              <w:rPr/>
              <w:t>288,000</w:t>
            </w:r>
          </w:p>
        </w:tc>
        <w:tc>
          <w:tcPr>
            <w:tcW w:w="115" w:type="dxa"/>
            <w:tcBorders/>
            <w:shd w:fill="CCEEFF" w:val="clear"/>
            <w:vAlign w:val="center"/>
          </w:tcPr>
          <w:p>
            <w:pPr>
              <w:pStyle w:val="TableContents"/>
              <w:bidi w:val="0"/>
              <w:spacing w:before="0" w:after="283"/>
              <w:jc w:val="left"/>
              <w:rPr/>
            </w:pPr>
            <w:r>
              <w:rPr/>
              <w:t> </w:t>
            </w:r>
            <w:bookmarkStart w:id="106" w:name="xdx_404_eus-gaap--NetIncomeLoss_iT_mtCzU"/>
            <w:bookmarkEnd w:id="106"/>
          </w:p>
        </w:tc>
      </w:tr>
      <w:tr>
        <w:trPr/>
        <w:tc>
          <w:tcPr>
            <w:tcW w:w="727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bottom w:w="28" w:type="dxa"/>
            </w:tcMar>
            <w:vAlign w:val="center"/>
          </w:tcPr>
          <w:p>
            <w:pPr>
              <w:pStyle w:val="TableContents"/>
              <w:bidi w:val="0"/>
              <w:spacing w:before="0" w:after="283"/>
              <w:jc w:val="right"/>
              <w:rPr/>
            </w:pPr>
            <w:r>
              <w:rPr/>
              <w:t>(13,565,000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pPr>
            <w:r>
              <w:rPr/>
              <w:t>(6,643,000</w:t>
            </w:r>
          </w:p>
        </w:tc>
        <w:tc>
          <w:tcPr>
            <w:tcW w:w="115" w:type="dxa"/>
            <w:tcBorders/>
            <w:shd w:fill="FFFFFF" w:val="clear"/>
            <w:vAlign w:val="center"/>
          </w:tcPr>
          <w:p>
            <w:pPr>
              <w:pStyle w:val="TableContents"/>
              <w:bidi w:val="0"/>
              <w:spacing w:before="0" w:after="283"/>
              <w:jc w:val="left"/>
              <w:rPr/>
            </w:pPr>
            <w:r>
              <w:rPr/>
              <w:t>)</w:t>
            </w:r>
          </w:p>
        </w:tc>
      </w:tr>
      <w:tr>
        <w:trPr/>
        <w:tc>
          <w:tcPr>
            <w:tcW w:w="7279" w:type="dxa"/>
            <w:tcBorders/>
            <w:shd w:fill="CCEEFF" w:val="clear"/>
            <w:vAlign w:val="center"/>
          </w:tcPr>
          <w:p>
            <w:pPr>
              <w:pStyle w:val="TableContents"/>
              <w:bidi w:val="0"/>
              <w:spacing w:before="0" w:after="283"/>
              <w:jc w:val="left"/>
              <w:rPr/>
            </w:pPr>
            <w:r>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7" w:name="xdx_904_eus-gaap--EarningsPerShareDilute"/>
            <w:bookmarkStart w:id="108" w:name="xdx_902_eus-gaap--EarningsPerShareBasic_"/>
            <w:bookmarkEnd w:id="107"/>
            <w:bookmarkEnd w:id="108"/>
            <w:r>
              <w:rPr/>
              <w:t>(0.38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9" w:name="xdx_90A_eus-gaap--EarningsPerShareDilute"/>
            <w:bookmarkStart w:id="110" w:name="xdx_90A_eus-gaap--EarningsPerShareBasic_"/>
            <w:bookmarkEnd w:id="109"/>
            <w:bookmarkEnd w:id="110"/>
            <w:r>
              <w:rPr/>
              <w:t>(0.22</w:t>
            </w:r>
          </w:p>
        </w:tc>
        <w:tc>
          <w:tcPr>
            <w:tcW w:w="115" w:type="dxa"/>
            <w:tcBorders/>
            <w:shd w:fill="CCEEFF" w:val="clear"/>
            <w:vAlign w:val="center"/>
          </w:tcPr>
          <w:p>
            <w:pPr>
              <w:pStyle w:val="TableContents"/>
              <w:bidi w:val="0"/>
              <w:spacing w:before="0" w:after="283"/>
              <w:jc w:val="left"/>
              <w:rPr/>
            </w:pPr>
            <w:r>
              <w:rPr/>
              <w:t>)</w:t>
            </w:r>
          </w:p>
        </w:tc>
      </w:tr>
      <w:tr>
        <w:trPr/>
        <w:tc>
          <w:tcPr>
            <w:tcW w:w="7279" w:type="dxa"/>
            <w:tcBorders/>
            <w:shd w:fill="CCEEFF" w:val="clear"/>
            <w:vAlign w:val="center"/>
          </w:tcPr>
          <w:p>
            <w:pPr>
              <w:pStyle w:val="TableContents"/>
              <w:bidi w:val="0"/>
              <w:spacing w:before="0" w:after="283"/>
              <w:jc w:val="left"/>
              <w:rPr/>
            </w:pPr>
            <w:r>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1" w:name="xdx_90E_eus-gaap--WeightedAverageNumberO"/>
            <w:bookmarkStart w:id="112" w:name="xdx_907_eus-gaap--WeightedAverageNumberO"/>
            <w:bookmarkEnd w:id="111"/>
            <w:bookmarkEnd w:id="112"/>
            <w:r>
              <w:rPr/>
              <w:t>35,469,638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3" w:name="xdx_90D_eus-gaap--WeightedAverageNumberO"/>
            <w:bookmarkStart w:id="114" w:name="xdx_909_eus-gaap--WeightedAverageNumberO"/>
            <w:bookmarkEnd w:id="113"/>
            <w:bookmarkEnd w:id="114"/>
            <w:r>
              <w:rPr/>
              <w:t>30,289,730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2024 and 2023</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5" w:name="xdx_302_114_zpDWLirNuH38"/>
      <w:bookmarkStart w:id="116" w:name="xdx_302_114_zpDWLirNuH38"/>
      <w:bookmarkEnd w:id="116"/>
    </w:p>
    <w:tbl>
      <w:tblPr>
        <w:tblW w:w="11140"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60"/>
        <w:gridCol w:w="60"/>
        <w:gridCol w:w="140"/>
        <w:gridCol w:w="1220"/>
        <w:gridCol w:w="95"/>
        <w:gridCol w:w="60"/>
        <w:gridCol w:w="140"/>
        <w:gridCol w:w="1295"/>
        <w:gridCol w:w="95"/>
        <w:gridCol w:w="60"/>
        <w:gridCol w:w="141"/>
        <w:gridCol w:w="1109"/>
        <w:gridCol w:w="95"/>
        <w:gridCol w:w="60"/>
        <w:gridCol w:w="201"/>
        <w:gridCol w:w="1259"/>
        <w:gridCol w:w="95"/>
        <w:gridCol w:w="60"/>
        <w:gridCol w:w="141"/>
        <w:gridCol w:w="1109"/>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7_us-gaap--StatementEquityComponen"/>
            <w:bookmarkEnd w:id="117"/>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5_us-gaap--StatementEquityComponen"/>
            <w:bookmarkEnd w:id="118"/>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E_us-gaap--StatementEquityComponen"/>
            <w:bookmarkEnd w:id="119"/>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 w:name="xdx_4B9_us-gaap--StatementEquityComponen"/>
            <w:bookmarkEnd w:id="120"/>
          </w:p>
        </w:tc>
        <w:tc>
          <w:tcPr>
            <w:tcW w:w="125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1" w:name="xdx_4B2_us-gaap--StatementEquityComponen"/>
            <w:bookmarkEnd w:id="121"/>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 w:name="xdx_4B9_zH5nwM2vYtca"/>
            <w:bookmarkEnd w:id="122"/>
          </w:p>
        </w:tc>
        <w:tc>
          <w:tcPr>
            <w:tcW w:w="125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jc w:val="left"/>
              <w:rPr/>
            </w:pPr>
            <w:r>
              <w:rPr/>
              <w:t> </w:t>
            </w:r>
            <w:bookmarkStart w:id="123" w:name="xdx_439_c20230101__20230331_eus-gaap--St"/>
            <w:bookmarkEnd w:id="123"/>
          </w:p>
        </w:tc>
      </w:tr>
      <w:tr>
        <w:trPr/>
        <w:tc>
          <w:tcPr>
            <w:tcW w:w="1340" w:type="dxa"/>
            <w:tcBorders/>
            <w:shd w:fill="CCEEFF" w:val="clear"/>
            <w:vAlign w:val="center"/>
          </w:tcPr>
          <w:p>
            <w:pPr>
              <w:pStyle w:val="TableContents"/>
              <w:bidi w:val="0"/>
              <w:spacing w:before="0" w:after="283"/>
              <w:jc w:val="left"/>
              <w:rPr/>
            </w:pPr>
            <w:r>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 w:name="xdx_981_eus-gaap--SharesOutstanding_iS_c"/>
            <w:bookmarkEnd w:id="124"/>
          </w:p>
        </w:tc>
        <w:tc>
          <w:tcPr>
            <w:tcW w:w="1100" w:type="dxa"/>
            <w:tcBorders/>
            <w:shd w:fill="CCEEFF" w:val="clear"/>
            <w:vAlign w:val="center"/>
          </w:tcPr>
          <w:p>
            <w:pPr>
              <w:pStyle w:val="TableContents"/>
              <w:bidi w:val="0"/>
              <w:spacing w:before="0" w:after="283"/>
              <w:jc w:val="right"/>
              <w:rPr/>
            </w:pPr>
            <w:r>
              <w:rPr/>
              <w:t>29,901,530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137,058,000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(109,493,000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27,595,000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27,240,000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 w:name="xdx_40C_eus-gaap--StockIssuedDuringPerio"/>
            <w:bookmarkEnd w:id="125"/>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6" w:name="xdx_98C_eus-gaap--StockIssuedDuringPerio"/>
            <w:bookmarkEnd w:id="126"/>
          </w:p>
        </w:tc>
        <w:tc>
          <w:tcPr>
            <w:tcW w:w="1100" w:type="dxa"/>
            <w:tcBorders/>
            <w:shd w:fill="FFFFFF" w:val="clear"/>
            <w:vAlign w:val="center"/>
          </w:tcPr>
          <w:p>
            <w:pPr>
              <w:pStyle w:val="TableContents"/>
              <w:bidi w:val="0"/>
              <w:spacing w:before="0" w:after="283"/>
              <w:jc w:val="right"/>
              <w:rPr/>
            </w:pPr>
            <w:r>
              <w:rPr/>
              <w:t>97,542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148,000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148,000</w:t>
            </w:r>
          </w:p>
        </w:tc>
        <w:tc>
          <w:tcPr>
            <w:tcW w:w="110" w:type="dxa"/>
            <w:tcBorders/>
            <w:shd w:fill="FFFFFF" w:val="clear"/>
            <w:vAlign w:val="center"/>
          </w:tcPr>
          <w:p>
            <w:pPr>
              <w:pStyle w:val="TableContents"/>
              <w:bidi w:val="0"/>
              <w:spacing w:before="0" w:after="283"/>
              <w:jc w:val="left"/>
              <w:rPr/>
            </w:pPr>
            <w:r>
              <w:rPr/>
              <w:t> </w:t>
            </w:r>
            <w:bookmarkStart w:id="127" w:name="xdx_404_eus-gaap--StockIssuedDuringPerio"/>
            <w:bookmarkEnd w:id="127"/>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8" w:name="xdx_983_eus-gaap--StockIssuedDuringPerio"/>
            <w:bookmarkEnd w:id="128"/>
          </w:p>
        </w:tc>
        <w:tc>
          <w:tcPr>
            <w:tcW w:w="1100" w:type="dxa"/>
            <w:tcBorders/>
            <w:shd w:fill="CCEEFF" w:val="clear"/>
            <w:vAlign w:val="center"/>
          </w:tcPr>
          <w:p>
            <w:pPr>
              <w:pStyle w:val="TableContents"/>
              <w:bidi w:val="0"/>
              <w:spacing w:before="0" w:after="283"/>
              <w:jc w:val="right"/>
              <w:rPr/>
            </w:pPr>
            <w:r>
              <w:rPr/>
              <w:t>111,000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9" w:name="xdx_401_eus-gaap--StockIssuedDuringPerio"/>
            <w:bookmarkEnd w:id="129"/>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0" w:name="xdx_98C_eus-gaap--StockIssuedDuringPerio"/>
            <w:bookmarkEnd w:id="130"/>
          </w:p>
        </w:tc>
        <w:tc>
          <w:tcPr>
            <w:tcW w:w="1100" w:type="dxa"/>
            <w:tcBorders/>
            <w:shd w:fill="FFFFFF" w:val="clear"/>
            <w:vAlign w:val="center"/>
          </w:tcPr>
          <w:p>
            <w:pPr>
              <w:pStyle w:val="TableContents"/>
              <w:bidi w:val="0"/>
              <w:spacing w:before="0" w:after="283"/>
              <w:jc w:val="right"/>
              <w:rPr/>
            </w:pPr>
            <w:r>
              <w:rPr/>
              <w:t>(53,702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(850,000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(850,000</w:t>
            </w:r>
          </w:p>
        </w:tc>
        <w:tc>
          <w:tcPr>
            <w:tcW w:w="110" w:type="dxa"/>
            <w:tcBorders/>
            <w:shd w:fill="FFFFFF" w:val="clear"/>
            <w:vAlign w:val="center"/>
          </w:tcPr>
          <w:p>
            <w:pPr>
              <w:pStyle w:val="TableContents"/>
              <w:bidi w:val="0"/>
              <w:spacing w:before="0" w:after="283"/>
              <w:jc w:val="left"/>
              <w:rPr/>
            </w:pPr>
            <w:r>
              <w:rPr/>
              <w:t>)</w:t>
            </w:r>
            <w:bookmarkStart w:id="131" w:name="xdx_40E_eus-gaap--AdjustmentsToAdditiona"/>
            <w:bookmarkEnd w:id="131"/>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1,633,000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1,633,000</w:t>
            </w:r>
          </w:p>
        </w:tc>
        <w:tc>
          <w:tcPr>
            <w:tcW w:w="110" w:type="dxa"/>
            <w:tcBorders/>
            <w:shd w:fill="CCEEFF" w:val="clear"/>
            <w:vAlign w:val="center"/>
          </w:tcPr>
          <w:p>
            <w:pPr>
              <w:pStyle w:val="TableContents"/>
              <w:bidi w:val="0"/>
              <w:spacing w:before="0" w:after="283"/>
              <w:jc w:val="left"/>
              <w:rPr/>
            </w:pPr>
            <w:r>
              <w:rPr/>
              <w:t> </w:t>
            </w:r>
            <w:bookmarkStart w:id="132" w:name="xdx_40C_eus-gaap--NetIncomeLoss_z0iNH6eU"/>
            <w:bookmarkEnd w:id="132"/>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(6,643,000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(6,643,000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(6,643,000</w:t>
            </w:r>
          </w:p>
        </w:tc>
        <w:tc>
          <w:tcPr>
            <w:tcW w:w="110" w:type="dxa"/>
            <w:tcBorders/>
            <w:shd w:fill="FFFFFF" w:val="clear"/>
            <w:vAlign w:val="center"/>
          </w:tcPr>
          <w:p>
            <w:pPr>
              <w:pStyle w:val="TableContents"/>
              <w:bidi w:val="0"/>
              <w:spacing w:before="0" w:after="283"/>
              <w:jc w:val="left"/>
              <w:rPr/>
            </w:pPr>
            <w:r>
              <w:rPr/>
              <w:t>)</w:t>
            </w:r>
            <w:bookmarkStart w:id="133" w:name="xdx_430_c20230101__20230331_eus-gaap--St"/>
            <w:bookmarkEnd w:id="133"/>
          </w:p>
        </w:tc>
      </w:tr>
      <w:tr>
        <w:trPr/>
        <w:tc>
          <w:tcPr>
            <w:tcW w:w="1340" w:type="dxa"/>
            <w:tcBorders/>
            <w:shd w:fill="CCEEFF" w:val="clear"/>
            <w:vAlign w:val="center"/>
          </w:tcPr>
          <w:p>
            <w:pPr>
              <w:pStyle w:val="TableContents"/>
              <w:bidi w:val="0"/>
              <w:spacing w:before="0" w:after="283"/>
              <w:jc w:val="left"/>
              <w:rPr/>
            </w:pPr>
            <w:r>
              <w:rPr/>
              <w:t>Balance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4" w:name="xdx_982_eus-gaap--SharesOutstanding_iE_c"/>
            <w:bookmarkEnd w:id="13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30,056,370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137,989,000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(116,136,000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pPr>
            <w:r>
              <w:rPr/>
              <w:t>21,883,000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pPr>
            <w:r>
              <w:rPr/>
              <w:t>21,528,000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1480"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60"/>
        <w:gridCol w:w="60"/>
        <w:gridCol w:w="140"/>
        <w:gridCol w:w="1220"/>
        <w:gridCol w:w="95"/>
        <w:gridCol w:w="60"/>
        <w:gridCol w:w="140"/>
        <w:gridCol w:w="1295"/>
        <w:gridCol w:w="95"/>
        <w:gridCol w:w="60"/>
        <w:gridCol w:w="140"/>
        <w:gridCol w:w="1280"/>
        <w:gridCol w:w="95"/>
        <w:gridCol w:w="60"/>
        <w:gridCol w:w="201"/>
        <w:gridCol w:w="1259"/>
        <w:gridCol w:w="95"/>
        <w:gridCol w:w="60"/>
        <w:gridCol w:w="140"/>
        <w:gridCol w:w="128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jc w:val="left"/>
              <w:rPr/>
            </w:pPr>
            <w:r>
              <w:rPr/>
              <w:t> </w:t>
            </w:r>
            <w:bookmarkStart w:id="135" w:name="xdx_433_c20240101__20240331_eus-gaap--St"/>
            <w:bookmarkEnd w:id="135"/>
          </w:p>
        </w:tc>
      </w:tr>
      <w:tr>
        <w:trPr/>
        <w:tc>
          <w:tcPr>
            <w:tcW w:w="134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 w:name="xdx_980_eus-gaap--SharesOutstanding_iS_c"/>
            <w:bookmarkEnd w:id="136"/>
          </w:p>
        </w:tc>
        <w:tc>
          <w:tcPr>
            <w:tcW w:w="1100" w:type="dxa"/>
            <w:tcBorders/>
            <w:shd w:fill="CCEEFF" w:val="clear"/>
            <w:vAlign w:val="center"/>
          </w:tcPr>
          <w:p>
            <w:pPr>
              <w:pStyle w:val="TableContents"/>
              <w:bidi w:val="0"/>
              <w:spacing w:before="0" w:after="283"/>
              <w:jc w:val="right"/>
              <w:rPr/>
            </w:pPr>
            <w:r>
              <w:rPr/>
              <w:t>35,168,260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204,635,000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(133,904,000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70,766,000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70,411,000</w:t>
            </w:r>
          </w:p>
        </w:tc>
        <w:tc>
          <w:tcPr>
            <w:tcW w:w="110" w:type="dxa"/>
            <w:tcBorders/>
            <w:shd w:fill="CCEEFF" w:val="clear"/>
            <w:vAlign w:val="center"/>
          </w:tcPr>
          <w:p>
            <w:pPr>
              <w:pStyle w:val="TableContents"/>
              <w:bidi w:val="0"/>
              <w:spacing w:before="0" w:after="283"/>
              <w:jc w:val="left"/>
              <w:rPr/>
            </w:pPr>
            <w:r>
              <w:rPr/>
              <w:t> </w:t>
            </w:r>
            <w:bookmarkStart w:id="137" w:name="xdx_43C_c20240101__20240331_eus-gaap--St"/>
            <w:bookmarkEnd w:id="137"/>
          </w:p>
        </w:tc>
      </w:tr>
      <w:tr>
        <w:trPr/>
        <w:tc>
          <w:tcPr>
            <w:tcW w:w="134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8" w:name="xdx_98B_eus-gaap--SharesOutstanding_iS_c"/>
            <w:bookmarkEnd w:id="138"/>
          </w:p>
        </w:tc>
        <w:tc>
          <w:tcPr>
            <w:tcW w:w="1100" w:type="dxa"/>
            <w:tcBorders/>
            <w:shd w:fill="CCEEFF" w:val="clear"/>
            <w:vAlign w:val="center"/>
          </w:tcPr>
          <w:p>
            <w:pPr>
              <w:pStyle w:val="TableContents"/>
              <w:bidi w:val="0"/>
              <w:spacing w:before="0" w:after="283"/>
              <w:jc w:val="right"/>
              <w:rPr/>
            </w:pPr>
            <w:r>
              <w:rPr/>
              <w:t>35,168,260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204,635,000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(133,904,000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70,766,000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70,411,000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 w:name="xdx_40B_eus-gaap--StockIssuedDuringPerio"/>
            <w:bookmarkEnd w:id="139"/>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0" w:name="xdx_981_eus-gaap--StockIssuedDuringPerio"/>
            <w:bookmarkEnd w:id="140"/>
          </w:p>
        </w:tc>
        <w:tc>
          <w:tcPr>
            <w:tcW w:w="1100" w:type="dxa"/>
            <w:tcBorders/>
            <w:shd w:fill="FFFFFF" w:val="clear"/>
            <w:vAlign w:val="center"/>
          </w:tcPr>
          <w:p>
            <w:pPr>
              <w:pStyle w:val="TableContents"/>
              <w:bidi w:val="0"/>
              <w:spacing w:before="0" w:after="283"/>
              <w:jc w:val="right"/>
              <w:rPr/>
            </w:pPr>
            <w:r>
              <w:rPr/>
              <w:t>46,175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348,000</w:t>
            </w:r>
          </w:p>
        </w:tc>
        <w:tc>
          <w:tcPr>
            <w:tcW w:w="110" w:type="dxa"/>
            <w:tcBorders/>
            <w:shd w:fill="FFFFFF" w:val="clear"/>
            <w:vAlign w:val="center"/>
          </w:tcPr>
          <w:p>
            <w:pPr>
              <w:pStyle w:val="TableContents"/>
              <w:bidi w:val="0"/>
              <w:spacing w:before="0" w:after="283"/>
              <w:jc w:val="left"/>
              <w:rPr/>
            </w:pPr>
            <w:r>
              <w:rPr/>
              <w:t> </w:t>
            </w:r>
            <w:bookmarkStart w:id="141" w:name="xdx_400_eus-gaap--StockIssuedDuringPerio"/>
            <w:bookmarkEnd w:id="141"/>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6_eus-gaap--StockIssuedDuringPerio"/>
            <w:bookmarkEnd w:id="142"/>
          </w:p>
        </w:tc>
        <w:tc>
          <w:tcPr>
            <w:tcW w:w="1100" w:type="dxa"/>
            <w:tcBorders/>
            <w:shd w:fill="CCEEFF" w:val="clear"/>
            <w:vAlign w:val="center"/>
          </w:tcPr>
          <w:p>
            <w:pPr>
              <w:pStyle w:val="TableContents"/>
              <w:bidi w:val="0"/>
              <w:spacing w:before="0" w:after="283"/>
              <w:jc w:val="right"/>
              <w:rPr/>
            </w:pPr>
            <w:r>
              <w:rPr/>
              <w:t>275,000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3" w:name="xdx_40A_eus-gaap--StockIssuedDuringPerio"/>
            <w:bookmarkEnd w:id="143"/>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4" w:name="xdx_989_eus-gaap--StockIssuedDuringPerio"/>
            <w:bookmarkEnd w:id="144"/>
          </w:p>
        </w:tc>
        <w:tc>
          <w:tcPr>
            <w:tcW w:w="1100" w:type="dxa"/>
            <w:tcBorders/>
            <w:shd w:fill="FFFFFF" w:val="clear"/>
            <w:vAlign w:val="center"/>
          </w:tcPr>
          <w:p>
            <w:pPr>
              <w:pStyle w:val="TableContents"/>
              <w:bidi w:val="0"/>
              <w:spacing w:before="0" w:after="283"/>
              <w:jc w:val="right"/>
              <w:rPr/>
            </w:pPr>
            <w:r>
              <w:rPr/>
              <w:t>(108,480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(1,157,000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(1,157,000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(1,157,000</w:t>
            </w:r>
          </w:p>
        </w:tc>
        <w:tc>
          <w:tcPr>
            <w:tcW w:w="110" w:type="dxa"/>
            <w:tcBorders/>
            <w:shd w:fill="FFFFFF" w:val="clear"/>
            <w:vAlign w:val="center"/>
          </w:tcPr>
          <w:p>
            <w:pPr>
              <w:pStyle w:val="TableContents"/>
              <w:bidi w:val="0"/>
              <w:spacing w:before="0" w:after="283"/>
              <w:jc w:val="left"/>
              <w:rPr/>
            </w:pPr>
            <w:r>
              <w:rPr/>
              <w:t>)</w:t>
            </w:r>
            <w:bookmarkStart w:id="145" w:name="xdx_409_eus-gaap--AdjustmentsToAdditiona"/>
            <w:bookmarkEnd w:id="145"/>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4,169,000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4,169,000</w:t>
            </w:r>
          </w:p>
        </w:tc>
        <w:tc>
          <w:tcPr>
            <w:tcW w:w="110" w:type="dxa"/>
            <w:tcBorders/>
            <w:shd w:fill="CCEEFF" w:val="clear"/>
            <w:vAlign w:val="center"/>
          </w:tcPr>
          <w:p>
            <w:pPr>
              <w:pStyle w:val="TableContents"/>
              <w:bidi w:val="0"/>
              <w:spacing w:before="0" w:after="283"/>
              <w:jc w:val="left"/>
              <w:rPr/>
            </w:pPr>
            <w:r>
              <w:rPr/>
              <w:t> </w:t>
            </w:r>
            <w:bookmarkStart w:id="146" w:name="xdx_401_eus-gaap--NetIncomeLoss_zruldq0L"/>
            <w:bookmarkEnd w:id="146"/>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(13,565,000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(13,565,000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(13,565,000</w:t>
            </w:r>
          </w:p>
        </w:tc>
        <w:tc>
          <w:tcPr>
            <w:tcW w:w="110" w:type="dxa"/>
            <w:tcBorders/>
            <w:shd w:fill="FFFFFF" w:val="clear"/>
            <w:vAlign w:val="center"/>
          </w:tcPr>
          <w:p>
            <w:pPr>
              <w:pStyle w:val="TableContents"/>
              <w:bidi w:val="0"/>
              <w:spacing w:before="0" w:after="283"/>
              <w:jc w:val="left"/>
              <w:rPr/>
            </w:pPr>
            <w:r>
              <w:rPr/>
              <w:t>)</w:t>
            </w:r>
            <w:bookmarkStart w:id="147" w:name="xdx_43F_c20240101__20240331_eus-gaap--St"/>
            <w:bookmarkEnd w:id="147"/>
          </w:p>
        </w:tc>
      </w:tr>
      <w:tr>
        <w:trPr/>
        <w:tc>
          <w:tcPr>
            <w:tcW w:w="1340" w:type="dxa"/>
            <w:tcBorders/>
            <w:shd w:fill="CCEEFF" w:val="clear"/>
            <w:vAlign w:val="center"/>
          </w:tcPr>
          <w:p>
            <w:pPr>
              <w:pStyle w:val="TableContents"/>
              <w:bidi w:val="0"/>
              <w:spacing w:before="0" w:after="283"/>
              <w:jc w:val="left"/>
              <w:rPr/>
            </w:pPr>
            <w:r>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8" w:name="xdx_987_eus-gaap--SharesOutstanding_iE_c"/>
            <w:bookmarkEnd w:id="14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35,380,955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207,995,000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(147,469,000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60,561,000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60,206,000</w:t>
            </w:r>
          </w:p>
        </w:tc>
        <w:tc>
          <w:tcPr>
            <w:tcW w:w="110" w:type="dxa"/>
            <w:tcBorders/>
            <w:shd w:fill="CCEEFF" w:val="clear"/>
            <w:vAlign w:val="center"/>
          </w:tcPr>
          <w:p>
            <w:pPr>
              <w:pStyle w:val="TableContents"/>
              <w:bidi w:val="0"/>
              <w:spacing w:before="0" w:after="283"/>
              <w:jc w:val="left"/>
              <w:rPr/>
            </w:pPr>
            <w:r>
              <w:rPr/>
              <w:t> </w:t>
            </w:r>
            <w:bookmarkStart w:id="149" w:name="xdx_438_c20240101__20240331_eus-gaap--St"/>
            <w:bookmarkEnd w:id="149"/>
          </w:p>
        </w:tc>
      </w:tr>
      <w:tr>
        <w:trPr/>
        <w:tc>
          <w:tcPr>
            <w:tcW w:w="1340" w:type="dxa"/>
            <w:tcBorders/>
            <w:shd w:fill="CCEEFF" w:val="clear"/>
            <w:vAlign w:val="center"/>
          </w:tcPr>
          <w:p>
            <w:pPr>
              <w:pStyle w:val="TableContents"/>
              <w:bidi w:val="0"/>
              <w:spacing w:before="0" w:after="283"/>
              <w:jc w:val="left"/>
              <w:rPr/>
            </w:pPr>
            <w:r>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0" w:name="xdx_982_eus-gaap--SharesOutstanding_iE_c"/>
            <w:bookmarkEnd w:id="15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35,380,955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207,995,000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(147,469,000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60,561,000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60,206,000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1" w:name="xdx_309_112_zEpyX3Ax2ae7"/>
      <w:bookmarkStart w:id="152" w:name="xdx_309_112_zEpyX3Ax2ae7"/>
      <w:bookmarkEnd w:id="152"/>
    </w:p>
    <w:tbl>
      <w:tblPr>
        <w:tblW w:w="10205" w:type="dxa"/>
        <w:jc w:val="left"/>
        <w:tblInd w:w="0" w:type="dxa"/>
        <w:tblLayout w:type="fixed"/>
        <w:tblCellMar>
          <w:top w:w="0" w:type="dxa"/>
          <w:left w:w="0" w:type="dxa"/>
          <w:bottom w:w="0" w:type="dxa"/>
          <w:right w:w="0" w:type="dxa"/>
        </w:tblCellMar>
      </w:tblPr>
      <w:tblGrid>
        <w:gridCol w:w="7130"/>
        <w:gridCol w:w="60"/>
        <w:gridCol w:w="140"/>
        <w:gridCol w:w="1175"/>
        <w:gridCol w:w="95"/>
        <w:gridCol w:w="60"/>
        <w:gridCol w:w="140"/>
        <w:gridCol w:w="1295"/>
        <w:gridCol w:w="110"/>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 w:name="xdx_497_20240101__20240331_ziUMPmOhbb3a"/>
            <w:bookmarkEnd w:id="153"/>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4" w:name="xdx_491_20230101__20230331_zuOHKW18gXg3"/>
            <w:bookmarkEnd w:id="154"/>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vAlign w:val="center"/>
          </w:tcPr>
          <w:p>
            <w:pPr>
              <w:pStyle w:val="TableContents"/>
              <w:bidi w:val="0"/>
              <w:spacing w:before="0" w:after="283"/>
              <w:jc w:val="center"/>
              <w:rPr/>
            </w:pPr>
            <w:r>
              <w:rPr/>
              <w:t>For the Three Months Ended</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12" w:space="0" w:color="000000"/>
            </w:tcBorders>
            <w:tcMar>
              <w:bottom w:w="28" w:type="dxa"/>
            </w:tcMar>
            <w:vAlign w:val="center"/>
          </w:tcPr>
          <w:p>
            <w:pPr>
              <w:pStyle w:val="TableContents"/>
              <w:bidi w:val="0"/>
              <w:spacing w:before="0" w:after="283"/>
              <w:jc w:val="center"/>
              <w:rPr/>
            </w:pPr>
            <w:r>
              <w:rPr/>
              <w:t>March 31,</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55" w:name="xdx_400_eus-gaap--NetCashProvidedByUsedI"/>
            <w:bookmarkEnd w:id="155"/>
          </w:p>
        </w:tc>
      </w:tr>
      <w:tr>
        <w:trPr/>
        <w:tc>
          <w:tcPr>
            <w:tcW w:w="713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6" w:name="xdx_40C_eus-gaap--NetIncomeLoss_i01_pp0p"/>
            <w:bookmarkEnd w:id="156"/>
          </w:p>
        </w:tc>
      </w:tr>
      <w:tr>
        <w:trPr/>
        <w:tc>
          <w:tcPr>
            <w:tcW w:w="71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(13,565,000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(6,643,000</w:t>
            </w:r>
          </w:p>
        </w:tc>
        <w:tc>
          <w:tcPr>
            <w:tcW w:w="110" w:type="dxa"/>
            <w:tcBorders/>
            <w:shd w:fill="FFFFFF" w:val="clear"/>
            <w:vAlign w:val="center"/>
          </w:tcPr>
          <w:p>
            <w:pPr>
              <w:pStyle w:val="TableContents"/>
              <w:bidi w:val="0"/>
              <w:spacing w:before="0" w:after="283"/>
              <w:jc w:val="left"/>
              <w:rPr/>
            </w:pPr>
            <w:r>
              <w:rPr/>
              <w:t>)</w:t>
            </w:r>
            <w:bookmarkStart w:id="157" w:name="xdx_403_eus-gaap--AdjustmentsToReconcile"/>
            <w:bookmarkEnd w:id="157"/>
          </w:p>
        </w:tc>
      </w:tr>
      <w:tr>
        <w:trPr/>
        <w:tc>
          <w:tcPr>
            <w:tcW w:w="71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 w:name="xdx_404_eus-gaap--DepreciationAndAmortiz"/>
            <w:bookmarkEnd w:id="158"/>
          </w:p>
        </w:tc>
      </w:tr>
      <w:tr>
        <w:trPr/>
        <w:tc>
          <w:tcPr>
            <w:tcW w:w="7130" w:type="dxa"/>
            <w:tcBorders/>
            <w:shd w:fill="FFFFFF" w:val="clear"/>
            <w:vAlign w:val="center"/>
          </w:tcPr>
          <w:p>
            <w:pPr>
              <w:pStyle w:val="TableContents"/>
              <w:bidi w:val="0"/>
              <w:spacing w:before="0" w:after="283"/>
              <w:jc w:val="left"/>
              <w:rPr/>
            </w:pPr>
            <w:r>
              <w:rPr/>
              <w:t>Depreciation and amortization of property, plant and equipment and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292,000</w:t>
            </w:r>
          </w:p>
        </w:tc>
        <w:tc>
          <w:tcPr>
            <w:tcW w:w="110" w:type="dxa"/>
            <w:tcBorders/>
            <w:shd w:fill="FFFFFF" w:val="clear"/>
            <w:vAlign w:val="center"/>
          </w:tcPr>
          <w:p>
            <w:pPr>
              <w:pStyle w:val="TableContents"/>
              <w:bidi w:val="0"/>
              <w:spacing w:before="0" w:after="283"/>
              <w:jc w:val="left"/>
              <w:rPr/>
            </w:pPr>
            <w:r>
              <w:rPr/>
              <w:t> </w:t>
            </w:r>
            <w:bookmarkStart w:id="159" w:name="xdx_408_eus-gaap--AmortizationOfIntangib"/>
            <w:bookmarkEnd w:id="159"/>
          </w:p>
        </w:tc>
      </w:tr>
      <w:tr>
        <w:trPr/>
        <w:tc>
          <w:tcPr>
            <w:tcW w:w="713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2,554,000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2,207,000</w:t>
            </w:r>
          </w:p>
        </w:tc>
        <w:tc>
          <w:tcPr>
            <w:tcW w:w="110" w:type="dxa"/>
            <w:tcBorders/>
            <w:shd w:fill="CCEEFF" w:val="clear"/>
            <w:vAlign w:val="center"/>
          </w:tcPr>
          <w:p>
            <w:pPr>
              <w:pStyle w:val="TableContents"/>
              <w:bidi w:val="0"/>
              <w:spacing w:before="0" w:after="283"/>
              <w:jc w:val="left"/>
              <w:rPr/>
            </w:pPr>
            <w:r>
              <w:rPr/>
              <w:t> </w:t>
            </w:r>
            <w:bookmarkStart w:id="160" w:name="xdx_40A_eus-gaap--OperatingLeaseRightOfU"/>
            <w:bookmarkEnd w:id="160"/>
          </w:p>
        </w:tc>
      </w:tr>
      <w:tr>
        <w:trPr/>
        <w:tc>
          <w:tcPr>
            <w:tcW w:w="7130"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177,000</w:t>
            </w:r>
          </w:p>
        </w:tc>
        <w:tc>
          <w:tcPr>
            <w:tcW w:w="110" w:type="dxa"/>
            <w:tcBorders/>
            <w:shd w:fill="FFFFFF" w:val="clear"/>
            <w:vAlign w:val="center"/>
          </w:tcPr>
          <w:p>
            <w:pPr>
              <w:pStyle w:val="TableContents"/>
              <w:bidi w:val="0"/>
              <w:spacing w:before="0" w:after="283"/>
              <w:jc w:val="left"/>
              <w:rPr/>
            </w:pPr>
            <w:r>
              <w:rPr/>
              <w:t> </w:t>
            </w:r>
            <w:bookmarkStart w:id="161" w:name="xdx_405_eus-gaap--ProvisionForDoubtfulAc"/>
            <w:bookmarkEnd w:id="161"/>
          </w:p>
        </w:tc>
      </w:tr>
      <w:tr>
        <w:trPr/>
        <w:tc>
          <w:tcPr>
            <w:tcW w:w="7130" w:type="dxa"/>
            <w:tcBorders/>
            <w:shd w:fill="CCEEFF" w:val="clear"/>
            <w:vAlign w:val="center"/>
          </w:tcPr>
          <w:p>
            <w:pPr>
              <w:pStyle w:val="TableContents"/>
              <w:bidi w:val="0"/>
              <w:spacing w:before="0" w:after="283"/>
              <w:jc w:val="left"/>
              <w:rPr/>
            </w:pPr>
            <w:r>
              <w:rPr/>
              <w:t>(Recovery of) 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20,000</w:t>
            </w:r>
          </w:p>
        </w:tc>
        <w:tc>
          <w:tcPr>
            <w:tcW w:w="110" w:type="dxa"/>
            <w:tcBorders/>
            <w:shd w:fill="CCEEFF" w:val="clear"/>
            <w:vAlign w:val="center"/>
          </w:tcPr>
          <w:p>
            <w:pPr>
              <w:pStyle w:val="TableContents"/>
              <w:bidi w:val="0"/>
              <w:spacing w:before="0" w:after="283"/>
              <w:jc w:val="left"/>
              <w:rPr/>
            </w:pPr>
            <w:r>
              <w:rPr/>
              <w:t> </w:t>
            </w:r>
            <w:bookmarkStart w:id="162" w:name="xdx_40D_eus-gaap--AmortizationOfFinancin"/>
            <w:bookmarkEnd w:id="162"/>
          </w:p>
        </w:tc>
      </w:tr>
      <w:tr>
        <w:trPr/>
        <w:tc>
          <w:tcPr>
            <w:tcW w:w="7130" w:type="dxa"/>
            <w:tcBorders/>
            <w:shd w:fill="FFFFFF" w:val="clear"/>
            <w:vAlign w:val="center"/>
          </w:tcPr>
          <w:p>
            <w:pPr>
              <w:pStyle w:val="TableContents"/>
              <w:bidi w:val="0"/>
              <w:spacing w:before="0" w:after="283"/>
              <w:jc w:val="left"/>
              <w:rPr/>
            </w:pPr>
            <w:r>
              <w:rPr/>
              <w:t>Amortization of debt issuance costs and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761,000</w:t>
            </w:r>
          </w:p>
        </w:tc>
        <w:tc>
          <w:tcPr>
            <w:tcW w:w="110" w:type="dxa"/>
            <w:tcBorders/>
            <w:shd w:fill="FFFFFF" w:val="clear"/>
            <w:vAlign w:val="center"/>
          </w:tcPr>
          <w:p>
            <w:pPr>
              <w:pStyle w:val="TableContents"/>
              <w:bidi w:val="0"/>
              <w:spacing w:before="0" w:after="283"/>
              <w:jc w:val="left"/>
              <w:rPr/>
            </w:pPr>
            <w:r>
              <w:rPr/>
              <w:t> </w:t>
            </w:r>
            <w:bookmarkStart w:id="163" w:name="xdx_401_eus-gaap--GainLossOnInvestments_"/>
            <w:bookmarkEnd w:id="163"/>
          </w:p>
        </w:tc>
      </w:tr>
      <w:tr>
        <w:trPr/>
        <w:tc>
          <w:tcPr>
            <w:tcW w:w="7130" w:type="dxa"/>
            <w:tcBorders/>
            <w:shd w:fill="CCEEFF" w:val="clear"/>
            <w:vAlign w:val="center"/>
          </w:tcPr>
          <w:p>
            <w:pPr>
              <w:pStyle w:val="TableContents"/>
              <w:bidi w:val="0"/>
              <w:spacing w:before="0" w:after="283"/>
              <w:jc w:val="left"/>
              <w:rPr/>
            </w:pPr>
            <w:r>
              <w:rPr/>
              <w:t>Investment loss (gain) from investment in Eton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1,248,000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(2,042,000</w:t>
            </w:r>
          </w:p>
        </w:tc>
        <w:tc>
          <w:tcPr>
            <w:tcW w:w="110" w:type="dxa"/>
            <w:tcBorders/>
            <w:shd w:fill="CCEEFF" w:val="clear"/>
            <w:vAlign w:val="center"/>
          </w:tcPr>
          <w:p>
            <w:pPr>
              <w:pStyle w:val="TableContents"/>
              <w:bidi w:val="0"/>
              <w:spacing w:before="0" w:after="283"/>
              <w:jc w:val="left"/>
              <w:rPr/>
            </w:pPr>
            <w:r>
              <w:rPr/>
              <w:t>)</w:t>
            </w:r>
            <w:bookmarkStart w:id="164" w:name="xdx_403_eus-gaap--ExtinguishmentOfDebtGa"/>
            <w:bookmarkEnd w:id="164"/>
          </w:p>
        </w:tc>
      </w:tr>
      <w:tr>
        <w:trPr/>
        <w:tc>
          <w:tcPr>
            <w:tcW w:w="7130"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5,465,000</w:t>
            </w:r>
          </w:p>
        </w:tc>
        <w:tc>
          <w:tcPr>
            <w:tcW w:w="110" w:type="dxa"/>
            <w:tcBorders/>
            <w:shd w:fill="FFFFFF" w:val="clear"/>
            <w:vAlign w:val="center"/>
          </w:tcPr>
          <w:p>
            <w:pPr>
              <w:pStyle w:val="TableContents"/>
              <w:bidi w:val="0"/>
              <w:spacing w:before="0" w:after="283"/>
              <w:jc w:val="left"/>
              <w:rPr/>
            </w:pPr>
            <w:r>
              <w:rPr/>
              <w:t> </w:t>
            </w:r>
            <w:bookmarkStart w:id="165" w:name="xdx_404_eus-gaap--ShareBasedCompensation"/>
            <w:bookmarkEnd w:id="165"/>
          </w:p>
        </w:tc>
      </w:tr>
      <w:tr>
        <w:trPr/>
        <w:tc>
          <w:tcPr>
            <w:tcW w:w="71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1,633,000</w:t>
            </w:r>
          </w:p>
        </w:tc>
        <w:tc>
          <w:tcPr>
            <w:tcW w:w="110" w:type="dxa"/>
            <w:tcBorders/>
            <w:shd w:fill="CCEEFF" w:val="clear"/>
            <w:vAlign w:val="center"/>
          </w:tcPr>
          <w:p>
            <w:pPr>
              <w:pStyle w:val="TableContents"/>
              <w:bidi w:val="0"/>
              <w:spacing w:before="0" w:after="283"/>
              <w:jc w:val="left"/>
              <w:rPr/>
            </w:pPr>
            <w:r>
              <w:rPr/>
              <w:t> </w:t>
            </w:r>
            <w:bookmarkStart w:id="166" w:name="xdx_40E_eus-gaap--DeferredIncomeTaxExpen"/>
            <w:bookmarkEnd w:id="166"/>
          </w:p>
        </w:tc>
      </w:tr>
      <w:tr>
        <w:trPr/>
        <w:tc>
          <w:tcPr>
            <w:tcW w:w="7130"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(288,000</w:t>
            </w:r>
          </w:p>
        </w:tc>
        <w:tc>
          <w:tcPr>
            <w:tcW w:w="110" w:type="dxa"/>
            <w:tcBorders/>
            <w:shd w:fill="FFFFFF" w:val="clear"/>
            <w:vAlign w:val="center"/>
          </w:tcPr>
          <w:p>
            <w:pPr>
              <w:pStyle w:val="TableContents"/>
              <w:bidi w:val="0"/>
              <w:spacing w:before="0" w:after="283"/>
              <w:jc w:val="left"/>
              <w:rPr/>
            </w:pPr>
            <w:r>
              <w:rPr/>
              <w:t>)</w:t>
            </w:r>
            <w:bookmarkStart w:id="167" w:name="xdx_404_eus-gaap--IncreaseDecreaseInOper"/>
            <w:bookmarkEnd w:id="167"/>
          </w:p>
        </w:tc>
      </w:tr>
      <w:tr>
        <w:trPr/>
        <w:tc>
          <w:tcPr>
            <w:tcW w:w="713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8" w:name="xdx_406_eus-gaap--IncreaseDecreaseInAcco"/>
            <w:bookmarkEnd w:id="168"/>
          </w:p>
        </w:tc>
      </w:tr>
      <w:tr>
        <w:trPr/>
        <w:tc>
          <w:tcPr>
            <w:tcW w:w="71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8,396,000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(5,882,000</w:t>
            </w:r>
          </w:p>
        </w:tc>
        <w:tc>
          <w:tcPr>
            <w:tcW w:w="110" w:type="dxa"/>
            <w:tcBorders/>
            <w:shd w:fill="FFFFFF" w:val="clear"/>
            <w:vAlign w:val="center"/>
          </w:tcPr>
          <w:p>
            <w:pPr>
              <w:pStyle w:val="TableContents"/>
              <w:bidi w:val="0"/>
              <w:spacing w:before="0" w:after="283"/>
              <w:jc w:val="left"/>
              <w:rPr/>
            </w:pPr>
            <w:r>
              <w:rPr/>
              <w:t>)</w:t>
            </w:r>
            <w:bookmarkStart w:id="169" w:name="xdx_401_eus-gaap--IncreaseDecreaseInInve"/>
            <w:bookmarkEnd w:id="169"/>
          </w:p>
        </w:tc>
      </w:tr>
      <w:tr>
        <w:trPr/>
        <w:tc>
          <w:tcPr>
            <w:tcW w:w="713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(2,552,000</w:t>
            </w:r>
          </w:p>
        </w:tc>
        <w:tc>
          <w:tcPr>
            <w:tcW w:w="110" w:type="dxa"/>
            <w:tcBorders/>
            <w:shd w:fill="CCEEFF" w:val="clear"/>
            <w:vAlign w:val="center"/>
          </w:tcPr>
          <w:p>
            <w:pPr>
              <w:pStyle w:val="TableContents"/>
              <w:bidi w:val="0"/>
              <w:spacing w:before="0" w:after="283"/>
              <w:jc w:val="left"/>
              <w:rPr/>
            </w:pPr>
            <w:r>
              <w:rPr/>
              <w:t>)</w:t>
            </w:r>
            <w:bookmarkStart w:id="170" w:name="xdx_404_eus-gaap--IncreaseDecreaseInPrep"/>
            <w:bookmarkEnd w:id="170"/>
          </w:p>
        </w:tc>
      </w:tr>
      <w:tr>
        <w:trPr/>
        <w:tc>
          <w:tcPr>
            <w:tcW w:w="713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7,000</w:t>
            </w:r>
          </w:p>
        </w:tc>
        <w:tc>
          <w:tcPr>
            <w:tcW w:w="110" w:type="dxa"/>
            <w:tcBorders/>
            <w:shd w:fill="FFFFFF" w:val="clear"/>
            <w:vAlign w:val="center"/>
          </w:tcPr>
          <w:p>
            <w:pPr>
              <w:pStyle w:val="TableContents"/>
              <w:bidi w:val="0"/>
              <w:spacing w:before="0" w:after="283"/>
              <w:jc w:val="left"/>
              <w:rPr/>
            </w:pPr>
            <w:r>
              <w:rPr/>
              <w:t> </w:t>
            </w:r>
            <w:bookmarkStart w:id="171" w:name="xdx_403_eus-gaap--IncreaseDecreaseInAcco"/>
            <w:bookmarkEnd w:id="171"/>
          </w:p>
        </w:tc>
      </w:tr>
      <w:tr>
        <w:trPr/>
        <w:tc>
          <w:tcPr>
            <w:tcW w:w="7130" w:type="dxa"/>
            <w:tcBorders/>
            <w:shd w:fill="CCEEFF" w:val="clear"/>
            <w:vAlign w:val="center"/>
          </w:tcPr>
          <w:p>
            <w:pPr>
              <w:pStyle w:val="TableContents"/>
              <w:bidi w:val="0"/>
              <w:spacing w:before="0" w:after="283"/>
              <w:jc w:val="left"/>
              <w:rPr/>
            </w:pPr>
            <w:r>
              <w:rPr/>
              <w:t>Accounts payable, accrued expenses, accrued rebates and copay assistance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(8,939,000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(212,000</w:t>
            </w:r>
          </w:p>
        </w:tc>
        <w:tc>
          <w:tcPr>
            <w:tcW w:w="110" w:type="dxa"/>
            <w:tcBorders/>
            <w:shd w:fill="CCEEFF" w:val="clear"/>
            <w:vAlign w:val="center"/>
          </w:tcPr>
          <w:p>
            <w:pPr>
              <w:pStyle w:val="TableContents"/>
              <w:bidi w:val="0"/>
              <w:spacing w:before="0" w:after="283"/>
              <w:jc w:val="left"/>
              <w:rPr/>
            </w:pPr>
            <w:r>
              <w:rPr/>
              <w:t>)</w:t>
            </w:r>
            <w:bookmarkStart w:id="172" w:name="xdx_40F_eus-gaap--IncreaseDecreaseInEmpl"/>
            <w:bookmarkEnd w:id="172"/>
          </w:p>
        </w:tc>
      </w:tr>
      <w:tr>
        <w:trPr/>
        <w:tc>
          <w:tcPr>
            <w:tcW w:w="7130" w:type="dxa"/>
            <w:tcBorders/>
            <w:shd w:fill="FFFFFF" w:val="clear"/>
            <w:vAlign w:val="center"/>
          </w:tcPr>
          <w:p>
            <w:pPr>
              <w:pStyle w:val="TableContents"/>
              <w:bidi w:val="0"/>
              <w:spacing w:before="0" w:after="283"/>
              <w:jc w:val="left"/>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(1,111,000</w:t>
            </w:r>
          </w:p>
        </w:tc>
        <w:tc>
          <w:tcPr>
            <w:tcW w:w="110" w:type="dxa"/>
            <w:tcBorders/>
            <w:shd w:fill="FFFFFF" w:val="clear"/>
            <w:vAlign w:val="center"/>
          </w:tcPr>
          <w:p>
            <w:pPr>
              <w:pStyle w:val="TableContents"/>
              <w:bidi w:val="0"/>
              <w:spacing w:before="0" w:after="283"/>
              <w:jc w:val="left"/>
              <w:rPr/>
            </w:pPr>
            <w:r>
              <w:rPr/>
              <w:t>)</w:t>
            </w:r>
            <w:bookmarkStart w:id="173" w:name="xdx_403_eus-gaap--IncreaseDecreaseInCont"/>
            <w:bookmarkEnd w:id="173"/>
          </w:p>
        </w:tc>
      </w:tr>
      <w:tr>
        <w:trPr/>
        <w:tc>
          <w:tcPr>
            <w:tcW w:w="7130" w:type="dxa"/>
            <w:tcBorders/>
            <w:shd w:fill="CCEEFF" w:val="clear"/>
            <w:vAlign w:val="center"/>
          </w:tcPr>
          <w:p>
            <w:pPr>
              <w:pStyle w:val="TableContents"/>
              <w:bidi w:val="0"/>
              <w:spacing w:before="0" w:after="283"/>
              <w:jc w:val="left"/>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(46,000</w:t>
            </w:r>
          </w:p>
        </w:tc>
        <w:tc>
          <w:tcPr>
            <w:tcW w:w="110" w:type="dxa"/>
            <w:tcBorders/>
            <w:shd w:fill="CCEEFF" w:val="clear"/>
            <w:vAlign w:val="center"/>
          </w:tcPr>
          <w:p>
            <w:pPr>
              <w:pStyle w:val="TableContents"/>
              <w:bidi w:val="0"/>
              <w:spacing w:before="0" w:after="283"/>
              <w:jc w:val="left"/>
              <w:rPr/>
            </w:pPr>
            <w:r>
              <w:rPr/>
              <w:t>)</w:t>
            </w:r>
            <w:bookmarkStart w:id="174" w:name="xdx_400_eus-gaap--NetCashProvidedByUsedI"/>
            <w:bookmarkEnd w:id="174"/>
          </w:p>
        </w:tc>
      </w:tr>
      <w:tr>
        <w:trPr/>
        <w:tc>
          <w:tcPr>
            <w:tcW w:w="713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(4,628,000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(8,214,000</w:t>
            </w:r>
          </w:p>
        </w:tc>
        <w:tc>
          <w:tcPr>
            <w:tcW w:w="110" w:type="dxa"/>
            <w:tcBorders/>
            <w:shd w:fill="FFFFFF" w:val="clear"/>
            <w:vAlign w:val="center"/>
          </w:tcPr>
          <w:p>
            <w:pPr>
              <w:pStyle w:val="TableContents"/>
              <w:bidi w:val="0"/>
              <w:spacing w:before="0" w:after="283"/>
              <w:jc w:val="left"/>
              <w:rPr/>
            </w:pPr>
            <w:r>
              <w:rPr/>
              <w:t>)</w:t>
            </w:r>
            <w:bookmarkStart w:id="175" w:name="xdx_406_eus-gaap--NetCashProvidedByUsedI"/>
            <w:bookmarkEnd w:id="175"/>
          </w:p>
        </w:tc>
      </w:tr>
      <w:tr>
        <w:trPr/>
        <w:tc>
          <w:tcPr>
            <w:tcW w:w="7130"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6" w:name="xdx_40E_eus-gaap--PaymentsToAcquireIntan"/>
            <w:bookmarkEnd w:id="176"/>
          </w:p>
        </w:tc>
      </w:tr>
      <w:tr>
        <w:trPr/>
        <w:tc>
          <w:tcPr>
            <w:tcW w:w="7130" w:type="dxa"/>
            <w:tcBorders/>
            <w:shd w:fill="FFFFFF" w:val="clear"/>
            <w:vAlign w:val="center"/>
          </w:tcPr>
          <w:p>
            <w:pPr>
              <w:pStyle w:val="TableContents"/>
              <w:bidi w:val="0"/>
              <w:spacing w:before="0" w:after="283"/>
              <w:jc w:val="left"/>
              <w:rPr/>
            </w:pPr>
            <w:r>
              <w:rPr/>
              <w:t>Investment in patent and trademark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7" w:name="xdx_40D_ecustom--PurchaseOfProductAndRel"/>
            <w:bookmarkEnd w:id="177"/>
          </w:p>
        </w:tc>
      </w:tr>
      <w:tr>
        <w:trPr/>
        <w:tc>
          <w:tcPr>
            <w:tcW w:w="7130" w:type="dxa"/>
            <w:tcBorders/>
            <w:shd w:fill="CCEEFF" w:val="clear"/>
            <w:vAlign w:val="center"/>
          </w:tcPr>
          <w:p>
            <w:pPr>
              <w:pStyle w:val="TableContents"/>
              <w:bidi w:val="0"/>
              <w:spacing w:before="0" w:after="283"/>
              <w:jc w:val="left"/>
              <w:rPr/>
            </w:pPr>
            <w:r>
              <w:rPr/>
              <w:t>Purchase of product NDAs and related 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(130,474,000</w:t>
            </w:r>
          </w:p>
        </w:tc>
        <w:tc>
          <w:tcPr>
            <w:tcW w:w="110" w:type="dxa"/>
            <w:tcBorders/>
            <w:shd w:fill="CCEEFF" w:val="clear"/>
            <w:vAlign w:val="center"/>
          </w:tcPr>
          <w:p>
            <w:pPr>
              <w:pStyle w:val="TableContents"/>
              <w:bidi w:val="0"/>
              <w:spacing w:before="0" w:after="283"/>
              <w:jc w:val="left"/>
              <w:rPr/>
            </w:pPr>
            <w:r>
              <w:rPr/>
              <w:t>)</w:t>
            </w:r>
            <w:bookmarkStart w:id="178" w:name="xdx_40B_eus-gaap--PaymentsToAcquirePrope"/>
            <w:bookmarkEnd w:id="178"/>
          </w:p>
        </w:tc>
      </w:tr>
      <w:tr>
        <w:trPr/>
        <w:tc>
          <w:tcPr>
            <w:tcW w:w="7130" w:type="dxa"/>
            <w:tcBorders/>
            <w:shd w:fill="FFFFFF" w:val="clear"/>
            <w:vAlign w:val="center"/>
          </w:tcPr>
          <w:p>
            <w:pPr>
              <w:pStyle w:val="TableContents"/>
              <w:bidi w:val="0"/>
              <w:spacing w:before="0" w:after="283"/>
              <w:jc w:val="left"/>
              <w:rPr/>
            </w:pPr>
            <w:r>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(496,000</w:t>
            </w:r>
          </w:p>
        </w:tc>
        <w:tc>
          <w:tcPr>
            <w:tcW w:w="110" w:type="dxa"/>
            <w:tcBorders/>
            <w:shd w:fill="FFFFFF" w:val="clear"/>
            <w:vAlign w:val="center"/>
          </w:tcPr>
          <w:p>
            <w:pPr>
              <w:pStyle w:val="TableContents"/>
              <w:bidi w:val="0"/>
              <w:spacing w:before="0" w:after="283"/>
              <w:jc w:val="left"/>
              <w:rPr/>
            </w:pPr>
            <w:r>
              <w:rPr/>
              <w:t>)</w:t>
            </w:r>
            <w:bookmarkStart w:id="179" w:name="xdx_409_eus-gaap--NetCashProvidedByUsedI"/>
            <w:bookmarkEnd w:id="179"/>
          </w:p>
        </w:tc>
      </w:tr>
      <w:tr>
        <w:trPr/>
        <w:tc>
          <w:tcPr>
            <w:tcW w:w="713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(130,970,000</w:t>
            </w:r>
          </w:p>
        </w:tc>
        <w:tc>
          <w:tcPr>
            <w:tcW w:w="110" w:type="dxa"/>
            <w:tcBorders/>
            <w:shd w:fill="CCEEFF" w:val="clear"/>
            <w:vAlign w:val="center"/>
          </w:tcPr>
          <w:p>
            <w:pPr>
              <w:pStyle w:val="TableContents"/>
              <w:bidi w:val="0"/>
              <w:spacing w:before="0" w:after="283"/>
              <w:jc w:val="left"/>
              <w:rPr/>
            </w:pPr>
            <w:r>
              <w:rPr/>
              <w:t>)</w:t>
            </w:r>
            <w:bookmarkStart w:id="180" w:name="xdx_403_eus-gaap--NetCashProvidedByUsedI"/>
            <w:bookmarkEnd w:id="180"/>
          </w:p>
        </w:tc>
      </w:tr>
      <w:tr>
        <w:trPr/>
        <w:tc>
          <w:tcPr>
            <w:tcW w:w="7130"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1" w:name="xdx_404_ecustom--ProceedsFromNotesPayabl"/>
            <w:bookmarkEnd w:id="181"/>
          </w:p>
        </w:tc>
      </w:tr>
      <w:tr>
        <w:trPr/>
        <w:tc>
          <w:tcPr>
            <w:tcW w:w="7130" w:type="dxa"/>
            <w:tcBorders/>
            <w:shd w:fill="CCEEFF" w:val="clear"/>
            <w:vAlign w:val="center"/>
          </w:tcPr>
          <w:p>
            <w:pPr>
              <w:pStyle w:val="TableContents"/>
              <w:bidi w:val="0"/>
              <w:spacing w:before="0" w:after="283"/>
              <w:jc w:val="left"/>
              <w:rPr/>
            </w:pPr>
            <w:r>
              <w:rPr/>
              <w:t>Proceeds from 11.875% notes payable, net of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4,961,000</w:t>
            </w:r>
          </w:p>
        </w:tc>
        <w:tc>
          <w:tcPr>
            <w:tcW w:w="110" w:type="dxa"/>
            <w:tcBorders/>
            <w:shd w:fill="CCEEFF" w:val="clear"/>
            <w:vAlign w:val="center"/>
          </w:tcPr>
          <w:p>
            <w:pPr>
              <w:pStyle w:val="TableContents"/>
              <w:bidi w:val="0"/>
              <w:spacing w:before="0" w:after="283"/>
              <w:jc w:val="left"/>
              <w:rPr/>
            </w:pPr>
            <w:r>
              <w:rPr/>
              <w:t> </w:t>
            </w:r>
            <w:bookmarkStart w:id="182" w:name="xdx_402_eus-gaap--ProceedsFromNotesPayab"/>
            <w:bookmarkEnd w:id="182"/>
          </w:p>
        </w:tc>
      </w:tr>
      <w:tr>
        <w:trPr/>
        <w:tc>
          <w:tcPr>
            <w:tcW w:w="7130" w:type="dxa"/>
            <w:tcBorders/>
            <w:shd w:fill="FFFFFF" w:val="clear"/>
            <w:vAlign w:val="center"/>
          </w:tcPr>
          <w:p>
            <w:pPr>
              <w:pStyle w:val="TableContents"/>
              <w:bidi w:val="0"/>
              <w:spacing w:before="0" w:after="283"/>
              <w:jc w:val="left"/>
              <w:rPr/>
            </w:pPr>
            <w:r>
              <w:rPr/>
              <w:t>Proceeds from Oaktree Loan, net of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61,585,000</w:t>
            </w:r>
          </w:p>
        </w:tc>
        <w:tc>
          <w:tcPr>
            <w:tcW w:w="110" w:type="dxa"/>
            <w:tcBorders/>
            <w:shd w:fill="FFFFFF" w:val="clear"/>
            <w:vAlign w:val="center"/>
          </w:tcPr>
          <w:p>
            <w:pPr>
              <w:pStyle w:val="TableContents"/>
              <w:bidi w:val="0"/>
              <w:spacing w:before="0" w:after="283"/>
              <w:jc w:val="left"/>
              <w:rPr/>
            </w:pPr>
            <w:r>
              <w:rPr/>
              <w:t> </w:t>
            </w:r>
            <w:bookmarkStart w:id="183" w:name="xdx_403_ecustom--PaymentOfTaxesForVestin"/>
            <w:bookmarkEnd w:id="183"/>
          </w:p>
        </w:tc>
      </w:tr>
      <w:tr>
        <w:trPr/>
        <w:tc>
          <w:tcPr>
            <w:tcW w:w="7130" w:type="dxa"/>
            <w:tcBorders/>
            <w:shd w:fill="CCEEFF" w:val="clear"/>
            <w:vAlign w:val="center"/>
          </w:tcPr>
          <w:p>
            <w:pPr>
              <w:pStyle w:val="TableContents"/>
              <w:bidi w:val="0"/>
              <w:spacing w:before="0" w:after="283"/>
              <w:jc w:val="left"/>
              <w:rPr/>
            </w:pPr>
            <w:r>
              <w:rPr/>
              <w:t>Payment of payroll taxes upon vesting of PSUs, RSUs and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(661,000</w:t>
            </w:r>
          </w:p>
        </w:tc>
        <w:tc>
          <w:tcPr>
            <w:tcW w:w="110" w:type="dxa"/>
            <w:tcBorders/>
            <w:shd w:fill="CCEEFF" w:val="clear"/>
            <w:vAlign w:val="center"/>
          </w:tcPr>
          <w:p>
            <w:pPr>
              <w:pStyle w:val="TableContents"/>
              <w:bidi w:val="0"/>
              <w:spacing w:before="0" w:after="283"/>
              <w:jc w:val="left"/>
              <w:rPr/>
            </w:pPr>
            <w:r>
              <w:rPr/>
              <w:t>)</w:t>
            </w:r>
            <w:bookmarkStart w:id="184" w:name="xdx_404_eus-gaap--ProceedsFromStockOptio"/>
            <w:bookmarkEnd w:id="184"/>
          </w:p>
        </w:tc>
      </w:tr>
      <w:tr>
        <w:trPr/>
        <w:tc>
          <w:tcPr>
            <w:tcW w:w="713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148,000</w:t>
            </w:r>
          </w:p>
        </w:tc>
        <w:tc>
          <w:tcPr>
            <w:tcW w:w="110" w:type="dxa"/>
            <w:tcBorders/>
            <w:shd w:fill="FFFFFF" w:val="clear"/>
            <w:vAlign w:val="center"/>
          </w:tcPr>
          <w:p>
            <w:pPr>
              <w:pStyle w:val="TableContents"/>
              <w:bidi w:val="0"/>
              <w:spacing w:before="0" w:after="283"/>
              <w:jc w:val="left"/>
              <w:rPr/>
            </w:pPr>
            <w:r>
              <w:rPr/>
              <w:t> </w:t>
            </w:r>
            <w:bookmarkStart w:id="185" w:name="xdx_405_eus-gaap--ProceedsFromIssuanceOf"/>
            <w:bookmarkEnd w:id="185"/>
          </w:p>
        </w:tc>
      </w:tr>
      <w:tr>
        <w:trPr/>
        <w:tc>
          <w:tcPr>
            <w:tcW w:w="7130" w:type="dxa"/>
            <w:tcBorders/>
            <w:shd w:fill="CCEEFF" w:val="clear"/>
            <w:vAlign w:val="center"/>
          </w:tcPr>
          <w:p>
            <w:pPr>
              <w:pStyle w:val="TableContents"/>
              <w:bidi w:val="0"/>
              <w:spacing w:before="0" w:after="283"/>
              <w:jc w:val="left"/>
              <w:rPr/>
            </w:pPr>
            <w:r>
              <w:rPr/>
              <w:t>Proceeds from B. Riley senior secured note, net of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55,879,000</w:t>
            </w:r>
          </w:p>
        </w:tc>
        <w:tc>
          <w:tcPr>
            <w:tcW w:w="110" w:type="dxa"/>
            <w:tcBorders/>
            <w:shd w:fill="CCEEFF" w:val="clear"/>
            <w:vAlign w:val="center"/>
          </w:tcPr>
          <w:p>
            <w:pPr>
              <w:pStyle w:val="TableContents"/>
              <w:bidi w:val="0"/>
              <w:spacing w:before="0" w:after="283"/>
              <w:jc w:val="left"/>
              <w:rPr/>
            </w:pPr>
            <w:r>
              <w:rPr/>
              <w:t> </w:t>
            </w:r>
            <w:bookmarkStart w:id="186" w:name="xdx_402_eus-gaap--RepaymentsOfSeniorDebt"/>
            <w:bookmarkEnd w:id="186"/>
          </w:p>
        </w:tc>
      </w:tr>
      <w:tr>
        <w:trPr/>
        <w:tc>
          <w:tcPr>
            <w:tcW w:w="7130" w:type="dxa"/>
            <w:tcBorders/>
            <w:shd w:fill="FFFFFF" w:val="clear"/>
            <w:vAlign w:val="center"/>
          </w:tcPr>
          <w:p>
            <w:pPr>
              <w:pStyle w:val="TableContents"/>
              <w:bidi w:val="0"/>
              <w:spacing w:before="0" w:after="283"/>
              <w:jc w:val="left"/>
              <w:rPr/>
            </w:pPr>
            <w:r>
              <w:rPr/>
              <w:t>Repayment of B. Riley senior secured note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(59,750,000</w:t>
            </w:r>
          </w:p>
        </w:tc>
        <w:tc>
          <w:tcPr>
            <w:tcW w:w="110" w:type="dxa"/>
            <w:tcBorders/>
            <w:shd w:fill="FFFFFF" w:val="clear"/>
            <w:vAlign w:val="center"/>
          </w:tcPr>
          <w:p>
            <w:pPr>
              <w:pStyle w:val="TableContents"/>
              <w:bidi w:val="0"/>
              <w:spacing w:before="0" w:after="283"/>
              <w:jc w:val="left"/>
              <w:rPr/>
            </w:pPr>
            <w:r>
              <w:rPr/>
              <w:t>)</w:t>
            </w:r>
            <w:bookmarkStart w:id="187" w:name="xdx_407_eus-gaap--NetCashProvidedByUsedI"/>
            <w:bookmarkEnd w:id="187"/>
          </w:p>
        </w:tc>
      </w:tr>
      <w:tr>
        <w:trPr/>
        <w:tc>
          <w:tcPr>
            <w:tcW w:w="7130" w:type="dxa"/>
            <w:tcBorders/>
            <w:shd w:fill="CCEEFF" w:val="clear"/>
            <w:vAlign w:val="center"/>
          </w:tcPr>
          <w:p>
            <w:pPr>
              <w:pStyle w:val="TableContents"/>
              <w:bidi w:val="0"/>
              <w:spacing w:before="0" w:after="283"/>
              <w:jc w:val="left"/>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(809,000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62,162,000</w:t>
            </w:r>
          </w:p>
        </w:tc>
        <w:tc>
          <w:tcPr>
            <w:tcW w:w="110" w:type="dxa"/>
            <w:tcBorders/>
            <w:shd w:fill="CCEEFF" w:val="clear"/>
            <w:vAlign w:val="center"/>
          </w:tcPr>
          <w:p>
            <w:pPr>
              <w:pStyle w:val="TableContents"/>
              <w:bidi w:val="0"/>
              <w:spacing w:before="0" w:after="283"/>
              <w:jc w:val="left"/>
              <w:rPr/>
            </w:pPr>
            <w:r>
              <w:rPr/>
              <w:t> </w:t>
            </w:r>
            <w:bookmarkStart w:id="188" w:name="xdx_40B_eus-gaap--CashCashEquivalentsRes"/>
            <w:bookmarkEnd w:id="188"/>
          </w:p>
        </w:tc>
      </w:tr>
      <w:tr>
        <w:trPr/>
        <w:tc>
          <w:tcPr>
            <w:tcW w:w="7130"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(5,547,000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(77,022,000</w:t>
            </w:r>
          </w:p>
        </w:tc>
        <w:tc>
          <w:tcPr>
            <w:tcW w:w="110" w:type="dxa"/>
            <w:tcBorders/>
            <w:shd w:fill="FFFFFF" w:val="clear"/>
            <w:vAlign w:val="center"/>
          </w:tcPr>
          <w:p>
            <w:pPr>
              <w:pStyle w:val="TableContents"/>
              <w:bidi w:val="0"/>
              <w:spacing w:before="0" w:after="283"/>
              <w:jc w:val="left"/>
              <w:rPr/>
            </w:pPr>
            <w:r>
              <w:rPr/>
              <w:t>)</w:t>
            </w:r>
            <w:bookmarkStart w:id="189" w:name="xdx_40D_eus-gaap--CashCashEquivalentsRes"/>
            <w:bookmarkEnd w:id="189"/>
          </w:p>
        </w:tc>
      </w:tr>
      <w:tr>
        <w:trPr/>
        <w:tc>
          <w:tcPr>
            <w:tcW w:w="7130"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74,085,000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96,270,000</w:t>
            </w:r>
          </w:p>
        </w:tc>
        <w:tc>
          <w:tcPr>
            <w:tcW w:w="110" w:type="dxa"/>
            <w:tcBorders/>
            <w:shd w:fill="CCEEFF" w:val="clear"/>
            <w:vAlign w:val="center"/>
          </w:tcPr>
          <w:p>
            <w:pPr>
              <w:pStyle w:val="TableContents"/>
              <w:bidi w:val="0"/>
              <w:spacing w:before="0" w:after="283"/>
              <w:jc w:val="left"/>
              <w:rPr/>
            </w:pPr>
            <w:r>
              <w:rPr/>
              <w:t> </w:t>
            </w:r>
            <w:bookmarkStart w:id="190" w:name="xdx_40A_eus-gaap--CashCashEquivalentsRes"/>
            <w:bookmarkEnd w:id="190"/>
          </w:p>
        </w:tc>
      </w:tr>
      <w:tr>
        <w:trPr/>
        <w:tc>
          <w:tcPr>
            <w:tcW w:w="7130"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68,538,000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19,248,000</w:t>
            </w:r>
          </w:p>
        </w:tc>
        <w:tc>
          <w:tcPr>
            <w:tcW w:w="110" w:type="dxa"/>
            <w:tcBorders/>
            <w:shd w:fill="FFFFFF" w:val="clear"/>
            <w:vAlign w:val="center"/>
          </w:tcPr>
          <w:p>
            <w:pPr>
              <w:pStyle w:val="TableContents"/>
              <w:bidi w:val="0"/>
              <w:spacing w:before="0" w:after="283"/>
              <w:jc w:val="left"/>
              <w:rPr/>
            </w:pPr>
            <w:r>
              <w:rPr/>
              <w:t> </w:t>
            </w:r>
            <w:bookmarkStart w:id="191" w:name="xdx_404_eus-gaap--SupplementalCashFlowIn"/>
            <w:bookmarkEnd w:id="191"/>
          </w:p>
        </w:tc>
      </w:tr>
      <w:tr>
        <w:trPr/>
        <w:tc>
          <w:tcPr>
            <w:tcW w:w="7130"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2" w:name="xdx_40A_eus-gaap--IncomeTaxesPaidNet_i01"/>
            <w:bookmarkEnd w:id="192"/>
          </w:p>
        </w:tc>
      </w:tr>
      <w:tr>
        <w:trPr/>
        <w:tc>
          <w:tcPr>
            <w:tcW w:w="713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3" w:name="xdx_408_eus-gaap--InterestPaidNet_i01_zF"/>
            <w:bookmarkEnd w:id="193"/>
          </w:p>
        </w:tc>
      </w:tr>
      <w:tr>
        <w:trPr/>
        <w:tc>
          <w:tcPr>
            <w:tcW w:w="713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5,340,000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3,371,000</w:t>
            </w:r>
          </w:p>
        </w:tc>
        <w:tc>
          <w:tcPr>
            <w:tcW w:w="110" w:type="dxa"/>
            <w:tcBorders/>
            <w:shd w:fill="CCEEFF" w:val="clear"/>
            <w:vAlign w:val="center"/>
          </w:tcPr>
          <w:p>
            <w:pPr>
              <w:pStyle w:val="TableContents"/>
              <w:bidi w:val="0"/>
              <w:spacing w:before="0" w:after="283"/>
              <w:jc w:val="left"/>
              <w:rPr/>
            </w:pPr>
            <w:r>
              <w:rPr/>
              <w:t> </w:t>
            </w:r>
            <w:bookmarkStart w:id="194" w:name="xdx_400_eus-gaap--CashFlowNoncashInvesti"/>
            <w:bookmarkEnd w:id="194"/>
          </w:p>
        </w:tc>
      </w:tr>
      <w:tr>
        <w:trPr/>
        <w:tc>
          <w:tcPr>
            <w:tcW w:w="7130" w:type="dxa"/>
            <w:tcBorders/>
            <w:shd w:fill="FFFFFF" w:val="clear"/>
            <w:vAlign w:val="center"/>
          </w:tcPr>
          <w:p>
            <w:pPr>
              <w:pStyle w:val="TableContents"/>
              <w:bidi w:val="0"/>
              <w:spacing w:before="0" w:after="283"/>
              <w:jc w:val="left"/>
              <w:rPr/>
            </w:pPr>
            <w:r>
              <w:rPr/>
              <w:t>SUPPLEMENTAL DISCLOSURES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 w:name="xdx_400_ecustom--ReclassificationOfDefer"/>
            <w:bookmarkEnd w:id="195"/>
          </w:p>
        </w:tc>
      </w:tr>
      <w:tr>
        <w:trPr/>
        <w:tc>
          <w:tcPr>
            <w:tcW w:w="7130" w:type="dxa"/>
            <w:tcBorders/>
            <w:shd w:fill="CCEEFF" w:val="clear"/>
            <w:vAlign w:val="center"/>
          </w:tcPr>
          <w:p>
            <w:pPr>
              <w:pStyle w:val="TableContents"/>
              <w:bidi w:val="0"/>
              <w:spacing w:before="0" w:after="283"/>
              <w:jc w:val="left"/>
              <w:rPr/>
            </w:pPr>
            <w:r>
              <w:rPr/>
              <w:t>Reclassification of deferred 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1,950,000</w:t>
            </w:r>
          </w:p>
        </w:tc>
        <w:tc>
          <w:tcPr>
            <w:tcW w:w="110" w:type="dxa"/>
            <w:tcBorders/>
            <w:shd w:fill="CCEEFF" w:val="clear"/>
            <w:vAlign w:val="center"/>
          </w:tcPr>
          <w:p>
            <w:pPr>
              <w:pStyle w:val="TableContents"/>
              <w:bidi w:val="0"/>
              <w:spacing w:before="0" w:after="283"/>
              <w:jc w:val="left"/>
              <w:rPr/>
            </w:pPr>
            <w:r>
              <w:rPr/>
              <w:t> </w:t>
            </w:r>
            <w:bookmarkStart w:id="196" w:name="xdx_408_ecustom--AccrualOfExitFeeRelated"/>
            <w:bookmarkEnd w:id="196"/>
          </w:p>
        </w:tc>
      </w:tr>
      <w:tr>
        <w:trPr/>
        <w:tc>
          <w:tcPr>
            <w:tcW w:w="7130" w:type="dxa"/>
            <w:tcBorders/>
            <w:shd w:fill="FFFFFF" w:val="clear"/>
            <w:vAlign w:val="center"/>
          </w:tcPr>
          <w:p>
            <w:pPr>
              <w:pStyle w:val="TableContents"/>
              <w:bidi w:val="0"/>
              <w:spacing w:before="0" w:after="283"/>
              <w:jc w:val="left"/>
              <w:rPr/>
            </w:pPr>
            <w:r>
              <w:rPr/>
              <w:t>Accrual of exit fee related to Oaktree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2,275,000</w:t>
            </w:r>
          </w:p>
        </w:tc>
        <w:tc>
          <w:tcPr>
            <w:tcW w:w="110" w:type="dxa"/>
            <w:tcBorders/>
            <w:shd w:fill="FFFFFF" w:val="clear"/>
            <w:vAlign w:val="center"/>
          </w:tcPr>
          <w:p>
            <w:pPr>
              <w:pStyle w:val="TableContents"/>
              <w:bidi w:val="0"/>
              <w:spacing w:before="0" w:after="283"/>
              <w:jc w:val="left"/>
              <w:rPr/>
            </w:pPr>
            <w:r>
              <w:rPr/>
              <w:t> </w:t>
            </w:r>
            <w:bookmarkStart w:id="197" w:name="xdx_403_ecustom--PurchaseOfPropertyPlant"/>
            <w:bookmarkEnd w:id="197"/>
          </w:p>
        </w:tc>
      </w:tr>
      <w:tr>
        <w:trPr/>
        <w:tc>
          <w:tcPr>
            <w:tcW w:w="7130" w:type="dxa"/>
            <w:tcBorders/>
            <w:shd w:fill="CCEEFF" w:val="clear"/>
            <w:vAlign w:val="center"/>
          </w:tcPr>
          <w:p>
            <w:pPr>
              <w:pStyle w:val="TableContents"/>
              <w:bidi w:val="0"/>
              <w:spacing w:before="0" w:after="283"/>
              <w:jc w:val="left"/>
              <w:rPr/>
            </w:pPr>
            <w:r>
              <w:rPr/>
              <w:t>Purchase of property, plant and equipment included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89,000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61,000</w:t>
            </w:r>
          </w:p>
        </w:tc>
        <w:tc>
          <w:tcPr>
            <w:tcW w:w="110" w:type="dxa"/>
            <w:tcBorders/>
            <w:shd w:fill="CCEEFF" w:val="clear"/>
            <w:vAlign w:val="center"/>
          </w:tcPr>
          <w:p>
            <w:pPr>
              <w:pStyle w:val="TableContents"/>
              <w:bidi w:val="0"/>
              <w:spacing w:before="0" w:after="283"/>
              <w:jc w:val="left"/>
              <w:rPr/>
            </w:pPr>
            <w:r>
              <w:rPr/>
              <w:t> </w:t>
            </w:r>
            <w:bookmarkStart w:id="198" w:name="xdx_407_eus-gaap--RightOfUseAssetObtaine"/>
            <w:bookmarkEnd w:id="198"/>
          </w:p>
        </w:tc>
      </w:tr>
      <w:tr>
        <w:trPr/>
        <w:tc>
          <w:tcPr>
            <w:tcW w:w="7130" w:type="dxa"/>
            <w:tcBorders/>
            <w:shd w:fill="FFFFFF" w:val="clear"/>
            <w:vAlign w:val="center"/>
          </w:tcPr>
          <w:p>
            <w:pPr>
              <w:pStyle w:val="TableContents"/>
              <w:bidi w:val="0"/>
              <w:spacing w:before="0" w:after="283"/>
              <w:jc w:val="left"/>
              <w:rPr/>
            </w:pPr>
            <w:r>
              <w:rPr/>
              <w:t>Right-of-use assets obtained in exchange for new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9" w:name="xdx_400_ecustom--IncomeTaxesOwedForExerc"/>
            <w:bookmarkEnd w:id="199"/>
          </w:p>
        </w:tc>
      </w:tr>
      <w:tr>
        <w:trPr/>
        <w:tc>
          <w:tcPr>
            <w:tcW w:w="7130" w:type="dxa"/>
            <w:tcBorders/>
            <w:shd w:fill="CCEEFF" w:val="clear"/>
            <w:vAlign w:val="center"/>
          </w:tcPr>
          <w:p>
            <w:pPr>
              <w:pStyle w:val="TableContents"/>
              <w:bidi w:val="0"/>
              <w:spacing w:before="0" w:after="283"/>
              <w:jc w:val="left"/>
              <w:rPr/>
            </w:pPr>
            <w:r>
              <w:rPr/>
              <w:t>Income taxes owed for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189,000</w:t>
            </w:r>
          </w:p>
        </w:tc>
        <w:tc>
          <w:tcPr>
            <w:tcW w:w="110" w:type="dxa"/>
            <w:tcBorders/>
            <w:shd w:fill="CCEEFF" w:val="clear"/>
            <w:vAlign w:val="center"/>
          </w:tcPr>
          <w:p>
            <w:pPr>
              <w:pStyle w:val="TableContents"/>
              <w:bidi w:val="0"/>
              <w:spacing w:before="0" w:after="283"/>
              <w:jc w:val="left"/>
              <w:rPr/>
            </w:pPr>
            <w:r>
              <w:rPr/>
              <w:t> </w:t>
            </w:r>
            <w:bookmarkStart w:id="200" w:name="xdx_404_ecustom--InsurancePremiumFinance"/>
            <w:bookmarkEnd w:id="200"/>
          </w:p>
        </w:tc>
      </w:tr>
      <w:tr>
        <w:trPr/>
        <w:tc>
          <w:tcPr>
            <w:tcW w:w="7130" w:type="dxa"/>
            <w:tcBorders/>
            <w:shd w:fill="FFFFFF" w:val="clear"/>
            <w:vAlign w:val="center"/>
          </w:tcPr>
          <w:p>
            <w:pPr>
              <w:pStyle w:val="TableContents"/>
              <w:bidi w:val="0"/>
              <w:spacing w:before="0" w:after="283"/>
              <w:jc w:val="left"/>
              <w:rPr/>
            </w:pPr>
            <w:r>
              <w:rPr/>
              <w:t>Insurance premium financed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UNAUDITED CONDENSED CONSOLIDATED FINANCIAL STATEMENTS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2024 and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01" w:name="xdx_80D_eus-gaap--BusinessDescriptionAnd"/>
      <w:bookmarkEnd w:id="201"/>
      <w:r>
        <w:rPr>
          <w:rFonts w:ascii="Times New Roman;Times;Serif" w:hAnsi="Times New Roman;Times;Serif"/>
          <w:b/>
          <w:i w:val="false"/>
          <w:caps w:val="false"/>
          <w:smallCaps w:val="false"/>
          <w:sz w:val="20"/>
        </w:rPr>
        <w:t xml:space="preserve">NOTE 1. </w:t>
      </w:r>
      <w:bookmarkStart w:id="202" w:name="xdx_82F_zDlihmWC2Af3"/>
      <w:bookmarkEnd w:id="202"/>
      <w:r>
        <w:rPr>
          <w:rFonts w:ascii="Times New Roman;Times;Serif" w:hAnsi="Times New Roman;Times;Serif"/>
          <w:b/>
          <w:i w:val="false"/>
          <w:caps w:val="false"/>
          <w:smallCaps w:val="false"/>
          <w:sz w:val="20"/>
        </w:rPr>
        <w:t>DESCRIPTION OF BUSINESS AND 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and Background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that are marketed under its Harrow name. The Company also owns and operates ImprimisRx, one of the nation’s leading ophthalmology-focused pharmaceutical-compounding businesses.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owns non-controlling equity interests in Surface Ophthalmics, Inc. (“Surface”) and Melt Pharmaceuticals, Inc. (“Melt”), both companies that began as subsidiaries of Harrow. Harrow also owns royalty rights in various drug candidates being developed by Surface and Melt.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2024 are not necessarily indicative of the results that may be expected for the year ending December 31, 2024 or for any other period. For further information, refer to the Company’s audited consolidated financial statements and notes thereto included in the Company’s Annual Report on Form 10-K for the year ended December 31,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 owned and majority-owned subsidiaries.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consolidates entities in which it has a controlling financial interest. The Company assesses control under the variable interest entity (“VIE”) model to determine whether the Company is the primary beneficiary of that entity. The Company consolidates </w:t>
      </w:r>
      <w:bookmarkStart w:id="203" w:name="xdx_908_ecustom--ConsolidationBasisDescr"/>
      <w:bookmarkEnd w:id="203"/>
      <w:r>
        <w:rPr>
          <w:rFonts w:ascii="Times New Roman;Times;Serif" w:hAnsi="Times New Roman;Times;Serif"/>
          <w:b w:val="false"/>
          <w:i w:val="false"/>
          <w:caps w:val="false"/>
          <w:smallCaps w:val="false"/>
          <w:sz w:val="20"/>
        </w:rPr>
        <w:t>(i) entities in which it holds and/or controls, directly or indirectly, more than 50% of the voting rights, and (ii) VIEs for which the Company is deemed to be the primary beneficiary. All intercompany accounts and transactions have been eliminated in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04" w:name="xdx_803_eus-gaap--SignificantAccountingP"/>
      <w:bookmarkEnd w:id="204"/>
      <w:r>
        <w:rPr>
          <w:rFonts w:ascii="Times New Roman;Times;Serif" w:hAnsi="Times New Roman;Times;Serif"/>
          <w:b/>
          <w:i w:val="false"/>
          <w:caps w:val="false"/>
          <w:smallCaps w:val="false"/>
          <w:sz w:val="20"/>
        </w:rPr>
        <w:t xml:space="preserve">NOTE 2. </w:t>
      </w:r>
      <w:bookmarkStart w:id="205" w:name="xdx_827_z0IUfRQXGZT"/>
      <w:bookmarkEnd w:id="205"/>
      <w:r>
        <w:rPr>
          <w:rFonts w:ascii="Times New Roman;Times;Serif" w:hAnsi="Times New Roman;Times;Serif"/>
          <w:b/>
          <w:i w:val="false"/>
          <w:caps w:val="false"/>
          <w:smallCaps w:val="false"/>
          <w:sz w:val="20"/>
        </w:rPr>
        <w:t>SUMMARY OF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an update for the three months ended March 31, 2024 to the significant accounting policies described in the Company’s Annual Report on Form 10-K for the year ended December 31, 2023.</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bookmarkStart w:id="206" w:name="xdx_86E_zQh2dMAausEj"/>
      <w:bookmarkStart w:id="207" w:name="xdx_847_ecustom--RisksUncertaintiesAndLi"/>
      <w:bookmarkEnd w:id="206"/>
      <w:bookmarkEnd w:id="207"/>
      <w:r>
        <w:rPr>
          <w:rFonts w:ascii="Times New Roman;Times;Serif" w:hAnsi="Times New Roman;Times;Serif"/>
          <w:b/>
          <w:i w:val="false"/>
          <w:caps w:val="false"/>
          <w:smallCaps w:val="false"/>
          <w:sz w:val="20"/>
        </w:rPr>
        <w:t>Risks, Uncertainties and Liquidity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08" w:name="xdx_861_z8SDe2CwVhn4"/>
      <w:bookmarkStart w:id="209" w:name="xdx_84D_eus-gaap--FairValueMeasurementPo"/>
      <w:bookmarkEnd w:id="208"/>
      <w:bookmarkEnd w:id="209"/>
      <w:r>
        <w:rPr>
          <w:rFonts w:ascii="Times New Roman;Times;Serif" w:hAnsi="Times New Roman;Times;Serif"/>
          <w:b/>
          <w:i w:val="false"/>
          <w:caps w:val="false"/>
          <w:smallCaps w:val="false"/>
          <w:sz w:val="20"/>
        </w:rPr>
        <w:t>Fair Value Measurements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2024 and December 31, 2023, the Company measured its investment in Eton Pharmaceuticals, Inc. (“Eton”) on a recurring basis. The Company’s investment in Eton is classified as Level 1 as the fair value is determined using quoted market prices in active markets for the same securities. As of March 31, 2024 and December 31, 2023, the fair market value of the Company’s investment in Eton was $</w:t>
      </w:r>
      <w:bookmarkStart w:id="210" w:name="xdx_902_eus-gaap--InvestmentOwnedAtFairV"/>
      <w:bookmarkEnd w:id="210"/>
      <w:r>
        <w:rPr>
          <w:rFonts w:ascii="Times New Roman;Times;Serif" w:hAnsi="Times New Roman;Times;Serif"/>
          <w:b w:val="false"/>
          <w:i w:val="false"/>
          <w:caps w:val="false"/>
          <w:smallCaps w:val="false"/>
          <w:sz w:val="20"/>
        </w:rPr>
        <w:t>7,433,000 and $</w:t>
      </w:r>
      <w:bookmarkStart w:id="211" w:name="xdx_90C_eus-gaap--InvestmentOwnedAtFairV"/>
      <w:bookmarkEnd w:id="211"/>
      <w:r>
        <w:rPr>
          <w:rFonts w:ascii="Times New Roman;Times;Serif" w:hAnsi="Times New Roman;Times;Serif"/>
          <w:b w:val="false"/>
          <w:i w:val="false"/>
          <w:caps w:val="false"/>
          <w:smallCaps w:val="false"/>
          <w:sz w:val="20"/>
        </w:rPr>
        <w:t>8,681,000, respectively. The Company sold its remaining interest in April 2024 (see Note 16).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2026 Notes (as defined in Note 11) are carried at face value, including the unamortized premium, less unamortized debt issuance costs, the 2027 Notes (as described in Note 11) are carried at face value less unamortized debt issuance costs, and the Oaktree Loan (as defined in Note 11) is carried at face value less the original issue discount and unamortized debt issuance costs on the condensed consolidated balance sheets and the Company presents fair value for disclosure purposes only. The 2026 Notes and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12" w:name="xdx_891_eus-gaap--ScheduleOfCarryingValu"/>
      <w:bookmarkEnd w:id="212"/>
      <w:r>
        <w:rPr>
          <w:rFonts w:ascii="Times New Roman;Times;Serif" w:hAnsi="Times New Roman;Times;Serif"/>
          <w:b w:val="false"/>
          <w:i w:val="false"/>
          <w:caps w:val="false"/>
          <w:smallCaps w:val="false"/>
          <w:sz w:val="20"/>
        </w:rPr>
        <w:t>The following table presents the estimated fair values and the carrying values:</w:t>
      </w:r>
    </w:p>
    <w:p>
      <w:pPr>
        <w:pStyle w:val="TextBody"/>
        <w:bidi w:val="0"/>
        <w:spacing w:before="0" w:after="0"/>
        <w:jc w:val="both"/>
        <w:rPr>
          <w:caps w:val="false"/>
          <w:smallCaps w:val="false"/>
        </w:rPr>
      </w:pPr>
      <w:r>
        <w:rPr>
          <w:caps w:val="false"/>
          <w:smallCaps w:val="false"/>
        </w:rPr>
        <w:t> </w:t>
      </w:r>
      <w:bookmarkStart w:id="213" w:name="xdx_8B4_z18UPhSJ57O8"/>
      <w:bookmarkEnd w:id="213"/>
      <w:r>
        <w:rPr>
          <w:rFonts w:ascii="Times New Roman;Times;Serif" w:hAnsi="Times New Roman;Times;Serif"/>
          <w:b w:val="false"/>
          <w:i w:val="false"/>
          <w:caps w:val="false"/>
          <w:smallCaps w:val="false"/>
          <w:sz w:val="20"/>
        </w:rPr>
        <w:t>SCHEDULE OF ESTIMATED FAIR VALUE</w:t>
      </w:r>
    </w:p>
    <w:tbl>
      <w:tblPr>
        <w:tblW w:w="7293" w:type="dxa"/>
        <w:jc w:val="left"/>
        <w:tblInd w:w="0" w:type="dxa"/>
        <w:tblLayout w:type="fixed"/>
        <w:tblCellMar>
          <w:top w:w="0" w:type="dxa"/>
          <w:left w:w="0" w:type="dxa"/>
          <w:bottom w:w="0" w:type="dxa"/>
          <w:right w:w="0" w:type="dxa"/>
        </w:tblCellMar>
      </w:tblPr>
      <w:tblGrid>
        <w:gridCol w:w="1340"/>
        <w:gridCol w:w="60"/>
        <w:gridCol w:w="168"/>
        <w:gridCol w:w="1321"/>
        <w:gridCol w:w="60"/>
        <w:gridCol w:w="60"/>
        <w:gridCol w:w="140"/>
        <w:gridCol w:w="1100"/>
        <w:gridCol w:w="60"/>
        <w:gridCol w:w="60"/>
        <w:gridCol w:w="168"/>
        <w:gridCol w:w="1321"/>
        <w:gridCol w:w="60"/>
        <w:gridCol w:w="60"/>
        <w:gridCol w:w="140"/>
        <w:gridCol w:w="1100"/>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9" w:type="dxa"/>
            <w:gridSpan w:val="6"/>
            <w:tcBorders>
              <w:bottom w:val="single" w:sz="12" w:space="0" w:color="000000"/>
            </w:tcBorders>
            <w:tcMar>
              <w:bottom w:w="28" w:type="dxa"/>
            </w:tcMar>
            <w:vAlign w:val="center"/>
          </w:tcPr>
          <w:p>
            <w:pPr>
              <w:pStyle w:val="TableContents"/>
              <w:bidi w:val="0"/>
              <w:spacing w:before="0" w:after="283"/>
              <w:jc w:val="center"/>
              <w:rPr/>
            </w:pPr>
            <w:r>
              <w:rPr/>
              <w:t>March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9" w:type="dxa"/>
            <w:gridSpan w:val="6"/>
            <w:tcBorders>
              <w:bottom w:val="single" w:sz="12" w:space="0" w:color="000000"/>
            </w:tcBorders>
            <w:tcMar>
              <w:bottom w:w="28" w:type="dxa"/>
            </w:tcMar>
            <w:vAlign w:val="center"/>
          </w:tcPr>
          <w:p>
            <w:pPr>
              <w:pStyle w:val="TableContents"/>
              <w:bidi w:val="0"/>
              <w:spacing w:before="0" w:after="283"/>
              <w:jc w:val="center"/>
              <w:rPr/>
            </w:pPr>
            <w:r>
              <w:rPr/>
              <w:t>December 31, 2023</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pPr>
            <w:r>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pPr>
            <w:r>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Fair Value</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2026 Notes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214" w:name="xdx_984_eus-gaap--DebtInstrumentCarrying"/>
            <w:bookmarkEnd w:id="214"/>
          </w:p>
        </w:tc>
        <w:tc>
          <w:tcPr>
            <w:tcW w:w="1321" w:type="dxa"/>
            <w:tcBorders/>
            <w:shd w:fill="CCEEFF" w:val="clear"/>
            <w:vAlign w:val="center"/>
          </w:tcPr>
          <w:p>
            <w:pPr>
              <w:pStyle w:val="TableContents"/>
              <w:bidi w:val="0"/>
              <w:spacing w:before="0" w:after="283"/>
              <w:jc w:val="right"/>
              <w:rPr/>
            </w:pPr>
            <w:r>
              <w:rPr/>
              <w:t>73,413,000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15" w:name="xdx_981_eus-gaap--AssetsFairValueDisclos"/>
            <w:bookmarkEnd w:id="215"/>
          </w:p>
        </w:tc>
        <w:tc>
          <w:tcPr>
            <w:tcW w:w="1100" w:type="dxa"/>
            <w:tcBorders/>
            <w:shd w:fill="CCEEFF" w:val="clear"/>
            <w:vAlign w:val="center"/>
          </w:tcPr>
          <w:p>
            <w:pPr>
              <w:pStyle w:val="TableContents"/>
              <w:bidi w:val="0"/>
              <w:spacing w:before="0" w:after="283"/>
              <w:jc w:val="right"/>
              <w:rPr/>
            </w:pPr>
            <w:r>
              <w:rPr/>
              <w:t>73,560,000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216" w:name="xdx_98F_eus-gaap--DebtInstrumentCarrying"/>
            <w:bookmarkEnd w:id="216"/>
          </w:p>
        </w:tc>
        <w:tc>
          <w:tcPr>
            <w:tcW w:w="1321" w:type="dxa"/>
            <w:tcBorders/>
            <w:shd w:fill="CCEEFF" w:val="clear"/>
            <w:vAlign w:val="center"/>
          </w:tcPr>
          <w:p>
            <w:pPr>
              <w:pStyle w:val="TableContents"/>
              <w:bidi w:val="0"/>
              <w:spacing w:before="0" w:after="283"/>
              <w:jc w:val="right"/>
              <w:rPr/>
            </w:pPr>
            <w:r>
              <w:rPr/>
              <w:t>73,218,000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17" w:name="xdx_986_eus-gaap--AssetsFairValueDisclos"/>
            <w:bookmarkEnd w:id="217"/>
          </w:p>
        </w:tc>
        <w:tc>
          <w:tcPr>
            <w:tcW w:w="1100" w:type="dxa"/>
            <w:tcBorders/>
            <w:shd w:fill="CCEEFF" w:val="clear"/>
            <w:vAlign w:val="center"/>
          </w:tcPr>
          <w:p>
            <w:pPr>
              <w:pStyle w:val="TableContents"/>
              <w:bidi w:val="0"/>
              <w:spacing w:before="0" w:after="283"/>
              <w:jc w:val="right"/>
              <w:rPr/>
            </w:pPr>
            <w:r>
              <w:rPr/>
              <w:t>70,260,000</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2027 Notes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218" w:name="xdx_98C_eus-gaap--DebtInstrumentCarrying"/>
            <w:bookmarkEnd w:id="218"/>
          </w:p>
        </w:tc>
        <w:tc>
          <w:tcPr>
            <w:tcW w:w="1321" w:type="dxa"/>
            <w:tcBorders/>
            <w:shd w:fill="FFFFFF" w:val="clear"/>
            <w:vAlign w:val="center"/>
          </w:tcPr>
          <w:p>
            <w:pPr>
              <w:pStyle w:val="TableContents"/>
              <w:bidi w:val="0"/>
              <w:spacing w:before="0" w:after="283"/>
              <w:jc w:val="right"/>
              <w:rPr/>
            </w:pPr>
            <w:r>
              <w:rPr/>
              <w:t>37,591,000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19" w:name="xdx_98F_eus-gaap--AssetsFairValueDisclos"/>
            <w:bookmarkEnd w:id="219"/>
          </w:p>
        </w:tc>
        <w:tc>
          <w:tcPr>
            <w:tcW w:w="1100" w:type="dxa"/>
            <w:tcBorders/>
            <w:shd w:fill="FFFFFF" w:val="clear"/>
            <w:vAlign w:val="center"/>
          </w:tcPr>
          <w:p>
            <w:pPr>
              <w:pStyle w:val="TableContents"/>
              <w:bidi w:val="0"/>
              <w:spacing w:before="0" w:after="283"/>
              <w:jc w:val="right"/>
              <w:rPr/>
            </w:pPr>
            <w:r>
              <w:rPr/>
              <w:t>41,860,000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220" w:name="xdx_988_eus-gaap--DebtInstrumentCarrying"/>
            <w:bookmarkEnd w:id="220"/>
          </w:p>
        </w:tc>
        <w:tc>
          <w:tcPr>
            <w:tcW w:w="1321" w:type="dxa"/>
            <w:tcBorders/>
            <w:shd w:fill="FFFFFF" w:val="clear"/>
            <w:vAlign w:val="center"/>
          </w:tcPr>
          <w:p>
            <w:pPr>
              <w:pStyle w:val="TableContents"/>
              <w:bidi w:val="0"/>
              <w:spacing w:before="0" w:after="283"/>
              <w:jc w:val="right"/>
              <w:rPr/>
            </w:pPr>
            <w:r>
              <w:rPr/>
              <w:t>37,413,000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21" w:name="xdx_981_eus-gaap--AssetsFairValueDisclos"/>
            <w:bookmarkEnd w:id="221"/>
          </w:p>
        </w:tc>
        <w:tc>
          <w:tcPr>
            <w:tcW w:w="1100" w:type="dxa"/>
            <w:tcBorders/>
            <w:shd w:fill="FFFFFF" w:val="clear"/>
            <w:vAlign w:val="center"/>
          </w:tcPr>
          <w:p>
            <w:pPr>
              <w:pStyle w:val="TableContents"/>
              <w:bidi w:val="0"/>
              <w:spacing w:before="0" w:after="283"/>
              <w:jc w:val="right"/>
              <w:rPr/>
            </w:pPr>
            <w:r>
              <w:rPr/>
              <w:t>40,363,000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Oaktree Loan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222" w:name="xdx_980_eus-gaap--DebtInstrumentCarrying"/>
            <w:bookmarkEnd w:id="222"/>
          </w:p>
        </w:tc>
        <w:tc>
          <w:tcPr>
            <w:tcW w:w="1321" w:type="dxa"/>
            <w:tcBorders/>
            <w:shd w:fill="CCEEFF" w:val="clear"/>
            <w:vAlign w:val="center"/>
          </w:tcPr>
          <w:p>
            <w:pPr>
              <w:pStyle w:val="TableContents"/>
              <w:bidi w:val="0"/>
              <w:spacing w:before="0" w:after="283"/>
              <w:jc w:val="right"/>
              <w:rPr/>
            </w:pPr>
            <w:r>
              <w:rPr/>
              <w:t>73,144,000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23" w:name="xdx_98E_eus-gaap--AssetsFairValueDisclos"/>
            <w:bookmarkEnd w:id="223"/>
          </w:p>
        </w:tc>
        <w:tc>
          <w:tcPr>
            <w:tcW w:w="1100" w:type="dxa"/>
            <w:tcBorders/>
            <w:shd w:fill="CCEEFF" w:val="clear"/>
            <w:vAlign w:val="center"/>
          </w:tcPr>
          <w:p>
            <w:pPr>
              <w:pStyle w:val="TableContents"/>
              <w:bidi w:val="0"/>
              <w:spacing w:before="0" w:after="283"/>
              <w:jc w:val="right"/>
              <w:rPr/>
            </w:pPr>
            <w:r>
              <w:rPr/>
              <w:t>76,725,000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224" w:name="xdx_988_eus-gaap--DebtInstrumentCarrying"/>
            <w:bookmarkEnd w:id="224"/>
          </w:p>
        </w:tc>
        <w:tc>
          <w:tcPr>
            <w:tcW w:w="1321" w:type="dxa"/>
            <w:tcBorders/>
            <w:shd w:fill="CCEEFF" w:val="clear"/>
            <w:vAlign w:val="center"/>
          </w:tcPr>
          <w:p>
            <w:pPr>
              <w:pStyle w:val="TableContents"/>
              <w:bidi w:val="0"/>
              <w:spacing w:before="0" w:after="283"/>
              <w:jc w:val="right"/>
              <w:rPr/>
            </w:pPr>
            <w:r>
              <w:rPr/>
              <w:t>72,541,000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25" w:name="xdx_980_eus-gaap--AssetsFairValueDisclos"/>
            <w:bookmarkEnd w:id="225"/>
          </w:p>
        </w:tc>
        <w:tc>
          <w:tcPr>
            <w:tcW w:w="1100" w:type="dxa"/>
            <w:tcBorders/>
            <w:shd w:fill="CCEEFF" w:val="clear"/>
            <w:vAlign w:val="center"/>
          </w:tcPr>
          <w:p>
            <w:pPr>
              <w:pStyle w:val="TableContents"/>
              <w:bidi w:val="0"/>
              <w:spacing w:before="0" w:after="283"/>
              <w:jc w:val="right"/>
              <w:rPr/>
            </w:pPr>
            <w:r>
              <w:rPr/>
              <w:t>76,627,000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226" w:name="xdx_8A2_zybkGE4L7flc"/>
      <w:bookmarkEnd w:id="22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 of the operating lease liabilities approximate their respective fair values.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27" w:name="xdx_867_zo5mUxmArBhh"/>
      <w:bookmarkStart w:id="228" w:name="xdx_84C_eus-gaap--EarningsPerSharePolicy"/>
      <w:bookmarkEnd w:id="227"/>
      <w:bookmarkEnd w:id="228"/>
      <w:r>
        <w:rPr>
          <w:rFonts w:ascii="Times New Roman;Times;Serif" w:hAnsi="Times New Roman;Times;Serif"/>
          <w:b/>
          <w:i w:val="false"/>
          <w:caps w:val="false"/>
          <w:smallCaps w:val="false"/>
          <w:sz w:val="20"/>
        </w:rPr>
        <w:t>Basic and Diluted Net Loss per Common Share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performance stock units (“PSUs”), and warrants, outstanding during the period. Common equivalent shares (using the treasury stock method) from stock options, unvested RSUs, unvested PSUs and warrants were </w:t>
      </w:r>
      <w:bookmarkStart w:id="229" w:name="xdx_90B_eus-gaap--AntidilutiveSecurities"/>
      <w:bookmarkEnd w:id="229"/>
      <w:r>
        <w:rPr>
          <w:rFonts w:ascii="Times New Roman;Times;Serif" w:hAnsi="Times New Roman;Times;Serif"/>
          <w:b w:val="false"/>
          <w:i w:val="false"/>
          <w:caps w:val="false"/>
          <w:smallCaps w:val="false"/>
          <w:sz w:val="20"/>
        </w:rPr>
        <w:t xml:space="preserve">4,318,057 and </w:t>
      </w:r>
      <w:bookmarkStart w:id="230" w:name="xdx_90F_eus-gaap--AntidilutiveSecurities"/>
      <w:bookmarkEnd w:id="230"/>
      <w:r>
        <w:rPr>
          <w:rFonts w:ascii="Times New Roman;Times;Serif" w:hAnsi="Times New Roman;Times;Serif"/>
          <w:b w:val="false"/>
          <w:i w:val="false"/>
          <w:caps w:val="false"/>
          <w:smallCaps w:val="false"/>
          <w:sz w:val="20"/>
        </w:rPr>
        <w:t xml:space="preserve">4,750,340 at March 31, 2024 and 2023, respectively, and are excluded in the calculation of diluted net loss per common share for the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vested RSUs at March 31, 2024 and 2023 was </w:t>
      </w:r>
      <w:bookmarkStart w:id="231" w:name="xdx_905_eus-gaap--SharebasedCompensation"/>
      <w:bookmarkEnd w:id="231"/>
      <w:r>
        <w:rPr>
          <w:rFonts w:ascii="Times New Roman;Times;Serif" w:hAnsi="Times New Roman;Times;Serif"/>
          <w:b w:val="false"/>
          <w:i w:val="false"/>
          <w:caps w:val="false"/>
          <w:smallCaps w:val="false"/>
          <w:sz w:val="20"/>
        </w:rPr>
        <w:t xml:space="preserve">223,928 and </w:t>
      </w:r>
      <w:bookmarkStart w:id="232" w:name="xdx_90F_eus-gaap--SharebasedCompensation"/>
      <w:bookmarkEnd w:id="232"/>
      <w:r>
        <w:rPr>
          <w:rFonts w:ascii="Times New Roman;Times;Serif" w:hAnsi="Times New Roman;Times;Serif"/>
          <w:b w:val="false"/>
          <w:i w:val="false"/>
          <w:caps w:val="false"/>
          <w:smallCaps w:val="false"/>
          <w:sz w:val="20"/>
        </w:rPr>
        <w:t>336,264, respectively.</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33" w:name="xdx_89C_eus-gaap--ScheduleOfEarningsPerS"/>
      <w:bookmarkEnd w:id="233"/>
      <w:r>
        <w:rPr>
          <w:rFonts w:ascii="Times New Roman;Times;Serif" w:hAnsi="Times New Roman;Times;Serif"/>
          <w:b w:val="false"/>
          <w:i w:val="false"/>
          <w:caps w:val="false"/>
          <w:smallCaps w:val="false"/>
          <w:sz w:val="20"/>
        </w:rPr>
        <w:t>The following table shows the computation of basic net loss per share of common stock for the three months ended March 31, 2024 and 2023:</w:t>
      </w:r>
    </w:p>
    <w:p>
      <w:pPr>
        <w:pStyle w:val="TextBody"/>
        <w:bidi w:val="0"/>
        <w:spacing w:before="0" w:after="0"/>
        <w:jc w:val="both"/>
        <w:rPr>
          <w:caps w:val="false"/>
          <w:smallCaps w:val="false"/>
        </w:rPr>
      </w:pPr>
      <w:r>
        <w:rPr>
          <w:caps w:val="false"/>
          <w:smallCaps w:val="false"/>
        </w:rPr>
        <w:t> </w:t>
      </w:r>
      <w:bookmarkStart w:id="234" w:name="xdx_8BC_z7xSoEYMpUs7"/>
      <w:bookmarkEnd w:id="234"/>
      <w:r>
        <w:rPr>
          <w:rFonts w:ascii="Times New Roman;Times;Serif" w:hAnsi="Times New Roman;Times;Serif"/>
          <w:b w:val="false"/>
          <w:i w:val="false"/>
          <w:caps w:val="false"/>
          <w:smallCaps w:val="false"/>
          <w:sz w:val="20"/>
        </w:rPr>
        <w:t>SCHEDULE OF BASIC NET LOSS PER SHARE OF COMMON STOCK</w:t>
      </w:r>
    </w:p>
    <w:tbl>
      <w:tblPr>
        <w:tblW w:w="10205" w:type="dxa"/>
        <w:jc w:val="left"/>
        <w:tblInd w:w="0" w:type="dxa"/>
        <w:tblLayout w:type="fixed"/>
        <w:tblCellMar>
          <w:top w:w="0" w:type="dxa"/>
          <w:left w:w="0" w:type="dxa"/>
          <w:bottom w:w="0" w:type="dxa"/>
          <w:right w:w="0" w:type="dxa"/>
        </w:tblCellMar>
      </w:tblPr>
      <w:tblGrid>
        <w:gridCol w:w="7277"/>
        <w:gridCol w:w="60"/>
        <w:gridCol w:w="141"/>
        <w:gridCol w:w="1196"/>
        <w:gridCol w:w="95"/>
        <w:gridCol w:w="60"/>
        <w:gridCol w:w="141"/>
        <w:gridCol w:w="1120"/>
        <w:gridCol w:w="115"/>
      </w:tblGrid>
      <w:tr>
        <w:trPr/>
        <w:tc>
          <w:tcPr>
            <w:tcW w:w="7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5" w:name="xdx_498_20240101__20240331_z68sRBM2Dbs2"/>
            <w:bookmarkEnd w:id="235"/>
          </w:p>
        </w:tc>
        <w:tc>
          <w:tcPr>
            <w:tcW w:w="1337"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6" w:name="xdx_493_20230101__20230331_zGJ1pb8FR0Ga"/>
            <w:bookmarkEnd w:id="236"/>
          </w:p>
        </w:tc>
        <w:tc>
          <w:tcPr>
            <w:tcW w:w="1261"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5" w:type="dxa"/>
            <w:tcBorders/>
            <w:vAlign w:val="center"/>
          </w:tcPr>
          <w:p>
            <w:pPr>
              <w:pStyle w:val="TableContents"/>
              <w:bidi w:val="0"/>
              <w:spacing w:before="0" w:after="283"/>
              <w:jc w:val="left"/>
              <w:rPr/>
            </w:pPr>
            <w:r>
              <w:rPr/>
              <w:t> </w:t>
            </w:r>
          </w:p>
        </w:tc>
      </w:tr>
      <w:tr>
        <w:trPr/>
        <w:tc>
          <w:tcPr>
            <w:tcW w:w="7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3" w:type="dxa"/>
            <w:gridSpan w:val="6"/>
            <w:tcBorders>
              <w:bottom w:val="single" w:sz="12" w:space="0" w:color="000000"/>
            </w:tcBorders>
            <w:tcMar>
              <w:bottom w:w="28" w:type="dxa"/>
            </w:tcMar>
            <w:vAlign w:val="center"/>
          </w:tcPr>
          <w:p>
            <w:pPr>
              <w:pStyle w:val="TableContents"/>
              <w:bidi w:val="0"/>
              <w:jc w:val="center"/>
              <w:rPr/>
            </w:pPr>
            <w:r>
              <w:rPr/>
              <w:t>For the Three Months Ended</w:t>
            </w:r>
          </w:p>
          <w:p>
            <w:pPr>
              <w:pStyle w:val="TableContents"/>
              <w:bidi w:val="0"/>
              <w:spacing w:before="0" w:after="283"/>
              <w:jc w:val="center"/>
              <w:rPr/>
            </w:pPr>
            <w:r>
              <w:rPr/>
              <w:t>March 31,</w:t>
            </w:r>
          </w:p>
        </w:tc>
        <w:tc>
          <w:tcPr>
            <w:tcW w:w="115" w:type="dxa"/>
            <w:tcBorders/>
            <w:vAlign w:val="center"/>
          </w:tcPr>
          <w:p>
            <w:pPr>
              <w:pStyle w:val="TableContents"/>
              <w:bidi w:val="0"/>
              <w:spacing w:before="0" w:after="283"/>
              <w:jc w:val="left"/>
              <w:rPr/>
            </w:pPr>
            <w:r>
              <w:rPr/>
              <w:t> </w:t>
            </w:r>
          </w:p>
        </w:tc>
      </w:tr>
      <w:tr>
        <w:trPr/>
        <w:tc>
          <w:tcPr>
            <w:tcW w:w="7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5" w:type="dxa"/>
            <w:tcBorders/>
            <w:vAlign w:val="center"/>
          </w:tcPr>
          <w:p>
            <w:pPr>
              <w:pStyle w:val="TableContents"/>
              <w:bidi w:val="0"/>
              <w:spacing w:before="0" w:after="283"/>
              <w:jc w:val="left"/>
              <w:rPr/>
            </w:pPr>
            <w:r>
              <w:rPr/>
              <w:t> </w:t>
            </w:r>
          </w:p>
        </w:tc>
      </w:tr>
      <w:tr>
        <w:trPr/>
        <w:tc>
          <w:tcPr>
            <w:tcW w:w="727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bookmarkStart w:id="237" w:name="xdx_404_eus-gaap--NetIncomeLossAvailable"/>
            <w:bookmarkEnd w:id="237"/>
          </w:p>
        </w:tc>
      </w:tr>
      <w:tr>
        <w:trPr/>
        <w:tc>
          <w:tcPr>
            <w:tcW w:w="7277" w:type="dxa"/>
            <w:tcBorders/>
            <w:shd w:fill="CCEEFF" w:val="clear"/>
            <w:vAlign w:val="center"/>
          </w:tcPr>
          <w:p>
            <w:pPr>
              <w:pStyle w:val="TableContents"/>
              <w:bidi w:val="0"/>
              <w:spacing w:before="0" w:after="283"/>
              <w:jc w:val="left"/>
              <w:rPr/>
            </w:pPr>
            <w:r>
              <w:rPr/>
              <w:t>Numerator – net loss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(13,565,000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r>
              <w:rPr/>
              <w:t>(6,643,000</w:t>
            </w:r>
          </w:p>
        </w:tc>
        <w:tc>
          <w:tcPr>
            <w:tcW w:w="115" w:type="dxa"/>
            <w:tcBorders/>
            <w:shd w:fill="CCEEFF" w:val="clear"/>
            <w:vAlign w:val="center"/>
          </w:tcPr>
          <w:p>
            <w:pPr>
              <w:pStyle w:val="TableContents"/>
              <w:bidi w:val="0"/>
              <w:spacing w:before="0" w:after="283"/>
              <w:jc w:val="left"/>
              <w:rPr/>
            </w:pPr>
            <w:r>
              <w:rPr/>
              <w:t>)</w:t>
            </w:r>
          </w:p>
        </w:tc>
      </w:tr>
      <w:tr>
        <w:trPr/>
        <w:tc>
          <w:tcPr>
            <w:tcW w:w="7277" w:type="dxa"/>
            <w:tcBorders/>
            <w:shd w:fill="FFFFFF" w:val="clear"/>
            <w:vAlign w:val="center"/>
          </w:tcPr>
          <w:p>
            <w:pPr>
              <w:pStyle w:val="TableContents"/>
              <w:bidi w:val="0"/>
              <w:spacing w:before="0" w:after="283"/>
              <w:jc w:val="left"/>
              <w:rPr/>
            </w:pPr>
            <w:r>
              <w:rPr/>
              <w:t>Denominator – weighted average number of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bookmarkStart w:id="238" w:name="xdx_901_eus-gaap--WeightedAverageNumberO"/>
            <w:bookmarkStart w:id="239" w:name="xdx_90F_eus-gaap--WeightedAverageNumberO"/>
            <w:bookmarkEnd w:id="238"/>
            <w:bookmarkEnd w:id="239"/>
            <w:r>
              <w:rPr/>
              <w:t>35,469,638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FFFFFF" w:val="clear"/>
            <w:tcMar>
              <w:bottom w:w="28" w:type="dxa"/>
            </w:tcMar>
            <w:vAlign w:val="center"/>
          </w:tcPr>
          <w:p>
            <w:pPr>
              <w:pStyle w:val="TableContents"/>
              <w:bidi w:val="0"/>
              <w:spacing w:before="0" w:after="283"/>
              <w:jc w:val="right"/>
              <w:rPr/>
            </w:pPr>
            <w:bookmarkStart w:id="240" w:name="xdx_904_eus-gaap--WeightedAverageNumberO"/>
            <w:bookmarkStart w:id="241" w:name="xdx_902_eus-gaap--WeightedAverageNumberO"/>
            <w:bookmarkEnd w:id="240"/>
            <w:bookmarkEnd w:id="241"/>
            <w:r>
              <w:rPr/>
              <w:t>30,289,730</w:t>
            </w:r>
          </w:p>
        </w:tc>
        <w:tc>
          <w:tcPr>
            <w:tcW w:w="115" w:type="dxa"/>
            <w:tcBorders/>
            <w:shd w:fill="FFFFFF" w:val="clear"/>
            <w:vAlign w:val="center"/>
          </w:tcPr>
          <w:p>
            <w:pPr>
              <w:pStyle w:val="TableContents"/>
              <w:bidi w:val="0"/>
              <w:spacing w:before="0" w:after="283"/>
              <w:jc w:val="left"/>
              <w:rPr/>
            </w:pPr>
            <w:r>
              <w:rPr/>
              <w:t> </w:t>
            </w:r>
          </w:p>
        </w:tc>
      </w:tr>
      <w:tr>
        <w:trPr/>
        <w:tc>
          <w:tcPr>
            <w:tcW w:w="7277" w:type="dxa"/>
            <w:tcBorders/>
            <w:shd w:fill="CCEEFF" w:val="clear"/>
            <w:vAlign w:val="center"/>
          </w:tcPr>
          <w:p>
            <w:pPr>
              <w:pStyle w:val="TableContents"/>
              <w:bidi w:val="0"/>
              <w:spacing w:before="0" w:after="283"/>
              <w:jc w:val="left"/>
              <w:rPr>
                <w:b/>
              </w:rPr>
            </w:pPr>
            <w:r>
              <w:rPr>
                <w:b/>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42" w:name="xdx_90C_eus-gaap--EarningsPerShareDilute"/>
            <w:bookmarkStart w:id="243" w:name="xdx_902_eus-gaap--EarningsPerShareBasic_"/>
            <w:bookmarkEnd w:id="242"/>
            <w:bookmarkEnd w:id="243"/>
            <w:r>
              <w:rPr/>
              <w:t>(0.38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44" w:name="xdx_906_eus-gaap--EarningsPerShareDilute"/>
            <w:bookmarkStart w:id="245" w:name="xdx_906_eus-gaap--EarningsPerShareBasic_"/>
            <w:bookmarkEnd w:id="244"/>
            <w:bookmarkEnd w:id="245"/>
            <w:r>
              <w:rPr/>
              <w:t>(0.22</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bookmarkStart w:id="246" w:name="xdx_8A9_zwg6LkTv1t87"/>
      <w:bookmarkEnd w:id="246"/>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47" w:name="xdx_865_zP1ZfpENJ6Xh"/>
      <w:bookmarkStart w:id="248" w:name="xdx_844_eus-gaap--IncomeTaxPolicyTextBlo"/>
      <w:bookmarkEnd w:id="247"/>
      <w:bookmarkEnd w:id="248"/>
      <w:r>
        <w:rPr>
          <w:rFonts w:ascii="Times New Roman;Times;Serif" w:hAnsi="Times New Roman;Times;Serif"/>
          <w:b/>
          <w:i w:val="false"/>
          <w:caps w:val="false"/>
          <w:smallCaps w:val="false"/>
          <w:sz w:val="20"/>
        </w:rPr>
        <w:t>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was </w:t>
      </w:r>
      <w:bookmarkStart w:id="249" w:name="xdx_90B_eus-gaap--EffectiveIncomeTaxRate"/>
      <w:bookmarkEnd w:id="249"/>
      <w:r>
        <w:rPr>
          <w:rFonts w:ascii="Times New Roman;Times;Serif" w:hAnsi="Times New Roman;Times;Serif"/>
          <w:b w:val="false"/>
          <w:i w:val="false"/>
          <w:caps w:val="false"/>
          <w:smallCaps w:val="false"/>
          <w:sz w:val="20"/>
        </w:rPr>
        <w:t xml:space="preserve">(0.11)% and </w:t>
      </w:r>
      <w:bookmarkStart w:id="250" w:name="xdx_909_eus-gaap--EffectiveIncomeTaxRate"/>
      <w:bookmarkEnd w:id="250"/>
      <w:r>
        <w:rPr>
          <w:rFonts w:ascii="Times New Roman;Times;Serif" w:hAnsi="Times New Roman;Times;Serif"/>
          <w:b w:val="false"/>
          <w:i w:val="false"/>
          <w:caps w:val="false"/>
          <w:smallCaps w:val="false"/>
          <w:sz w:val="20"/>
        </w:rPr>
        <w:t xml:space="preserve">4.16% for the three months ended March 31, 2024 and 2023, respectively. The Company’s effective tax rate for the three months ended March 31, 2024 and 2023 differs from the U.S. federal statutory tax rate of </w:t>
      </w:r>
      <w:bookmarkStart w:id="251" w:name="xdx_907_eus-gaap--EffectiveIncomeTaxRate"/>
      <w:bookmarkStart w:id="252" w:name="xdx_90E_eus-gaap--EffectiveIncomeTaxRate"/>
      <w:bookmarkEnd w:id="251"/>
      <w:bookmarkEnd w:id="252"/>
      <w:r>
        <w:rPr>
          <w:rFonts w:ascii="Times New Roman;Times;Serif" w:hAnsi="Times New Roman;Times;Serif"/>
          <w:b w:val="false"/>
          <w:i w:val="false"/>
          <w:caps w:val="false"/>
          <w:smallCaps w:val="false"/>
          <w:sz w:val="20"/>
        </w:rPr>
        <w:t>21% due to state taxes, permanent book-tax differences related to Internal Revenue Code of 1986, as amended (“IRC”), Section 162(m) excess officer compensation limitation and share-based compensation and the change in valuation allowance.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and December 31, 2023, there were </w:t>
      </w:r>
      <w:bookmarkStart w:id="253" w:name="xdx_90E_eus-gaap--UnrecognizedTaxBenefit"/>
      <w:bookmarkStart w:id="254" w:name="xdx_908_eus-gaap--UnrecognizedTaxBenefit"/>
      <w:bookmarkEnd w:id="253"/>
      <w:bookmarkEnd w:id="254"/>
      <w:r>
        <w:rPr>
          <w:rFonts w:ascii="Times New Roman;Times;Serif" w:hAnsi="Times New Roman;Times;Serif"/>
          <w:b w:val="false"/>
          <w:i w:val="false"/>
          <w:caps w:val="false"/>
          <w:smallCaps w:val="false"/>
          <w:sz w:val="20"/>
        </w:rPr>
        <w:t>no unrecognized tax benefits included in the condensed consolidated balance sheets that would, if recognized, affect the effective tax rate.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55" w:name="xdx_861_z8cUyzDsR1V9"/>
      <w:bookmarkStart w:id="256" w:name="xdx_841_eus-gaap--InvestmentPolicyTextBl"/>
      <w:bookmarkEnd w:id="255"/>
      <w:bookmarkEnd w:id="256"/>
      <w:r>
        <w:rPr>
          <w:rFonts w:ascii="Times New Roman;Times;Serif" w:hAnsi="Times New Roman;Times;Serif"/>
          <w:b/>
          <w:i w:val="false"/>
          <w:caps w:val="false"/>
          <w:smallCaps w:val="false"/>
          <w:sz w:val="20"/>
        </w:rPr>
        <w:t>Investment in Melt Pharmaceuticals, Inc. – Related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owns </w:t>
      </w:r>
      <w:bookmarkStart w:id="257" w:name="xdx_900_eus-gaap--InvestmentOwnedBalance"/>
      <w:bookmarkEnd w:id="257"/>
      <w:r>
        <w:rPr>
          <w:rFonts w:ascii="Times New Roman;Times;Serif" w:hAnsi="Times New Roman;Times;Serif"/>
          <w:b w:val="false"/>
          <w:i w:val="false"/>
          <w:caps w:val="false"/>
          <w:smallCaps w:val="false"/>
          <w:sz w:val="20"/>
        </w:rPr>
        <w:t xml:space="preserve">3,500,000 shares of common stock and </w:t>
      </w:r>
      <w:bookmarkStart w:id="258" w:name="xdx_903_eus-gaap--InvestmentOwnedBalance"/>
      <w:bookmarkEnd w:id="258"/>
      <w:r>
        <w:rPr>
          <w:rFonts w:ascii="Times New Roman;Times;Serif" w:hAnsi="Times New Roman;Times;Serif"/>
          <w:b w:val="false"/>
          <w:i w:val="false"/>
          <w:caps w:val="false"/>
          <w:smallCaps w:val="false"/>
          <w:sz w:val="20"/>
        </w:rPr>
        <w:t xml:space="preserve">2,334,256 shares of preferred stock of Melt (representing in aggregate approximately </w:t>
      </w:r>
      <w:bookmarkStart w:id="259" w:name="xdx_908_eus-gaap--EquityMethodInvestment"/>
      <w:bookmarkEnd w:id="259"/>
      <w:r>
        <w:rPr>
          <w:rFonts w:ascii="Times New Roman;Times;Serif" w:hAnsi="Times New Roman;Times;Serif"/>
          <w:b w:val="false"/>
          <w:i w:val="false"/>
          <w:caps w:val="false"/>
          <w:smallCaps w:val="false"/>
          <w:sz w:val="20"/>
        </w:rPr>
        <w:t>46% of Melt’s equity interests as of March 31, 2024).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its portion of earnings and losses in Melt in its consolidated financial statements and adjusts the carrying amount of its investment in Melt accordingly. Any intra-entity profits and losses are eliminated.</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quarterly basis, management assesses whether there are any indicators that the carrying value of the Company’s equity method investments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The Company has no other investments other than its common stock and preferred stock positions in Melt and no other requirements to advance funds to Melt.</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60" w:name="xdx_897_eus-gaap--InvestmentTableTextBlo"/>
      <w:bookmarkEnd w:id="260"/>
      <w:r>
        <w:rPr>
          <w:rFonts w:ascii="Times New Roman;Times;Serif" w:hAnsi="Times New Roman;Times;Serif"/>
          <w:b w:val="false"/>
          <w:i w:val="false"/>
          <w:caps w:val="false"/>
          <w:smallCaps w:val="false"/>
          <w:sz w:val="20"/>
        </w:rPr>
        <w:t>The following table summarizes the Company’s investments in Melt as of March 31, 2024:</w:t>
      </w:r>
    </w:p>
    <w:p>
      <w:pPr>
        <w:pStyle w:val="TextBody"/>
        <w:bidi w:val="0"/>
        <w:spacing w:before="0" w:after="0"/>
        <w:jc w:val="center"/>
        <w:rPr>
          <w:rFonts w:ascii="Times New Roman;Times;Serif" w:hAnsi="Times New Roman;Times;Serif"/>
          <w:b w:val="false"/>
          <w:i w:val="false"/>
          <w:caps w:val="false"/>
          <w:smallCaps w:val="false"/>
          <w:sz w:val="20"/>
        </w:rPr>
      </w:pPr>
      <w:bookmarkStart w:id="261" w:name="xdx_8BA_zQi5FmyFJFEb"/>
      <w:bookmarkEnd w:id="261"/>
      <w:r>
        <w:rPr>
          <w:rFonts w:ascii="Times New Roman;Times;Serif" w:hAnsi="Times New Roman;Times;Serif"/>
          <w:b w:val="false"/>
          <w:i w:val="false"/>
          <w:caps w:val="false"/>
          <w:smallCaps w:val="false"/>
          <w:sz w:val="20"/>
        </w:rPr>
        <w:t>SCHEDULE OF INVESTMENT </w:t>
      </w:r>
    </w:p>
    <w:tbl>
      <w:tblPr>
        <w:tblW w:w="6439" w:type="dxa"/>
        <w:jc w:val="left"/>
        <w:tblInd w:w="0" w:type="dxa"/>
        <w:tblLayout w:type="fixed"/>
        <w:tblCellMar>
          <w:top w:w="0" w:type="dxa"/>
          <w:left w:w="0" w:type="dxa"/>
          <w:bottom w:w="0" w:type="dxa"/>
          <w:right w:w="0" w:type="dxa"/>
        </w:tblCellMar>
      </w:tblPr>
      <w:tblGrid>
        <w:gridCol w:w="1475"/>
        <w:gridCol w:w="60"/>
        <w:gridCol w:w="140"/>
        <w:gridCol w:w="1100"/>
        <w:gridCol w:w="60"/>
        <w:gridCol w:w="60"/>
        <w:gridCol w:w="244"/>
        <w:gridCol w:w="2055"/>
        <w:gridCol w:w="95"/>
        <w:gridCol w:w="60"/>
        <w:gridCol w:w="140"/>
        <w:gridCol w:w="875"/>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center"/>
              <w:rPr/>
            </w:pPr>
            <w:r>
              <w:rPr/>
              <w:t>Share of Equity Method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xml:space="preserve">Net </w:t>
              <w:br/>
              <w:t>Carrying</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pPr>
            <w:r>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pPr>
            <w:r>
              <w:rPr/>
              <w:t>Value</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2" w:name="xdx_98E_eus-gaap--InvestmentOwnedAtCost_"/>
            <w:bookmarkEnd w:id="262"/>
          </w:p>
        </w:tc>
        <w:tc>
          <w:tcPr>
            <w:tcW w:w="1100" w:type="dxa"/>
            <w:tcBorders/>
            <w:shd w:fill="CCEEFF" w:val="clear"/>
            <w:vAlign w:val="center"/>
          </w:tcPr>
          <w:p>
            <w:pPr>
              <w:pStyle w:val="TableContents"/>
              <w:bidi w:val="0"/>
              <w:spacing w:before="0" w:after="283"/>
              <w:jc w:val="right"/>
              <w:rPr/>
            </w:pPr>
            <w:r>
              <w:rPr/>
              <w:t>5,810,000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bookmarkStart w:id="263" w:name="xdx_989_eus-gaap--EquityMethodInvestment"/>
            <w:bookmarkEnd w:id="263"/>
          </w:p>
        </w:tc>
        <w:tc>
          <w:tcPr>
            <w:tcW w:w="2055" w:type="dxa"/>
            <w:tcBorders/>
            <w:shd w:fill="CCEEFF" w:val="clear"/>
            <w:vAlign w:val="center"/>
          </w:tcPr>
          <w:p>
            <w:pPr>
              <w:pStyle w:val="TableContents"/>
              <w:bidi w:val="0"/>
              <w:spacing w:before="0" w:after="283"/>
              <w:jc w:val="right"/>
              <w:rPr/>
            </w:pPr>
            <w:r>
              <w:rPr/>
              <w:t>(5,810,000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4" w:name="xdx_98D_eus-gaap--Investments_iI_c202403"/>
            <w:bookmarkEnd w:id="264"/>
          </w:p>
        </w:tc>
        <w:tc>
          <w:tcPr>
            <w:tcW w:w="8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both"/>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65" w:name="xdx_98C_eus-gaap--InvestmentOwnedAtCost_"/>
            <w:bookmarkEnd w:id="265"/>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18,397,000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66" w:name="xdx_984_eus-gaap--EquityMethodInvestment"/>
            <w:bookmarkEnd w:id="266"/>
          </w:p>
        </w:tc>
        <w:tc>
          <w:tcPr>
            <w:tcW w:w="2055" w:type="dxa"/>
            <w:tcBorders>
              <w:bottom w:val="single" w:sz="12" w:space="0" w:color="000000"/>
            </w:tcBorders>
            <w:shd w:fill="FFFFFF" w:val="clear"/>
            <w:tcMar>
              <w:bottom w:w="28" w:type="dxa"/>
            </w:tcMar>
            <w:vAlign w:val="center"/>
          </w:tcPr>
          <w:p>
            <w:pPr>
              <w:pStyle w:val="TableContents"/>
              <w:bidi w:val="0"/>
              <w:spacing w:before="0" w:after="283"/>
              <w:jc w:val="right"/>
              <w:rPr/>
            </w:pPr>
            <w:r>
              <w:rPr/>
              <w:t>(18,397,000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67" w:name="xdx_98B_eus-gaap--Investments_iI_c202403"/>
            <w:bookmarkEnd w:id="267"/>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t>-</w:t>
            </w:r>
          </w:p>
        </w:tc>
        <w:tc>
          <w:tcPr>
            <w:tcW w:w="7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68" w:name="xdx_987_eus-gaap--InvestmentOwnedAtCost_"/>
            <w:bookmarkEnd w:id="26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24,207,000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69" w:name="xdx_986_eus-gaap--EquityMethodInvestment"/>
            <w:bookmarkEnd w:id="269"/>
          </w:p>
        </w:tc>
        <w:tc>
          <w:tcPr>
            <w:tcW w:w="2055" w:type="dxa"/>
            <w:tcBorders>
              <w:bottom w:val="double" w:sz="6" w:space="0" w:color="000000"/>
            </w:tcBorders>
            <w:shd w:fill="CCEEFF" w:val="clear"/>
            <w:tcMar>
              <w:bottom w:w="28" w:type="dxa"/>
            </w:tcMar>
            <w:vAlign w:val="center"/>
          </w:tcPr>
          <w:p>
            <w:pPr>
              <w:pStyle w:val="TableContents"/>
              <w:bidi w:val="0"/>
              <w:spacing w:before="0" w:after="283"/>
              <w:jc w:val="right"/>
              <w:rPr/>
            </w:pPr>
            <w:r>
              <w:rPr/>
              <w:t>(24,207,000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70" w:name="xdx_98A_eus-gaap--Investments_iI_c202403"/>
            <w:bookmarkEnd w:id="270"/>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bookmarkStart w:id="271" w:name="xdx_8A2_zDR6HH44htCb"/>
      <w:bookmarkEnd w:id="271"/>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4 for more information and related party disclosure regarding Melt.</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72" w:name="xdx_861_z2S2lIOCbdyb"/>
      <w:bookmarkStart w:id="273" w:name="xdx_842_eus-gaap--NewAccountingPronounce"/>
      <w:bookmarkEnd w:id="272"/>
      <w:bookmarkEnd w:id="273"/>
      <w:r>
        <w:rPr>
          <w:rFonts w:ascii="Times New Roman;Times;Serif" w:hAnsi="Times New Roman;Times;Serif"/>
          <w:b/>
          <w:i w:val="false"/>
          <w:caps w:val="false"/>
          <w:smallCaps w:val="false"/>
          <w:sz w:val="20"/>
        </w:rPr>
        <w:t>Accounting Guidance Issued but Not Adopted at March 31,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2023, the Financial Accounting Standards Board (“FASB”) issued Accounting Standards Update (“ASU”) 2023-05, </w:t>
      </w:r>
      <w:r>
        <w:rPr>
          <w:rFonts w:ascii="Times New Roman;Times;Serif" w:hAnsi="Times New Roman;Times;Serif"/>
          <w:b w:val="false"/>
          <w:i/>
          <w:caps w:val="false"/>
          <w:smallCaps w:val="false"/>
          <w:sz w:val="20"/>
        </w:rPr>
        <w:t>Business Combinations—Joint Venture Formations (Subtopic 805-60): Recognition and Initial Measurement</w:t>
      </w:r>
      <w:r>
        <w:rPr>
          <w:rFonts w:ascii="Times New Roman;Times;Serif" w:hAnsi="Times New Roman;Times;Serif"/>
          <w:b w:val="false"/>
          <w:i w:val="false"/>
          <w:caps w:val="false"/>
          <w:smallCaps w:val="false"/>
          <w:sz w:val="20"/>
        </w:rPr>
        <w:t>, which applies to the formation of entities that meet the definition of a joint venture (or a corporate joint venture) and requires joint ventures to initially measure all contributions received upon formation at fair value. The new guidance does not impact accounting by the venturers. The new guidance is applicable to joint venture entities with a formation date on or after January 1, 2025 on a prospective basis. Joint ventures formed prior to the effective date may elect to apply the new guidance retrospectively back to their original formation date. The Company will apply the guidance in ASU 2023-05 prospectively to any future arrangements meeting the definition of a joint venture.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FASB issued ASU 2023-06, </w:t>
      </w:r>
      <w:r>
        <w:rPr>
          <w:rFonts w:ascii="Times New Roman;Times;Serif" w:hAnsi="Times New Roman;Times;Serif"/>
          <w:b w:val="false"/>
          <w:i/>
          <w:caps w:val="false"/>
          <w:smallCaps w:val="false"/>
          <w:sz w:val="20"/>
        </w:rPr>
        <w:t>Disclosure Improvements—Codification Amendments in Response to the SEC’s Disclosure Update and Simplification Initiative</w:t>
      </w:r>
      <w:r>
        <w:rPr>
          <w:rFonts w:ascii="Times New Roman;Times;Serif" w:hAnsi="Times New Roman;Times;Serif"/>
          <w:b w:val="false"/>
          <w:i w:val="false"/>
          <w:caps w:val="false"/>
          <w:smallCaps w:val="false"/>
          <w:sz w:val="20"/>
        </w:rPr>
        <w:t>. This ASU modifies the disclosure or presentation requirements of a variety of topics in the codification by aligning them with the 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FASB issued ASU 2023-07, </w:t>
      </w:r>
      <w:r>
        <w:rPr>
          <w:rFonts w:ascii="Times New Roman;Times;Serif" w:hAnsi="Times New Roman;Times;Serif"/>
          <w:b w:val="false"/>
          <w:i/>
          <w:caps w:val="false"/>
          <w:smallCaps w:val="false"/>
          <w:sz w:val="20"/>
        </w:rPr>
        <w:t>Segment Reporting (Topic 280) - Improvements to Reportable Segment Disclosures</w:t>
      </w:r>
      <w:r>
        <w:rPr>
          <w:rFonts w:ascii="Times New Roman;Times;Serif" w:hAnsi="Times New Roman;Times;Serif"/>
          <w:b w:val="false"/>
          <w:i w:val="false"/>
          <w:caps w:val="false"/>
          <w:smallCaps w:val="false"/>
          <w:sz w:val="20"/>
        </w:rPr>
        <w:t>, which enhances the disclosures required for operating segments in the Company’s annual and interim consolidated financial statements. ASU 2023-07 is effective for the Company in our annual reporting for fiscal 2024 and for interim period reporting beginning in fiscal 2025 on a retrospective basis, with all required disclosures to be made for all prior periods presented in the consolidated financial statements. Early adoption is permitted. The Company is currently evaluating the impact of ASU 2023-07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which enhances the disclosures required for income taxes in the Company’s annual consolidated financial statements. Notably, this ASU requires entities to disclose specific categories in the effective tax rate reconciliation and provide additional information for reconciling items that meet a quantitative threshold. ASU 2023-09 is effective for the Company in its annual reporting for fiscal year 2025 on a prospective basis. Early adoption and retrospective reporting are permitted. The Company is currently evaluating the impact of ASU 2023-09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shd w:fill="FFFFFF" w:val="clear"/>
        </w:rPr>
      </w:pPr>
      <w:bookmarkStart w:id="274" w:name="xdx_86A_zwrbnZZaN5Xd"/>
      <w:bookmarkStart w:id="275" w:name="xdx_849_eus-gaap--PriorPeriodReclassific"/>
      <w:bookmarkEnd w:id="274"/>
      <w:bookmarkEnd w:id="275"/>
      <w:r>
        <w:rPr>
          <w:rFonts w:ascii="Times New Roman;Times;Serif" w:hAnsi="Times New Roman;Times;Serif"/>
          <w:b/>
          <w:i w:val="false"/>
          <w:caps w:val="false"/>
          <w:smallCaps w:val="false"/>
          <w:sz w:val="20"/>
          <w:shd w:fill="FFFFFF" w:val="clear"/>
        </w:rPr>
        <w:t>Reclassifications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Certain prior period items and amounts have been reclassified to conform to the classifications used to prepare the condensed consolidated financial statements for the current period. These reclassifications had no material impact on the Company’s condensed consolidated financial position, results of operations, or cash flows as previously reported.</w:t>
      </w:r>
    </w:p>
    <w:p>
      <w:pPr>
        <w:pStyle w:val="TextBody"/>
        <w:shd w:fill="FFFFFF" w:val="clear"/>
        <w:bidi w:val="0"/>
        <w:spacing w:before="0" w:after="0"/>
        <w:jc w:val="both"/>
        <w:rPr>
          <w:caps w:val="false"/>
          <w:smallCaps w:val="false"/>
        </w:rPr>
      </w:pPr>
      <w:bookmarkStart w:id="276" w:name="xdx_855_zFOzDcJyhKoc"/>
      <w:bookmarkEnd w:id="276"/>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7" w:name="xdx_80F_eus-gaap--RevenueFromContractWit"/>
      <w:bookmarkEnd w:id="277"/>
      <w:r>
        <w:rPr>
          <w:rFonts w:ascii="Times New Roman;Times;Serif" w:hAnsi="Times New Roman;Times;Serif"/>
          <w:b/>
          <w:i w:val="false"/>
          <w:caps w:val="false"/>
          <w:smallCaps w:val="false"/>
          <w:sz w:val="20"/>
        </w:rPr>
        <w:t xml:space="preserve">NOTE 3. </w:t>
      </w:r>
      <w:bookmarkStart w:id="278" w:name="xdx_822_zzjuFqw1iYfj"/>
      <w:bookmarkEnd w:id="278"/>
      <w:r>
        <w:rPr>
          <w:rFonts w:ascii="Times New Roman;Times;Serif" w:hAnsi="Times New Roman;Times;Serif"/>
          <w:b/>
          <w:i w:val="false"/>
          <w:caps w:val="false"/>
          <w:smallCaps w:val="false"/>
          <w:sz w:val="20"/>
        </w:rPr>
        <w:t xml:space="preserve">REVENUES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contracts with customers in accordance with ASC 606, </w:t>
      </w:r>
      <w:r>
        <w:rPr>
          <w:rFonts w:ascii="Times New Roman;Times;Serif" w:hAnsi="Times New Roman;Times;Serif"/>
          <w:b w:val="false"/>
          <w:i/>
          <w:caps w:val="false"/>
          <w:smallCaps w:val="false"/>
          <w:sz w:val="20"/>
        </w:rPr>
        <w:t>Revenues from Contracts with Customers</w:t>
      </w:r>
      <w:r>
        <w:rPr>
          <w:rFonts w:ascii="Times New Roman;Times;Serif" w:hAnsi="Times New Roman;Times;Serif"/>
          <w:b w:val="false"/>
          <w:i w:val="false"/>
          <w:caps w:val="false"/>
          <w:smallCaps w:val="false"/>
          <w:sz w:val="20"/>
        </w:rPr>
        <w:t>. The Company has three primary streams of revenue: (1) product revenues, including revenue recognized from sales of products through its pharmacy and outsourcing facility and sales of branded products to wholesalers through a third-party logistics (“3PL”) partner, (2) revenue recognized from transfer of acquired product sales and profits in 2023, and (3) revenue recognized from intellectual property licenses and related arrangements.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contract(s) with a customer:</w:t>
            </w:r>
            <w:r>
              <w:rPr>
                <w:rFonts w:ascii="Times New Roman;Times;Serif" w:hAnsi="Times New Roman;Times;Serif"/>
                <w:b w:val="false"/>
                <w:i w:val="false"/>
                <w:caps w:val="false"/>
                <w:smallCaps w:val="false"/>
                <w:sz w:val="20"/>
              </w:rPr>
              <w:t xml:space="preserve"> A contract is deemed to exist when the customer places an order through receipt of a prescription, via an online order or via receipt of a purchase order from a customer. For branded products, orders are received through the Company’s 3PL partner, and the customer takes title of the products via formal purchase orders placed and fulfilled.</w:t>
            </w:r>
          </w:p>
        </w:tc>
      </w:tr>
      <w:tr>
        <w:trPr/>
        <w:tc>
          <w:tcPr>
            <w:tcW w:w="153" w:type="dxa"/>
            <w:tcBorders/>
            <w:vAlign w:val="center"/>
          </w:tcPr>
          <w:p>
            <w:pPr>
              <w:pStyle w:val="TableContents"/>
              <w:bidi w:val="0"/>
              <w:spacing w:before="0" w:after="283"/>
              <w:jc w:val="both"/>
              <w:rPr>
                <w:caps w:val="false"/>
                <w:smallCaps w:val="false"/>
              </w:rPr>
            </w:pPr>
            <w:r>
              <w:rPr>
                <w:caps w:val="false"/>
                <w:smallCaps w:val="false"/>
              </w:rPr>
              <w:t> </w:t>
            </w:r>
          </w:p>
        </w:tc>
        <w:tc>
          <w:tcPr>
            <w:tcW w:w="10052"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performance obligations in the contract:</w:t>
            </w:r>
            <w:r>
              <w:rPr>
                <w:rFonts w:ascii="Times New Roman;Times;Serif" w:hAnsi="Times New Roman;Times;Serif"/>
                <w:b w:val="false"/>
                <w:i w:val="false"/>
                <w:caps w:val="false"/>
                <w:smallCaps w:val="false"/>
                <w:sz w:val="20"/>
              </w:rPr>
              <w:t xml:space="preserve"> Obligations for fulfillment of the Company’s contracts consist of delivering the product to 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Determine the transaction price:</w:t>
            </w:r>
            <w:r>
              <w:rPr>
                <w:rFonts w:ascii="Times New Roman;Times;Serif" w:hAnsi="Times New Roman;Times;Serif"/>
                <w:b w:val="false"/>
                <w:i w:val="false"/>
                <w:caps w:val="false"/>
                <w:smallCaps w:val="false"/>
                <w:sz w:val="20"/>
              </w:rPr>
              <w:t xml:space="preserve"> The transaction price is based on an amount that reflects the consideration to which the Company expects to be 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Allocate the transaction price to the performance obligations in the contract:</w:t>
            </w:r>
            <w:r>
              <w:rPr>
                <w:rFonts w:ascii="Times New Roman;Times;Serif" w:hAnsi="Times New Roman;Times;Serif"/>
                <w:b w:val="false"/>
                <w:i w:val="false"/>
                <w:caps w:val="false"/>
                <w:smallCaps w:val="false"/>
                <w:sz w:val="20"/>
              </w:rPr>
              <w:t xml:space="preserve"> Because there is only one performance obligation for product sales, no allocation is necessary.</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Recognize revenue when (or as) the entity satisfies a performance obligation:</w:t>
            </w:r>
            <w:r>
              <w:rPr>
                <w:rFonts w:ascii="Times New Roman;Times;Serif" w:hAnsi="Times New Roman;Times;Serif"/>
                <w:b w:val="false"/>
                <w:i w:val="false"/>
                <w:caps w:val="false"/>
                <w:smallCaps w:val="false"/>
                <w:sz w:val="20"/>
              </w:rPr>
              <w:t xml:space="preserve"> Revenue from products is recognized upon transfer of control of a product to a customer. This generally occurs upon shipment unless contractual terms with a customer state that transfer of control occurs at delivery.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From Transfer of Acquired Product Sales and Profits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entered into agreements whereby it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the Company. The revenue recognized by the Company from the transfer of net profit was recognized at the time profit from the product sales were calculated by the Sellers and confirmed by the Company, typically on a monthly basis, at which point there is no future performance obligation required by the Company and no consequential continuing involvement on the Company’s part to recognize the associated revenue. On a quarterly basis, the Sellers invoice the Company for all credits and reimbursements (“Chargebacks”) made to customers related to the products. The Company uses historical actual experience to estimate Chargebacks associated with the net sales and profit transferred. The estimated Chargebacks are recorded as a reduction in revenues from transfer of acquired product sales and profits in the Company’s consolidated statements of operations, and recorded as a reduction to accounts receivable in the consolidated balance sheets, at the time the revenue is recognized.</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License and Related Arrangements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 Company holds five intellectual property licenses and related arrangements pursuant to which the Company has agreed to license or sell to a customer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79" w:name="xdx_89A_eus-gaap--DisaggregationOfRevenu"/>
      <w:bookmarkEnd w:id="279"/>
      <w:r>
        <w:rPr>
          <w:rFonts w:ascii="Times New Roman;Times;Serif" w:hAnsi="Times New Roman;Times;Serif"/>
          <w:b w:val="false"/>
          <w:i w:val="false"/>
          <w:caps w:val="false"/>
          <w:smallCaps w:val="false"/>
          <w:sz w:val="20"/>
        </w:rPr>
        <w:t>Revenue disaggregated by revenue source for the three months ended March 31, 2024 and 2023 consisted of the following:</w:t>
      </w:r>
    </w:p>
    <w:p>
      <w:pPr>
        <w:pStyle w:val="TextBody"/>
        <w:bidi w:val="0"/>
        <w:spacing w:before="0" w:after="0"/>
        <w:jc w:val="center"/>
        <w:rPr>
          <w:caps w:val="false"/>
          <w:smallCaps w:val="false"/>
        </w:rPr>
      </w:pPr>
      <w:r>
        <w:rPr>
          <w:caps w:val="false"/>
          <w:smallCaps w:val="false"/>
        </w:rPr>
        <w:t> </w:t>
      </w:r>
      <w:bookmarkStart w:id="280" w:name="xdx_8BB_ziVqhLp8c7jg"/>
      <w:bookmarkEnd w:id="280"/>
      <w:r>
        <w:rPr>
          <w:rFonts w:ascii="Times New Roman;Times;Serif" w:hAnsi="Times New Roman;Times;Serif"/>
          <w:b w:val="false"/>
          <w:i w:val="false"/>
          <w:caps w:val="false"/>
          <w:smallCaps w:val="false"/>
          <w:sz w:val="20"/>
        </w:rPr>
        <w:t>SCHEDULE OF DISAGGREGATED REVENUE</w:t>
      </w:r>
    </w:p>
    <w:tbl>
      <w:tblPr>
        <w:tblW w:w="10011" w:type="dxa"/>
        <w:jc w:val="left"/>
        <w:tblInd w:w="0" w:type="dxa"/>
        <w:tblLayout w:type="fixed"/>
        <w:tblCellMar>
          <w:top w:w="0" w:type="dxa"/>
          <w:left w:w="0" w:type="dxa"/>
          <w:bottom w:w="0" w:type="dxa"/>
          <w:right w:w="0" w:type="dxa"/>
        </w:tblCellMar>
      </w:tblPr>
      <w:tblGrid>
        <w:gridCol w:w="6860"/>
        <w:gridCol w:w="60"/>
        <w:gridCol w:w="162"/>
        <w:gridCol w:w="1277"/>
        <w:gridCol w:w="69"/>
        <w:gridCol w:w="69"/>
        <w:gridCol w:w="162"/>
        <w:gridCol w:w="1277"/>
        <w:gridCol w:w="75"/>
      </w:tblGrid>
      <w:tr>
        <w:trPr/>
        <w:tc>
          <w:tcPr>
            <w:tcW w:w="6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1" w:name="xdx_499_20240101__20240331_zyYwiBh6yY04"/>
            <w:bookmarkEnd w:id="281"/>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282" w:name="xdx_49D_20230101__20230331_zZ64oifVmNj8"/>
            <w:bookmarkEnd w:id="282"/>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283" w:name="xdx_408_eus-gaap--RevenueFromContractWit"/>
            <w:bookmarkEnd w:id="283"/>
          </w:p>
        </w:tc>
      </w:tr>
      <w:tr>
        <w:trPr/>
        <w:tc>
          <w:tcPr>
            <w:tcW w:w="6860" w:type="dxa"/>
            <w:tcBorders/>
            <w:shd w:fill="CCEEFF" w:val="clear"/>
            <w:vAlign w:val="center"/>
          </w:tcPr>
          <w:p>
            <w:pPr>
              <w:pStyle w:val="TableContents"/>
              <w:bidi w:val="0"/>
              <w:spacing w:before="0" w:after="283"/>
              <w:jc w:val="left"/>
              <w:rPr>
                <w:b/>
              </w:rPr>
            </w:pPr>
            <w:r>
              <w:rPr>
                <w:b/>
              </w:rPr>
              <w:t>Product sales,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34,508,000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20,453,000</w:t>
            </w:r>
          </w:p>
        </w:tc>
        <w:tc>
          <w:tcPr>
            <w:tcW w:w="75" w:type="dxa"/>
            <w:tcBorders/>
            <w:shd w:fill="CCEEFF" w:val="clear"/>
            <w:vAlign w:val="center"/>
          </w:tcPr>
          <w:p>
            <w:pPr>
              <w:pStyle w:val="TableContents"/>
              <w:bidi w:val="0"/>
              <w:spacing w:before="0" w:after="283"/>
              <w:jc w:val="left"/>
              <w:rPr/>
            </w:pPr>
            <w:r>
              <w:rPr/>
              <w:t> </w:t>
            </w:r>
            <w:bookmarkStart w:id="284" w:name="xdx_401_eus-gaap--RevenueFromContractWit"/>
            <w:bookmarkEnd w:id="284"/>
          </w:p>
        </w:tc>
      </w:tr>
      <w:tr>
        <w:trPr/>
        <w:tc>
          <w:tcPr>
            <w:tcW w:w="6860" w:type="dxa"/>
            <w:tcBorders/>
            <w:shd w:fill="FFFFFF" w:val="clear"/>
            <w:vAlign w:val="center"/>
          </w:tcPr>
          <w:p>
            <w:pPr>
              <w:pStyle w:val="TableContents"/>
              <w:bidi w:val="0"/>
              <w:spacing w:before="0" w:after="283"/>
              <w:jc w:val="left"/>
              <w:rPr>
                <w:b/>
              </w:rPr>
            </w:pPr>
            <w:r>
              <w:rPr>
                <w:b/>
              </w:rPr>
              <w:t>Other revenues (including transfer of acquired product sales/profit)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79,000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5,650,000</w:t>
            </w:r>
          </w:p>
        </w:tc>
        <w:tc>
          <w:tcPr>
            <w:tcW w:w="75" w:type="dxa"/>
            <w:tcBorders/>
            <w:shd w:fill="FFFFFF" w:val="clear"/>
            <w:vAlign w:val="center"/>
          </w:tcPr>
          <w:p>
            <w:pPr>
              <w:pStyle w:val="TableContents"/>
              <w:bidi w:val="0"/>
              <w:spacing w:before="0" w:after="283"/>
              <w:jc w:val="left"/>
              <w:rPr/>
            </w:pPr>
            <w:r>
              <w:rPr/>
              <w:t> </w:t>
            </w:r>
            <w:bookmarkStart w:id="285" w:name="xdx_405_eus-gaap--RevenueFromContractWit"/>
            <w:bookmarkEnd w:id="285"/>
          </w:p>
        </w:tc>
      </w:tr>
      <w:tr>
        <w:trPr/>
        <w:tc>
          <w:tcPr>
            <w:tcW w:w="686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34,587,000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26,103,000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286" w:name="xdx_8A2_zWDpDBVJBl3f"/>
      <w:bookmarkEnd w:id="28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 at March 31, 2024 and December 31, 2023 were $</w:t>
      </w:r>
      <w:bookmarkStart w:id="287" w:name="xdx_901_eus-gaap--ContractWithCustomerLi"/>
      <w:bookmarkEnd w:id="287"/>
      <w:r>
        <w:rPr>
          <w:rFonts w:ascii="Times New Roman;Times;Serif" w:hAnsi="Times New Roman;Times;Serif"/>
          <w:b w:val="false"/>
          <w:i w:val="false"/>
          <w:caps w:val="false"/>
          <w:smallCaps w:val="false"/>
          <w:sz w:val="20"/>
        </w:rPr>
        <w:t>112,000 and $</w:t>
      </w:r>
      <w:bookmarkStart w:id="288" w:name="xdx_90A_eus-gaap--ContractWithCustomerLi"/>
      <w:bookmarkEnd w:id="288"/>
      <w:r>
        <w:rPr>
          <w:rFonts w:ascii="Times New Roman;Times;Serif" w:hAnsi="Times New Roman;Times;Serif"/>
          <w:b w:val="false"/>
          <w:i w:val="false"/>
          <w:caps w:val="false"/>
          <w:smallCaps w:val="false"/>
          <w:sz w:val="20"/>
        </w:rPr>
        <w:t>75,000, respectively. All deferred revenue and customer deposit amounts at December 31, 2023 were recognized as revenue during the three months ended March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9" w:name="xdx_805_eus-gaap--InvestmentsInDebtAndMa"/>
      <w:bookmarkEnd w:id="289"/>
      <w:r>
        <w:rPr>
          <w:rFonts w:ascii="Times New Roman;Times;Serif" w:hAnsi="Times New Roman;Times;Serif"/>
          <w:b/>
          <w:i w:val="false"/>
          <w:caps w:val="false"/>
          <w:smallCaps w:val="false"/>
          <w:sz w:val="20"/>
        </w:rPr>
        <w:t xml:space="preserve">NOTE 4. </w:t>
      </w:r>
      <w:bookmarkStart w:id="290" w:name="xdx_82D_zAmeVpZtvuY4"/>
      <w:bookmarkEnd w:id="290"/>
      <w:r>
        <w:rPr>
          <w:rFonts w:ascii="Times New Roman;Times;Serif" w:hAnsi="Times New Roman;Times;Serif"/>
          <w:b/>
          <w:i w:val="false"/>
          <w:caps w:val="false"/>
          <w:smallCaps w:val="false"/>
          <w:sz w:val="20"/>
        </w:rPr>
        <w:t>INVESTMENT IN, AND NOTE RECEIVABLE FROM MELT PHARMACEUTICALS, INC. - RELATED PARTY TRANSACTIONS</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the Company entered into an Asset Purchase Agreement with Melt (the “Melt APA”). Pursuant to the terms of the Melt APA, Melt was assigned certain intellectual property and related rights from the Company to develop, formulate, make, sell, and sub-license certain Company conscious sedation and analgesia related formulations (collectively, the “Melt Products”). Under the terms of the Melt APA, Melt is required to make mid-single digit royalty payments to the Company on net sales of the Melt Products while any patent rights remain outstanding, as well as other conditions.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2019, the Company entered into a Management Services Agreement (the “Melt MSA”), whereby the Company provided to Melt certain administrative services and support, including bookkeeping, web services and human resources related activities, and Melt was required to pay the Company a monthly amount of $</w:t>
      </w:r>
      <w:bookmarkStart w:id="291" w:name="xdx_90C_eus-gaap--AdministrativeFeesExpe"/>
      <w:bookmarkEnd w:id="291"/>
      <w:r>
        <w:rPr>
          <w:rFonts w:ascii="Times New Roman;Times;Serif" w:hAnsi="Times New Roman;Times;Serif"/>
          <w:b w:val="false"/>
          <w:i w:val="false"/>
          <w:caps w:val="false"/>
          <w:smallCaps w:val="false"/>
          <w:sz w:val="20"/>
        </w:rPr>
        <w:t>10,000. The Melt MSA was terminated effective July 1, 2023. During the three months ended March 31, 2024 and 2023, the Company recorded $</w:t>
      </w:r>
      <w:bookmarkStart w:id="292" w:name="xdx_900_eus-gaap--OtherExpenses_c2024010"/>
      <w:bookmarkEnd w:id="292"/>
      <w:r>
        <w:rPr>
          <w:rFonts w:ascii="Times New Roman;Times;Serif" w:hAnsi="Times New Roman;Times;Serif"/>
          <w:b w:val="false"/>
          <w:i w:val="false"/>
          <w:caps w:val="false"/>
          <w:smallCaps w:val="false"/>
          <w:sz w:val="20"/>
        </w:rPr>
        <w:t>0 and $</w:t>
      </w:r>
      <w:bookmarkStart w:id="293" w:name="xdx_90D_eus-gaap--OtherExpenses_c2023010"/>
      <w:bookmarkEnd w:id="293"/>
      <w:r>
        <w:rPr>
          <w:rFonts w:ascii="Times New Roman;Times;Serif" w:hAnsi="Times New Roman;Times;Serif"/>
          <w:b w:val="false"/>
          <w:i w:val="false"/>
          <w:caps w:val="false"/>
          <w:smallCaps w:val="false"/>
          <w:sz w:val="20"/>
        </w:rPr>
        <w:t xml:space="preserve">59,000, respectively, due from Melt for reimbursable expenses and amounts payable pursuant to the Melt MSA, which are included in prepaid expenses and other current assets in the accompanying condensed consolidated balance sheets. </w:t>
      </w:r>
      <w:r>
        <w:rPr>
          <w:rFonts w:ascii="Times New Roman;Times;Serif" w:hAnsi="Times New Roman;Times;Serif"/>
          <w:b w:val="false"/>
          <w:i w:val="false"/>
          <w:caps w:val="false"/>
          <w:smallCaps w:val="false"/>
          <w:sz w:val="20"/>
          <w:shd w:fill="FFFFFF" w:val="clear"/>
        </w:rPr>
        <w:t>As of March 31, 2024 and December 31, 2023, the Company was due $</w:t>
      </w:r>
      <w:bookmarkStart w:id="294" w:name="xdx_907_eus-gaap--RepaymentsOfRelatedPar"/>
      <w:bookmarkStart w:id="295" w:name="xdx_906_eus-gaap--RepaymentsOfRelatedPar"/>
      <w:bookmarkEnd w:id="294"/>
      <w:bookmarkEnd w:id="295"/>
      <w:r>
        <w:rPr>
          <w:rFonts w:ascii="Times New Roman;Times;Serif" w:hAnsi="Times New Roman;Times;Serif"/>
          <w:b w:val="false"/>
          <w:i w:val="false"/>
          <w:caps w:val="false"/>
          <w:smallCaps w:val="false"/>
          <w:sz w:val="20"/>
          <w:shd w:fill="FFFFFF" w:val="clear"/>
        </w:rPr>
        <w:t>228,000, from Melt for reimbursable expenses and amounts due under the Melt MSA</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Melt completed its Series B Preferred Stock financing which raised gross proceeds of approximately $</w:t>
      </w:r>
      <w:bookmarkStart w:id="296" w:name="xdx_900_eus-gaap--ProceedsFromRelatedPar"/>
      <w:bookmarkEnd w:id="296"/>
      <w:r>
        <w:rPr>
          <w:rFonts w:ascii="Times New Roman;Times;Serif" w:hAnsi="Times New Roman;Times;Serif"/>
          <w:b w:val="false"/>
          <w:i w:val="false"/>
          <w:caps w:val="false"/>
          <w:smallCaps w:val="false"/>
          <w:sz w:val="20"/>
        </w:rPr>
        <w:t>23,900,000.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Mark L. Baum, was previously a member of the Melt board of directors until his resignation during the year ended December 31, 2021. Mr. Baum re-joined the Melt board of directors in January 2023. At the time Mr. Baum re-joined, the Melt board of directors consisted of five members, including Mr. Baum, who is the only representative of the Company on Melt’s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97" w:name="xdx_898_esrt--ScheduleOfCondensedIncomeS"/>
      <w:bookmarkEnd w:id="297"/>
      <w:r>
        <w:rPr>
          <w:rFonts w:ascii="Times New Roman;Times;Serif" w:hAnsi="Times New Roman;Times;Serif"/>
          <w:b w:val="false"/>
          <w:i w:val="false"/>
          <w:caps w:val="false"/>
          <w:smallCaps w:val="false"/>
          <w:sz w:val="20"/>
        </w:rPr>
        <w:t>The unaudited condensed results of operations information of Melt is summarized below:</w:t>
      </w:r>
    </w:p>
    <w:p>
      <w:pPr>
        <w:pStyle w:val="TextBody"/>
        <w:bidi w:val="0"/>
        <w:spacing w:before="0" w:after="0"/>
        <w:jc w:val="both"/>
        <w:rPr>
          <w:caps w:val="false"/>
          <w:smallCaps w:val="false"/>
        </w:rPr>
      </w:pPr>
      <w:r>
        <w:rPr>
          <w:caps w:val="false"/>
          <w:smallCaps w:val="false"/>
        </w:rPr>
        <w:t> </w:t>
      </w:r>
      <w:bookmarkStart w:id="298" w:name="xdx_8B7_zznwBtvTzfB6"/>
      <w:bookmarkEnd w:id="298"/>
      <w:r>
        <w:rPr>
          <w:rFonts w:ascii="Times New Roman;Times;Serif" w:hAnsi="Times New Roman;Times;Serif"/>
          <w:b w:val="false"/>
          <w:i w:val="false"/>
          <w:caps w:val="false"/>
          <w:smallCaps w:val="false"/>
          <w:sz w:val="20"/>
        </w:rPr>
        <w:t>SCHEDULE OF CONDENSED INCOME STATEMENT</w:t>
      </w:r>
    </w:p>
    <w:tbl>
      <w:tblPr>
        <w:tblW w:w="4332" w:type="dxa"/>
        <w:jc w:val="left"/>
        <w:tblInd w:w="0" w:type="dxa"/>
        <w:tblLayout w:type="fixed"/>
        <w:tblCellMar>
          <w:top w:w="0" w:type="dxa"/>
          <w:left w:w="0" w:type="dxa"/>
          <w:bottom w:w="0" w:type="dxa"/>
          <w:right w:w="0" w:type="dxa"/>
        </w:tblCellMar>
      </w:tblPr>
      <w:tblGrid>
        <w:gridCol w:w="1730"/>
        <w:gridCol w:w="60"/>
        <w:gridCol w:w="139"/>
        <w:gridCol w:w="1007"/>
        <w:gridCol w:w="89"/>
        <w:gridCol w:w="66"/>
        <w:gridCol w:w="139"/>
        <w:gridCol w:w="1007"/>
        <w:gridCol w:w="9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99" w:name="xdx_49B_20240101__20240331__dei--LegalEn"/>
            <w:bookmarkEnd w:id="299"/>
          </w:p>
        </w:tc>
        <w:tc>
          <w:tcPr>
            <w:tcW w:w="11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bookmarkStart w:id="300" w:name="xdx_491_20230101__20230331__dei--LegalEn"/>
            <w:bookmarkEnd w:id="300"/>
          </w:p>
        </w:tc>
        <w:tc>
          <w:tcPr>
            <w:tcW w:w="11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7"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1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01" w:name="xdx_406_eus-gaap--RevenueFromContractWit"/>
            <w:bookmarkEnd w:id="301"/>
          </w:p>
        </w:tc>
      </w:tr>
      <w:tr>
        <w:trPr/>
        <w:tc>
          <w:tcPr>
            <w:tcW w:w="17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2" w:name="xdx_403_eus-gaap--OperatingIncomeLoss_zD"/>
            <w:bookmarkEnd w:id="302"/>
          </w:p>
        </w:tc>
      </w:tr>
      <w:tr>
        <w:trPr/>
        <w:tc>
          <w:tcPr>
            <w:tcW w:w="17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(2,036,000</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(1,352,000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3" w:name="xdx_40D_eus-gaap--NetIncomeLoss_zFHQ0Zoh"/>
            <w:bookmarkEnd w:id="303"/>
          </w:p>
        </w:tc>
      </w:tr>
      <w:tr>
        <w:trPr/>
        <w:tc>
          <w:tcPr>
            <w:tcW w:w="17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(1,893,000</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bookmarkStart w:id="304" w:name="xdx_8AD_zzLnueQXkZc1"/>
      <w:bookmarkEnd w:id="30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05" w:name="xdx_899_esrt--ScheduleOfCondensedBalance"/>
      <w:bookmarkEnd w:id="305"/>
      <w:r>
        <w:rPr>
          <w:rFonts w:ascii="Times New Roman;Times;Serif" w:hAnsi="Times New Roman;Times;Serif"/>
          <w:b w:val="false"/>
          <w:i w:val="false"/>
          <w:caps w:val="false"/>
          <w:smallCaps w:val="false"/>
          <w:sz w:val="20"/>
        </w:rPr>
        <w:t>The unaudited condensed balance sheet information of Melt is summarized below:</w:t>
      </w:r>
    </w:p>
    <w:p>
      <w:pPr>
        <w:pStyle w:val="TextBody"/>
        <w:bidi w:val="0"/>
        <w:spacing w:before="0" w:after="0"/>
        <w:jc w:val="both"/>
        <w:rPr>
          <w:caps w:val="false"/>
          <w:smallCaps w:val="false"/>
        </w:rPr>
      </w:pPr>
      <w:r>
        <w:rPr>
          <w:caps w:val="false"/>
          <w:smallCaps w:val="false"/>
        </w:rPr>
        <w:t> </w:t>
      </w:r>
      <w:bookmarkStart w:id="306" w:name="xdx_8B0_zUJSJrMADdhd"/>
      <w:bookmarkEnd w:id="306"/>
      <w:r>
        <w:rPr>
          <w:rFonts w:ascii="Times New Roman;Times;Serif" w:hAnsi="Times New Roman;Times;Serif"/>
          <w:b w:val="false"/>
          <w:i w:val="false"/>
          <w:caps w:val="false"/>
          <w:smallCaps w:val="false"/>
          <w:sz w:val="20"/>
        </w:rPr>
        <w:t>SCHEDULE OF CONDENSED BALANCE SHEET</w:t>
      </w:r>
    </w:p>
    <w:tbl>
      <w:tblPr>
        <w:tblW w:w="7738" w:type="dxa"/>
        <w:jc w:val="left"/>
        <w:tblInd w:w="0" w:type="dxa"/>
        <w:tblLayout w:type="fixed"/>
        <w:tblCellMar>
          <w:top w:w="0" w:type="dxa"/>
          <w:left w:w="0" w:type="dxa"/>
          <w:bottom w:w="0" w:type="dxa"/>
          <w:right w:w="0" w:type="dxa"/>
        </w:tblCellMar>
      </w:tblPr>
      <w:tblGrid>
        <w:gridCol w:w="4370"/>
        <w:gridCol w:w="60"/>
        <w:gridCol w:w="156"/>
        <w:gridCol w:w="1228"/>
        <w:gridCol w:w="60"/>
        <w:gridCol w:w="60"/>
        <w:gridCol w:w="195"/>
        <w:gridCol w:w="1534"/>
        <w:gridCol w:w="7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7" w:name="xdx_499_20240331__dei--LegalEntityAxis__"/>
            <w:bookmarkEnd w:id="307"/>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8" w:name="xdx_498_20231231__dei--LegalEntityAxis__"/>
            <w:bookmarkEnd w:id="308"/>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At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center"/>
              <w:rPr>
                <w:b/>
              </w:rPr>
            </w:pPr>
            <w:r>
              <w:rPr>
                <w:b/>
              </w:rPr>
              <w:t>At December 31,</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09" w:name="xdx_404_eus-gaap--AssetsCurrent_iI_zYQzy"/>
            <w:bookmarkEnd w:id="309"/>
          </w:p>
        </w:tc>
      </w:tr>
      <w:tr>
        <w:trPr/>
        <w:tc>
          <w:tcPr>
            <w:tcW w:w="4370"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14,277,000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13,404,000</w:t>
            </w:r>
          </w:p>
        </w:tc>
        <w:tc>
          <w:tcPr>
            <w:tcW w:w="75" w:type="dxa"/>
            <w:tcBorders/>
            <w:shd w:fill="CCEEFF" w:val="clear"/>
            <w:vAlign w:val="center"/>
          </w:tcPr>
          <w:p>
            <w:pPr>
              <w:pStyle w:val="TableContents"/>
              <w:bidi w:val="0"/>
              <w:spacing w:before="0" w:after="283"/>
              <w:jc w:val="left"/>
              <w:rPr/>
            </w:pPr>
            <w:r>
              <w:rPr/>
              <w:t> </w:t>
            </w:r>
            <w:bookmarkStart w:id="310" w:name="xdx_40C_eus-gaap--AssetsNoncurrent_iI_zK"/>
            <w:bookmarkEnd w:id="310"/>
          </w:p>
        </w:tc>
      </w:tr>
      <w:tr>
        <w:trPr/>
        <w:tc>
          <w:tcPr>
            <w:tcW w:w="4370" w:type="dxa"/>
            <w:tcBorders/>
            <w:shd w:fill="FFFFFF" w:val="clear"/>
            <w:vAlign w:val="center"/>
          </w:tcPr>
          <w:p>
            <w:pPr>
              <w:pStyle w:val="TableContents"/>
              <w:bidi w:val="0"/>
              <w:spacing w:before="0" w:after="283"/>
              <w:jc w:val="both"/>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11" w:name="xdx_406_eus-gaap--Assets_iI_z3c8FoXo4nw1"/>
            <w:bookmarkEnd w:id="311"/>
          </w:p>
        </w:tc>
      </w:tr>
      <w:tr>
        <w:trPr/>
        <w:tc>
          <w:tcPr>
            <w:tcW w:w="4370" w:type="dxa"/>
            <w:tcBorders/>
            <w:shd w:fill="CCEEFF" w:val="clear"/>
            <w:vAlign w:val="center"/>
          </w:tcPr>
          <w:p>
            <w:pPr>
              <w:pStyle w:val="TableContents"/>
              <w:bidi w:val="0"/>
              <w:spacing w:before="0" w:after="283"/>
              <w:jc w:val="both"/>
              <w:rPr/>
            </w:pPr>
            <w:r>
              <w:rPr/>
              <w:t>Total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14,277,000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jc w:val="right"/>
              <w:rPr/>
            </w:pPr>
            <w:r>
              <w:rPr/>
              <w:t>13,404,000</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12" w:name="xdx_409_eus-gaap--Liabilities_iI_zEbcp0r"/>
            <w:bookmarkEnd w:id="312"/>
          </w:p>
        </w:tc>
      </w:tr>
      <w:tr>
        <w:trPr/>
        <w:tc>
          <w:tcPr>
            <w:tcW w:w="437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3,524,000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3,922,000</w:t>
            </w:r>
          </w:p>
        </w:tc>
        <w:tc>
          <w:tcPr>
            <w:tcW w:w="75" w:type="dxa"/>
            <w:tcBorders/>
            <w:shd w:fill="CCEEFF" w:val="clear"/>
            <w:vAlign w:val="center"/>
          </w:tcPr>
          <w:p>
            <w:pPr>
              <w:pStyle w:val="TableContents"/>
              <w:bidi w:val="0"/>
              <w:spacing w:before="0" w:after="283"/>
              <w:jc w:val="left"/>
              <w:rPr/>
            </w:pPr>
            <w:r>
              <w:rPr/>
              <w:t> </w:t>
            </w:r>
            <w:bookmarkStart w:id="313" w:name="xdx_404_eus-gaap--StockholdersEquity_iI_"/>
            <w:bookmarkEnd w:id="313"/>
          </w:p>
        </w:tc>
      </w:tr>
      <w:tr>
        <w:trPr/>
        <w:tc>
          <w:tcPr>
            <w:tcW w:w="4370" w:type="dxa"/>
            <w:tcBorders/>
            <w:shd w:fill="FFFFFF" w:val="clear"/>
            <w:vAlign w:val="center"/>
          </w:tcPr>
          <w:p>
            <w:pPr>
              <w:pStyle w:val="TableContents"/>
              <w:bidi w:val="0"/>
              <w:spacing w:before="0" w:after="283"/>
              <w:jc w:val="both"/>
              <w:rPr/>
            </w:pPr>
            <w:r>
              <w:rPr/>
              <w:t>Total preferred stock and stockholders’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10,753,000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4" w:type="dxa"/>
            <w:tcBorders>
              <w:bottom w:val="single" w:sz="12" w:space="0" w:color="000000"/>
            </w:tcBorders>
            <w:shd w:fill="FFFFFF" w:val="clear"/>
            <w:tcMar>
              <w:bottom w:w="28" w:type="dxa"/>
            </w:tcMar>
            <w:vAlign w:val="center"/>
          </w:tcPr>
          <w:p>
            <w:pPr>
              <w:pStyle w:val="TableContents"/>
              <w:bidi w:val="0"/>
              <w:spacing w:before="0" w:after="283"/>
              <w:jc w:val="right"/>
              <w:rPr/>
            </w:pPr>
            <w:r>
              <w:rPr/>
              <w:t>9,482,000</w:t>
            </w:r>
          </w:p>
        </w:tc>
        <w:tc>
          <w:tcPr>
            <w:tcW w:w="75" w:type="dxa"/>
            <w:tcBorders/>
            <w:shd w:fill="FFFFFF" w:val="clear"/>
            <w:vAlign w:val="center"/>
          </w:tcPr>
          <w:p>
            <w:pPr>
              <w:pStyle w:val="TableContents"/>
              <w:bidi w:val="0"/>
              <w:spacing w:before="0" w:after="283"/>
              <w:jc w:val="left"/>
              <w:rPr/>
            </w:pPr>
            <w:r>
              <w:rPr/>
              <w:t> </w:t>
            </w:r>
            <w:bookmarkStart w:id="314" w:name="xdx_40A_eus-gaap--LiabilitiesAndStockhol"/>
            <w:bookmarkEnd w:id="314"/>
          </w:p>
        </w:tc>
      </w:tr>
      <w:tr>
        <w:trPr/>
        <w:tc>
          <w:tcPr>
            <w:tcW w:w="4370" w:type="dxa"/>
            <w:tcBorders/>
            <w:shd w:fill="CCEEFF" w:val="clear"/>
            <w:vAlign w:val="center"/>
          </w:tcPr>
          <w:p>
            <w:pPr>
              <w:pStyle w:val="TableContents"/>
              <w:bidi w:val="0"/>
              <w:spacing w:before="0" w:after="283"/>
              <w:jc w:val="both"/>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14,277,000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jc w:val="right"/>
              <w:rPr/>
            </w:pPr>
            <w:r>
              <w:rPr/>
              <w:t>13,404,000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315" w:name="xdx_8A8_zGbqRdgRYZ59"/>
      <w:bookmarkEnd w:id="315"/>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16" w:name="xdx_80F_eus-gaap--InventoryDisclosureTex"/>
      <w:bookmarkEnd w:id="316"/>
      <w:r>
        <w:rPr>
          <w:rFonts w:ascii="Times New Roman;Times;Serif" w:hAnsi="Times New Roman;Times;Serif"/>
          <w:b/>
          <w:i w:val="false"/>
          <w:caps w:val="false"/>
          <w:smallCaps w:val="false"/>
          <w:sz w:val="20"/>
        </w:rPr>
        <w:t xml:space="preserve">NOTE 5. </w:t>
      </w:r>
      <w:bookmarkStart w:id="317" w:name="xdx_821_zL4a2RzDQsVf"/>
      <w:bookmarkEnd w:id="317"/>
      <w:r>
        <w:rPr>
          <w:rFonts w:ascii="Times New Roman;Times;Serif" w:hAnsi="Times New Roman;Times;Serif"/>
          <w:b/>
          <w:i w:val="false"/>
          <w:caps w:val="false"/>
          <w:smallCaps w:val="false"/>
          <w:sz w:val="20"/>
        </w:rPr>
        <w:t xml:space="preserve">INVENTORIES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18" w:name="xdx_890_eus-gaap--ScheduleOfInventoryCur"/>
      <w:bookmarkEnd w:id="318"/>
      <w:r>
        <w:rPr>
          <w:rFonts w:ascii="Times New Roman;Times;Serif" w:hAnsi="Times New Roman;Times;Serif"/>
          <w:b w:val="false"/>
          <w:i w:val="false"/>
          <w:caps w:val="false"/>
          <w:smallCaps w:val="false"/>
          <w:sz w:val="20"/>
          <w:shd w:fill="FFFFFF" w:val="clear"/>
        </w:rPr>
        <w:t xml:space="preserve">Inventories are comprised of finished compounded formulations, over-the-counter and prescription retail pharmacy products, branded pharmaceutical products, including those held at the Company’s 3PL partner, related laboratory supplies and active pharmaceutical ingredients. </w:t>
      </w:r>
      <w:r>
        <w:rPr>
          <w:rFonts w:ascii="Times New Roman;Times;Serif" w:hAnsi="Times New Roman;Times;Serif"/>
          <w:b w:val="false"/>
          <w:i w:val="false"/>
          <w:caps w:val="false"/>
          <w:smallCaps w:val="false"/>
          <w:sz w:val="20"/>
        </w:rPr>
        <w:t>The composition of inventories as of March 31, 2024 and December 31, 2023 was as follows:</w:t>
      </w:r>
    </w:p>
    <w:p>
      <w:pPr>
        <w:pStyle w:val="TextBody"/>
        <w:bidi w:val="0"/>
        <w:spacing w:before="0" w:after="0"/>
        <w:jc w:val="both"/>
        <w:rPr>
          <w:caps w:val="false"/>
          <w:smallCaps w:val="false"/>
        </w:rPr>
      </w:pPr>
      <w:r>
        <w:rPr>
          <w:caps w:val="false"/>
          <w:smallCaps w:val="false"/>
        </w:rPr>
        <w:t> </w:t>
      </w:r>
      <w:bookmarkStart w:id="319" w:name="xdx_8BE_zwxecBIBapml"/>
      <w:bookmarkEnd w:id="319"/>
      <w:r>
        <w:rPr>
          <w:rFonts w:ascii="Times New Roman;Times;Serif" w:hAnsi="Times New Roman;Times;Serif"/>
          <w:b w:val="false"/>
          <w:i w:val="false"/>
          <w:caps w:val="false"/>
          <w:smallCaps w:val="false"/>
          <w:sz w:val="20"/>
        </w:rPr>
        <w:t>SCHEDULE OF INVENTORIES</w:t>
      </w:r>
    </w:p>
    <w:tbl>
      <w:tblPr>
        <w:tblW w:w="5488" w:type="dxa"/>
        <w:jc w:val="left"/>
        <w:tblInd w:w="0" w:type="dxa"/>
        <w:tblLayout w:type="fixed"/>
        <w:tblCellMar>
          <w:top w:w="0" w:type="dxa"/>
          <w:left w:w="0" w:type="dxa"/>
          <w:bottom w:w="0" w:type="dxa"/>
          <w:right w:w="0" w:type="dxa"/>
        </w:tblCellMar>
      </w:tblPr>
      <w:tblGrid>
        <w:gridCol w:w="1670"/>
        <w:gridCol w:w="60"/>
        <w:gridCol w:w="181"/>
        <w:gridCol w:w="1428"/>
        <w:gridCol w:w="60"/>
        <w:gridCol w:w="60"/>
        <w:gridCol w:w="210"/>
        <w:gridCol w:w="1744"/>
        <w:gridCol w:w="75"/>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0" w:name="xdx_49F_20240331_zt4lDIAc0nmb"/>
            <w:bookmarkEnd w:id="320"/>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1" w:name="xdx_494_20231231_zczflIquFqN2"/>
            <w:bookmarkEnd w:id="321"/>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bookmarkStart w:id="322" w:name="xdx_40F_eus-gaap--InventoryRawMaterials_"/>
            <w:bookmarkEnd w:id="322"/>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5,470,000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744" w:type="dxa"/>
            <w:tcBorders/>
            <w:shd w:fill="CCEEFF" w:val="clear"/>
            <w:vAlign w:val="center"/>
          </w:tcPr>
          <w:p>
            <w:pPr>
              <w:pStyle w:val="TableContents"/>
              <w:bidi w:val="0"/>
              <w:spacing w:before="0" w:after="283"/>
              <w:jc w:val="right"/>
              <w:rPr/>
            </w:pPr>
            <w:r>
              <w:rPr/>
              <w:t>   </w:t>
            </w:r>
            <w:r>
              <w:rPr/>
              <w:t>5,477,000</w:t>
            </w:r>
          </w:p>
        </w:tc>
        <w:tc>
          <w:tcPr>
            <w:tcW w:w="75" w:type="dxa"/>
            <w:tcBorders/>
            <w:shd w:fill="CCEEFF" w:val="clear"/>
            <w:vAlign w:val="center"/>
          </w:tcPr>
          <w:p>
            <w:pPr>
              <w:pStyle w:val="TableContents"/>
              <w:bidi w:val="0"/>
              <w:spacing w:before="0" w:after="283"/>
              <w:jc w:val="left"/>
              <w:rPr/>
            </w:pPr>
            <w:r>
              <w:rPr/>
              <w:t> </w:t>
            </w:r>
            <w:bookmarkStart w:id="323" w:name="xdx_402_eus-gaap--InventoryWorkInProcess"/>
            <w:bookmarkEnd w:id="323"/>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44" w:type="dxa"/>
            <w:tcBorders/>
            <w:shd w:fill="FFFFFF" w:val="clear"/>
            <w:vAlign w:val="center"/>
          </w:tcPr>
          <w:p>
            <w:pPr>
              <w:pStyle w:val="TableContents"/>
              <w:bidi w:val="0"/>
              <w:spacing w:before="0" w:after="283"/>
              <w:jc w:val="right"/>
              <w:rPr/>
            </w:pPr>
            <w:r>
              <w:rPr/>
              <w:t>54,000</w:t>
            </w:r>
          </w:p>
        </w:tc>
        <w:tc>
          <w:tcPr>
            <w:tcW w:w="75" w:type="dxa"/>
            <w:tcBorders/>
            <w:shd w:fill="FFFFFF" w:val="clear"/>
            <w:vAlign w:val="center"/>
          </w:tcPr>
          <w:p>
            <w:pPr>
              <w:pStyle w:val="TableContents"/>
              <w:bidi w:val="0"/>
              <w:spacing w:before="0" w:after="283"/>
              <w:jc w:val="left"/>
              <w:rPr/>
            </w:pPr>
            <w:r>
              <w:rPr/>
              <w:t> </w:t>
            </w:r>
            <w:bookmarkStart w:id="324" w:name="xdx_409_eus-gaap--InventoryFinishedGoods"/>
            <w:bookmarkEnd w:id="324"/>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12" w:space="0" w:color="000000"/>
            </w:tcBorders>
            <w:shd w:fill="CCEEFF" w:val="clear"/>
            <w:tcMar>
              <w:bottom w:w="28" w:type="dxa"/>
            </w:tcMar>
            <w:vAlign w:val="center"/>
          </w:tcPr>
          <w:p>
            <w:pPr>
              <w:pStyle w:val="TableContents"/>
              <w:bidi w:val="0"/>
              <w:spacing w:before="0" w:after="283"/>
              <w:jc w:val="right"/>
              <w:rPr/>
            </w:pPr>
            <w:r>
              <w:rPr/>
              <w:t>5,200,000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4" w:type="dxa"/>
            <w:tcBorders>
              <w:bottom w:val="single" w:sz="12" w:space="0" w:color="000000"/>
            </w:tcBorders>
            <w:shd w:fill="CCEEFF" w:val="clear"/>
            <w:tcMar>
              <w:bottom w:w="28" w:type="dxa"/>
            </w:tcMar>
            <w:vAlign w:val="center"/>
          </w:tcPr>
          <w:p>
            <w:pPr>
              <w:pStyle w:val="TableContents"/>
              <w:bidi w:val="0"/>
              <w:spacing w:before="0" w:after="283"/>
              <w:jc w:val="right"/>
              <w:rPr/>
            </w:pPr>
            <w:r>
              <w:rPr/>
              <w:t>5,336,000</w:t>
            </w:r>
          </w:p>
        </w:tc>
        <w:tc>
          <w:tcPr>
            <w:tcW w:w="75" w:type="dxa"/>
            <w:tcBorders/>
            <w:shd w:fill="CCEEFF" w:val="clear"/>
            <w:vAlign w:val="center"/>
          </w:tcPr>
          <w:p>
            <w:pPr>
              <w:pStyle w:val="TableContents"/>
              <w:bidi w:val="0"/>
              <w:spacing w:before="0" w:after="283"/>
              <w:jc w:val="left"/>
              <w:rPr/>
            </w:pPr>
            <w:r>
              <w:rPr/>
              <w:t> </w:t>
            </w:r>
            <w:bookmarkStart w:id="325" w:name="xdx_402_eus-gaap--InventoryNet_iTI_mtCzf"/>
            <w:bookmarkEnd w:id="325"/>
          </w:p>
        </w:tc>
      </w:tr>
      <w:tr>
        <w:trPr/>
        <w:tc>
          <w:tcPr>
            <w:tcW w:w="1670" w:type="dxa"/>
            <w:tcBorders/>
            <w:shd w:fill="FFFFFF" w:val="clear"/>
            <w:vAlign w:val="center"/>
          </w:tcPr>
          <w:p>
            <w:pPr>
              <w:pStyle w:val="TableContents"/>
              <w:bidi w:val="0"/>
              <w:spacing w:before="0" w:after="283"/>
              <w:jc w:val="left"/>
              <w:rPr/>
            </w:pPr>
            <w:r>
              <w:rPr/>
              <w:t>Total inventories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pPr>
            <w:r>
              <w:rPr/>
              <w:t>10,810,000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44" w:type="dxa"/>
            <w:tcBorders>
              <w:bottom w:val="double" w:sz="6" w:space="0" w:color="000000"/>
            </w:tcBorders>
            <w:shd w:fill="FFFFFF" w:val="clear"/>
            <w:tcMar>
              <w:bottom w:w="28" w:type="dxa"/>
            </w:tcMar>
            <w:vAlign w:val="center"/>
          </w:tcPr>
          <w:p>
            <w:pPr>
              <w:pStyle w:val="TableContents"/>
              <w:bidi w:val="0"/>
              <w:spacing w:before="0" w:after="283"/>
              <w:jc w:val="right"/>
              <w:rPr/>
            </w:pPr>
            <w:r>
              <w:rPr/>
              <w:t>10,867,000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326" w:name="xdx_8AB_zyoxSdnoSxoa"/>
      <w:bookmarkEnd w:id="326"/>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27" w:name="xdx_80F_eus-gaap--OtherAssetsDisclosureT"/>
      <w:bookmarkEnd w:id="327"/>
      <w:r>
        <w:rPr>
          <w:rFonts w:ascii="Times New Roman;Times;Serif" w:hAnsi="Times New Roman;Times;Serif"/>
          <w:b/>
          <w:i w:val="false"/>
          <w:caps w:val="false"/>
          <w:smallCaps w:val="false"/>
          <w:sz w:val="20"/>
        </w:rPr>
        <w:t xml:space="preserve">NOTE 6. </w:t>
      </w:r>
      <w:bookmarkStart w:id="328" w:name="xdx_828_zH1a75Cu0L5c"/>
      <w:bookmarkEnd w:id="328"/>
      <w:r>
        <w:rPr>
          <w:rFonts w:ascii="Times New Roman;Times;Serif" w:hAnsi="Times New Roman;Times;Serif"/>
          <w:b/>
          <w:i w:val="false"/>
          <w:caps w:val="false"/>
          <w:smallCaps w:val="false"/>
          <w:sz w:val="20"/>
        </w:rPr>
        <w:t>PREPAID EXPENSES AND OTHER CURRENT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29" w:name="xdx_892_eus-gaap--DeferredCostsCapitaliz"/>
      <w:bookmarkEnd w:id="329"/>
      <w:r>
        <w:rPr>
          <w:rFonts w:ascii="Times New Roman;Times;Serif" w:hAnsi="Times New Roman;Times;Serif"/>
          <w:b w:val="false"/>
          <w:i w:val="false"/>
          <w:caps w:val="false"/>
          <w:smallCaps w:val="false"/>
          <w:sz w:val="20"/>
        </w:rPr>
        <w:t>Prepaid expenses and other current assets at March 31, 2024 and December 31, 2023 consisted of the following:</w:t>
      </w:r>
    </w:p>
    <w:p>
      <w:pPr>
        <w:pStyle w:val="TextBody"/>
        <w:bidi w:val="0"/>
        <w:spacing w:before="0" w:after="0"/>
        <w:jc w:val="both"/>
        <w:rPr>
          <w:caps w:val="false"/>
          <w:smallCaps w:val="false"/>
        </w:rPr>
      </w:pPr>
      <w:r>
        <w:rPr>
          <w:caps w:val="false"/>
          <w:smallCaps w:val="false"/>
        </w:rPr>
        <w:t> </w:t>
      </w:r>
      <w:bookmarkStart w:id="330" w:name="xdx_8BB_zFCFWZ8u0PP5"/>
      <w:bookmarkEnd w:id="330"/>
      <w:r>
        <w:rPr>
          <w:rFonts w:ascii="Times New Roman;Times;Serif" w:hAnsi="Times New Roman;Times;Serif"/>
          <w:b w:val="false"/>
          <w:i w:val="false"/>
          <w:caps w:val="false"/>
          <w:smallCaps w:val="false"/>
          <w:sz w:val="20"/>
        </w:rPr>
        <w:t>SCHEDULE OF PREPAID EXPENSES AND OTHER CURRENT ASSETS</w:t>
      </w:r>
    </w:p>
    <w:tbl>
      <w:tblPr>
        <w:tblW w:w="9649" w:type="dxa"/>
        <w:jc w:val="left"/>
        <w:tblInd w:w="0" w:type="dxa"/>
        <w:tblLayout w:type="fixed"/>
        <w:tblCellMar>
          <w:top w:w="0" w:type="dxa"/>
          <w:left w:w="0" w:type="dxa"/>
          <w:bottom w:w="0" w:type="dxa"/>
          <w:right w:w="0" w:type="dxa"/>
        </w:tblCellMar>
      </w:tblPr>
      <w:tblGrid>
        <w:gridCol w:w="5585"/>
        <w:gridCol w:w="60"/>
        <w:gridCol w:w="201"/>
        <w:gridCol w:w="1408"/>
        <w:gridCol w:w="60"/>
        <w:gridCol w:w="60"/>
        <w:gridCol w:w="140"/>
        <w:gridCol w:w="2060"/>
        <w:gridCol w:w="75"/>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1" w:name="xdx_492_20240331_z5FYZgbWm3n4"/>
            <w:bookmarkEnd w:id="331"/>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2" w:name="xdx_49E_20231231_zWrXGz7td4G4"/>
            <w:bookmarkEnd w:id="332"/>
          </w:p>
        </w:tc>
        <w:tc>
          <w:tcPr>
            <w:tcW w:w="22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bookmarkStart w:id="333" w:name="xdx_40A_eus-gaap--PrepaidInsurance_iI_ma"/>
            <w:bookmarkEnd w:id="333"/>
          </w:p>
        </w:tc>
      </w:tr>
      <w:tr>
        <w:trPr/>
        <w:tc>
          <w:tcPr>
            <w:tcW w:w="558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766,000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060" w:type="dxa"/>
            <w:tcBorders/>
            <w:shd w:fill="CCEEFF" w:val="clear"/>
            <w:vAlign w:val="center"/>
          </w:tcPr>
          <w:p>
            <w:pPr>
              <w:pStyle w:val="TableContents"/>
              <w:bidi w:val="0"/>
              <w:spacing w:before="0" w:after="283"/>
              <w:jc w:val="right"/>
              <w:rPr/>
            </w:pPr>
            <w:r>
              <w:rPr/>
              <w:t>                  </w:t>
            </w:r>
            <w:r>
              <w:rPr/>
              <w:t>1,241,000</w:t>
            </w:r>
          </w:p>
        </w:tc>
        <w:tc>
          <w:tcPr>
            <w:tcW w:w="75" w:type="dxa"/>
            <w:tcBorders/>
            <w:shd w:fill="CCEEFF" w:val="clear"/>
            <w:vAlign w:val="center"/>
          </w:tcPr>
          <w:p>
            <w:pPr>
              <w:pStyle w:val="TableContents"/>
              <w:bidi w:val="0"/>
              <w:spacing w:before="0" w:after="283"/>
              <w:jc w:val="left"/>
              <w:rPr/>
            </w:pPr>
            <w:r>
              <w:rPr/>
              <w:t> </w:t>
            </w:r>
            <w:bookmarkStart w:id="334" w:name="xdx_40D_eus-gaap--PrepaidRoyalties_iI_ma"/>
            <w:bookmarkEnd w:id="334"/>
          </w:p>
        </w:tc>
      </w:tr>
      <w:tr>
        <w:trPr/>
        <w:tc>
          <w:tcPr>
            <w:tcW w:w="5585" w:type="dxa"/>
            <w:tcBorders/>
            <w:shd w:fill="FFFFFF" w:val="clear"/>
            <w:vAlign w:val="center"/>
          </w:tcPr>
          <w:p>
            <w:pPr>
              <w:pStyle w:val="TableContents"/>
              <w:bidi w:val="0"/>
              <w:spacing w:before="0" w:after="283"/>
              <w:jc w:val="left"/>
              <w:rPr/>
            </w:pPr>
            <w:r>
              <w:rPr/>
              <w:t>Prepaid computer software licenses and related expenses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1,462,000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right"/>
              <w:rPr/>
            </w:pPr>
            <w:r>
              <w:rPr/>
              <w:t>1,613,000</w:t>
            </w:r>
          </w:p>
        </w:tc>
        <w:tc>
          <w:tcPr>
            <w:tcW w:w="75" w:type="dxa"/>
            <w:tcBorders/>
            <w:shd w:fill="FFFFFF" w:val="clear"/>
            <w:vAlign w:val="center"/>
          </w:tcPr>
          <w:p>
            <w:pPr>
              <w:pStyle w:val="TableContents"/>
              <w:bidi w:val="0"/>
              <w:spacing w:before="0" w:after="283"/>
              <w:jc w:val="left"/>
              <w:rPr/>
            </w:pPr>
            <w:r>
              <w:rPr/>
              <w:t> </w:t>
            </w:r>
            <w:bookmarkStart w:id="335" w:name="xdx_402_eus-gaap--OtherPrepaidExpenseCur"/>
            <w:bookmarkEnd w:id="335"/>
          </w:p>
        </w:tc>
      </w:tr>
      <w:tr>
        <w:trPr/>
        <w:tc>
          <w:tcPr>
            <w:tcW w:w="5585" w:type="dxa"/>
            <w:tcBorders/>
            <w:shd w:fill="CCEEFF" w:val="clear"/>
            <w:vAlign w:val="center"/>
          </w:tcPr>
          <w:p>
            <w:pPr>
              <w:pStyle w:val="TableContents"/>
              <w:bidi w:val="0"/>
              <w:spacing w:before="0" w:after="283"/>
              <w:jc w:val="left"/>
              <w:rPr/>
            </w:pPr>
            <w:r>
              <w:rPr/>
              <w:t>Other prepaid expenses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right"/>
              <w:rPr/>
            </w:pPr>
            <w:r>
              <w:rPr/>
              <w:t>906,000</w:t>
            </w:r>
          </w:p>
        </w:tc>
        <w:tc>
          <w:tcPr>
            <w:tcW w:w="75" w:type="dxa"/>
            <w:tcBorders/>
            <w:shd w:fill="CCEEFF" w:val="clear"/>
            <w:vAlign w:val="center"/>
          </w:tcPr>
          <w:p>
            <w:pPr>
              <w:pStyle w:val="TableContents"/>
              <w:bidi w:val="0"/>
              <w:spacing w:before="0" w:after="283"/>
              <w:jc w:val="left"/>
              <w:rPr/>
            </w:pPr>
            <w:r>
              <w:rPr/>
              <w:t> </w:t>
            </w:r>
            <w:bookmarkStart w:id="336" w:name="xdx_40E_ecustom--ReceivableDueFromRelate"/>
            <w:bookmarkEnd w:id="336"/>
          </w:p>
        </w:tc>
      </w:tr>
      <w:tr>
        <w:trPr/>
        <w:tc>
          <w:tcPr>
            <w:tcW w:w="5585" w:type="dxa"/>
            <w:tcBorders/>
            <w:shd w:fill="FFFFFF" w:val="clear"/>
            <w:vAlign w:val="center"/>
          </w:tcPr>
          <w:p>
            <w:pPr>
              <w:pStyle w:val="TableContents"/>
              <w:bidi w:val="0"/>
              <w:spacing w:before="0" w:after="283"/>
              <w:jc w:val="left"/>
              <w:rPr/>
            </w:pPr>
            <w:r>
              <w:rPr/>
              <w:t>Receivable due from Melt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228,000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right"/>
              <w:rPr/>
            </w:pPr>
            <w:r>
              <w:rPr/>
              <w:t>228,000</w:t>
            </w:r>
          </w:p>
        </w:tc>
        <w:tc>
          <w:tcPr>
            <w:tcW w:w="75" w:type="dxa"/>
            <w:tcBorders/>
            <w:shd w:fill="FFFFFF" w:val="clear"/>
            <w:vAlign w:val="center"/>
          </w:tcPr>
          <w:p>
            <w:pPr>
              <w:pStyle w:val="TableContents"/>
              <w:bidi w:val="0"/>
              <w:spacing w:before="0" w:after="283"/>
              <w:jc w:val="left"/>
              <w:rPr/>
            </w:pPr>
            <w:r>
              <w:rPr/>
              <w:t> </w:t>
            </w:r>
            <w:bookmarkStart w:id="337" w:name="xdx_408_eus-gaap--PrepaidInterest_iI_maC"/>
            <w:bookmarkEnd w:id="337"/>
          </w:p>
        </w:tc>
      </w:tr>
      <w:tr>
        <w:trPr/>
        <w:tc>
          <w:tcPr>
            <w:tcW w:w="5585" w:type="dxa"/>
            <w:tcBorders/>
            <w:shd w:fill="CCEEFF" w:val="clear"/>
            <w:vAlign w:val="center"/>
          </w:tcPr>
          <w:p>
            <w:pPr>
              <w:pStyle w:val="TableContents"/>
              <w:bidi w:val="0"/>
              <w:spacing w:before="0" w:after="283"/>
              <w:jc w:val="left"/>
              <w:rPr/>
            </w:pPr>
            <w:r>
              <w:rPr/>
              <w:t>Prepaid FY 2024 Prescription Drug User (“PDUFA”) fees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2,292,000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right"/>
              <w:rPr/>
            </w:pPr>
            <w:r>
              <w:rPr/>
              <w:t>3,438,000</w:t>
            </w:r>
          </w:p>
        </w:tc>
        <w:tc>
          <w:tcPr>
            <w:tcW w:w="75" w:type="dxa"/>
            <w:tcBorders/>
            <w:shd w:fill="CCEEFF" w:val="clear"/>
            <w:vAlign w:val="center"/>
          </w:tcPr>
          <w:p>
            <w:pPr>
              <w:pStyle w:val="TableContents"/>
              <w:bidi w:val="0"/>
              <w:spacing w:before="0" w:after="283"/>
              <w:jc w:val="left"/>
              <w:rPr/>
            </w:pPr>
            <w:r>
              <w:rPr/>
              <w:t> </w:t>
            </w:r>
            <w:bookmarkStart w:id="338" w:name="xdx_40D_ecustom--DeferredCommitmentFee_i"/>
            <w:bookmarkEnd w:id="338"/>
          </w:p>
        </w:tc>
      </w:tr>
      <w:tr>
        <w:trPr/>
        <w:tc>
          <w:tcPr>
            <w:tcW w:w="5585" w:type="dxa"/>
            <w:tcBorders/>
            <w:shd w:fill="FFFFFF" w:val="clear"/>
            <w:vAlign w:val="center"/>
          </w:tcPr>
          <w:p>
            <w:pPr>
              <w:pStyle w:val="TableContents"/>
              <w:bidi w:val="0"/>
              <w:spacing w:before="0" w:after="283"/>
              <w:jc w:val="left"/>
              <w:rPr/>
            </w:pPr>
            <w:r>
              <w:rPr/>
              <w:t>Deferred Oaktree Loan commitment fee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468,000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right"/>
              <w:rPr/>
            </w:pPr>
            <w:r>
              <w:rPr/>
              <w:t>409,000</w:t>
            </w:r>
          </w:p>
        </w:tc>
        <w:tc>
          <w:tcPr>
            <w:tcW w:w="75" w:type="dxa"/>
            <w:tcBorders/>
            <w:shd w:fill="FFFFFF" w:val="clear"/>
            <w:vAlign w:val="center"/>
          </w:tcPr>
          <w:p>
            <w:pPr>
              <w:pStyle w:val="TableContents"/>
              <w:bidi w:val="0"/>
              <w:spacing w:before="0" w:after="283"/>
              <w:jc w:val="left"/>
              <w:rPr/>
            </w:pPr>
            <w:r>
              <w:rPr/>
              <w:t> </w:t>
            </w:r>
            <w:bookmarkStart w:id="339" w:name="xdx_409_eus-gaap--OtherAssetsCurrent_iI_"/>
            <w:bookmarkEnd w:id="339"/>
          </w:p>
        </w:tc>
      </w:tr>
      <w:tr>
        <w:trPr/>
        <w:tc>
          <w:tcPr>
            <w:tcW w:w="5585" w:type="dxa"/>
            <w:tcBorders/>
            <w:shd w:fill="CCEEFF" w:val="clear"/>
            <w:vAlign w:val="center"/>
          </w:tcPr>
          <w:p>
            <w:pPr>
              <w:pStyle w:val="TableContents"/>
              <w:bidi w:val="0"/>
              <w:spacing w:before="0" w:after="283"/>
              <w:jc w:val="left"/>
              <w:rPr/>
            </w:pPr>
            <w:r>
              <w:rPr/>
              <w:t>Deposits and other current assets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center"/>
          </w:tcPr>
          <w:p>
            <w:pPr>
              <w:pStyle w:val="TableContents"/>
              <w:bidi w:val="0"/>
              <w:spacing w:before="0" w:after="283"/>
              <w:jc w:val="right"/>
              <w:rPr/>
            </w:pPr>
            <w:r>
              <w:rPr/>
              <w:t>2,151,000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60" w:type="dxa"/>
            <w:tcBorders>
              <w:bottom w:val="single" w:sz="12" w:space="0" w:color="000000"/>
            </w:tcBorders>
            <w:shd w:fill="CCEEFF" w:val="clear"/>
            <w:tcMar>
              <w:bottom w:w="28" w:type="dxa"/>
            </w:tcMar>
            <w:vAlign w:val="center"/>
          </w:tcPr>
          <w:p>
            <w:pPr>
              <w:pStyle w:val="TableContents"/>
              <w:bidi w:val="0"/>
              <w:spacing w:before="0" w:after="283"/>
              <w:jc w:val="right"/>
              <w:rPr/>
            </w:pPr>
            <w:r>
              <w:rPr/>
              <w:t>1,753,000</w:t>
            </w:r>
          </w:p>
        </w:tc>
        <w:tc>
          <w:tcPr>
            <w:tcW w:w="75" w:type="dxa"/>
            <w:tcBorders/>
            <w:shd w:fill="CCEEFF" w:val="clear"/>
            <w:vAlign w:val="center"/>
          </w:tcPr>
          <w:p>
            <w:pPr>
              <w:pStyle w:val="TableContents"/>
              <w:bidi w:val="0"/>
              <w:spacing w:before="0" w:after="283"/>
              <w:jc w:val="left"/>
              <w:rPr/>
            </w:pPr>
            <w:r>
              <w:rPr/>
              <w:t> </w:t>
            </w:r>
            <w:bookmarkStart w:id="340" w:name="xdx_40C_eus-gaap--PrepaidExpenseAndOther"/>
            <w:bookmarkEnd w:id="340"/>
          </w:p>
        </w:tc>
      </w:tr>
      <w:tr>
        <w:trPr/>
        <w:tc>
          <w:tcPr>
            <w:tcW w:w="5585" w:type="dxa"/>
            <w:tcBorders/>
            <w:shd w:fill="FFFFFF" w:val="clear"/>
            <w:vAlign w:val="center"/>
          </w:tcPr>
          <w:p>
            <w:pPr>
              <w:pStyle w:val="TableContents"/>
              <w:bidi w:val="0"/>
              <w:spacing w:before="0" w:after="283"/>
              <w:jc w:val="left"/>
              <w:rPr/>
            </w:pPr>
            <w:r>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9,717,000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60" w:type="dxa"/>
            <w:tcBorders>
              <w:bottom w:val="double" w:sz="6" w:space="0" w:color="000000"/>
            </w:tcBorders>
            <w:shd w:fill="FFFFFF" w:val="clear"/>
            <w:tcMar>
              <w:bottom w:w="28" w:type="dxa"/>
            </w:tcMar>
            <w:vAlign w:val="center"/>
          </w:tcPr>
          <w:p>
            <w:pPr>
              <w:pStyle w:val="TableContents"/>
              <w:bidi w:val="0"/>
              <w:spacing w:before="0" w:after="283"/>
              <w:jc w:val="right"/>
              <w:rPr/>
            </w:pPr>
            <w:r>
              <w:rPr/>
              <w:t>9,588,000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341" w:name="xdx_8A4_zQYvNHRh7oe2"/>
      <w:bookmarkEnd w:id="341"/>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342" w:name="xdx_802_eus-gaap--PropertyPlantAndEquipm"/>
      <w:bookmarkEnd w:id="342"/>
      <w:r>
        <w:rPr>
          <w:rFonts w:ascii="Times New Roman;Times;Serif" w:hAnsi="Times New Roman;Times;Serif"/>
          <w:b/>
          <w:i w:val="false"/>
          <w:caps w:val="false"/>
          <w:smallCaps w:val="false"/>
          <w:sz w:val="20"/>
        </w:rPr>
        <w:t xml:space="preserve">NOTE 7. </w:t>
      </w:r>
      <w:bookmarkStart w:id="343" w:name="xdx_82F_zMszPsW3hur6"/>
      <w:bookmarkEnd w:id="343"/>
      <w:r>
        <w:rPr>
          <w:rFonts w:ascii="Times New Roman;Times;Serif" w:hAnsi="Times New Roman;Times;Serif"/>
          <w:b/>
          <w:i w:val="false"/>
          <w:caps w:val="false"/>
          <w:smallCaps w:val="false"/>
          <w:sz w:val="20"/>
        </w:rPr>
        <w:t xml:space="preserve">PROPERTY, PLANT AND EQUIPMENT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44" w:name="xdx_89A_eus-gaap--PropertyPlantAndEquipm"/>
      <w:bookmarkEnd w:id="344"/>
      <w:r>
        <w:rPr>
          <w:rFonts w:ascii="Times New Roman;Times;Serif" w:hAnsi="Times New Roman;Times;Serif"/>
          <w:b w:val="false"/>
          <w:i w:val="false"/>
          <w:caps w:val="false"/>
          <w:smallCaps w:val="false"/>
          <w:sz w:val="20"/>
        </w:rPr>
        <w:t>Property, plant and equipment at March 31, 2024 and December 31, 2023 consisted of the following:</w:t>
      </w:r>
    </w:p>
    <w:p>
      <w:pPr>
        <w:pStyle w:val="TextBody"/>
        <w:bidi w:val="0"/>
        <w:spacing w:before="0" w:after="0"/>
        <w:jc w:val="both"/>
        <w:rPr>
          <w:caps w:val="false"/>
          <w:smallCaps w:val="false"/>
        </w:rPr>
      </w:pPr>
      <w:r>
        <w:rPr>
          <w:caps w:val="false"/>
          <w:smallCaps w:val="false"/>
        </w:rPr>
        <w:t> </w:t>
      </w:r>
      <w:bookmarkStart w:id="345" w:name="xdx_8BA_zIqqp9LZJcvd"/>
      <w:bookmarkEnd w:id="345"/>
      <w:r>
        <w:rPr>
          <w:rFonts w:ascii="Times New Roman;Times;Serif" w:hAnsi="Times New Roman;Times;Serif"/>
          <w:b w:val="false"/>
          <w:i w:val="false"/>
          <w:caps w:val="false"/>
          <w:smallCaps w:val="false"/>
          <w:sz w:val="20"/>
        </w:rPr>
        <w:t>SCHEDULE OF PROPERTY, PLANT AND EQUIPMENT</w:t>
      </w:r>
    </w:p>
    <w:tbl>
      <w:tblPr>
        <w:tblW w:w="6273" w:type="dxa"/>
        <w:jc w:val="left"/>
        <w:tblInd w:w="0" w:type="dxa"/>
        <w:tblLayout w:type="fixed"/>
        <w:tblCellMar>
          <w:top w:w="0" w:type="dxa"/>
          <w:left w:w="0" w:type="dxa"/>
          <w:bottom w:w="0" w:type="dxa"/>
          <w:right w:w="0" w:type="dxa"/>
        </w:tblCellMar>
      </w:tblPr>
      <w:tblGrid>
        <w:gridCol w:w="3005"/>
        <w:gridCol w:w="60"/>
        <w:gridCol w:w="149"/>
        <w:gridCol w:w="1205"/>
        <w:gridCol w:w="80"/>
        <w:gridCol w:w="60"/>
        <w:gridCol w:w="171"/>
        <w:gridCol w:w="1468"/>
        <w:gridCol w:w="75"/>
      </w:tblGrid>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46" w:name="xdx_496_20240331_zsDRZnWNcce6"/>
            <w:bookmarkEnd w:id="346"/>
          </w:p>
        </w:tc>
        <w:tc>
          <w:tcPr>
            <w:tcW w:w="13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47" w:name="xdx_49C_20231231_zx8CxBrU4gN2"/>
            <w:bookmarkEnd w:id="347"/>
          </w:p>
        </w:tc>
        <w:tc>
          <w:tcPr>
            <w:tcW w:w="1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8" w:name="xdx_400_ecustom--ComputerHardwareGross_i"/>
            <w:bookmarkEnd w:id="348"/>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hardware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9" w:name="xdx_40A_eus-gaap--FurnitureAndFixturesGr"/>
            <w:bookmarkEnd w:id="349"/>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0" w:name="xdx_40C_eus-gaap--MachineryAndEquipmentG"/>
            <w:bookmarkEnd w:id="350"/>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 and pharmacy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4,564,000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1" w:name="xdx_40A_eus-gaap--LeaseholdImprovementsG"/>
            <w:bookmarkEnd w:id="351"/>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6,802,000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6,771,000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2" w:name="xdx_40D_eus-gaap--PropertyPlantAndEquipm"/>
            <w:bookmarkEnd w:id="352"/>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gross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13,757,000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13,593,000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3" w:name="xdx_406_eus-gaap--AccumulatedDepreciatio"/>
            <w:bookmarkEnd w:id="353"/>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(10,368,000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(10,072,000)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4" w:name="xdx_40B_eus-gaap--PropertyPlantAndEquipm"/>
            <w:bookmarkEnd w:id="354"/>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bookmarkStart w:id="355" w:name="xdx_8AE_zYnDlNMHJDxj"/>
      <w:bookmarkEnd w:id="355"/>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and 2023, depreciation related to the property, plant and equipment was $</w:t>
      </w:r>
      <w:bookmarkStart w:id="356" w:name="xdx_900_eus-gaap--DepreciationAmortizati"/>
      <w:bookmarkEnd w:id="356"/>
      <w:r>
        <w:rPr>
          <w:rFonts w:ascii="Times New Roman;Times;Serif" w:hAnsi="Times New Roman;Times;Serif"/>
          <w:b w:val="false"/>
          <w:i w:val="false"/>
          <w:caps w:val="false"/>
          <w:smallCaps w:val="false"/>
          <w:sz w:val="20"/>
        </w:rPr>
        <w:t>296,000 and $</w:t>
      </w:r>
      <w:bookmarkStart w:id="357" w:name="xdx_906_eus-gaap--DepreciationAmortizati"/>
      <w:bookmarkEnd w:id="357"/>
      <w:r>
        <w:rPr>
          <w:rFonts w:ascii="Times New Roman;Times;Serif" w:hAnsi="Times New Roman;Times;Serif"/>
          <w:b w:val="false"/>
          <w:i w:val="false"/>
          <w:caps w:val="false"/>
          <w:smallCaps w:val="false"/>
          <w:sz w:val="20"/>
        </w:rPr>
        <w:t>225,000,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358" w:name="xdx_80C_ecustom--CapitalizedSoftwareCost"/>
      <w:bookmarkEnd w:id="358"/>
      <w:r>
        <w:rPr>
          <w:rFonts w:ascii="Times New Roman;Times;Serif" w:hAnsi="Times New Roman;Times;Serif"/>
          <w:b/>
          <w:i w:val="false"/>
          <w:caps w:val="false"/>
          <w:smallCaps w:val="false"/>
          <w:sz w:val="20"/>
        </w:rPr>
        <w:t xml:space="preserve">NOTE 8. </w:t>
      </w:r>
      <w:bookmarkStart w:id="359" w:name="xdx_82F_zAbvzCS0rubj"/>
      <w:bookmarkEnd w:id="359"/>
      <w:r>
        <w:rPr>
          <w:rFonts w:ascii="Times New Roman;Times;Serif" w:hAnsi="Times New Roman;Times;Serif"/>
          <w:b/>
          <w:i w:val="false"/>
          <w:caps w:val="false"/>
          <w:smallCaps w:val="false"/>
          <w:sz w:val="20"/>
        </w:rPr>
        <w:t xml:space="preserve">CAPITALIZED SOFTWARE COSTS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60" w:name="xdx_89B_ecustom--CapitalizedSoftwareDeve"/>
      <w:bookmarkEnd w:id="360"/>
      <w:r>
        <w:rPr>
          <w:rFonts w:ascii="Times New Roman;Times;Serif" w:hAnsi="Times New Roman;Times;Serif"/>
          <w:b w:val="false"/>
          <w:i w:val="false"/>
          <w:caps w:val="false"/>
          <w:smallCaps w:val="false"/>
          <w:sz w:val="20"/>
        </w:rPr>
        <w:t>Capitalized software costs at March 31, 2024 and December 31, 2023 consisted of the following:</w:t>
      </w:r>
    </w:p>
    <w:p>
      <w:pPr>
        <w:pStyle w:val="TextBody"/>
        <w:bidi w:val="0"/>
        <w:spacing w:before="0" w:after="0"/>
        <w:jc w:val="both"/>
        <w:rPr>
          <w:caps w:val="false"/>
          <w:smallCaps w:val="false"/>
        </w:rPr>
      </w:pPr>
      <w:r>
        <w:rPr>
          <w:caps w:val="false"/>
          <w:smallCaps w:val="false"/>
        </w:rPr>
        <w:t> </w:t>
      </w:r>
      <w:bookmarkStart w:id="361" w:name="xdx_8B7_zfoz8ZVFRXU"/>
      <w:bookmarkEnd w:id="361"/>
      <w:r>
        <w:rPr>
          <w:rFonts w:ascii="Times New Roman;Times;Serif" w:hAnsi="Times New Roman;Times;Serif"/>
          <w:b w:val="false"/>
          <w:i w:val="false"/>
          <w:caps w:val="false"/>
          <w:smallCaps w:val="false"/>
          <w:sz w:val="20"/>
        </w:rPr>
        <w:t>SCHEDULE OF CAPITALIZED SOFTWARE COSTS</w:t>
      </w:r>
    </w:p>
    <w:tbl>
      <w:tblPr>
        <w:tblW w:w="8918" w:type="dxa"/>
        <w:jc w:val="left"/>
        <w:tblInd w:w="0" w:type="dxa"/>
        <w:tblLayout w:type="fixed"/>
        <w:tblCellMar>
          <w:top w:w="0" w:type="dxa"/>
          <w:left w:w="0" w:type="dxa"/>
          <w:bottom w:w="0" w:type="dxa"/>
          <w:right w:w="0" w:type="dxa"/>
        </w:tblCellMar>
      </w:tblPr>
      <w:tblGrid>
        <w:gridCol w:w="5030"/>
        <w:gridCol w:w="60"/>
        <w:gridCol w:w="188"/>
        <w:gridCol w:w="1421"/>
        <w:gridCol w:w="95"/>
        <w:gridCol w:w="60"/>
        <w:gridCol w:w="229"/>
        <w:gridCol w:w="1725"/>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2" w:name="xdx_493_20240331_zqypENMKzRFc"/>
            <w:bookmarkEnd w:id="362"/>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3" w:name="xdx_49D_20231231_z8YdjEkHDbq"/>
            <w:bookmarkEnd w:id="363"/>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Capitalized software costs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4" w:name="xdx_40E_eus-gaap--CapitalizedComputerSof"/>
            <w:bookmarkEnd w:id="364"/>
          </w:p>
        </w:tc>
      </w:tr>
      <w:tr>
        <w:trPr/>
        <w:tc>
          <w:tcPr>
            <w:tcW w:w="5030" w:type="dxa"/>
            <w:tcBorders/>
            <w:shd w:fill="FFFFFF" w:val="clear"/>
            <w:vAlign w:val="center"/>
          </w:tcPr>
          <w:p>
            <w:pPr>
              <w:pStyle w:val="TableContents"/>
              <w:bidi w:val="0"/>
              <w:spacing w:before="0" w:after="283"/>
              <w:jc w:val="left"/>
              <w:rPr/>
            </w:pPr>
            <w:r>
              <w:rPr/>
              <w:t>Capitalized internal-use software development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421" w:type="dxa"/>
            <w:tcBorders/>
            <w:shd w:fill="FFFFFF" w:val="clear"/>
            <w:vAlign w:val="center"/>
          </w:tcPr>
          <w:p>
            <w:pPr>
              <w:pStyle w:val="TableContents"/>
              <w:bidi w:val="0"/>
              <w:spacing w:before="0" w:after="283"/>
              <w:jc w:val="right"/>
              <w:rPr/>
            </w:pPr>
            <w:r>
              <w:rPr/>
              <w:t>2,780,000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725" w:type="dxa"/>
            <w:tcBorders/>
            <w:shd w:fill="FFFFFF" w:val="clear"/>
            <w:vAlign w:val="center"/>
          </w:tcPr>
          <w:p>
            <w:pPr>
              <w:pStyle w:val="TableContents"/>
              <w:bidi w:val="0"/>
              <w:spacing w:before="0" w:after="283"/>
              <w:jc w:val="right"/>
              <w:rPr/>
            </w:pPr>
            <w:r>
              <w:rPr/>
              <w:t>2,780,000</w:t>
            </w:r>
          </w:p>
        </w:tc>
        <w:tc>
          <w:tcPr>
            <w:tcW w:w="110" w:type="dxa"/>
            <w:tcBorders/>
            <w:shd w:fill="FFFFFF" w:val="clear"/>
            <w:vAlign w:val="center"/>
          </w:tcPr>
          <w:p>
            <w:pPr>
              <w:pStyle w:val="TableContents"/>
              <w:bidi w:val="0"/>
              <w:spacing w:before="0" w:after="283"/>
              <w:jc w:val="left"/>
              <w:rPr/>
            </w:pPr>
            <w:r>
              <w:rPr/>
              <w:t> </w:t>
            </w:r>
            <w:bookmarkStart w:id="365" w:name="xdx_407_eus-gaap--CapitalizedComputerSof"/>
            <w:bookmarkEnd w:id="365"/>
          </w:p>
        </w:tc>
      </w:tr>
      <w:tr>
        <w:trPr/>
        <w:tc>
          <w:tcPr>
            <w:tcW w:w="5030" w:type="dxa"/>
            <w:tcBorders/>
            <w:shd w:fill="CCEEFF" w:val="clear"/>
            <w:vAlign w:val="center"/>
          </w:tcPr>
          <w:p>
            <w:pPr>
              <w:pStyle w:val="TableContents"/>
              <w:bidi w:val="0"/>
              <w:spacing w:before="0" w:after="283"/>
              <w:jc w:val="left"/>
              <w:rPr/>
            </w:pPr>
            <w:r>
              <w:rPr/>
              <w:t>Acquired third-party software license for internal-use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1" w:type="dxa"/>
            <w:tcBorders>
              <w:bottom w:val="single" w:sz="12" w:space="0" w:color="000000"/>
            </w:tcBorders>
            <w:shd w:fill="CCEEFF" w:val="clear"/>
            <w:tcMar>
              <w:bottom w:w="28" w:type="dxa"/>
            </w:tcMar>
            <w:vAlign w:val="center"/>
          </w:tcPr>
          <w:p>
            <w:pPr>
              <w:pStyle w:val="TableContents"/>
              <w:bidi w:val="0"/>
              <w:spacing w:before="0" w:after="283"/>
              <w:jc w:val="right"/>
              <w:rPr/>
            </w:pPr>
            <w:r>
              <w:rPr/>
              <w:t>159,000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12" w:space="0" w:color="000000"/>
            </w:tcBorders>
            <w:shd w:fill="CCEEFF" w:val="clear"/>
            <w:tcMar>
              <w:bottom w:w="28" w:type="dxa"/>
            </w:tcMar>
            <w:vAlign w:val="center"/>
          </w:tcPr>
          <w:p>
            <w:pPr>
              <w:pStyle w:val="TableContents"/>
              <w:bidi w:val="0"/>
              <w:spacing w:before="0" w:after="283"/>
              <w:jc w:val="right"/>
              <w:rPr/>
            </w:pPr>
            <w:r>
              <w:rPr/>
              <w:t>159,000</w:t>
            </w:r>
          </w:p>
        </w:tc>
        <w:tc>
          <w:tcPr>
            <w:tcW w:w="110" w:type="dxa"/>
            <w:tcBorders/>
            <w:shd w:fill="CCEEFF" w:val="clear"/>
            <w:vAlign w:val="center"/>
          </w:tcPr>
          <w:p>
            <w:pPr>
              <w:pStyle w:val="TableContents"/>
              <w:bidi w:val="0"/>
              <w:spacing w:before="0" w:after="283"/>
              <w:jc w:val="left"/>
              <w:rPr/>
            </w:pPr>
            <w:r>
              <w:rPr/>
              <w:t> </w:t>
            </w:r>
            <w:bookmarkStart w:id="366" w:name="xdx_402_eus-gaap--CapitalizedComputerSof"/>
            <w:bookmarkEnd w:id="366"/>
          </w:p>
        </w:tc>
      </w:tr>
      <w:tr>
        <w:trPr/>
        <w:tc>
          <w:tcPr>
            <w:tcW w:w="5030" w:type="dxa"/>
            <w:tcBorders/>
            <w:shd w:fill="FFFFFF" w:val="clear"/>
            <w:vAlign w:val="center"/>
          </w:tcPr>
          <w:p>
            <w:pPr>
              <w:pStyle w:val="TableContents"/>
              <w:bidi w:val="0"/>
              <w:spacing w:before="0" w:after="283"/>
              <w:jc w:val="left"/>
              <w:rPr/>
            </w:pPr>
            <w:r>
              <w:rPr/>
              <w:t>Total gross capitalized software for internal-use</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1" w:type="dxa"/>
            <w:tcBorders>
              <w:bottom w:val="single" w:sz="12" w:space="0" w:color="000000"/>
            </w:tcBorders>
            <w:shd w:fill="FFFFFF" w:val="clear"/>
            <w:tcMar>
              <w:bottom w:w="28" w:type="dxa"/>
            </w:tcMar>
            <w:vAlign w:val="center"/>
          </w:tcPr>
          <w:p>
            <w:pPr>
              <w:pStyle w:val="TableContents"/>
              <w:bidi w:val="0"/>
              <w:spacing w:before="0" w:after="283"/>
              <w:jc w:val="right"/>
              <w:rPr/>
            </w:pPr>
            <w:r>
              <w:rPr/>
              <w:t>2,939,000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12" w:space="0" w:color="000000"/>
            </w:tcBorders>
            <w:shd w:fill="FFFFFF" w:val="clear"/>
            <w:tcMar>
              <w:bottom w:w="28" w:type="dxa"/>
            </w:tcMar>
            <w:vAlign w:val="center"/>
          </w:tcPr>
          <w:p>
            <w:pPr>
              <w:pStyle w:val="TableContents"/>
              <w:bidi w:val="0"/>
              <w:spacing w:before="0" w:after="283"/>
              <w:jc w:val="right"/>
              <w:rPr/>
            </w:pPr>
            <w:r>
              <w:rPr/>
              <w:t>2,939,000</w:t>
            </w:r>
          </w:p>
        </w:tc>
        <w:tc>
          <w:tcPr>
            <w:tcW w:w="110" w:type="dxa"/>
            <w:tcBorders/>
            <w:shd w:fill="FFFFFF" w:val="clear"/>
            <w:vAlign w:val="center"/>
          </w:tcPr>
          <w:p>
            <w:pPr>
              <w:pStyle w:val="TableContents"/>
              <w:bidi w:val="0"/>
              <w:spacing w:before="0" w:after="283"/>
              <w:jc w:val="left"/>
              <w:rPr/>
            </w:pPr>
            <w:r>
              <w:rPr/>
              <w:t> </w:t>
            </w:r>
            <w:bookmarkStart w:id="367" w:name="xdx_407_eus-gaap--CapitalizedComputerSof"/>
            <w:bookmarkEnd w:id="367"/>
          </w:p>
        </w:tc>
      </w:tr>
      <w:tr>
        <w:trPr/>
        <w:tc>
          <w:tcPr>
            <w:tcW w:w="5030"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421" w:type="dxa"/>
            <w:tcBorders/>
            <w:shd w:fill="CCEEFF" w:val="clear"/>
            <w:vAlign w:val="center"/>
          </w:tcPr>
          <w:p>
            <w:pPr>
              <w:pStyle w:val="TableContents"/>
              <w:bidi w:val="0"/>
              <w:spacing w:before="0" w:after="283"/>
              <w:jc w:val="right"/>
              <w:rPr/>
            </w:pPr>
            <w:r>
              <w:rPr/>
              <w:t>(1,404,000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(1,268,000</w:t>
            </w:r>
          </w:p>
        </w:tc>
        <w:tc>
          <w:tcPr>
            <w:tcW w:w="110" w:type="dxa"/>
            <w:tcBorders/>
            <w:shd w:fill="CCEEFF" w:val="clear"/>
            <w:vAlign w:val="center"/>
          </w:tcPr>
          <w:p>
            <w:pPr>
              <w:pStyle w:val="TableContents"/>
              <w:bidi w:val="0"/>
              <w:spacing w:before="0" w:after="283"/>
              <w:jc w:val="left"/>
              <w:rPr/>
            </w:pPr>
            <w:r>
              <w:rPr/>
              <w:t>)</w:t>
            </w:r>
            <w:bookmarkStart w:id="368" w:name="xdx_40D_ecustom--CapitalizedComputerSoft"/>
            <w:bookmarkEnd w:id="368"/>
          </w:p>
        </w:tc>
      </w:tr>
      <w:tr>
        <w:trPr/>
        <w:tc>
          <w:tcPr>
            <w:tcW w:w="5030" w:type="dxa"/>
            <w:tcBorders/>
            <w:shd w:fill="FFFFFF" w:val="clear"/>
            <w:vAlign w:val="center"/>
          </w:tcPr>
          <w:p>
            <w:pPr>
              <w:pStyle w:val="TableContents"/>
              <w:bidi w:val="0"/>
              <w:spacing w:before="0" w:after="283"/>
              <w:jc w:val="left"/>
              <w:rPr/>
            </w:pPr>
            <w:r>
              <w:rPr/>
              <w:t>Capitalized internal-use software in process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1" w:type="dxa"/>
            <w:tcBorders>
              <w:bottom w:val="single" w:sz="12" w:space="0" w:color="000000"/>
            </w:tcBorders>
            <w:shd w:fill="FFFFFF" w:val="clear"/>
            <w:tcMar>
              <w:bottom w:w="28" w:type="dxa"/>
            </w:tcMar>
            <w:vAlign w:val="center"/>
          </w:tcPr>
          <w:p>
            <w:pPr>
              <w:pStyle w:val="TableContents"/>
              <w:bidi w:val="0"/>
              <w:spacing w:before="0" w:after="283"/>
              <w:jc w:val="right"/>
              <w:rPr/>
            </w:pPr>
            <w:r>
              <w:rPr/>
              <w:t>484,000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12" w:space="0" w:color="000000"/>
            </w:tcBorders>
            <w:shd w:fill="FFFFFF" w:val="clear"/>
            <w:tcMar>
              <w:bottom w:w="28" w:type="dxa"/>
            </w:tcMar>
            <w:vAlign w:val="center"/>
          </w:tcPr>
          <w:p>
            <w:pPr>
              <w:pStyle w:val="TableContents"/>
              <w:bidi w:val="0"/>
              <w:spacing w:before="0" w:after="283"/>
              <w:jc w:val="right"/>
              <w:rPr/>
            </w:pPr>
            <w:r>
              <w:rPr/>
              <w:t>467,000</w:t>
            </w:r>
          </w:p>
        </w:tc>
        <w:tc>
          <w:tcPr>
            <w:tcW w:w="110" w:type="dxa"/>
            <w:tcBorders/>
            <w:shd w:fill="FFFFFF" w:val="clear"/>
            <w:vAlign w:val="center"/>
          </w:tcPr>
          <w:p>
            <w:pPr>
              <w:pStyle w:val="TableContents"/>
              <w:bidi w:val="0"/>
              <w:spacing w:before="0" w:after="283"/>
              <w:jc w:val="left"/>
              <w:rPr/>
            </w:pPr>
            <w:r>
              <w:rPr/>
              <w:t> </w:t>
            </w:r>
            <w:bookmarkStart w:id="369" w:name="xdx_40E_eus-gaap--CapitalizedComputerSof"/>
            <w:bookmarkEnd w:id="369"/>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capitalized software costs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1" w:type="dxa"/>
            <w:tcBorders>
              <w:bottom w:val="double" w:sz="6" w:space="0" w:color="000000"/>
            </w:tcBorders>
            <w:shd w:fill="CCEEFF" w:val="clear"/>
            <w:tcMar>
              <w:bottom w:w="28" w:type="dxa"/>
            </w:tcMar>
            <w:vAlign w:val="center"/>
          </w:tcPr>
          <w:p>
            <w:pPr>
              <w:pStyle w:val="TableContents"/>
              <w:bidi w:val="0"/>
              <w:spacing w:before="0" w:after="283"/>
              <w:jc w:val="right"/>
              <w:rPr/>
            </w:pPr>
            <w:r>
              <w:rPr/>
              <w:t>2,019,000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pPr>
            <w:r>
              <w:rPr/>
              <w:t>2,138,000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370" w:name="xdx_8A3_z73yGlntgYvl"/>
      <w:bookmarkEnd w:id="370"/>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and 2023, the Company recorded amortization expense related to capitalized software costs of $</w:t>
      </w:r>
      <w:bookmarkStart w:id="371" w:name="xdx_908_eus-gaap--AdjustmentForAmortizat"/>
      <w:bookmarkEnd w:id="371"/>
      <w:r>
        <w:rPr>
          <w:rFonts w:ascii="Times New Roman;Times;Serif" w:hAnsi="Times New Roman;Times;Serif"/>
          <w:b w:val="false"/>
          <w:i w:val="false"/>
          <w:caps w:val="false"/>
          <w:smallCaps w:val="false"/>
          <w:sz w:val="20"/>
        </w:rPr>
        <w:t>136,000 and $</w:t>
      </w:r>
      <w:bookmarkStart w:id="372" w:name="xdx_90E_eus-gaap--AdjustmentForAmortizat"/>
      <w:bookmarkEnd w:id="372"/>
      <w:r>
        <w:rPr>
          <w:rFonts w:ascii="Times New Roman;Times;Serif" w:hAnsi="Times New Roman;Times;Serif"/>
          <w:b w:val="false"/>
          <w:i w:val="false"/>
          <w:caps w:val="false"/>
          <w:smallCaps w:val="false"/>
          <w:sz w:val="20"/>
        </w:rPr>
        <w:t>67,000,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73" w:name="xdx_802_eus-gaap--GoodwillAndIntangibleA"/>
      <w:bookmarkEnd w:id="373"/>
      <w:r>
        <w:rPr>
          <w:rFonts w:ascii="Times New Roman;Times;Serif" w:hAnsi="Times New Roman;Times;Serif"/>
          <w:b/>
          <w:i w:val="false"/>
          <w:caps w:val="false"/>
          <w:smallCaps w:val="false"/>
          <w:sz w:val="20"/>
        </w:rPr>
        <w:t xml:space="preserve">NOTE 9. </w:t>
      </w:r>
      <w:bookmarkStart w:id="374" w:name="xdx_82F_zjb7Vzkewuw9"/>
      <w:bookmarkEnd w:id="374"/>
      <w:r>
        <w:rPr>
          <w:rFonts w:ascii="Times New Roman;Times;Serif" w:hAnsi="Times New Roman;Times;Serif"/>
          <w:b/>
          <w:i w:val="false"/>
          <w:caps w:val="false"/>
          <w:smallCaps w:val="false"/>
          <w:sz w:val="20"/>
        </w:rPr>
        <w:t>INTANGIBLE ASSETS AND GOODWILL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375" w:name="xdx_894_eus-gaap--ScheduleOfIntangibleAs"/>
      <w:bookmarkEnd w:id="375"/>
      <w:r>
        <w:rPr>
          <w:rFonts w:ascii="Times New Roman;Times;Serif" w:hAnsi="Times New Roman;Times;Serif"/>
          <w:b w:val="false"/>
          <w:i w:val="false"/>
          <w:caps w:val="false"/>
          <w:smallCaps w:val="false"/>
          <w:sz w:val="20"/>
        </w:rPr>
        <w:t>The Company’s intangible assets at March 31, 2024 consisted of the following:</w:t>
      </w:r>
    </w:p>
    <w:p>
      <w:pPr>
        <w:pStyle w:val="TextBody"/>
        <w:bidi w:val="0"/>
        <w:spacing w:before="0" w:after="0"/>
        <w:jc w:val="left"/>
        <w:rPr>
          <w:caps w:val="false"/>
          <w:smallCaps w:val="false"/>
        </w:rPr>
      </w:pPr>
      <w:r>
        <w:rPr>
          <w:caps w:val="false"/>
          <w:smallCaps w:val="false"/>
        </w:rPr>
        <w:t> </w:t>
      </w:r>
      <w:bookmarkStart w:id="376" w:name="xdx_8BF_zcgaC3uRBNYf"/>
      <w:bookmarkEnd w:id="376"/>
      <w:r>
        <w:rPr>
          <w:rFonts w:ascii="Times New Roman;Times;Serif" w:hAnsi="Times New Roman;Times;Serif"/>
          <w:b w:val="false"/>
          <w:i w:val="false"/>
          <w:caps w:val="false"/>
          <w:smallCaps w:val="false"/>
          <w:sz w:val="20"/>
        </w:rPr>
        <w:t>SCHEDULE OF INTANGIBLE ASSETS</w:t>
      </w:r>
    </w:p>
    <w:tbl>
      <w:tblPr>
        <w:tblW w:w="10205" w:type="dxa"/>
        <w:jc w:val="left"/>
        <w:tblInd w:w="0" w:type="dxa"/>
        <w:tblLayout w:type="fixed"/>
        <w:tblCellMar>
          <w:top w:w="0" w:type="dxa"/>
          <w:left w:w="0" w:type="dxa"/>
          <w:bottom w:w="0" w:type="dxa"/>
          <w:right w:w="0" w:type="dxa"/>
        </w:tblCellMar>
      </w:tblPr>
      <w:tblGrid>
        <w:gridCol w:w="3510"/>
        <w:gridCol w:w="60"/>
        <w:gridCol w:w="1194"/>
        <w:gridCol w:w="60"/>
        <w:gridCol w:w="140"/>
        <w:gridCol w:w="1220"/>
        <w:gridCol w:w="60"/>
        <w:gridCol w:w="60"/>
        <w:gridCol w:w="140"/>
        <w:gridCol w:w="1175"/>
        <w:gridCol w:w="95"/>
        <w:gridCol w:w="60"/>
        <w:gridCol w:w="146"/>
        <w:gridCol w:w="729"/>
        <w:gridCol w:w="60"/>
        <w:gridCol w:w="60"/>
        <w:gridCol w:w="140"/>
        <w:gridCol w:w="1220"/>
        <w:gridCol w:w="76"/>
      </w:tblGrid>
      <w:tr>
        <w:trPr/>
        <w:tc>
          <w:tcPr>
            <w:tcW w:w="3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4"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76" w:type="dxa"/>
            <w:tcBorders/>
            <w:vAlign w:val="center"/>
          </w:tcPr>
          <w:p>
            <w:pPr>
              <w:pStyle w:val="TableContents"/>
              <w:bidi w:val="0"/>
              <w:spacing w:before="0" w:after="283"/>
              <w:jc w:val="left"/>
              <w:rPr/>
            </w:pPr>
            <w:r>
              <w:rPr/>
              <w:t> </w:t>
            </w:r>
          </w:p>
        </w:tc>
      </w:tr>
      <w:tr>
        <w:trPr/>
        <w:tc>
          <w:tcPr>
            <w:tcW w:w="351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center"/>
              <w:rPr>
                <w:rFonts w:ascii="Times New Roman;Times;Serif" w:hAnsi="Times New Roman;Times;Serif"/>
                <w:sz w:val="20"/>
              </w:rPr>
            </w:pPr>
            <w:bookmarkStart w:id="377" w:name="xdx_907_eus-gaap--FiniteLivedIntangibleA"/>
            <w:bookmarkEnd w:id="377"/>
            <w:r>
              <w:rPr>
                <w:rFonts w:ascii="Times New Roman;Times;Serif" w:hAnsi="Times New Roman;Times;Serif"/>
                <w:sz w:val="20"/>
              </w:rPr>
              <w:t>7-</w:t>
            </w:r>
            <w:bookmarkStart w:id="378" w:name="xdx_90B_eus-gaap--FiniteLivedIntangibleA"/>
            <w:bookmarkEnd w:id="378"/>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79" w:name="xdx_988_eus-gaap--FiniteLivedIntangibleA"/>
            <w:bookmarkEnd w:id="379"/>
          </w:p>
        </w:tc>
        <w:tc>
          <w:tcPr>
            <w:tcW w:w="1220" w:type="dxa"/>
            <w:tcBorders/>
            <w:shd w:fill="CCEEFF" w:val="clear"/>
            <w:vAlign w:val="center"/>
          </w:tcPr>
          <w:p>
            <w:pPr>
              <w:pStyle w:val="TableContents"/>
              <w:bidi w:val="0"/>
              <w:spacing w:before="0" w:after="283"/>
              <w:jc w:val="right"/>
              <w:rPr/>
            </w:pPr>
            <w:r>
              <w:rPr/>
              <w:t>610,000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80" w:name="xdx_987_eus-gaap--FiniteLivedIntangibleA"/>
            <w:bookmarkEnd w:id="380"/>
          </w:p>
        </w:tc>
        <w:tc>
          <w:tcPr>
            <w:tcW w:w="1175" w:type="dxa"/>
            <w:tcBorders/>
            <w:shd w:fill="CCEEFF" w:val="clear"/>
            <w:vAlign w:val="center"/>
          </w:tcPr>
          <w:p>
            <w:pPr>
              <w:pStyle w:val="TableContents"/>
              <w:bidi w:val="0"/>
              <w:spacing w:before="0" w:after="283"/>
              <w:jc w:val="right"/>
              <w:rPr/>
            </w:pPr>
            <w:r>
              <w:rPr/>
              <w:t>(169,000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381" w:name="xdx_980_eus-gaap--DisposalGroupIncluding"/>
            <w:bookmarkEnd w:id="381"/>
          </w:p>
        </w:tc>
        <w:tc>
          <w:tcPr>
            <w:tcW w:w="7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82" w:name="xdx_983_eus-gaap--IntangibleAssetsNetExc"/>
            <w:bookmarkEnd w:id="382"/>
          </w:p>
        </w:tc>
        <w:tc>
          <w:tcPr>
            <w:tcW w:w="1220" w:type="dxa"/>
            <w:tcBorders/>
            <w:shd w:fill="CCEEFF" w:val="clear"/>
            <w:vAlign w:val="center"/>
          </w:tcPr>
          <w:p>
            <w:pPr>
              <w:pStyle w:val="TableContents"/>
              <w:bidi w:val="0"/>
              <w:spacing w:before="0" w:after="283"/>
              <w:jc w:val="right"/>
              <w:rPr/>
            </w:pPr>
            <w:r>
              <w:rPr/>
              <w:t>441,000</w:t>
            </w:r>
          </w:p>
        </w:tc>
        <w:tc>
          <w:tcPr>
            <w:tcW w:w="76" w:type="dxa"/>
            <w:tcBorders/>
            <w:shd w:fill="CCEEFF" w:val="clear"/>
            <w:vAlign w:val="center"/>
          </w:tcPr>
          <w:p>
            <w:pPr>
              <w:pStyle w:val="TableContents"/>
              <w:bidi w:val="0"/>
              <w:spacing w:before="0" w:after="283"/>
              <w:jc w:val="left"/>
              <w:rPr/>
            </w:pPr>
            <w:r>
              <w:rPr/>
              <w:t> </w:t>
            </w:r>
          </w:p>
        </w:tc>
      </w:tr>
      <w:tr>
        <w:trPr/>
        <w:tc>
          <w:tcPr>
            <w:tcW w:w="3510"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center"/>
              <w:rPr>
                <w:rFonts w:ascii="Times New Roman;Times;Serif" w:hAnsi="Times New Roman;Times;Serif"/>
                <w:sz w:val="20"/>
              </w:rPr>
            </w:pPr>
            <w:bookmarkStart w:id="383" w:name="xdx_90F_eus-gaap--FiniteLivedIntangibleA"/>
            <w:bookmarkEnd w:id="383"/>
            <w:r>
              <w:rPr>
                <w:rFonts w:ascii="Times New Roman;Times;Serif" w:hAnsi="Times New Roman;Times;Serif"/>
                <w:sz w:val="20"/>
              </w:rPr>
              <w:t>7-</w:t>
            </w:r>
            <w:bookmarkStart w:id="384" w:name="xdx_90B_eus-gaap--FiniteLivedIntangibleA"/>
            <w:bookmarkEnd w:id="384"/>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5" w:name="xdx_983_eus-gaap--FiniteLivedIntangibleA"/>
            <w:bookmarkEnd w:id="385"/>
          </w:p>
        </w:tc>
        <w:tc>
          <w:tcPr>
            <w:tcW w:w="1220"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6" w:name="xdx_98B_eus-gaap--FiniteLivedIntangibleA"/>
            <w:bookmarkEnd w:id="386"/>
          </w:p>
        </w:tc>
        <w:tc>
          <w:tcPr>
            <w:tcW w:w="1175"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387" w:name="xdx_98A_eus-gaap--DisposalGroupIncluding"/>
            <w:bookmarkEnd w:id="387"/>
          </w:p>
        </w:tc>
        <w:tc>
          <w:tcPr>
            <w:tcW w:w="7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8" w:name="xdx_98D_eus-gaap--IntangibleAssetsNetExc"/>
            <w:bookmarkEnd w:id="388"/>
          </w:p>
        </w:tc>
        <w:tc>
          <w:tcPr>
            <w:tcW w:w="1220" w:type="dxa"/>
            <w:tcBorders/>
            <w:shd w:fill="FFFFFF" w:val="clear"/>
            <w:vAlign w:val="center"/>
          </w:tcPr>
          <w:p>
            <w:pPr>
              <w:pStyle w:val="TableContents"/>
              <w:bidi w:val="0"/>
              <w:spacing w:before="0" w:after="283"/>
              <w:jc w:val="right"/>
              <w:rPr/>
            </w:pPr>
            <w:r>
              <w:rPr/>
              <w:t>48,000</w:t>
            </w:r>
          </w:p>
        </w:tc>
        <w:tc>
          <w:tcPr>
            <w:tcW w:w="76" w:type="dxa"/>
            <w:tcBorders/>
            <w:shd w:fill="FFFFFF" w:val="clear"/>
            <w:vAlign w:val="center"/>
          </w:tcPr>
          <w:p>
            <w:pPr>
              <w:pStyle w:val="TableContents"/>
              <w:bidi w:val="0"/>
              <w:spacing w:before="0" w:after="283"/>
              <w:jc w:val="left"/>
              <w:rPr/>
            </w:pPr>
            <w:r>
              <w:rPr/>
              <w:t> </w:t>
            </w:r>
          </w:p>
        </w:tc>
      </w:tr>
      <w:tr>
        <w:trPr/>
        <w:tc>
          <w:tcPr>
            <w:tcW w:w="3510" w:type="dxa"/>
            <w:tcBorders/>
            <w:shd w:fill="CCEEFF" w:val="clear"/>
            <w:vAlign w:val="center"/>
          </w:tcPr>
          <w:p>
            <w:pPr>
              <w:pStyle w:val="TableContents"/>
              <w:bidi w:val="0"/>
              <w:spacing w:before="0" w:after="283"/>
              <w:jc w:val="left"/>
              <w:rPr/>
            </w:pPr>
            <w:r>
              <w:rPr/>
              <w:t>Trademarks</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center"/>
              <w:rPr>
                <w:rFonts w:ascii="Times New Roman;Times;Serif" w:hAnsi="Times New Roman;Times;Serif"/>
                <w:sz w:val="20"/>
              </w:rPr>
            </w:pPr>
            <w:bookmarkStart w:id="389" w:name="xdx_907_eus-gaap--FiniteLivedIntangibleA"/>
            <w:bookmarkEnd w:id="389"/>
            <w:r>
              <w:rPr>
                <w:rFonts w:ascii="Times New Roman;Times;Serif" w:hAnsi="Times New Roman;Times;Serif"/>
                <w:sz w:val="20"/>
              </w:rPr>
              <w:t>Indefinite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90" w:name="xdx_989_eus-gaap--FiniteLivedIntangibleA"/>
            <w:bookmarkEnd w:id="390"/>
          </w:p>
        </w:tc>
        <w:tc>
          <w:tcPr>
            <w:tcW w:w="1220" w:type="dxa"/>
            <w:tcBorders/>
            <w:shd w:fill="CCEEFF" w:val="clear"/>
            <w:vAlign w:val="center"/>
          </w:tcPr>
          <w:p>
            <w:pPr>
              <w:pStyle w:val="TableContents"/>
              <w:bidi w:val="0"/>
              <w:spacing w:before="0" w:after="283"/>
              <w:jc w:val="right"/>
              <w:rPr/>
            </w:pPr>
            <w:r>
              <w:rPr/>
              <w:t>217,000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91" w:name="xdx_983_eus-gaap--FiniteLivedIntangibleA"/>
            <w:bookmarkEnd w:id="391"/>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392" w:name="xdx_98A_eus-gaap--DisposalGroupIncluding"/>
            <w:bookmarkEnd w:id="392"/>
          </w:p>
        </w:tc>
        <w:tc>
          <w:tcPr>
            <w:tcW w:w="72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93" w:name="xdx_98C_eus-gaap--IntangibleAssetsNetExc"/>
            <w:bookmarkEnd w:id="393"/>
          </w:p>
        </w:tc>
        <w:tc>
          <w:tcPr>
            <w:tcW w:w="1220" w:type="dxa"/>
            <w:tcBorders/>
            <w:shd w:fill="CCEEFF" w:val="clear"/>
            <w:vAlign w:val="center"/>
          </w:tcPr>
          <w:p>
            <w:pPr>
              <w:pStyle w:val="TableContents"/>
              <w:bidi w:val="0"/>
              <w:spacing w:before="0" w:after="283"/>
              <w:jc w:val="right"/>
              <w:rPr/>
            </w:pPr>
            <w:r>
              <w:rPr/>
              <w:t>217,000</w:t>
            </w:r>
          </w:p>
        </w:tc>
        <w:tc>
          <w:tcPr>
            <w:tcW w:w="76" w:type="dxa"/>
            <w:tcBorders/>
            <w:shd w:fill="CCEEFF" w:val="clear"/>
            <w:vAlign w:val="center"/>
          </w:tcPr>
          <w:p>
            <w:pPr>
              <w:pStyle w:val="TableContents"/>
              <w:bidi w:val="0"/>
              <w:spacing w:before="0" w:after="283"/>
              <w:jc w:val="left"/>
              <w:rPr/>
            </w:pPr>
            <w:r>
              <w:rPr/>
              <w:t> </w:t>
            </w:r>
          </w:p>
        </w:tc>
      </w:tr>
      <w:tr>
        <w:trPr/>
        <w:tc>
          <w:tcPr>
            <w:tcW w:w="3510" w:type="dxa"/>
            <w:tcBorders/>
            <w:shd w:fill="FFFFFF" w:val="clear"/>
            <w:vAlign w:val="center"/>
          </w:tcPr>
          <w:p>
            <w:pPr>
              <w:pStyle w:val="TableContents"/>
              <w:bidi w:val="0"/>
              <w:spacing w:before="0" w:after="283"/>
              <w:jc w:val="left"/>
              <w:rPr/>
            </w:pPr>
            <w:r>
              <w:rPr/>
              <w:t>Acquired new drug applications (“NDAs”)</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center"/>
              <w:rPr>
                <w:rFonts w:ascii="Times New Roman;Times;Serif" w:hAnsi="Times New Roman;Times;Serif"/>
                <w:sz w:val="20"/>
              </w:rPr>
            </w:pPr>
            <w:bookmarkStart w:id="394" w:name="xdx_90C_eus-gaap--FiniteLivedIntangibleA"/>
            <w:bookmarkEnd w:id="394"/>
            <w:r>
              <w:rPr>
                <w:rFonts w:ascii="Times New Roman;Times;Serif" w:hAnsi="Times New Roman;Times;Serif"/>
                <w:sz w:val="20"/>
              </w:rPr>
              <w:t>4-</w:t>
            </w:r>
            <w:bookmarkStart w:id="395" w:name="xdx_904_eus-gaap--FiniteLivedIntangibleA"/>
            <w:bookmarkEnd w:id="395"/>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6" w:name="xdx_98E_eus-gaap--FiniteLivedIntangibleA"/>
            <w:bookmarkEnd w:id="396"/>
          </w:p>
        </w:tc>
        <w:tc>
          <w:tcPr>
            <w:tcW w:w="1220" w:type="dxa"/>
            <w:tcBorders/>
            <w:shd w:fill="FFFFFF" w:val="clear"/>
            <w:vAlign w:val="center"/>
          </w:tcPr>
          <w:p>
            <w:pPr>
              <w:pStyle w:val="TableContents"/>
              <w:bidi w:val="0"/>
              <w:spacing w:before="0" w:after="283"/>
              <w:jc w:val="right"/>
              <w:rPr/>
            </w:pPr>
            <w:r>
              <w:rPr/>
              <w:t>170,353,000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7" w:name="xdx_980_eus-gaap--FiniteLivedIntangibleA"/>
            <w:bookmarkEnd w:id="397"/>
          </w:p>
        </w:tc>
        <w:tc>
          <w:tcPr>
            <w:tcW w:w="1175" w:type="dxa"/>
            <w:tcBorders/>
            <w:shd w:fill="FFFFFF" w:val="clear"/>
            <w:vAlign w:val="center"/>
          </w:tcPr>
          <w:p>
            <w:pPr>
              <w:pStyle w:val="TableContents"/>
              <w:bidi w:val="0"/>
              <w:spacing w:before="0" w:after="283"/>
              <w:jc w:val="right"/>
              <w:rPr/>
            </w:pPr>
            <w:r>
              <w:rPr/>
              <w:t>(13,830,000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398" w:name="xdx_986_eus-gaap--DisposalGroupIncluding"/>
            <w:bookmarkEnd w:id="398"/>
          </w:p>
        </w:tc>
        <w:tc>
          <w:tcPr>
            <w:tcW w:w="7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99" w:name="xdx_987_eus-gaap--IntangibleAssetsNetExc"/>
            <w:bookmarkEnd w:id="399"/>
          </w:p>
        </w:tc>
        <w:tc>
          <w:tcPr>
            <w:tcW w:w="1220" w:type="dxa"/>
            <w:tcBorders/>
            <w:shd w:fill="FFFFFF" w:val="clear"/>
            <w:vAlign w:val="center"/>
          </w:tcPr>
          <w:p>
            <w:pPr>
              <w:pStyle w:val="TableContents"/>
              <w:bidi w:val="0"/>
              <w:spacing w:before="0" w:after="283"/>
              <w:jc w:val="right"/>
              <w:rPr/>
            </w:pPr>
            <w:r>
              <w:rPr/>
              <w:t>156,523,000</w:t>
            </w:r>
          </w:p>
        </w:tc>
        <w:tc>
          <w:tcPr>
            <w:tcW w:w="76" w:type="dxa"/>
            <w:tcBorders/>
            <w:shd w:fill="FFFFFF" w:val="clear"/>
            <w:vAlign w:val="center"/>
          </w:tcPr>
          <w:p>
            <w:pPr>
              <w:pStyle w:val="TableContents"/>
              <w:bidi w:val="0"/>
              <w:spacing w:before="0" w:after="283"/>
              <w:jc w:val="left"/>
              <w:rPr/>
            </w:pPr>
            <w:r>
              <w:rPr/>
              <w:t> </w:t>
            </w:r>
          </w:p>
        </w:tc>
      </w:tr>
      <w:tr>
        <w:trPr/>
        <w:tc>
          <w:tcPr>
            <w:tcW w:w="351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center"/>
              <w:rPr>
                <w:rFonts w:ascii="Times New Roman;Times;Serif" w:hAnsi="Times New Roman;Times;Serif"/>
                <w:sz w:val="20"/>
              </w:rPr>
            </w:pPr>
            <w:bookmarkStart w:id="400" w:name="xdx_903_eus-gaap--FiniteLivedIntangibleA"/>
            <w:bookmarkEnd w:id="400"/>
            <w:r>
              <w:rPr>
                <w:rFonts w:ascii="Times New Roman;Times;Serif" w:hAnsi="Times New Roman;Times;Serif"/>
                <w:sz w:val="20"/>
              </w:rPr>
              <w:t>3-</w:t>
            </w:r>
            <w:bookmarkStart w:id="401" w:name="xdx_90E_eus-gaap--FiniteLivedIntangibleA"/>
            <w:bookmarkEnd w:id="401"/>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2" w:name="xdx_98E_eus-gaap--FiniteLivedIntangibleA"/>
            <w:bookmarkEnd w:id="402"/>
          </w:p>
        </w:tc>
        <w:tc>
          <w:tcPr>
            <w:tcW w:w="1220" w:type="dxa"/>
            <w:tcBorders/>
            <w:shd w:fill="CCEEFF" w:val="clear"/>
            <w:vAlign w:val="center"/>
          </w:tcPr>
          <w:p>
            <w:pPr>
              <w:pStyle w:val="TableContents"/>
              <w:bidi w:val="0"/>
              <w:spacing w:before="0" w:after="283"/>
              <w:jc w:val="right"/>
              <w:rPr/>
            </w:pPr>
            <w:r>
              <w:rPr/>
              <w:t>596,000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3" w:name="xdx_985_eus-gaap--FiniteLivedIntangibleA"/>
            <w:bookmarkEnd w:id="403"/>
          </w:p>
        </w:tc>
        <w:tc>
          <w:tcPr>
            <w:tcW w:w="1175" w:type="dxa"/>
            <w:tcBorders/>
            <w:shd w:fill="CCEEFF" w:val="clear"/>
            <w:vAlign w:val="center"/>
          </w:tcPr>
          <w:p>
            <w:pPr>
              <w:pStyle w:val="TableContents"/>
              <w:bidi w:val="0"/>
              <w:spacing w:before="0" w:after="283"/>
              <w:jc w:val="right"/>
              <w:rPr/>
            </w:pPr>
            <w:r>
              <w:rPr/>
              <w:t>(526,000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404" w:name="xdx_98C_eus-gaap--DisposalGroupIncluding"/>
            <w:bookmarkEnd w:id="404"/>
          </w:p>
        </w:tc>
        <w:tc>
          <w:tcPr>
            <w:tcW w:w="7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05" w:name="xdx_98E_eus-gaap--IntangibleAssetsNetExc"/>
            <w:bookmarkEnd w:id="405"/>
          </w:p>
        </w:tc>
        <w:tc>
          <w:tcPr>
            <w:tcW w:w="1220" w:type="dxa"/>
            <w:tcBorders/>
            <w:shd w:fill="CCEEFF" w:val="clear"/>
            <w:vAlign w:val="center"/>
          </w:tcPr>
          <w:p>
            <w:pPr>
              <w:pStyle w:val="TableContents"/>
              <w:bidi w:val="0"/>
              <w:spacing w:before="0" w:after="283"/>
              <w:jc w:val="right"/>
              <w:rPr/>
            </w:pPr>
            <w:r>
              <w:rPr/>
              <w:t>70,000</w:t>
            </w:r>
          </w:p>
        </w:tc>
        <w:tc>
          <w:tcPr>
            <w:tcW w:w="76" w:type="dxa"/>
            <w:tcBorders/>
            <w:shd w:fill="CCEEFF" w:val="clear"/>
            <w:vAlign w:val="center"/>
          </w:tcPr>
          <w:p>
            <w:pPr>
              <w:pStyle w:val="TableContents"/>
              <w:bidi w:val="0"/>
              <w:spacing w:before="0" w:after="283"/>
              <w:jc w:val="left"/>
              <w:rPr/>
            </w:pPr>
            <w:r>
              <w:rPr/>
              <w:t> </w:t>
            </w:r>
          </w:p>
        </w:tc>
      </w:tr>
      <w:tr>
        <w:trPr/>
        <w:tc>
          <w:tcPr>
            <w:tcW w:w="3510"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center"/>
              <w:rPr/>
            </w:pPr>
            <w:bookmarkStart w:id="406" w:name="xdx_90E_eus-gaap--FiniteLivedIntangibleA"/>
            <w:bookmarkEnd w:id="406"/>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7" w:name="xdx_98B_eus-gaap--FiniteLivedIntangibleA"/>
            <w:bookmarkEnd w:id="407"/>
          </w:p>
        </w:tc>
        <w:tc>
          <w:tcPr>
            <w:tcW w:w="1220"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8" w:name="xdx_98A_eus-gaap--FiniteLivedIntangibleA"/>
            <w:bookmarkEnd w:id="408"/>
          </w:p>
        </w:tc>
        <w:tc>
          <w:tcPr>
            <w:tcW w:w="1175" w:type="dxa"/>
            <w:tcBorders/>
            <w:shd w:fill="FFFFFF" w:val="cle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409" w:name="xdx_984_eus-gaap--DisposalGroupIncluding"/>
            <w:bookmarkEnd w:id="409"/>
          </w:p>
        </w:tc>
        <w:tc>
          <w:tcPr>
            <w:tcW w:w="7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0" w:name="xdx_98A_eus-gaap--IntangibleAssetsNetExc"/>
            <w:bookmarkEnd w:id="410"/>
          </w:p>
        </w:tc>
        <w:tc>
          <w:tcPr>
            <w:tcW w:w="1220" w:type="dxa"/>
            <w:tcBorders/>
            <w:shd w:fill="FFFFFF" w:val="clear"/>
            <w:vAlign w:val="center"/>
          </w:tcPr>
          <w:p>
            <w:pPr>
              <w:pStyle w:val="TableContents"/>
              <w:bidi w:val="0"/>
              <w:spacing w:before="0" w:after="283"/>
              <w:jc w:val="right"/>
              <w:rPr/>
            </w:pPr>
            <w:r>
              <w:rPr/>
              <w:t>70,000</w:t>
            </w:r>
          </w:p>
        </w:tc>
        <w:tc>
          <w:tcPr>
            <w:tcW w:w="76" w:type="dxa"/>
            <w:tcBorders/>
            <w:shd w:fill="FFFFFF" w:val="clear"/>
            <w:vAlign w:val="center"/>
          </w:tcPr>
          <w:p>
            <w:pPr>
              <w:pStyle w:val="TableContents"/>
              <w:bidi w:val="0"/>
              <w:spacing w:before="0" w:after="283"/>
              <w:jc w:val="left"/>
              <w:rPr/>
            </w:pPr>
            <w:r>
              <w:rPr/>
              <w:t> </w:t>
            </w:r>
          </w:p>
        </w:tc>
      </w:tr>
      <w:tr>
        <w:trPr/>
        <w:tc>
          <w:tcPr>
            <w:tcW w:w="3510" w:type="dxa"/>
            <w:tcBorders/>
            <w:shd w:fill="CCEEFF" w:val="clear"/>
            <w:vAlign w:val="center"/>
          </w:tcPr>
          <w:p>
            <w:pPr>
              <w:pStyle w:val="TableContents"/>
              <w:bidi w:val="0"/>
              <w:spacing w:before="0" w:after="283"/>
              <w:jc w:val="left"/>
              <w:rPr/>
            </w:pPr>
            <w:r>
              <w:rPr/>
              <w:t>Non-competition clause</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center"/>
              <w:rPr>
                <w:rFonts w:ascii="Times New Roman;Times;Serif" w:hAnsi="Times New Roman;Times;Serif"/>
                <w:sz w:val="20"/>
              </w:rPr>
            </w:pPr>
            <w:bookmarkStart w:id="411" w:name="xdx_906_eus-gaap--FiniteLivedIntangibleA"/>
            <w:bookmarkEnd w:id="411"/>
            <w:r>
              <w:rPr>
                <w:rFonts w:ascii="Times New Roman;Times;Serif" w:hAnsi="Times New Roman;Times;Serif"/>
                <w:sz w:val="20"/>
              </w:rPr>
              <w:t>3-</w:t>
            </w:r>
            <w:bookmarkStart w:id="412" w:name="xdx_90A_eus-gaap--FiniteLivedIntangibleA"/>
            <w:bookmarkEnd w:id="412"/>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3" w:name="xdx_98C_eus-gaap--FiniteLivedIntangibleA"/>
            <w:bookmarkEnd w:id="413"/>
          </w:p>
        </w:tc>
        <w:tc>
          <w:tcPr>
            <w:tcW w:w="122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4" w:name="xdx_984_eus-gaap--FiniteLivedIntangibleA"/>
            <w:bookmarkEnd w:id="414"/>
          </w:p>
        </w:tc>
        <w:tc>
          <w:tcPr>
            <w:tcW w:w="1175" w:type="dxa"/>
            <w:tcBorders/>
            <w:shd w:fill="CCEEFF" w:val="clear"/>
            <w:vAlign w:val="center"/>
          </w:tcPr>
          <w:p>
            <w:pPr>
              <w:pStyle w:val="TableContents"/>
              <w:bidi w:val="0"/>
              <w:spacing w:before="0" w:after="283"/>
              <w:jc w:val="right"/>
              <w:rPr/>
            </w:pPr>
            <w:r>
              <w:rPr/>
              <w:t>(50,000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415" w:name="xdx_982_eus-gaap--DisposalGroupIncluding"/>
            <w:bookmarkEnd w:id="415"/>
          </w:p>
        </w:tc>
        <w:tc>
          <w:tcPr>
            <w:tcW w:w="7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6" w:name="xdx_98B_eus-gaap--IntangibleAssetsNetExc"/>
            <w:bookmarkEnd w:id="416"/>
          </w:p>
        </w:tc>
        <w:tc>
          <w:tcPr>
            <w:tcW w:w="1220"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3510" w:type="dxa"/>
            <w:tcBorders/>
            <w:shd w:fill="FFFFFF" w:val="clear"/>
            <w:vAlign w:val="center"/>
          </w:tcPr>
          <w:p>
            <w:pPr>
              <w:pStyle w:val="TableContents"/>
              <w:bidi w:val="0"/>
              <w:spacing w:before="0" w:after="283"/>
              <w:jc w:val="left"/>
              <w:rPr/>
            </w:pPr>
            <w:r>
              <w:rPr/>
              <w:t>State pharmacy licenses</w:t>
            </w:r>
          </w:p>
        </w:tc>
        <w:tc>
          <w:tcPr>
            <w:tcW w:w="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center"/>
              <w:rPr/>
            </w:pPr>
            <w:bookmarkStart w:id="417" w:name="xdx_90F_eus-gaap--FiniteLivedIntangibleA"/>
            <w:bookmarkEnd w:id="417"/>
            <w:r>
              <w:rPr/>
              <w:t>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18" w:name="xdx_98C_eus-gaap--FiniteLivedIntangibleA"/>
            <w:bookmarkEnd w:id="418"/>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19" w:name="xdx_987_eus-gaap--FiniteLivedIntangibleA"/>
            <w:bookmarkEnd w:id="419"/>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20" w:name="xdx_98C_eus-gaap--DisposalGroupIncluding"/>
            <w:bookmarkEnd w:id="420"/>
          </w:p>
        </w:tc>
        <w:tc>
          <w:tcPr>
            <w:tcW w:w="7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21" w:name="xdx_986_eus-gaap--IntangibleAssetsNetExc"/>
            <w:bookmarkEnd w:id="421"/>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1,000</w:t>
            </w:r>
          </w:p>
        </w:tc>
        <w:tc>
          <w:tcPr>
            <w:tcW w:w="76" w:type="dxa"/>
            <w:tcBorders/>
            <w:shd w:fill="FFFFFF" w:val="clear"/>
            <w:vAlign w:val="center"/>
          </w:tcPr>
          <w:p>
            <w:pPr>
              <w:pStyle w:val="TableContents"/>
              <w:bidi w:val="0"/>
              <w:spacing w:before="0" w:after="283"/>
              <w:jc w:val="left"/>
              <w:rPr/>
            </w:pPr>
            <w:r>
              <w:rPr/>
              <w:t> </w:t>
            </w:r>
          </w:p>
        </w:tc>
      </w:tr>
      <w:tr>
        <w:trPr/>
        <w:tc>
          <w:tcPr>
            <w:tcW w:w="35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22" w:name="xdx_983_eus-gaap--FiniteLivedIntangibleA"/>
            <w:bookmarkEnd w:id="422"/>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171,959,000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23" w:name="xdx_986_eus-gaap--FiniteLivedIntangibleA"/>
            <w:bookmarkEnd w:id="423"/>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(14,589,000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24" w:name="xdx_981_eus-gaap--DisposalGroupIncluding"/>
            <w:bookmarkEnd w:id="424"/>
          </w:p>
        </w:tc>
        <w:tc>
          <w:tcPr>
            <w:tcW w:w="7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25" w:name="xdx_982_eus-gaap--IntangibleAssetsNetExc"/>
            <w:bookmarkEnd w:id="425"/>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157,370,000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26" w:name="xdx_8A4_zzkNx0NM89cc"/>
      <w:bookmarkEnd w:id="42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27" w:name="xdx_89D_eus-gaap--FiniteLivedIntangibleA"/>
      <w:bookmarkEnd w:id="427"/>
      <w:r>
        <w:rPr>
          <w:rFonts w:ascii="Times New Roman;Times;Serif" w:hAnsi="Times New Roman;Times;Serif"/>
          <w:b w:val="false"/>
          <w:i w:val="false"/>
          <w:caps w:val="false"/>
          <w:smallCaps w:val="false"/>
          <w:sz w:val="20"/>
        </w:rPr>
        <w:t>Amortization expense for intangible assets for the three months ended March 31, 2024 and 2023 was as follows:</w:t>
      </w:r>
    </w:p>
    <w:p>
      <w:pPr>
        <w:pStyle w:val="TextBody"/>
        <w:bidi w:val="0"/>
        <w:spacing w:before="0" w:after="0"/>
        <w:jc w:val="both"/>
        <w:rPr>
          <w:caps w:val="false"/>
          <w:smallCaps w:val="false"/>
        </w:rPr>
      </w:pPr>
      <w:r>
        <w:rPr>
          <w:caps w:val="false"/>
          <w:smallCaps w:val="false"/>
        </w:rPr>
        <w:t> </w:t>
      </w:r>
      <w:bookmarkStart w:id="428" w:name="xdx_8B3_zOLky0Gxffie"/>
      <w:bookmarkEnd w:id="428"/>
      <w:r>
        <w:rPr>
          <w:rFonts w:ascii="Times New Roman;Times;Serif" w:hAnsi="Times New Roman;Times;Serif"/>
          <w:b w:val="false"/>
          <w:i w:val="false"/>
          <w:caps w:val="false"/>
          <w:smallCaps w:val="false"/>
          <w:sz w:val="20"/>
        </w:rPr>
        <w:t>SCHEDULE OF AMORTIZATION EXPENSES FOR INTANGIBLE ASSETS</w:t>
      </w:r>
    </w:p>
    <w:tbl>
      <w:tblPr>
        <w:tblW w:w="5619" w:type="dxa"/>
        <w:jc w:val="left"/>
        <w:tblInd w:w="0" w:type="dxa"/>
        <w:tblLayout w:type="fixed"/>
        <w:tblCellMar>
          <w:top w:w="0" w:type="dxa"/>
          <w:left w:w="0" w:type="dxa"/>
          <w:bottom w:w="0" w:type="dxa"/>
          <w:right w:w="0" w:type="dxa"/>
        </w:tblCellMar>
      </w:tblPr>
      <w:tblGrid>
        <w:gridCol w:w="2720"/>
        <w:gridCol w:w="60"/>
        <w:gridCol w:w="164"/>
        <w:gridCol w:w="1148"/>
        <w:gridCol w:w="70"/>
        <w:gridCol w:w="70"/>
        <w:gridCol w:w="164"/>
        <w:gridCol w:w="1148"/>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9" w:name="xdx_499_20240101__20240331_zkZSbf5dWHg8"/>
            <w:bookmarkEnd w:id="429"/>
          </w:p>
        </w:tc>
        <w:tc>
          <w:tcPr>
            <w:tcW w:w="1312"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430" w:name="xdx_493_20230101__20230331_zVGGXbPJxf3i"/>
            <w:bookmarkEnd w:id="430"/>
          </w:p>
        </w:tc>
        <w:tc>
          <w:tcPr>
            <w:tcW w:w="1312"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6"/>
            <w:tcBorders/>
            <w:vAlign w:val="center"/>
          </w:tcPr>
          <w:p>
            <w:pPr>
              <w:pStyle w:val="TableContents"/>
              <w:bidi w:val="0"/>
              <w:spacing w:before="0" w:after="283"/>
              <w:jc w:val="center"/>
              <w:rPr/>
            </w:pPr>
            <w:r>
              <w:rPr/>
              <w:t>For the Three Months Ended</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6"/>
            <w:tcBorders>
              <w:bottom w:val="single" w:sz="12" w:space="0" w:color="000000"/>
            </w:tcBorders>
            <w:tcMar>
              <w:bottom w:w="28" w:type="dxa"/>
            </w:tcMar>
            <w:vAlign w:val="center"/>
          </w:tcPr>
          <w:p>
            <w:pPr>
              <w:pStyle w:val="TableContents"/>
              <w:bidi w:val="0"/>
              <w:spacing w:before="0" w:after="283"/>
              <w:jc w:val="center"/>
              <w:rPr/>
            </w:pPr>
            <w:r>
              <w:rPr/>
              <w:t>March 31,</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12"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bookmarkStart w:id="431" w:name="xdx_401_eus-gaap--AmortizationOfIntangib"/>
            <w:bookmarkEnd w:id="431"/>
          </w:p>
        </w:tc>
      </w:tr>
      <w:tr>
        <w:trPr/>
        <w:tc>
          <w:tcPr>
            <w:tcW w:w="272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14,000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22,000</w:t>
            </w:r>
          </w:p>
        </w:tc>
        <w:tc>
          <w:tcPr>
            <w:tcW w:w="75" w:type="dxa"/>
            <w:tcBorders/>
            <w:shd w:fill="CCEEFF" w:val="clear"/>
            <w:vAlign w:val="center"/>
          </w:tcPr>
          <w:p>
            <w:pPr>
              <w:pStyle w:val="TableContents"/>
              <w:bidi w:val="0"/>
              <w:spacing w:before="0" w:after="283"/>
              <w:jc w:val="left"/>
              <w:rPr/>
            </w:pPr>
            <w:r>
              <w:rPr/>
              <w:t> </w:t>
            </w:r>
            <w:bookmarkStart w:id="432" w:name="xdx_40D_eus-gaap--AmortizationOfIntangib"/>
            <w:bookmarkEnd w:id="432"/>
          </w:p>
        </w:tc>
      </w:tr>
      <w:tr>
        <w:trPr/>
        <w:tc>
          <w:tcPr>
            <w:tcW w:w="2720"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2,000</w:t>
            </w:r>
          </w:p>
        </w:tc>
        <w:tc>
          <w:tcPr>
            <w:tcW w:w="75" w:type="dxa"/>
            <w:tcBorders/>
            <w:shd w:fill="FFFFFF" w:val="clear"/>
            <w:vAlign w:val="center"/>
          </w:tcPr>
          <w:p>
            <w:pPr>
              <w:pStyle w:val="TableContents"/>
              <w:bidi w:val="0"/>
              <w:spacing w:before="0" w:after="283"/>
              <w:jc w:val="left"/>
              <w:rPr/>
            </w:pPr>
            <w:r>
              <w:rPr/>
              <w:t> </w:t>
            </w:r>
            <w:bookmarkStart w:id="433" w:name="xdx_408_eus-gaap--AmortizationOfIntangib"/>
            <w:bookmarkEnd w:id="433"/>
          </w:p>
        </w:tc>
      </w:tr>
      <w:tr>
        <w:trPr/>
        <w:tc>
          <w:tcPr>
            <w:tcW w:w="2720" w:type="dxa"/>
            <w:tcBorders/>
            <w:shd w:fill="CCEEFF" w:val="clear"/>
            <w:vAlign w:val="center"/>
          </w:tcPr>
          <w:p>
            <w:pPr>
              <w:pStyle w:val="TableContents"/>
              <w:bidi w:val="0"/>
              <w:spacing w:before="0" w:after="283"/>
              <w:jc w:val="left"/>
              <w:rPr/>
            </w:pPr>
            <w:r>
              <w:rPr/>
              <w:t>Acquired NDAs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2,530,000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2,170,000</w:t>
            </w:r>
          </w:p>
        </w:tc>
        <w:tc>
          <w:tcPr>
            <w:tcW w:w="75" w:type="dxa"/>
            <w:tcBorders/>
            <w:shd w:fill="CCEEFF" w:val="clear"/>
            <w:vAlign w:val="center"/>
          </w:tcPr>
          <w:p>
            <w:pPr>
              <w:pStyle w:val="TableContents"/>
              <w:bidi w:val="0"/>
              <w:spacing w:before="0" w:after="283"/>
              <w:jc w:val="left"/>
              <w:rPr/>
            </w:pPr>
            <w:r>
              <w:rPr/>
              <w:t> </w:t>
            </w:r>
            <w:bookmarkStart w:id="434" w:name="xdx_40B_eus-gaap--AmortizationOfIntangib"/>
            <w:bookmarkEnd w:id="434"/>
          </w:p>
        </w:tc>
      </w:tr>
      <w:tr>
        <w:trPr/>
        <w:tc>
          <w:tcPr>
            <w:tcW w:w="272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10,000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13,000</w:t>
            </w:r>
          </w:p>
        </w:tc>
        <w:tc>
          <w:tcPr>
            <w:tcW w:w="75" w:type="dxa"/>
            <w:tcBorders/>
            <w:shd w:fill="FFFFFF" w:val="clear"/>
            <w:vAlign w:val="center"/>
          </w:tcPr>
          <w:p>
            <w:pPr>
              <w:pStyle w:val="TableContents"/>
              <w:bidi w:val="0"/>
              <w:spacing w:before="0" w:after="283"/>
              <w:jc w:val="left"/>
              <w:rPr/>
            </w:pPr>
            <w:r>
              <w:rPr/>
              <w:t> </w:t>
            </w:r>
            <w:bookmarkStart w:id="435" w:name="xdx_400_eus-gaap--AmortizationOfIntangib"/>
            <w:bookmarkEnd w:id="435"/>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pPr>
            <w:r>
              <w:rPr/>
              <w:t>2,554,000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pPr>
            <w:r>
              <w:rPr/>
              <w:t>2,207,000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36" w:name="xdx_8A3_z7Wwg4RdGpJf"/>
      <w:bookmarkEnd w:id="436"/>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37" w:name="xdx_892_eus-gaap--ScheduleofFiniteLivedI"/>
      <w:bookmarkEnd w:id="437"/>
      <w:r>
        <w:rPr>
          <w:rFonts w:ascii="Times New Roman;Times;Serif" w:hAnsi="Times New Roman;Times;Serif"/>
          <w:b w:val="false"/>
          <w:i w:val="false"/>
          <w:caps w:val="false"/>
          <w:smallCaps w:val="false"/>
          <w:sz w:val="20"/>
        </w:rPr>
        <w:t>Estimated future amortization expense for the Company’s intangible assets at March 31, 2024 was as follows:</w:t>
      </w:r>
    </w:p>
    <w:p>
      <w:pPr>
        <w:pStyle w:val="TextBody"/>
        <w:bidi w:val="0"/>
        <w:spacing w:before="0" w:after="0"/>
        <w:jc w:val="left"/>
        <w:rPr>
          <w:caps w:val="false"/>
          <w:smallCaps w:val="false"/>
        </w:rPr>
      </w:pPr>
      <w:r>
        <w:rPr>
          <w:caps w:val="false"/>
          <w:smallCaps w:val="false"/>
        </w:rPr>
        <w:t> </w:t>
      </w:r>
      <w:bookmarkStart w:id="438" w:name="xdx_8B7_zt6C9Dl92fZ5"/>
      <w:bookmarkEnd w:id="438"/>
      <w:r>
        <w:rPr>
          <w:rFonts w:ascii="Times New Roman;Times;Serif" w:hAnsi="Times New Roman;Times;Serif"/>
          <w:b w:val="false"/>
          <w:i w:val="false"/>
          <w:caps w:val="false"/>
          <w:smallCaps w:val="false"/>
          <w:sz w:val="20"/>
        </w:rPr>
        <w:t>SCHEDULE OF ESTIMATED FUTURE AMORTIZATION EXPENSE</w:t>
      </w:r>
    </w:p>
    <w:tbl>
      <w:tblPr>
        <w:tblW w:w="2910" w:type="dxa"/>
        <w:jc w:val="left"/>
        <w:tblInd w:w="0" w:type="dxa"/>
        <w:tblLayout w:type="fixed"/>
        <w:tblCellMar>
          <w:top w:w="0" w:type="dxa"/>
          <w:left w:w="0" w:type="dxa"/>
          <w:bottom w:w="0" w:type="dxa"/>
          <w:right w:w="0" w:type="dxa"/>
        </w:tblCellMar>
      </w:tblPr>
      <w:tblGrid>
        <w:gridCol w:w="1595"/>
        <w:gridCol w:w="60"/>
        <w:gridCol w:w="125"/>
        <w:gridCol w:w="1055"/>
        <w:gridCol w:w="75"/>
      </w:tblGrid>
      <w:tr>
        <w:trPr/>
        <w:tc>
          <w:tcPr>
            <w:tcW w:w="1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9" w:name="xdx_491_20240331_zuogDt3Tg8Jc"/>
            <w:bookmarkEnd w:id="439"/>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0" w:name="xdx_404_eus-gaap--FiniteLivedIntangibleA"/>
            <w:bookmarkEnd w:id="440"/>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1" w:name="xdx_408_eus-gaap--FiniteLivedIntangibleA"/>
            <w:bookmarkEnd w:id="441"/>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13,658,000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2" w:name="xdx_40B_eus-gaap--FiniteLivedIntangibleA"/>
            <w:bookmarkEnd w:id="442"/>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13,658,000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3" w:name="xdx_40C_eus-gaap--FiniteLivedIntangibleA"/>
            <w:bookmarkEnd w:id="443"/>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13,309,000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4" w:name="xdx_400_eus-gaap--FiniteLivedIntangibleA"/>
            <w:bookmarkEnd w:id="444"/>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12,961,000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5" w:name="xdx_401_ecustom--FiniteLivedIntangibleAs"/>
            <w:bookmarkEnd w:id="445"/>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93,327,000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6" w:name="xdx_408_eus-gaap--FiniteLivedIntangibleA"/>
            <w:bookmarkEnd w:id="446"/>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157,153,000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bookmarkStart w:id="447" w:name="xdx_8AE_zwrNGfjAsp2i"/>
      <w:bookmarkEnd w:id="447"/>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448" w:name="xdx_909_eus-gaap--GoodwillAndIntangibleA"/>
      <w:bookmarkStart w:id="449" w:name="xdx_905_eus-gaap--GoodwillAndIntangibleA"/>
      <w:bookmarkEnd w:id="448"/>
      <w:bookmarkEnd w:id="449"/>
      <w:r>
        <w:rPr>
          <w:rFonts w:ascii="Times New Roman;Times;Serif" w:hAnsi="Times New Roman;Times;Serif"/>
          <w:b w:val="false"/>
          <w:i w:val="false"/>
          <w:caps w:val="false"/>
          <w:smallCaps w:val="false"/>
          <w:sz w:val="20"/>
        </w:rPr>
        <w:t>no changes to the carrying value of the Company’s goodwill during the three months ended March 31, 2024 and 2023.</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50" w:name="xdx_808_eus-gaap--AccountsPayableAndAccr"/>
      <w:bookmarkEnd w:id="450"/>
      <w:r>
        <w:rPr>
          <w:rFonts w:ascii="Times New Roman;Times;Serif" w:hAnsi="Times New Roman;Times;Serif"/>
          <w:b/>
          <w:i w:val="false"/>
          <w:caps w:val="false"/>
          <w:smallCaps w:val="false"/>
          <w:sz w:val="20"/>
        </w:rPr>
        <w:t xml:space="preserve">NOTE 10. </w:t>
      </w:r>
      <w:bookmarkStart w:id="451" w:name="xdx_822_zIu7rUta2Vh2"/>
      <w:bookmarkEnd w:id="451"/>
      <w:r>
        <w:rPr>
          <w:rFonts w:ascii="Times New Roman;Times;Serif" w:hAnsi="Times New Roman;Times;Serif"/>
          <w:b/>
          <w:i w:val="false"/>
          <w:caps w:val="false"/>
          <w:smallCaps w:val="false"/>
          <w:sz w:val="20"/>
        </w:rPr>
        <w:t>ACCOUNTS PAYABLE AND ACCRUED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52" w:name="xdx_898_eus-gaap--ScheduleOfAccountsPaya"/>
      <w:bookmarkEnd w:id="452"/>
      <w:r>
        <w:rPr>
          <w:rFonts w:ascii="Times New Roman;Times;Serif" w:hAnsi="Times New Roman;Times;Serif"/>
          <w:b w:val="false"/>
          <w:i w:val="false"/>
          <w:caps w:val="false"/>
          <w:smallCaps w:val="false"/>
          <w:sz w:val="20"/>
        </w:rPr>
        <w:t>Accounts payable and accrued expenses at March 31, 2024 and December 31, 2023 consisted of the following:</w:t>
      </w:r>
    </w:p>
    <w:p>
      <w:pPr>
        <w:pStyle w:val="TextBody"/>
        <w:bidi w:val="0"/>
        <w:spacing w:before="0" w:after="0"/>
        <w:jc w:val="both"/>
        <w:rPr>
          <w:caps w:val="false"/>
          <w:smallCaps w:val="false"/>
        </w:rPr>
      </w:pPr>
      <w:r>
        <w:rPr>
          <w:caps w:val="false"/>
          <w:smallCaps w:val="false"/>
        </w:rPr>
        <w:t> </w:t>
      </w:r>
      <w:bookmarkStart w:id="453" w:name="xdx_8BF_zoemi8xJ0e49"/>
      <w:bookmarkEnd w:id="453"/>
      <w:r>
        <w:rPr>
          <w:rFonts w:ascii="Times New Roman;Times;Serif" w:hAnsi="Times New Roman;Times;Serif"/>
          <w:b w:val="false"/>
          <w:i w:val="false"/>
          <w:caps w:val="false"/>
          <w:smallCaps w:val="false"/>
          <w:sz w:val="20"/>
        </w:rPr>
        <w:t>SCHEDULE OF ACCOUNTS PAYABLE AND ACCRUED EXPENSES</w:t>
      </w:r>
    </w:p>
    <w:tbl>
      <w:tblPr>
        <w:tblW w:w="6480" w:type="dxa"/>
        <w:jc w:val="left"/>
        <w:tblInd w:w="0" w:type="dxa"/>
        <w:tblLayout w:type="fixed"/>
        <w:tblCellMar>
          <w:top w:w="0" w:type="dxa"/>
          <w:left w:w="0" w:type="dxa"/>
          <w:bottom w:w="0" w:type="dxa"/>
          <w:right w:w="0" w:type="dxa"/>
        </w:tblCellMar>
      </w:tblPr>
      <w:tblGrid>
        <w:gridCol w:w="3875"/>
        <w:gridCol w:w="60"/>
        <w:gridCol w:w="125"/>
        <w:gridCol w:w="1010"/>
        <w:gridCol w:w="80"/>
        <w:gridCol w:w="60"/>
        <w:gridCol w:w="125"/>
        <w:gridCol w:w="1070"/>
        <w:gridCol w:w="75"/>
      </w:tblGrid>
      <w:tr>
        <w:trPr/>
        <w:tc>
          <w:tcPr>
            <w:tcW w:w="3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54" w:name="xdx_49E_20240331_zGKvEVK8Epe6"/>
            <w:bookmarkEnd w:id="454"/>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55" w:name="xdx_49A_20231231_zqyE0nKm4CH3"/>
            <w:bookmarkEnd w:id="455"/>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456" w:name="xdx_401_eus-gaap--AccountsPayableCurrent"/>
            <w:bookmarkEnd w:id="456"/>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12,567,000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21,424,000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7" w:name="xdx_403_eus-gaap--AccruedInsuranceCurren"/>
            <w:bookmarkEnd w:id="457"/>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insurance premium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8" w:name="xdx_400_eus-gaap--OtherAccruedLiabilitie"/>
            <w:bookmarkEnd w:id="458"/>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9" w:name="xdx_402_eus-gaap--InterestPayableCurrent"/>
            <w:bookmarkEnd w:id="459"/>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(see Note 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0" w:name="xdx_40F_ecustom--AccruedExitFeeForNotePa"/>
            <w:bookmarkEnd w:id="460"/>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exit fee for Oaktree Loan (see Note 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1" w:name="xdx_40A_eus-gaap--AccountsPayableAndAccr"/>
            <w:bookmarkEnd w:id="461"/>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accounts payable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17,842,000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27,294,000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2" w:name="xdx_40E_eus-gaap--AccountsPayableAndAccr"/>
            <w:bookmarkEnd w:id="462"/>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(15,129,000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(24,581,000)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3" w:name="xdx_405_eus-gaap--AccountsPayableAndAccr"/>
            <w:bookmarkEnd w:id="463"/>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total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bookmarkStart w:id="464" w:name="xdx_8AC_zyuCXY7KrZ4h"/>
      <w:bookmarkEnd w:id="464"/>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all insurance policies for the policy term of August 2023 through August 2024. The financing agreement has an interest rate of </w:t>
      </w:r>
      <w:bookmarkStart w:id="465" w:name="xdx_902_eus-gaap--DebtInstrumentInterest"/>
      <w:bookmarkEnd w:id="465"/>
      <w:r>
        <w:rPr>
          <w:rFonts w:ascii="Times New Roman;Times;Serif" w:hAnsi="Times New Roman;Times;Serif"/>
          <w:b w:val="false"/>
          <w:i w:val="false"/>
          <w:caps w:val="false"/>
          <w:smallCaps w:val="false"/>
          <w:sz w:val="20"/>
        </w:rPr>
        <w:t>7.48% per annum and requires nine monthly payments of $</w:t>
      </w:r>
      <w:bookmarkStart w:id="466" w:name="xdx_907_ecustom--AccruedMonthlyPayments_"/>
      <w:bookmarkEnd w:id="466"/>
      <w:r>
        <w:rPr>
          <w:rFonts w:ascii="Times New Roman;Times;Serif" w:hAnsi="Times New Roman;Times;Serif"/>
          <w:b w:val="false"/>
          <w:i w:val="false"/>
          <w:caps w:val="false"/>
          <w:smallCaps w:val="false"/>
          <w:sz w:val="20"/>
        </w:rPr>
        <w:t>150,000, of which we have three payments remaining as of March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67" w:name="xdx_804_eus-gaap--DebtDisclosureTextBloc"/>
      <w:bookmarkEnd w:id="467"/>
      <w:r>
        <w:rPr>
          <w:rFonts w:ascii="Times New Roman;Times;Serif" w:hAnsi="Times New Roman;Times;Serif"/>
          <w:b/>
          <w:i w:val="false"/>
          <w:caps w:val="false"/>
          <w:smallCaps w:val="false"/>
          <w:sz w:val="20"/>
        </w:rPr>
        <w:t xml:space="preserve">NOTE 11. </w:t>
      </w:r>
      <w:bookmarkStart w:id="468" w:name="xdx_82B_zlZs82mX9CW4"/>
      <w:bookmarkEnd w:id="468"/>
      <w:r>
        <w:rPr>
          <w:rFonts w:ascii="Times New Roman;Times;Serif" w:hAnsi="Times New Roman;Times;Serif"/>
          <w:b/>
          <w:i w:val="false"/>
          <w:caps w:val="false"/>
          <w:smallCaps w:val="false"/>
          <w:sz w:val="20"/>
        </w:rPr>
        <w:t xml:space="preserve">DEBT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Oaktree Loan Due 2026</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a Credit Agreement and Guaranty, (the “Oaktree Loan”) with Oaktree Fund Administration, LLC, as administrative agent for the lenders (together, “Oaktree”), providing for a senior secured term loan facility to the Company with a principal amount of up to $</w:t>
      </w:r>
      <w:bookmarkStart w:id="469" w:name="xdx_90A_eus-gaap--DebtInstrumentFaceAmou"/>
      <w:bookmarkEnd w:id="469"/>
      <w:r>
        <w:rPr>
          <w:rFonts w:ascii="Times New Roman;Times;Serif" w:hAnsi="Times New Roman;Times;Serif"/>
          <w:b w:val="false"/>
          <w:i w:val="false"/>
          <w:caps w:val="false"/>
          <w:smallCaps w:val="false"/>
          <w:sz w:val="20"/>
        </w:rPr>
        <w:t>100,000,000. Upon entering into the Oaktree Loan, the Company drew a principal amount of $</w:t>
      </w:r>
      <w:bookmarkStart w:id="470" w:name="xdx_90E_eus-gaap--DebtInstrumentFaceAmou"/>
      <w:bookmarkEnd w:id="470"/>
      <w:r>
        <w:rPr>
          <w:rFonts w:ascii="Times New Roman;Times;Serif" w:hAnsi="Times New Roman;Times;Serif"/>
          <w:b w:val="false"/>
          <w:i w:val="false"/>
          <w:caps w:val="false"/>
          <w:smallCaps w:val="false"/>
          <w:sz w:val="20"/>
        </w:rPr>
        <w:t>65,000,000. In July 2023, the Company drew an additional principal amount of $</w:t>
      </w:r>
      <w:bookmarkStart w:id="471" w:name="xdx_905_eus-gaap--DebtInstrumentFaceAmou"/>
      <w:bookmarkEnd w:id="471"/>
      <w:r>
        <w:rPr>
          <w:rFonts w:ascii="Times New Roman;Times;Serif" w:hAnsi="Times New Roman;Times;Serif"/>
          <w:b w:val="false"/>
          <w:i w:val="false"/>
          <w:caps w:val="false"/>
          <w:smallCaps w:val="false"/>
          <w:sz w:val="20"/>
        </w:rPr>
        <w:t>12,500,000 and entered into the First Amendment to the Oaktree Loan (the “Oaktree Amendment”). Under the Oaktree Amendment, the overall credit facility size was increased from $</w:t>
      </w:r>
      <w:bookmarkStart w:id="472" w:name="xdx_90C_eus-gaap--DebtInstrumentIncrease"/>
      <w:bookmarkEnd w:id="472"/>
      <w:r>
        <w:rPr>
          <w:rFonts w:ascii="Times New Roman;Times;Serif" w:hAnsi="Times New Roman;Times;Serif"/>
          <w:b w:val="false"/>
          <w:i w:val="false"/>
          <w:caps w:val="false"/>
          <w:smallCaps w:val="false"/>
          <w:sz w:val="20"/>
        </w:rPr>
        <w:t>100,000,000 to $</w:t>
      </w:r>
      <w:bookmarkStart w:id="473" w:name="xdx_90E_eus-gaap--DebtInstrumentIncrease"/>
      <w:bookmarkEnd w:id="473"/>
      <w:r>
        <w:rPr>
          <w:rFonts w:ascii="Times New Roman;Times;Serif" w:hAnsi="Times New Roman;Times;Serif"/>
          <w:b w:val="false"/>
          <w:i w:val="false"/>
          <w:caps w:val="false"/>
          <w:smallCaps w:val="false"/>
          <w:sz w:val="20"/>
        </w:rPr>
        <w:t>112,500,000. The additional principal loan amount of up to $</w:t>
      </w:r>
      <w:bookmarkStart w:id="474" w:name="xdx_909_eus-gaap--DebtInstrumentIncrease"/>
      <w:bookmarkEnd w:id="474"/>
      <w:r>
        <w:rPr>
          <w:rFonts w:ascii="Times New Roman;Times;Serif" w:hAnsi="Times New Roman;Times;Serif"/>
          <w:b w:val="false"/>
          <w:i w:val="false"/>
          <w:caps w:val="false"/>
          <w:smallCaps w:val="false"/>
          <w:sz w:val="20"/>
        </w:rPr>
        <w:t>35,000,000 available under the Oaktree Loan (“Tranche B”) is made available to the Company upon the commercialization of TRIESENCE. Since Tranche B was not drawn by the Company on or before March 27, 2024, the amount available under Tranche B decreased to $</w:t>
      </w:r>
      <w:bookmarkStart w:id="475" w:name="xdx_906_eus-gaap--ProceedsFromIssuanceOf"/>
      <w:bookmarkEnd w:id="475"/>
      <w:r>
        <w:rPr>
          <w:rFonts w:ascii="Times New Roman;Times;Serif" w:hAnsi="Times New Roman;Times;Serif"/>
          <w:b w:val="false"/>
          <w:i w:val="false"/>
          <w:caps w:val="false"/>
          <w:smallCaps w:val="false"/>
          <w:sz w:val="20"/>
        </w:rPr>
        <w:t xml:space="preserve">30,000,000. While undrawn, the Company is required to pay a commitment fee related to the Tranche B amount equal to </w:t>
      </w:r>
      <w:bookmarkStart w:id="476" w:name="xdx_90A_eus-gaap--DebtInstrumentInterest"/>
      <w:bookmarkEnd w:id="476"/>
      <w:r>
        <w:rPr>
          <w:rFonts w:ascii="Times New Roman;Times;Serif" w:hAnsi="Times New Roman;Times;Serif"/>
          <w:b w:val="false"/>
          <w:i w:val="false"/>
          <w:caps w:val="false"/>
          <w:smallCaps w:val="false"/>
          <w:sz w:val="20"/>
        </w:rPr>
        <w:t>2% per annum, payable quarterly. This fee is recorded within prepaid expenses and other current assets and is being amortized on a straight-line basis over the access period.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Oaktree Loan totaled $</w:t>
      </w:r>
      <w:bookmarkStart w:id="477" w:name="xdx_90E_eus-gaap--InterestExpenseOtherLo"/>
      <w:bookmarkEnd w:id="477"/>
      <w:r>
        <w:rPr>
          <w:rFonts w:ascii="Times New Roman;Times;Serif" w:hAnsi="Times New Roman;Times;Serif"/>
          <w:b w:val="false"/>
          <w:i w:val="false"/>
          <w:caps w:val="false"/>
          <w:smallCaps w:val="false"/>
          <w:sz w:val="20"/>
        </w:rPr>
        <w:t>2,953,000 and $</w:t>
      </w:r>
      <w:bookmarkStart w:id="478" w:name="xdx_902_eus-gaap--InterestExpenseOtherLo"/>
      <w:bookmarkEnd w:id="478"/>
      <w:r>
        <w:rPr>
          <w:rFonts w:ascii="Times New Roman;Times;Serif" w:hAnsi="Times New Roman;Times;Serif"/>
          <w:b w:val="false"/>
          <w:i w:val="false"/>
          <w:caps w:val="false"/>
          <w:smallCaps w:val="false"/>
          <w:sz w:val="20"/>
        </w:rPr>
        <w:t>95,000 for the three months ended March 31, 2024 and 2023, respectively, and included the amortization of debt issuance costs and discount of $</w:t>
      </w:r>
      <w:bookmarkStart w:id="479" w:name="xdx_90C_eus-gaap--AmortizationOfFinancin"/>
      <w:bookmarkEnd w:id="479"/>
      <w:r>
        <w:rPr>
          <w:rFonts w:ascii="Times New Roman;Times;Serif" w:hAnsi="Times New Roman;Times;Serif"/>
          <w:b w:val="false"/>
          <w:i w:val="false"/>
          <w:caps w:val="false"/>
          <w:smallCaps w:val="false"/>
          <w:sz w:val="20"/>
        </w:rPr>
        <w:t>603,000 and $</w:t>
      </w:r>
      <w:bookmarkStart w:id="480" w:name="xdx_908_eus-gaap--AmortizationOfFinancin"/>
      <w:bookmarkEnd w:id="480"/>
      <w:r>
        <w:rPr>
          <w:rFonts w:ascii="Times New Roman;Times;Serif" w:hAnsi="Times New Roman;Times;Serif"/>
          <w:b w:val="false"/>
          <w:i w:val="false"/>
          <w:caps w:val="false"/>
          <w:smallCaps w:val="false"/>
          <w:sz w:val="20"/>
        </w:rPr>
        <w:t>12,000, respectively.</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HROWM – 11.875% Senior Notes Due 2027</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and in January 2023, the Company closed offerings of $</w:t>
      </w:r>
      <w:bookmarkStart w:id="481" w:name="xdx_90E_eus-gaap--DebtInstrumentFaceAmou"/>
      <w:bookmarkStart w:id="482" w:name="xdx_90A_eus-gaap--DebtInstrumentFaceAmou"/>
      <w:bookmarkEnd w:id="481"/>
      <w:bookmarkEnd w:id="482"/>
      <w:r>
        <w:rPr>
          <w:rFonts w:ascii="Times New Roman;Times;Serif" w:hAnsi="Times New Roman;Times;Serif"/>
          <w:b w:val="false"/>
          <w:i w:val="false"/>
          <w:caps w:val="false"/>
          <w:smallCaps w:val="false"/>
          <w:sz w:val="20"/>
        </w:rPr>
        <w:t xml:space="preserve">40,250,000 aggregate principal amount of </w:t>
      </w:r>
      <w:bookmarkStart w:id="483" w:name="xdx_906_eus-gaap--DebtInstrumentInterest"/>
      <w:bookmarkStart w:id="484" w:name="xdx_909_eus-gaap--DebtInstrumentInterest"/>
      <w:bookmarkEnd w:id="483"/>
      <w:bookmarkEnd w:id="484"/>
      <w:r>
        <w:rPr>
          <w:rFonts w:ascii="Times New Roman;Times;Serif" w:hAnsi="Times New Roman;Times;Serif"/>
          <w:b w:val="false"/>
          <w:i w:val="false"/>
          <w:caps w:val="false"/>
          <w:smallCaps w:val="false"/>
          <w:sz w:val="20"/>
        </w:rPr>
        <w:t xml:space="preserve">11.875% senior notes due December 2027 (the “2027 Notes”). </w:t>
      </w:r>
      <w:r>
        <w:rPr>
          <w:rFonts w:ascii="Times New Roman;Times;Serif" w:hAnsi="Times New Roman;Times;Serif"/>
          <w:b w:val="false"/>
          <w:i w:val="false"/>
          <w:caps w:val="false"/>
          <w:smallCaps w:val="false"/>
          <w:sz w:val="20"/>
          <w:shd w:fill="FFFFFF" w:val="clear"/>
        </w:rPr>
        <w:t>Interest expense related to the 2027 Notes totaled $</w:t>
      </w:r>
      <w:bookmarkStart w:id="485" w:name="xdx_90C_eus-gaap--InterestExpenseOtherLo"/>
      <w:bookmarkEnd w:id="485"/>
      <w:r>
        <w:rPr>
          <w:rFonts w:ascii="Times New Roman;Times;Serif" w:hAnsi="Times New Roman;Times;Serif"/>
          <w:b w:val="false"/>
          <w:i w:val="false"/>
          <w:caps w:val="false"/>
          <w:smallCaps w:val="false"/>
          <w:sz w:val="20"/>
          <w:shd w:fill="FFFFFF" w:val="clear"/>
        </w:rPr>
        <w:t>1,373,000 and $</w:t>
      </w:r>
      <w:bookmarkStart w:id="486" w:name="xdx_903_eus-gaap--InterestExpenseOtherLo"/>
      <w:bookmarkEnd w:id="486"/>
      <w:r>
        <w:rPr>
          <w:rFonts w:ascii="Times New Roman;Times;Serif" w:hAnsi="Times New Roman;Times;Serif"/>
          <w:b w:val="false"/>
          <w:i w:val="false"/>
          <w:caps w:val="false"/>
          <w:smallCaps w:val="false"/>
          <w:sz w:val="20"/>
          <w:shd w:fill="FFFFFF" w:val="clear"/>
        </w:rPr>
        <w:t>1,395,000 for the three months ended March 31, 2024 and 2023, respectively, and included the amortization of debt issuance costs and discount of $</w:t>
      </w:r>
      <w:bookmarkStart w:id="487" w:name="xdx_90D_eus-gaap--AmortizationOfFinancin"/>
      <w:bookmarkEnd w:id="487"/>
      <w:r>
        <w:rPr>
          <w:rFonts w:ascii="Times New Roman;Times;Serif" w:hAnsi="Times New Roman;Times;Serif"/>
          <w:b w:val="false"/>
          <w:i w:val="false"/>
          <w:caps w:val="false"/>
          <w:smallCaps w:val="false"/>
          <w:sz w:val="20"/>
          <w:shd w:fill="FFFFFF" w:val="clear"/>
        </w:rPr>
        <w:t>178,000 and $</w:t>
      </w:r>
      <w:bookmarkStart w:id="488" w:name="xdx_90A_eus-gaap--AmortizationOfFinancin"/>
      <w:bookmarkEnd w:id="488"/>
      <w:r>
        <w:rPr>
          <w:rFonts w:ascii="Times New Roman;Times;Serif" w:hAnsi="Times New Roman;Times;Serif"/>
          <w:b w:val="false"/>
          <w:i w:val="false"/>
          <w:caps w:val="false"/>
          <w:smallCaps w:val="false"/>
          <w:sz w:val="20"/>
          <w:shd w:fill="FFFFFF" w:val="clear"/>
        </w:rPr>
        <w:t>200,000,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HROWL – 8.625% Senior Notes Due 2026</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September 2021, the Company closed offerings (including an over-allotment exercise in May 2021) of $</w:t>
      </w:r>
      <w:bookmarkStart w:id="489" w:name="xdx_902_eus-gaap--DebtInstrumentFaceAmou"/>
      <w:bookmarkStart w:id="490" w:name="xdx_901_eus-gaap--DebtInstrumentFaceAmou"/>
      <w:bookmarkEnd w:id="489"/>
      <w:bookmarkEnd w:id="490"/>
      <w:r>
        <w:rPr>
          <w:rFonts w:ascii="Times New Roman;Times;Serif" w:hAnsi="Times New Roman;Times;Serif"/>
          <w:b w:val="false"/>
          <w:i w:val="false"/>
          <w:caps w:val="false"/>
          <w:smallCaps w:val="false"/>
          <w:sz w:val="20"/>
        </w:rPr>
        <w:t xml:space="preserve">75,000,000 aggregate principal amount of </w:t>
      </w:r>
      <w:bookmarkStart w:id="491" w:name="xdx_902_eus-gaap--DebtInstrumentInterest"/>
      <w:bookmarkStart w:id="492" w:name="xdx_90E_eus-gaap--DebtInstrumentInterest"/>
      <w:bookmarkEnd w:id="491"/>
      <w:bookmarkEnd w:id="492"/>
      <w:r>
        <w:rPr>
          <w:rFonts w:ascii="Times New Roman;Times;Serif" w:hAnsi="Times New Roman;Times;Serif"/>
          <w:b w:val="false"/>
          <w:i w:val="false"/>
          <w:caps w:val="false"/>
          <w:smallCaps w:val="false"/>
          <w:sz w:val="20"/>
        </w:rPr>
        <w:t>8.625% senior notes due April 2026 (the “2026 Notes”). In</w:t>
      </w:r>
      <w:r>
        <w:rPr>
          <w:rFonts w:ascii="Times New Roman;Times;Serif" w:hAnsi="Times New Roman;Times;Serif"/>
          <w:b w:val="false"/>
          <w:i w:val="false"/>
          <w:caps w:val="false"/>
          <w:smallCaps w:val="false"/>
          <w:sz w:val="20"/>
          <w:shd w:fill="FFFFFF" w:val="clear"/>
        </w:rPr>
        <w:t>terest expense related to the 2026 Notes totaled $</w:t>
      </w:r>
      <w:bookmarkStart w:id="493" w:name="xdx_90B_eus-gaap--InterestExpenseOtherLo"/>
      <w:bookmarkEnd w:id="493"/>
      <w:r>
        <w:rPr>
          <w:rFonts w:ascii="Times New Roman;Times;Serif" w:hAnsi="Times New Roman;Times;Serif"/>
          <w:b w:val="false"/>
          <w:i w:val="false"/>
          <w:caps w:val="false"/>
          <w:smallCaps w:val="false"/>
          <w:sz w:val="20"/>
          <w:shd w:fill="FFFFFF" w:val="clear"/>
        </w:rPr>
        <w:t>1,812,000 and $</w:t>
      </w:r>
      <w:bookmarkStart w:id="494" w:name="xdx_902_eus-gaap--InterestExpenseOtherLo"/>
      <w:bookmarkEnd w:id="494"/>
      <w:r>
        <w:rPr>
          <w:rFonts w:ascii="Times New Roman;Times;Serif" w:hAnsi="Times New Roman;Times;Serif"/>
          <w:b w:val="false"/>
          <w:i w:val="false"/>
          <w:caps w:val="false"/>
          <w:smallCaps w:val="false"/>
          <w:sz w:val="20"/>
          <w:shd w:fill="FFFFFF" w:val="clear"/>
        </w:rPr>
        <w:t>1,810,000 for the three months ended March 31, 2024 and 2023, respectively, and included amortization of debt issuance costs and debt discount of $</w:t>
      </w:r>
      <w:bookmarkStart w:id="495" w:name="xdx_90D_eus-gaap--AmortizationOfFinancin"/>
      <w:bookmarkEnd w:id="495"/>
      <w:r>
        <w:rPr>
          <w:rFonts w:ascii="Times New Roman;Times;Serif" w:hAnsi="Times New Roman;Times;Serif"/>
          <w:b w:val="false"/>
          <w:i w:val="false"/>
          <w:caps w:val="false"/>
          <w:smallCaps w:val="false"/>
          <w:sz w:val="20"/>
          <w:shd w:fill="FFFFFF" w:val="clear"/>
        </w:rPr>
        <w:t>195,000 and $</w:t>
      </w:r>
      <w:bookmarkStart w:id="496" w:name="xdx_901_eus-gaap--AmortizationOfFinancin"/>
      <w:bookmarkEnd w:id="496"/>
      <w:r>
        <w:rPr>
          <w:rFonts w:ascii="Times New Roman;Times;Serif" w:hAnsi="Times New Roman;Times;Serif"/>
          <w:b w:val="false"/>
          <w:i w:val="false"/>
          <w:caps w:val="false"/>
          <w:smallCaps w:val="false"/>
          <w:sz w:val="20"/>
          <w:shd w:fill="FFFFFF" w:val="clear"/>
        </w:rPr>
        <w:t>193,000, respectively.</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bookmarkStart w:id="497" w:name="xdx_894_eus-gaap--ScheduleOfDebtInstrume"/>
      <w:bookmarkEnd w:id="497"/>
      <w:r>
        <w:rPr>
          <w:rFonts w:ascii="Times New Roman;Times;Serif" w:hAnsi="Times New Roman;Times;Serif"/>
          <w:b w:val="false"/>
          <w:i w:val="false"/>
          <w:caps w:val="false"/>
          <w:smallCaps w:val="false"/>
          <w:sz w:val="20"/>
        </w:rPr>
        <w:t>A summary of the Company’s debt at March 31, 2024 and December 31, 2023 is described as follows:</w:t>
      </w:r>
    </w:p>
    <w:p>
      <w:pPr>
        <w:pStyle w:val="TextBody"/>
        <w:shd w:fill="FFFFFF" w:val="clear"/>
        <w:bidi w:val="0"/>
        <w:spacing w:before="0" w:after="0"/>
        <w:jc w:val="both"/>
        <w:rPr>
          <w:caps w:val="false"/>
          <w:smallCaps w:val="false"/>
        </w:rPr>
      </w:pPr>
      <w:r>
        <w:rPr>
          <w:caps w:val="false"/>
          <w:smallCaps w:val="false"/>
        </w:rPr>
        <w:t> </w:t>
      </w:r>
      <w:bookmarkStart w:id="498" w:name="xdx_8B6_z1ozG4qR9PB6"/>
      <w:bookmarkEnd w:id="498"/>
      <w:r>
        <w:rPr>
          <w:rFonts w:ascii="Times New Roman;Times;Serif" w:hAnsi="Times New Roman;Times;Serif"/>
          <w:b w:val="false"/>
          <w:i w:val="false"/>
          <w:caps w:val="false"/>
          <w:smallCaps w:val="false"/>
          <w:sz w:val="20"/>
        </w:rPr>
        <w:t>SCHEDULE OF LONG TERM DEBT</w:t>
      </w:r>
    </w:p>
    <w:tbl>
      <w:tblPr>
        <w:tblW w:w="6215" w:type="dxa"/>
        <w:jc w:val="left"/>
        <w:tblInd w:w="0" w:type="dxa"/>
        <w:tblLayout w:type="fixed"/>
        <w:tblCellMar>
          <w:top w:w="0" w:type="dxa"/>
          <w:left w:w="0" w:type="dxa"/>
          <w:bottom w:w="0" w:type="dxa"/>
          <w:right w:w="0" w:type="dxa"/>
        </w:tblCellMar>
      </w:tblPr>
      <w:tblGrid>
        <w:gridCol w:w="3560"/>
        <w:gridCol w:w="60"/>
        <w:gridCol w:w="125"/>
        <w:gridCol w:w="1055"/>
        <w:gridCol w:w="80"/>
        <w:gridCol w:w="60"/>
        <w:gridCol w:w="125"/>
        <w:gridCol w:w="1055"/>
        <w:gridCol w:w="95"/>
      </w:tblGrid>
      <w:tr>
        <w:trPr/>
        <w:tc>
          <w:tcPr>
            <w:tcW w:w="3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99" w:name="xdx_493_20240331_zGrj6loHe753"/>
            <w:bookmarkEnd w:id="499"/>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00" w:name="xdx_49C_20231231_zdsYNlE411h9"/>
            <w:bookmarkEnd w:id="500"/>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501" w:name="xdx_40B_eus-gaap--DebtInstrumentCarrying"/>
            <w:bookmarkEnd w:id="501"/>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8.625% Senior Notes, due April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2" w:name="xdx_40E_eus-gaap--DebtInstrumentCarrying"/>
            <w:bookmarkEnd w:id="502"/>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11.875% Senior Notes, due December 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3" w:name="xdx_405_eus-gaap--DebtInstrumentCarrying"/>
            <w:bookmarkEnd w:id="503"/>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Loan, due January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4" w:name="xdx_400_eus-gaap--DebtInstrumentCarrying"/>
            <w:bookmarkEnd w:id="504"/>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gross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192,750,000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192,750,000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5" w:name="xdx_404_eus-gaap--DebtInstrumentUnamorti"/>
            <w:bookmarkEnd w:id="505"/>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Unamortized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(8,602,000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(9,578,000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6" w:name="xdx_405_eus-gaap--LongTermNotesPayable_i"/>
            <w:bookmarkEnd w:id="506"/>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net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184,148,000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183,172,000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center"/>
        <w:rPr>
          <w:caps w:val="false"/>
          <w:smallCaps w:val="false"/>
        </w:rPr>
      </w:pPr>
      <w:bookmarkStart w:id="507" w:name="xdx_8AE_zZSCns8WG7gc"/>
      <w:bookmarkEnd w:id="507"/>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2024 and 2023, the total effective interest rate of the Company’s debt was </w:t>
      </w:r>
      <w:bookmarkStart w:id="508" w:name="xdx_903_eus-gaap--DebtInstrumentInterest"/>
      <w:bookmarkStart w:id="509" w:name="xdx_905_eus-gaap--DebtInstrumentInterest"/>
      <w:bookmarkEnd w:id="508"/>
      <w:bookmarkEnd w:id="509"/>
      <w:r>
        <w:rPr>
          <w:rFonts w:ascii="Times New Roman;Times;Serif" w:hAnsi="Times New Roman;Times;Serif"/>
          <w:b w:val="false"/>
          <w:i w:val="false"/>
          <w:caps w:val="false"/>
          <w:smallCaps w:val="false"/>
          <w:sz w:val="20"/>
        </w:rPr>
        <w:t>10.78%</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bookmarkStart w:id="510" w:name="xdx_89A_eus-gaap--ScheduleOfMaturitiesOf"/>
      <w:bookmarkEnd w:id="510"/>
      <w:r>
        <w:rPr>
          <w:rFonts w:ascii="Times New Roman;Times;Serif" w:hAnsi="Times New Roman;Times;Serif"/>
          <w:b w:val="false"/>
          <w:i w:val="false"/>
          <w:caps w:val="false"/>
          <w:smallCaps w:val="false"/>
          <w:sz w:val="20"/>
        </w:rPr>
        <w:t>At March 31, 2024, future minimum payments under the Company’s debt were as follows:</w:t>
      </w:r>
    </w:p>
    <w:p>
      <w:pPr>
        <w:pStyle w:val="TextBody"/>
        <w:shd w:fill="FFFFFF" w:val="clear"/>
        <w:bidi w:val="0"/>
        <w:spacing w:before="0" w:after="0"/>
        <w:jc w:val="center"/>
        <w:rPr>
          <w:caps w:val="false"/>
          <w:smallCaps w:val="false"/>
        </w:rPr>
      </w:pPr>
      <w:r>
        <w:rPr>
          <w:caps w:val="false"/>
          <w:smallCaps w:val="false"/>
        </w:rPr>
        <w:t> </w:t>
      </w:r>
      <w:bookmarkStart w:id="511" w:name="xdx_8BD_zCYXZjGpa3i8"/>
      <w:bookmarkEnd w:id="511"/>
      <w:r>
        <w:rPr>
          <w:rFonts w:ascii="Times New Roman;Times;Serif" w:hAnsi="Times New Roman;Times;Serif"/>
          <w:b w:val="false"/>
          <w:i w:val="false"/>
          <w:caps w:val="false"/>
          <w:smallCaps w:val="false"/>
          <w:sz w:val="20"/>
        </w:rPr>
        <w:t>SCHEDULE OF FUTURE MINIMUM PAYMENT UNDER NOTES PAYABLES</w:t>
      </w:r>
    </w:p>
    <w:tbl>
      <w:tblPr>
        <w:tblW w:w="6695" w:type="dxa"/>
        <w:jc w:val="left"/>
        <w:tblInd w:w="0" w:type="dxa"/>
        <w:tblLayout w:type="fixed"/>
        <w:tblCellMar>
          <w:top w:w="0" w:type="dxa"/>
          <w:left w:w="0" w:type="dxa"/>
          <w:bottom w:w="0" w:type="dxa"/>
          <w:right w:w="0" w:type="dxa"/>
        </w:tblCellMar>
      </w:tblPr>
      <w:tblGrid>
        <w:gridCol w:w="5165"/>
        <w:gridCol w:w="60"/>
        <w:gridCol w:w="140"/>
        <w:gridCol w:w="1220"/>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2" w:name="xdx_49B_20240331_zu1KqnHuPij1"/>
            <w:bookmarkEnd w:id="512"/>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513" w:name="xdx_406_eus-gaap--LongTermDebtMaturities"/>
            <w:bookmarkEnd w:id="513"/>
          </w:p>
        </w:tc>
      </w:tr>
      <w:tr>
        <w:trPr/>
        <w:tc>
          <w:tcPr>
            <w:tcW w:w="5165" w:type="dxa"/>
            <w:tcBorders/>
            <w:shd w:fill="CCEEFF" w:val="clear"/>
            <w:vAlign w:val="center"/>
          </w:tcPr>
          <w:p>
            <w:pPr>
              <w:pStyle w:val="TableContents"/>
              <w:bidi w:val="0"/>
              <w:spacing w:before="0" w:after="283"/>
              <w:jc w:val="left"/>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15,902,000</w:t>
            </w:r>
          </w:p>
        </w:tc>
        <w:tc>
          <w:tcPr>
            <w:tcW w:w="110" w:type="dxa"/>
            <w:tcBorders/>
            <w:shd w:fill="CCEEFF" w:val="clear"/>
            <w:vAlign w:val="center"/>
          </w:tcPr>
          <w:p>
            <w:pPr>
              <w:pStyle w:val="TableContents"/>
              <w:bidi w:val="0"/>
              <w:spacing w:before="0" w:after="283"/>
              <w:jc w:val="left"/>
              <w:rPr/>
            </w:pPr>
            <w:r>
              <w:rPr/>
              <w:t> </w:t>
            </w:r>
            <w:bookmarkStart w:id="514" w:name="xdx_40C_eus-gaap--LongTermDebtMaturities"/>
            <w:bookmarkEnd w:id="514"/>
          </w:p>
        </w:tc>
      </w:tr>
      <w:tr>
        <w:trPr/>
        <w:tc>
          <w:tcPr>
            <w:tcW w:w="516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20,614,000</w:t>
            </w:r>
          </w:p>
        </w:tc>
        <w:tc>
          <w:tcPr>
            <w:tcW w:w="110" w:type="dxa"/>
            <w:tcBorders/>
            <w:shd w:fill="FFFFFF" w:val="clear"/>
            <w:vAlign w:val="center"/>
          </w:tcPr>
          <w:p>
            <w:pPr>
              <w:pStyle w:val="TableContents"/>
              <w:bidi w:val="0"/>
              <w:spacing w:before="0" w:after="283"/>
              <w:jc w:val="left"/>
              <w:rPr/>
            </w:pPr>
            <w:r>
              <w:rPr/>
              <w:t> </w:t>
            </w:r>
            <w:bookmarkStart w:id="515" w:name="xdx_409_eus-gaap--LongTermDebtMaturities"/>
            <w:bookmarkEnd w:id="515"/>
          </w:p>
        </w:tc>
      </w:tr>
      <w:tr>
        <w:trPr/>
        <w:tc>
          <w:tcPr>
            <w:tcW w:w="516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159,897,000</w:t>
            </w:r>
          </w:p>
        </w:tc>
        <w:tc>
          <w:tcPr>
            <w:tcW w:w="110" w:type="dxa"/>
            <w:tcBorders/>
            <w:shd w:fill="CCEEFF" w:val="clear"/>
            <w:vAlign w:val="center"/>
          </w:tcPr>
          <w:p>
            <w:pPr>
              <w:pStyle w:val="TableContents"/>
              <w:bidi w:val="0"/>
              <w:spacing w:before="0" w:after="283"/>
              <w:jc w:val="left"/>
              <w:rPr/>
            </w:pPr>
            <w:r>
              <w:rPr/>
              <w:t> </w:t>
            </w:r>
            <w:bookmarkStart w:id="516" w:name="xdx_40B_eus-gaap--LongTermDebtMaturities"/>
            <w:bookmarkEnd w:id="516"/>
          </w:p>
        </w:tc>
      </w:tr>
      <w:tr>
        <w:trPr/>
        <w:tc>
          <w:tcPr>
            <w:tcW w:w="51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45,030,000</w:t>
            </w:r>
          </w:p>
        </w:tc>
        <w:tc>
          <w:tcPr>
            <w:tcW w:w="110" w:type="dxa"/>
            <w:tcBorders/>
            <w:shd w:fill="FFFFFF" w:val="clear"/>
            <w:vAlign w:val="center"/>
          </w:tcPr>
          <w:p>
            <w:pPr>
              <w:pStyle w:val="TableContents"/>
              <w:bidi w:val="0"/>
              <w:spacing w:before="0" w:after="283"/>
              <w:jc w:val="left"/>
              <w:rPr/>
            </w:pPr>
            <w:r>
              <w:rPr/>
              <w:t> </w:t>
            </w:r>
            <w:bookmarkStart w:id="517" w:name="xdx_403_eus-gaap--LongTermDebt_iTI_mtCzg"/>
            <w:bookmarkEnd w:id="517"/>
          </w:p>
        </w:tc>
      </w:tr>
      <w:tr>
        <w:trPr/>
        <w:tc>
          <w:tcPr>
            <w:tcW w:w="5165" w:type="dxa"/>
            <w:tcBorders/>
            <w:shd w:fill="CCEEFF" w:val="clear"/>
            <w:vAlign w:val="center"/>
          </w:tcPr>
          <w:p>
            <w:pPr>
              <w:pStyle w:val="TableContents"/>
              <w:bidi w:val="0"/>
              <w:spacing w:before="0" w:after="283"/>
              <w:jc w:val="left"/>
              <w:rPr/>
            </w:pPr>
            <w:r>
              <w:rPr/>
              <w:t>Total minimum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243,443,000</w:t>
            </w:r>
          </w:p>
        </w:tc>
        <w:tc>
          <w:tcPr>
            <w:tcW w:w="110" w:type="dxa"/>
            <w:tcBorders/>
            <w:shd w:fill="CCEEFF" w:val="clear"/>
            <w:vAlign w:val="center"/>
          </w:tcPr>
          <w:p>
            <w:pPr>
              <w:pStyle w:val="TableContents"/>
              <w:bidi w:val="0"/>
              <w:spacing w:before="0" w:after="283"/>
              <w:jc w:val="left"/>
              <w:rPr/>
            </w:pPr>
            <w:r>
              <w:rPr/>
              <w:t> </w:t>
            </w:r>
            <w:bookmarkStart w:id="518" w:name="xdx_405_eus-gaap--InterestPayableCurrent"/>
            <w:bookmarkEnd w:id="518"/>
          </w:p>
        </w:tc>
      </w:tr>
      <w:tr>
        <w:trPr/>
        <w:tc>
          <w:tcPr>
            <w:tcW w:w="5165" w:type="dxa"/>
            <w:tcBorders/>
            <w:shd w:fill="FFFFFF" w:val="clear"/>
            <w:vAlign w:val="center"/>
          </w:tcPr>
          <w:p>
            <w:pPr>
              <w:pStyle w:val="TableContents"/>
              <w:bidi w:val="0"/>
              <w:spacing w:before="0" w:after="283"/>
              <w:jc w:val="left"/>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(48,693,000</w:t>
            </w:r>
          </w:p>
        </w:tc>
        <w:tc>
          <w:tcPr>
            <w:tcW w:w="110" w:type="dxa"/>
            <w:tcBorders/>
            <w:shd w:fill="FFFFFF" w:val="clear"/>
            <w:vAlign w:val="center"/>
          </w:tcPr>
          <w:p>
            <w:pPr>
              <w:pStyle w:val="TableContents"/>
              <w:bidi w:val="0"/>
              <w:spacing w:before="0" w:after="283"/>
              <w:jc w:val="left"/>
              <w:rPr/>
            </w:pPr>
            <w:r>
              <w:rPr/>
              <w:t>)</w:t>
            </w:r>
            <w:bookmarkStart w:id="519" w:name="xdx_401_eus-gaap--DebtInstrumentCarrying"/>
            <w:bookmarkEnd w:id="519"/>
          </w:p>
        </w:tc>
      </w:tr>
      <w:tr>
        <w:trPr/>
        <w:tc>
          <w:tcPr>
            <w:tcW w:w="5165" w:type="dxa"/>
            <w:tcBorders/>
            <w:shd w:fill="CCEEFF" w:val="clear"/>
            <w:vAlign w:val="center"/>
          </w:tcPr>
          <w:p>
            <w:pPr>
              <w:pStyle w:val="TableContents"/>
              <w:bidi w:val="0"/>
              <w:spacing w:before="0" w:after="283"/>
              <w:jc w:val="left"/>
              <w:rPr/>
            </w:pPr>
            <w:r>
              <w:rPr/>
              <w:t>Notes payable, gross principal amount due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192,750,000</w:t>
            </w:r>
          </w:p>
        </w:tc>
        <w:tc>
          <w:tcPr>
            <w:tcW w:w="110" w:type="dxa"/>
            <w:tcBorders/>
            <w:shd w:fill="CCEEFF" w:val="clear"/>
            <w:vAlign w:val="center"/>
          </w:tcPr>
          <w:p>
            <w:pPr>
              <w:pStyle w:val="TableContents"/>
              <w:bidi w:val="0"/>
              <w:spacing w:before="0" w:after="283"/>
              <w:jc w:val="left"/>
              <w:rPr/>
            </w:pPr>
            <w:r>
              <w:rPr/>
              <w:t> </w:t>
            </w:r>
            <w:bookmarkStart w:id="520" w:name="xdx_40F_eus-gaap--DebtInstrumentUnamorti"/>
            <w:bookmarkEnd w:id="520"/>
          </w:p>
        </w:tc>
      </w:tr>
      <w:tr>
        <w:trPr/>
        <w:tc>
          <w:tcPr>
            <w:tcW w:w="5165" w:type="dxa"/>
            <w:tcBorders/>
            <w:shd w:fill="FFFFFF" w:val="clear"/>
            <w:vAlign w:val="center"/>
          </w:tcPr>
          <w:p>
            <w:pPr>
              <w:pStyle w:val="TableContents"/>
              <w:bidi w:val="0"/>
              <w:spacing w:before="0" w:after="283"/>
              <w:jc w:val="left"/>
              <w:rPr/>
            </w:pPr>
            <w:r>
              <w:rPr/>
              <w:t>Less: unamortized debt issuance costs, net of premium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(8,602,000</w:t>
            </w:r>
          </w:p>
        </w:tc>
        <w:tc>
          <w:tcPr>
            <w:tcW w:w="110" w:type="dxa"/>
            <w:tcBorders/>
            <w:shd w:fill="FFFFFF" w:val="clear"/>
            <w:vAlign w:val="center"/>
          </w:tcPr>
          <w:p>
            <w:pPr>
              <w:pStyle w:val="TableContents"/>
              <w:bidi w:val="0"/>
              <w:spacing w:before="0" w:after="283"/>
              <w:jc w:val="left"/>
              <w:rPr/>
            </w:pPr>
            <w:r>
              <w:rPr/>
              <w:t>)</w:t>
            </w:r>
            <w:bookmarkStart w:id="521" w:name="xdx_40F_eus-gaap--LongTermNotesPayable_i"/>
            <w:bookmarkEnd w:id="521"/>
          </w:p>
        </w:tc>
      </w:tr>
      <w:tr>
        <w:trPr/>
        <w:tc>
          <w:tcPr>
            <w:tcW w:w="5165" w:type="dxa"/>
            <w:tcBorders/>
            <w:shd w:fill="CCEEFF" w:val="clear"/>
            <w:vAlign w:val="center"/>
          </w:tcPr>
          <w:p>
            <w:pPr>
              <w:pStyle w:val="TableContents"/>
              <w:bidi w:val="0"/>
              <w:spacing w:before="0" w:after="283"/>
              <w:jc w:val="left"/>
              <w:rPr/>
            </w:pPr>
            <w:r>
              <w:rPr/>
              <w:t>Notes payable, net of unamortized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184,148,000</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jc w:val="both"/>
        <w:rPr>
          <w:caps w:val="false"/>
          <w:smallCaps w:val="false"/>
        </w:rPr>
      </w:pPr>
      <w:bookmarkStart w:id="522" w:name="xdx_8A6_zwPg3rOD4O1d"/>
      <w:bookmarkEnd w:id="522"/>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23" w:name="xdx_80A_eus-gaap--LesseeOperatingLeasesT"/>
      <w:bookmarkEnd w:id="523"/>
      <w:r>
        <w:rPr>
          <w:rFonts w:ascii="Times New Roman;Times;Serif" w:hAnsi="Times New Roman;Times;Serif"/>
          <w:b/>
          <w:i w:val="false"/>
          <w:caps w:val="false"/>
          <w:smallCaps w:val="false"/>
          <w:sz w:val="20"/>
        </w:rPr>
        <w:t xml:space="preserve">NOTE 12. </w:t>
      </w:r>
      <w:bookmarkStart w:id="524" w:name="xdx_82D_zn2Guv1oET06"/>
      <w:bookmarkEnd w:id="524"/>
      <w:r>
        <w:rPr>
          <w:rFonts w:ascii="Times New Roman;Times;Serif" w:hAnsi="Times New Roman;Times;Serif"/>
          <w:b/>
          <w:i w:val="false"/>
          <w:caps w:val="false"/>
          <w:smallCaps w:val="false"/>
          <w:sz w:val="20"/>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office and laboratory space under non-cancelable operating leases listed below. These lease agreements have remaining terms between </w:t>
      </w:r>
      <w:bookmarkStart w:id="525" w:name="xdx_904_eus-gaap--LesseeOperatingLeaseRe"/>
      <w:bookmarkEnd w:id="525"/>
      <w:r>
        <w:rPr>
          <w:rFonts w:ascii="Times New Roman;Times;Serif" w:hAnsi="Times New Roman;Times;Serif"/>
          <w:b w:val="false"/>
          <w:i w:val="false"/>
          <w:caps w:val="false"/>
          <w:smallCaps w:val="false"/>
          <w:sz w:val="20"/>
        </w:rPr>
        <w:t xml:space="preserve">one to </w:t>
      </w:r>
      <w:bookmarkStart w:id="526" w:name="xdx_90E_eus-gaap--LesseeOperatingLeaseRe"/>
      <w:bookmarkEnd w:id="526"/>
      <w:r>
        <w:rPr>
          <w:rFonts w:ascii="Times New Roman;Times;Serif" w:hAnsi="Times New Roman;Times;Serif"/>
          <w:b w:val="false"/>
          <w:i w:val="false"/>
          <w:caps w:val="false"/>
          <w:smallCaps w:val="false"/>
          <w:sz w:val="20"/>
        </w:rPr>
        <w:t>seven years and contain various clauses for renewal at the Company’s option.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27" w:name="xdx_908_eus-gaap--AreaOfLand_iI_uSquareF"/>
            <w:bookmarkEnd w:id="527"/>
            <w:r>
              <w:rPr>
                <w:rFonts w:ascii="Times New Roman;Times;Serif" w:hAnsi="Times New Roman;Times;Serif"/>
                <w:b w:val="false"/>
                <w:i w:val="false"/>
                <w:caps w:val="false"/>
                <w:smallCaps w:val="false"/>
                <w:sz w:val="20"/>
              </w:rPr>
              <w:t xml:space="preserve">5,789 square feet of office space in Carlsbad, California, which commenced in January 2022 and will expire in </w:t>
            </w:r>
            <w:bookmarkStart w:id="528" w:name="xdx_903_ecustom--LeaseExpirationDateDesc"/>
            <w:bookmarkEnd w:id="528"/>
            <w:r>
              <w:rPr>
                <w:rFonts w:ascii="Times New Roman;Times;Serif" w:hAnsi="Times New Roman;Times;Serif"/>
                <w:b w:val="false"/>
                <w:i w:val="false"/>
                <w:caps w:val="false"/>
                <w:smallCaps w:val="false"/>
                <w:sz w:val="20"/>
              </w:rPr>
              <w:t>March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29" w:name="xdx_906_eus-gaap--AreaOfLand_iI_uSquareF"/>
            <w:bookmarkEnd w:id="529"/>
            <w:r>
              <w:rPr>
                <w:rFonts w:ascii="Times New Roman;Times;Serif" w:hAnsi="Times New Roman;Times;Serif"/>
                <w:b w:val="false"/>
                <w:i w:val="false"/>
                <w:caps w:val="false"/>
                <w:smallCaps w:val="false"/>
                <w:sz w:val="20"/>
              </w:rPr>
              <w:t xml:space="preserve">38,153 square feet of lab, warehouse and office space in Ledgewood, New Jersey that expires in </w:t>
            </w:r>
            <w:bookmarkStart w:id="530" w:name="xdx_905_ecustom--LeaseExpirationDateDesc"/>
            <w:bookmarkEnd w:id="530"/>
            <w:r>
              <w:rPr>
                <w:rFonts w:ascii="Times New Roman;Times;Serif" w:hAnsi="Times New Roman;Times;Serif"/>
                <w:b w:val="false"/>
                <w:i w:val="false"/>
                <w:caps w:val="false"/>
                <w:smallCaps w:val="false"/>
                <w:sz w:val="20"/>
              </w:rPr>
              <w:t xml:space="preserve">July 2027, with an option to extend the term for two additional five-year periods. This includes an amendment, which was made effective July 2020, that extended the term of the original lease and added </w:t>
            </w:r>
            <w:bookmarkStart w:id="531" w:name="xdx_905_ecustom--AdditionalAreaOfLand_uS"/>
            <w:bookmarkEnd w:id="531"/>
            <w:r>
              <w:rPr>
                <w:rFonts w:ascii="Times New Roman;Times;Serif" w:hAnsi="Times New Roman;Times;Serif"/>
                <w:b w:val="false"/>
                <w:i w:val="false"/>
                <w:caps w:val="false"/>
                <w:smallCaps w:val="false"/>
                <w:sz w:val="20"/>
              </w:rPr>
              <w:t xml:space="preserve">1,400 of additional square footage to the lease, another amendment entered into in May 2021 that extended the term of the lease to July 2027 and added </w:t>
            </w:r>
            <w:bookmarkStart w:id="532" w:name="xdx_908_ecustom--AdditionalAreaOfLand_uS"/>
            <w:bookmarkEnd w:id="532"/>
            <w:r>
              <w:rPr>
                <w:rFonts w:ascii="Times New Roman;Times;Serif" w:hAnsi="Times New Roman;Times;Serif"/>
                <w:b w:val="false"/>
                <w:i w:val="false"/>
                <w:caps w:val="false"/>
                <w:smallCaps w:val="false"/>
                <w:sz w:val="20"/>
              </w:rPr>
              <w:t xml:space="preserve">8,900 square feet of space, and another amendment entered into in January 2024 that added </w:t>
            </w:r>
            <w:bookmarkStart w:id="533" w:name="xdx_908_eus-gaap--AreaOfLand_iI_uSquareF"/>
            <w:bookmarkEnd w:id="533"/>
            <w:r>
              <w:rPr>
                <w:rFonts w:ascii="Times New Roman;Times;Serif" w:hAnsi="Times New Roman;Times;Serif"/>
                <w:b w:val="false"/>
                <w:i w:val="false"/>
                <w:caps w:val="false"/>
                <w:smallCaps w:val="false"/>
                <w:sz w:val="20"/>
              </w:rPr>
              <w:t>2,861 square feet of space.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34" w:name="xdx_90F_eus-gaap--AreaOfLand_iI_uSquareF"/>
            <w:bookmarkEnd w:id="534"/>
            <w:r>
              <w:rPr>
                <w:rFonts w:ascii="Times New Roman;Times;Serif" w:hAnsi="Times New Roman;Times;Serif"/>
                <w:b w:val="false"/>
                <w:i w:val="false"/>
                <w:caps w:val="false"/>
                <w:smallCaps w:val="false"/>
                <w:sz w:val="20"/>
              </w:rPr>
              <w:t xml:space="preserve">5,500 square feet of office space in Nashville, Tennessee, which commenced in January 2020 and will expire in </w:t>
            </w:r>
            <w:bookmarkStart w:id="535" w:name="xdx_902_ecustom--LeaseExpirationDateDesc"/>
            <w:bookmarkEnd w:id="535"/>
            <w:r>
              <w:rPr>
                <w:rFonts w:ascii="Times New Roman;Times;Serif" w:hAnsi="Times New Roman;Times;Serif"/>
                <w:b w:val="false"/>
                <w:i w:val="false"/>
                <w:caps w:val="false"/>
                <w:smallCaps w:val="false"/>
                <w:sz w:val="20"/>
              </w:rPr>
              <w:t>December 2024, with an option to extend the term for two additional five-year periods. The Company does not intend to exercise its option to extend the term of this lease.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36" w:name="xdx_900_eus-gaap--AreaOfLand_iI_uSquareF"/>
            <w:bookmarkEnd w:id="536"/>
            <w:r>
              <w:rPr>
                <w:rFonts w:ascii="Times New Roman;Times;Serif" w:hAnsi="Times New Roman;Times;Serif"/>
                <w:b w:val="false"/>
                <w:i w:val="false"/>
                <w:caps w:val="false"/>
                <w:smallCaps w:val="false"/>
                <w:sz w:val="20"/>
              </w:rPr>
              <w:t xml:space="preserve">11,552 square feet of lab and office space in Nashville, Tennessee, which commenced in September 2022 and will expire in </w:t>
            </w:r>
            <w:bookmarkStart w:id="537" w:name="xdx_90C_ecustom--LeaseExpirationDateDesc"/>
            <w:bookmarkEnd w:id="537"/>
            <w:r>
              <w:rPr>
                <w:rFonts w:ascii="Times New Roman;Times;Serif" w:hAnsi="Times New Roman;Times;Serif"/>
                <w:b w:val="false"/>
                <w:i w:val="false"/>
                <w:caps w:val="false"/>
                <w:smallCaps w:val="false"/>
                <w:sz w:val="20"/>
              </w:rPr>
              <w:t>September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we entered in a new operating lease for </w:t>
            </w:r>
            <w:bookmarkStart w:id="538" w:name="xdx_907_eus-gaap--AreaOfLand_iI_uSquareF"/>
            <w:bookmarkEnd w:id="538"/>
            <w:r>
              <w:rPr>
                <w:rFonts w:ascii="Times New Roman;Times;Serif" w:hAnsi="Times New Roman;Times;Serif"/>
                <w:b w:val="false"/>
                <w:i w:val="false"/>
                <w:caps w:val="false"/>
                <w:smallCaps w:val="false"/>
                <w:sz w:val="20"/>
              </w:rPr>
              <w:t xml:space="preserve">17,625 square feet of office space in Nashville, Tennessee which is expected to commence in July 2024 and has a seven year term (target expiration date of </w:t>
            </w:r>
            <w:bookmarkStart w:id="539" w:name="xdx_90B_ecustom--LeaseExpirationDateDesc"/>
            <w:bookmarkEnd w:id="539"/>
            <w:r>
              <w:rPr>
                <w:rFonts w:ascii="Times New Roman;Times;Serif" w:hAnsi="Times New Roman;Times;Serif"/>
                <w:b w:val="false"/>
                <w:i w:val="false"/>
                <w:caps w:val="false"/>
                <w:smallCaps w:val="false"/>
                <w:sz w:val="20"/>
              </w:rPr>
              <w:t xml:space="preserve">June 30, 2032) with an option to extend the term for two additional five-year terms. Once occupied, the Company expects this office space to serve as the Company’s new corporate headquarters. Any operating lease right-of-use assets and liabilities related to this lease will be recognized at its commencement date.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2024, the weighted average incremental borrowing rate and the weighted average remaining lease term for the operating leases held by the Company were </w:t>
      </w:r>
      <w:bookmarkStart w:id="540" w:name="xdx_90A_eus-gaap--OperatingLeaseWeighted"/>
      <w:bookmarkEnd w:id="540"/>
      <w:r>
        <w:rPr>
          <w:rFonts w:ascii="Times New Roman;Times;Serif" w:hAnsi="Times New Roman;Times;Serif"/>
          <w:b w:val="false"/>
          <w:i w:val="false"/>
          <w:caps w:val="false"/>
          <w:smallCaps w:val="false"/>
          <w:sz w:val="20"/>
        </w:rPr>
        <w:t xml:space="preserve">6.61% and </w:t>
      </w:r>
      <w:bookmarkStart w:id="541" w:name="xdx_90B_eus-gaap--OperatingLeaseWeighted"/>
      <w:bookmarkEnd w:id="541"/>
      <w:r>
        <w:rPr>
          <w:rFonts w:ascii="Times New Roman;Times;Serif" w:hAnsi="Times New Roman;Times;Serif"/>
          <w:b w:val="false"/>
          <w:i w:val="false"/>
          <w:caps w:val="false"/>
          <w:smallCaps w:val="false"/>
          <w:sz w:val="20"/>
        </w:rPr>
        <w:t>11.26 years,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and 2023, cash paid for amounts included for the operating lease liabilities was $</w:t>
      </w:r>
      <w:bookmarkStart w:id="542" w:name="xdx_90E_eus-gaap--OperatingLeasePayments"/>
      <w:bookmarkEnd w:id="542"/>
      <w:r>
        <w:rPr>
          <w:rFonts w:ascii="Times New Roman;Times;Serif" w:hAnsi="Times New Roman;Times;Serif"/>
          <w:b w:val="false"/>
          <w:i w:val="false"/>
          <w:caps w:val="false"/>
          <w:smallCaps w:val="false"/>
          <w:sz w:val="20"/>
        </w:rPr>
        <w:t>327,000 and $</w:t>
      </w:r>
      <w:bookmarkStart w:id="543" w:name="xdx_901_eus-gaap--OperatingLeasePayments"/>
      <w:bookmarkEnd w:id="543"/>
      <w:r>
        <w:rPr>
          <w:rFonts w:ascii="Times New Roman;Times;Serif" w:hAnsi="Times New Roman;Times;Serif"/>
          <w:b w:val="false"/>
          <w:i w:val="false"/>
          <w:caps w:val="false"/>
          <w:smallCaps w:val="false"/>
          <w:sz w:val="20"/>
        </w:rPr>
        <w:t>306,000, respectively. During the three months ended March 31, 2024 and 2023, the Company recorded operating lease expense of $</w:t>
      </w:r>
      <w:bookmarkStart w:id="544" w:name="xdx_900_eus-gaap--OperatingLeaseExpense_"/>
      <w:bookmarkEnd w:id="544"/>
      <w:r>
        <w:rPr>
          <w:rFonts w:ascii="Times New Roman;Times;Serif" w:hAnsi="Times New Roman;Times;Serif"/>
          <w:b w:val="false"/>
          <w:i w:val="false"/>
          <w:caps w:val="false"/>
          <w:smallCaps w:val="false"/>
          <w:sz w:val="20"/>
        </w:rPr>
        <w:t>319,000 and $</w:t>
      </w:r>
      <w:bookmarkStart w:id="545" w:name="xdx_909_eus-gaap--OperatingLeaseExpense_"/>
      <w:bookmarkEnd w:id="545"/>
      <w:r>
        <w:rPr>
          <w:rFonts w:ascii="Times New Roman;Times;Serif" w:hAnsi="Times New Roman;Times;Serif"/>
          <w:b w:val="false"/>
          <w:i w:val="false"/>
          <w:caps w:val="false"/>
          <w:smallCaps w:val="false"/>
          <w:sz w:val="20"/>
        </w:rPr>
        <w:t>309,000, respectively, which is included in selling, general and administrative expenses.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46" w:name="xdx_89E_eus-gaap--LesseeOperatingLeaseLi"/>
      <w:bookmarkEnd w:id="546"/>
      <w:r>
        <w:rPr>
          <w:rFonts w:ascii="Times New Roman;Times;Serif" w:hAnsi="Times New Roman;Times;Serif"/>
          <w:b w:val="false"/>
          <w:i w:val="false"/>
          <w:caps w:val="false"/>
          <w:smallCaps w:val="false"/>
          <w:sz w:val="20"/>
        </w:rPr>
        <w:t>Future lease payments under operating leases as of March 31, 2024 were as follows</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bookmarkStart w:id="547" w:name="xdx_8BE_zAlakxRqJnX9"/>
      <w:bookmarkEnd w:id="547"/>
      <w:r>
        <w:rPr>
          <w:rFonts w:ascii="Times New Roman;Times;Serif" w:hAnsi="Times New Roman;Times;Serif"/>
          <w:b w:val="false"/>
          <w:i w:val="false"/>
          <w:caps w:val="false"/>
          <w:smallCaps w:val="false"/>
          <w:sz w:val="20"/>
        </w:rPr>
        <w:t>SCHEDULE OF FUTURE LEASE PAYMENTS UNDER OPERATING LEASES</w:t>
      </w:r>
    </w:p>
    <w:tbl>
      <w:tblPr>
        <w:tblW w:w="6674" w:type="dxa"/>
        <w:jc w:val="left"/>
        <w:tblInd w:w="0" w:type="dxa"/>
        <w:tblLayout w:type="fixed"/>
        <w:tblCellMar>
          <w:top w:w="0" w:type="dxa"/>
          <w:left w:w="0" w:type="dxa"/>
          <w:bottom w:w="0" w:type="dxa"/>
          <w:right w:w="0" w:type="dxa"/>
        </w:tblCellMar>
      </w:tblPr>
      <w:tblGrid>
        <w:gridCol w:w="4715"/>
        <w:gridCol w:w="60"/>
        <w:gridCol w:w="202"/>
        <w:gridCol w:w="1587"/>
        <w:gridCol w:w="11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8" w:name="xdx_492_20240331_zxRIMDCSGvI2"/>
            <w:bookmarkEnd w:id="548"/>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jc w:val="left"/>
              <w:rPr/>
            </w:pPr>
            <w:r>
              <w:rPr/>
              <w:t> </w:t>
            </w:r>
            <w:bookmarkStart w:id="549" w:name="xdx_40E_eus-gaap--LesseeOperatingLeaseLi"/>
            <w:bookmarkEnd w:id="549"/>
          </w:p>
        </w:tc>
      </w:tr>
      <w:tr>
        <w:trPr/>
        <w:tc>
          <w:tcPr>
            <w:tcW w:w="4715" w:type="dxa"/>
            <w:tcBorders/>
            <w:shd w:fill="CCEEFF" w:val="clear"/>
            <w:vAlign w:val="center"/>
          </w:tcPr>
          <w:p>
            <w:pPr>
              <w:pStyle w:val="TableContents"/>
              <w:bidi w:val="0"/>
              <w:spacing w:before="0" w:after="283"/>
              <w:jc w:val="left"/>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7" w:type="dxa"/>
            <w:tcBorders/>
            <w:shd w:fill="CCEEFF" w:val="clear"/>
            <w:vAlign w:val="center"/>
          </w:tcPr>
          <w:p>
            <w:pPr>
              <w:pStyle w:val="TableContents"/>
              <w:bidi w:val="0"/>
              <w:spacing w:before="0" w:after="283"/>
              <w:jc w:val="right"/>
              <w:rPr/>
            </w:pPr>
            <w:r>
              <w:rPr/>
              <w:t>978,000</w:t>
            </w:r>
          </w:p>
        </w:tc>
        <w:tc>
          <w:tcPr>
            <w:tcW w:w="110" w:type="dxa"/>
            <w:tcBorders/>
            <w:shd w:fill="CCEEFF" w:val="clear"/>
            <w:vAlign w:val="center"/>
          </w:tcPr>
          <w:p>
            <w:pPr>
              <w:pStyle w:val="TableContents"/>
              <w:bidi w:val="0"/>
              <w:spacing w:before="0" w:after="283"/>
              <w:jc w:val="left"/>
              <w:rPr/>
            </w:pPr>
            <w:r>
              <w:rPr/>
              <w:t> </w:t>
            </w:r>
            <w:bookmarkStart w:id="550" w:name="xdx_408_eus-gaap--LesseeOperatingLeaseLi"/>
            <w:bookmarkEnd w:id="550"/>
          </w:p>
        </w:tc>
      </w:tr>
      <w:tr>
        <w:trPr/>
        <w:tc>
          <w:tcPr>
            <w:tcW w:w="471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1,133,000</w:t>
            </w:r>
          </w:p>
        </w:tc>
        <w:tc>
          <w:tcPr>
            <w:tcW w:w="110" w:type="dxa"/>
            <w:tcBorders/>
            <w:shd w:fill="FFFFFF" w:val="clear"/>
            <w:vAlign w:val="center"/>
          </w:tcPr>
          <w:p>
            <w:pPr>
              <w:pStyle w:val="TableContents"/>
              <w:bidi w:val="0"/>
              <w:spacing w:before="0" w:after="283"/>
              <w:jc w:val="left"/>
              <w:rPr/>
            </w:pPr>
            <w:r>
              <w:rPr/>
              <w:t> </w:t>
            </w:r>
            <w:bookmarkStart w:id="551" w:name="xdx_40E_eus-gaap--LesseeOperatingLeaseLi"/>
            <w:bookmarkEnd w:id="551"/>
          </w:p>
        </w:tc>
      </w:tr>
      <w:tr>
        <w:trPr/>
        <w:tc>
          <w:tcPr>
            <w:tcW w:w="471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1,155,000</w:t>
            </w:r>
          </w:p>
        </w:tc>
        <w:tc>
          <w:tcPr>
            <w:tcW w:w="110" w:type="dxa"/>
            <w:tcBorders/>
            <w:shd w:fill="CCEEFF" w:val="clear"/>
            <w:vAlign w:val="center"/>
          </w:tcPr>
          <w:p>
            <w:pPr>
              <w:pStyle w:val="TableContents"/>
              <w:bidi w:val="0"/>
              <w:spacing w:before="0" w:after="283"/>
              <w:jc w:val="left"/>
              <w:rPr/>
            </w:pPr>
            <w:r>
              <w:rPr/>
              <w:t> </w:t>
            </w:r>
            <w:bookmarkStart w:id="552" w:name="xdx_400_eus-gaap--LesseeOperatingLeaseLi"/>
            <w:bookmarkEnd w:id="552"/>
          </w:p>
        </w:tc>
      </w:tr>
      <w:tr>
        <w:trPr/>
        <w:tc>
          <w:tcPr>
            <w:tcW w:w="47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1,014,000</w:t>
            </w:r>
          </w:p>
        </w:tc>
        <w:tc>
          <w:tcPr>
            <w:tcW w:w="110" w:type="dxa"/>
            <w:tcBorders/>
            <w:shd w:fill="FFFFFF" w:val="clear"/>
            <w:vAlign w:val="center"/>
          </w:tcPr>
          <w:p>
            <w:pPr>
              <w:pStyle w:val="TableContents"/>
              <w:bidi w:val="0"/>
              <w:spacing w:before="0" w:after="283"/>
              <w:jc w:val="left"/>
              <w:rPr/>
            </w:pPr>
            <w:r>
              <w:rPr/>
              <w:t> </w:t>
            </w:r>
            <w:bookmarkStart w:id="553" w:name="xdx_40A_eus-gaap--LesseeOperatingLeaseLi"/>
            <w:bookmarkEnd w:id="553"/>
          </w:p>
        </w:tc>
      </w:tr>
      <w:tr>
        <w:trPr/>
        <w:tc>
          <w:tcPr>
            <w:tcW w:w="471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699,000</w:t>
            </w:r>
          </w:p>
        </w:tc>
        <w:tc>
          <w:tcPr>
            <w:tcW w:w="110" w:type="dxa"/>
            <w:tcBorders/>
            <w:shd w:fill="CCEEFF" w:val="clear"/>
            <w:vAlign w:val="center"/>
          </w:tcPr>
          <w:p>
            <w:pPr>
              <w:pStyle w:val="TableContents"/>
              <w:bidi w:val="0"/>
              <w:spacing w:before="0" w:after="283"/>
              <w:jc w:val="left"/>
              <w:rPr/>
            </w:pPr>
            <w:r>
              <w:rPr/>
              <w:t> </w:t>
            </w:r>
            <w:bookmarkStart w:id="554" w:name="xdx_401_ecustom--LesseeOperatingLeaseLia"/>
            <w:bookmarkEnd w:id="554"/>
          </w:p>
        </w:tc>
      </w:tr>
      <w:tr>
        <w:trPr/>
        <w:tc>
          <w:tcPr>
            <w:tcW w:w="471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5,533,000</w:t>
            </w:r>
          </w:p>
        </w:tc>
        <w:tc>
          <w:tcPr>
            <w:tcW w:w="110" w:type="dxa"/>
            <w:tcBorders/>
            <w:shd w:fill="FFFFFF" w:val="clear"/>
            <w:vAlign w:val="center"/>
          </w:tcPr>
          <w:p>
            <w:pPr>
              <w:pStyle w:val="TableContents"/>
              <w:bidi w:val="0"/>
              <w:spacing w:before="0" w:after="283"/>
              <w:jc w:val="left"/>
              <w:rPr/>
            </w:pPr>
            <w:r>
              <w:rPr/>
              <w:t> </w:t>
            </w:r>
            <w:bookmarkStart w:id="555" w:name="xdx_401_eus-gaap--LesseeOperatingLeaseLi"/>
            <w:bookmarkEnd w:id="555"/>
          </w:p>
        </w:tc>
      </w:tr>
      <w:tr>
        <w:trPr/>
        <w:tc>
          <w:tcPr>
            <w:tcW w:w="4715"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10,512,000</w:t>
            </w:r>
          </w:p>
        </w:tc>
        <w:tc>
          <w:tcPr>
            <w:tcW w:w="110" w:type="dxa"/>
            <w:tcBorders/>
            <w:shd w:fill="CCEEFF" w:val="clear"/>
            <w:vAlign w:val="center"/>
          </w:tcPr>
          <w:p>
            <w:pPr>
              <w:pStyle w:val="TableContents"/>
              <w:bidi w:val="0"/>
              <w:spacing w:before="0" w:after="283"/>
              <w:jc w:val="left"/>
              <w:rPr/>
            </w:pPr>
            <w:r>
              <w:rPr/>
              <w:t> </w:t>
            </w:r>
            <w:bookmarkStart w:id="556" w:name="xdx_400_eus-gaap--LesseeOperatingLeaseLi"/>
            <w:bookmarkEnd w:id="556"/>
          </w:p>
        </w:tc>
      </w:tr>
      <w:tr>
        <w:trPr/>
        <w:tc>
          <w:tcPr>
            <w:tcW w:w="4715" w:type="dxa"/>
            <w:tcBorders/>
            <w:shd w:fill="FFFFFF" w:val="clear"/>
            <w:vAlign w:val="center"/>
          </w:tcPr>
          <w:p>
            <w:pPr>
              <w:pStyle w:val="TableContents"/>
              <w:bidi w:val="0"/>
              <w:spacing w:before="0" w:after="283"/>
              <w:jc w:val="left"/>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(3,001,000</w:t>
            </w:r>
          </w:p>
        </w:tc>
        <w:tc>
          <w:tcPr>
            <w:tcW w:w="110" w:type="dxa"/>
            <w:tcBorders/>
            <w:shd w:fill="FFFFFF" w:val="clear"/>
            <w:vAlign w:val="center"/>
          </w:tcPr>
          <w:p>
            <w:pPr>
              <w:pStyle w:val="TableContents"/>
              <w:bidi w:val="0"/>
              <w:spacing w:before="0" w:after="283"/>
              <w:jc w:val="left"/>
              <w:rPr/>
            </w:pPr>
            <w:r>
              <w:rPr/>
              <w:t>)</w:t>
            </w:r>
            <w:bookmarkStart w:id="557" w:name="xdx_406_eus-gaap--OperatingLeaseLiabilit"/>
            <w:bookmarkEnd w:id="557"/>
          </w:p>
        </w:tc>
      </w:tr>
      <w:tr>
        <w:trPr/>
        <w:tc>
          <w:tcPr>
            <w:tcW w:w="4715" w:type="dxa"/>
            <w:tcBorders/>
            <w:shd w:fill="CCEEFF" w:val="clear"/>
            <w:vAlign w:val="center"/>
          </w:tcPr>
          <w:p>
            <w:pPr>
              <w:pStyle w:val="TableContents"/>
              <w:bidi w:val="0"/>
              <w:spacing w:before="0" w:after="283"/>
              <w:jc w:val="left"/>
              <w:rPr/>
            </w:pPr>
            <w:r>
              <w:rPr/>
              <w:t>Total operating lease obligations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7,511,000</w:t>
            </w:r>
          </w:p>
        </w:tc>
        <w:tc>
          <w:tcPr>
            <w:tcW w:w="110" w:type="dxa"/>
            <w:tcBorders/>
            <w:shd w:fill="CCEEFF" w:val="clear"/>
            <w:vAlign w:val="center"/>
          </w:tcPr>
          <w:p>
            <w:pPr>
              <w:pStyle w:val="TableContents"/>
              <w:bidi w:val="0"/>
              <w:spacing w:before="0" w:after="283"/>
              <w:jc w:val="left"/>
              <w:rPr/>
            </w:pPr>
            <w:r>
              <w:rPr/>
              <w:t> </w:t>
            </w:r>
            <w:bookmarkStart w:id="558" w:name="xdx_40E_eus-gaap--OperatingLeaseLiabilit"/>
            <w:bookmarkEnd w:id="558"/>
          </w:p>
        </w:tc>
      </w:tr>
      <w:tr>
        <w:trPr/>
        <w:tc>
          <w:tcPr>
            <w:tcW w:w="4715" w:type="dxa"/>
            <w:tcBorders/>
            <w:shd w:fill="FFFFFF" w:val="clear"/>
            <w:vAlign w:val="center"/>
          </w:tcPr>
          <w:p>
            <w:pPr>
              <w:pStyle w:val="TableContents"/>
              <w:bidi w:val="0"/>
              <w:spacing w:before="0" w:after="283"/>
              <w:jc w:val="left"/>
              <w:rPr/>
            </w:pPr>
            <w:r>
              <w:rPr/>
              <w:t>Less: current portion, operating lease obligations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(795,000</w:t>
            </w:r>
          </w:p>
        </w:tc>
        <w:tc>
          <w:tcPr>
            <w:tcW w:w="110" w:type="dxa"/>
            <w:tcBorders/>
            <w:shd w:fill="FFFFFF" w:val="clear"/>
            <w:vAlign w:val="center"/>
          </w:tcPr>
          <w:p>
            <w:pPr>
              <w:pStyle w:val="TableContents"/>
              <w:bidi w:val="0"/>
              <w:spacing w:before="0" w:after="283"/>
              <w:jc w:val="left"/>
              <w:rPr/>
            </w:pPr>
            <w:r>
              <w:rPr/>
              <w:t>)</w:t>
            </w:r>
            <w:bookmarkStart w:id="559" w:name="xdx_40C_eus-gaap--OperatingLeaseLiabilit"/>
            <w:bookmarkEnd w:id="559"/>
          </w:p>
        </w:tc>
      </w:tr>
      <w:tr>
        <w:trPr/>
        <w:tc>
          <w:tcPr>
            <w:tcW w:w="4715" w:type="dxa"/>
            <w:tcBorders/>
            <w:shd w:fill="CCEEFF" w:val="clear"/>
            <w:vAlign w:val="center"/>
          </w:tcPr>
          <w:p>
            <w:pPr>
              <w:pStyle w:val="TableContents"/>
              <w:bidi w:val="0"/>
              <w:spacing w:before="0" w:after="283"/>
              <w:jc w:val="left"/>
              <w:rPr/>
            </w:pPr>
            <w:r>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pPr>
            <w:r>
              <w:rPr/>
              <w:t>6,716,000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60" w:name="xdx_8A8_zGtfZNrKRRk3"/>
      <w:bookmarkEnd w:id="560"/>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61" w:name="xdx_806_eus-gaap--ShareholdersEquityAndS"/>
      <w:bookmarkEnd w:id="561"/>
      <w:r>
        <w:rPr>
          <w:rFonts w:ascii="Times New Roman;Times;Serif" w:hAnsi="Times New Roman;Times;Serif"/>
          <w:b/>
          <w:i w:val="false"/>
          <w:caps w:val="false"/>
          <w:smallCaps w:val="false"/>
          <w:sz w:val="20"/>
        </w:rPr>
        <w:t xml:space="preserve">NOTE 13. </w:t>
      </w:r>
      <w:bookmarkStart w:id="562" w:name="xdx_827_zqHc9jksgO4k"/>
      <w:bookmarkEnd w:id="562"/>
      <w:r>
        <w:rPr>
          <w:rFonts w:ascii="Times New Roman;Times;Serif" w:hAnsi="Times New Roman;Times;Serif"/>
          <w:b/>
          <w:i w:val="false"/>
          <w:caps w:val="false"/>
          <w:smallCaps w:val="false"/>
          <w:sz w:val="20"/>
        </w:rPr>
        <w:t xml:space="preserve">STOCKHOLDERS’ EQUITY AND STOCK-BASED COMPENSATION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the Company issued </w:t>
      </w:r>
      <w:bookmarkStart w:id="563" w:name="xdx_90A_eus-gaap--StockIssuedDuringPerio"/>
      <w:bookmarkEnd w:id="563"/>
      <w:r>
        <w:rPr>
          <w:rFonts w:ascii="Times New Roman;Times;Serif" w:hAnsi="Times New Roman;Times;Serif"/>
          <w:b w:val="false"/>
          <w:i w:val="false"/>
          <w:caps w:val="false"/>
          <w:smallCaps w:val="false"/>
          <w:sz w:val="20"/>
        </w:rPr>
        <w:t>46,175 shares of common stock and received proceeds of $</w:t>
      </w:r>
      <w:bookmarkStart w:id="564" w:name="xdx_90E_eus-gaap--ProceedsFromStockOptio"/>
      <w:bookmarkEnd w:id="564"/>
      <w:r>
        <w:rPr>
          <w:rFonts w:ascii="Times New Roman;Times;Serif" w:hAnsi="Times New Roman;Times;Serif"/>
          <w:b w:val="false"/>
          <w:i w:val="false"/>
          <w:caps w:val="false"/>
          <w:smallCaps w:val="false"/>
          <w:sz w:val="20"/>
        </w:rPr>
        <w:t xml:space="preserve">348,000 upon the exercise of options to purchase </w:t>
      </w:r>
      <w:bookmarkStart w:id="565" w:name="xdx_903_eus-gaap--StockIssuedDuringPerio"/>
      <w:bookmarkEnd w:id="565"/>
      <w:r>
        <w:rPr>
          <w:rFonts w:ascii="Times New Roman;Times;Serif" w:hAnsi="Times New Roman;Times;Serif"/>
          <w:b w:val="false"/>
          <w:i w:val="false"/>
          <w:caps w:val="false"/>
          <w:smallCaps w:val="false"/>
          <w:sz w:val="20"/>
        </w:rPr>
        <w:t>46,175 shares of common stock with exercise prices ranging from $</w:t>
      </w:r>
      <w:bookmarkStart w:id="566" w:name="xdx_900_eus-gaap--ShareBasedCompensation"/>
      <w:bookmarkEnd w:id="566"/>
      <w:r>
        <w:rPr>
          <w:rFonts w:ascii="Times New Roman;Times;Serif" w:hAnsi="Times New Roman;Times;Serif"/>
          <w:b w:val="false"/>
          <w:i w:val="false"/>
          <w:caps w:val="false"/>
          <w:smallCaps w:val="false"/>
          <w:sz w:val="20"/>
        </w:rPr>
        <w:t>6.75 to $</w:t>
      </w:r>
      <w:bookmarkStart w:id="567" w:name="xdx_901_eus-gaap--ShareBasedCompensation"/>
      <w:bookmarkEnd w:id="567"/>
      <w:r>
        <w:rPr>
          <w:rFonts w:ascii="Times New Roman;Times;Serif" w:hAnsi="Times New Roman;Times;Serif"/>
          <w:b w:val="false"/>
          <w:i w:val="false"/>
          <w:caps w:val="false"/>
          <w:smallCaps w:val="false"/>
          <w:sz w:val="20"/>
        </w:rPr>
        <w:t>8.75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w:t>
      </w:r>
      <w:bookmarkStart w:id="568" w:name="xdx_905_eus-gaap--ShareBasedCompensation"/>
      <w:bookmarkEnd w:id="568"/>
      <w:r>
        <w:rPr>
          <w:rFonts w:ascii="Times New Roman;Times;Serif" w:hAnsi="Times New Roman;Times;Serif"/>
          <w:b w:val="false"/>
          <w:i w:val="false"/>
          <w:caps w:val="false"/>
          <w:smallCaps w:val="false"/>
          <w:sz w:val="20"/>
        </w:rPr>
        <w:t xml:space="preserve">45,000 RSUs granted in February 2021 to Andrew R. Boll, the Company’s Chief Financial Officer, vested, and </w:t>
      </w:r>
      <w:bookmarkStart w:id="569" w:name="xdx_903_eus-gaap--StockIssuedDuringPerio"/>
      <w:bookmarkEnd w:id="569"/>
      <w:r>
        <w:rPr>
          <w:rFonts w:ascii="Times New Roman;Times;Serif" w:hAnsi="Times New Roman;Times;Serif"/>
          <w:b w:val="false"/>
          <w:i w:val="false"/>
          <w:caps w:val="false"/>
          <w:smallCaps w:val="false"/>
          <w:sz w:val="20"/>
        </w:rPr>
        <w:t xml:space="preserve">26,520 shares the Company’s common stock were issued to Mr. Boll, net of </w:t>
      </w:r>
      <w:bookmarkStart w:id="570" w:name="xdx_901_eus-gaap--SharesPaidForTaxWithho"/>
      <w:bookmarkEnd w:id="570"/>
      <w:r>
        <w:rPr>
          <w:rFonts w:ascii="Times New Roman;Times;Serif" w:hAnsi="Times New Roman;Times;Serif"/>
          <w:b w:val="false"/>
          <w:i w:val="false"/>
          <w:caps w:val="false"/>
          <w:smallCaps w:val="false"/>
          <w:sz w:val="20"/>
        </w:rPr>
        <w:t>18,480 shares of common stock withheld for payroll tax withholdings totaling $</w:t>
      </w:r>
      <w:bookmarkStart w:id="571" w:name="xdx_90A_eus-gaap--PaymentsRelatedToTaxWi"/>
      <w:bookmarkEnd w:id="571"/>
      <w:r>
        <w:rPr>
          <w:rFonts w:ascii="Times New Roman;Times;Serif" w:hAnsi="Times New Roman;Times;Serif"/>
          <w:b w:val="false"/>
          <w:i w:val="false"/>
          <w:caps w:val="false"/>
          <w:smallCaps w:val="false"/>
          <w:sz w:val="20"/>
        </w:rPr>
        <w:t>197,000.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w:t>
      </w:r>
      <w:bookmarkStart w:id="572" w:name="xdx_903_eus-gaap--ShareBasedCompensation"/>
      <w:bookmarkEnd w:id="572"/>
      <w:r>
        <w:rPr>
          <w:rFonts w:ascii="Times New Roman;Times;Serif" w:hAnsi="Times New Roman;Times;Serif"/>
          <w:b w:val="false"/>
          <w:i w:val="false"/>
          <w:caps w:val="false"/>
          <w:smallCaps w:val="false"/>
          <w:sz w:val="20"/>
        </w:rPr>
        <w:t xml:space="preserve">150,000 RSUs granted in February 2021 to Mark L. Baum, the Company’s Chief Executive Officer, vested, and </w:t>
      </w:r>
      <w:bookmarkStart w:id="573" w:name="xdx_900_eus-gaap--StockIssuedDuringPerio"/>
      <w:bookmarkEnd w:id="573"/>
      <w:r>
        <w:rPr>
          <w:rFonts w:ascii="Times New Roman;Times;Serif" w:hAnsi="Times New Roman;Times;Serif"/>
          <w:b w:val="false"/>
          <w:i w:val="false"/>
          <w:caps w:val="false"/>
          <w:smallCaps w:val="false"/>
          <w:sz w:val="20"/>
        </w:rPr>
        <w:t xml:space="preserve">90,164 shares the Company’s common stock were issued to Mr. Baum, net of </w:t>
      </w:r>
      <w:bookmarkStart w:id="574" w:name="xdx_906_eus-gaap--SharesPaidForTaxWithho"/>
      <w:bookmarkEnd w:id="574"/>
      <w:r>
        <w:rPr>
          <w:rFonts w:ascii="Times New Roman;Times;Serif" w:hAnsi="Times New Roman;Times;Serif"/>
          <w:b w:val="false"/>
          <w:i w:val="false"/>
          <w:caps w:val="false"/>
          <w:smallCaps w:val="false"/>
          <w:sz w:val="20"/>
        </w:rPr>
        <w:t>59,836 shares of common stock withheld for payroll tax withholdings totaling $</w:t>
      </w:r>
      <w:bookmarkStart w:id="575" w:name="xdx_900_eus-gaap--PaymentsRelatedToTaxWi"/>
      <w:bookmarkEnd w:id="575"/>
      <w:r>
        <w:rPr>
          <w:rFonts w:ascii="Times New Roman;Times;Serif" w:hAnsi="Times New Roman;Times;Serif"/>
          <w:b w:val="false"/>
          <w:i w:val="false"/>
          <w:caps w:val="false"/>
          <w:smallCaps w:val="false"/>
          <w:sz w:val="20"/>
        </w:rPr>
        <w:t>638,000.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w:t>
      </w:r>
      <w:bookmarkStart w:id="576" w:name="xdx_90C_eus-gaap--ShareBasedCompensation"/>
      <w:bookmarkEnd w:id="576"/>
      <w:r>
        <w:rPr>
          <w:rFonts w:ascii="Times New Roman;Times;Serif" w:hAnsi="Times New Roman;Times;Serif"/>
          <w:b w:val="false"/>
          <w:i w:val="false"/>
          <w:caps w:val="false"/>
          <w:smallCaps w:val="false"/>
          <w:sz w:val="20"/>
        </w:rPr>
        <w:t xml:space="preserve">30,000 RSUs granted in February 2021 to John Saharek, the Company’s Chief Commercial Officer, vested, and </w:t>
      </w:r>
      <w:bookmarkStart w:id="577" w:name="xdx_908_eus-gaap--StockIssuedDuringPerio"/>
      <w:bookmarkEnd w:id="577"/>
      <w:r>
        <w:rPr>
          <w:rFonts w:ascii="Times New Roman;Times;Serif" w:hAnsi="Times New Roman;Times;Serif"/>
          <w:b w:val="false"/>
          <w:i w:val="false"/>
          <w:caps w:val="false"/>
          <w:smallCaps w:val="false"/>
          <w:sz w:val="20"/>
        </w:rPr>
        <w:t xml:space="preserve">17,384 shares the Company’s common stock were issued to Mr. Saharek, net of </w:t>
      </w:r>
      <w:bookmarkStart w:id="578" w:name="xdx_90A_eus-gaap--SharesPaidForTaxWithho"/>
      <w:bookmarkEnd w:id="578"/>
      <w:r>
        <w:rPr>
          <w:rFonts w:ascii="Times New Roman;Times;Serif" w:hAnsi="Times New Roman;Times;Serif"/>
          <w:b w:val="false"/>
          <w:i w:val="false"/>
          <w:caps w:val="false"/>
          <w:smallCaps w:val="false"/>
          <w:sz w:val="20"/>
        </w:rPr>
        <w:t>12,616 shares of common stock withheld for payroll tax withholdings totaling $</w:t>
      </w:r>
      <w:bookmarkStart w:id="579" w:name="xdx_90E_eus-gaap--PaymentsRelatedToTaxWi"/>
      <w:bookmarkEnd w:id="579"/>
      <w:r>
        <w:rPr>
          <w:rFonts w:ascii="Times New Roman;Times;Serif" w:hAnsi="Times New Roman;Times;Serif"/>
          <w:b w:val="false"/>
          <w:i w:val="false"/>
          <w:caps w:val="false"/>
          <w:smallCaps w:val="false"/>
          <w:sz w:val="20"/>
        </w:rPr>
        <w:t>135,000.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w:t>
      </w:r>
      <w:bookmarkStart w:id="580" w:name="xdx_90D_eus-gaap--ShareBasedCompensation"/>
      <w:bookmarkEnd w:id="580"/>
      <w:r>
        <w:rPr>
          <w:rFonts w:ascii="Times New Roman;Times;Serif" w:hAnsi="Times New Roman;Times;Serif"/>
          <w:b w:val="false"/>
          <w:i w:val="false"/>
          <w:caps w:val="false"/>
          <w:smallCaps w:val="false"/>
          <w:sz w:val="20"/>
        </w:rPr>
        <w:t xml:space="preserve">50,000 RSUs granted in February 2021 to employees, vested, and </w:t>
      </w:r>
      <w:bookmarkStart w:id="581" w:name="xdx_906_eus-gaap--StockIssuedDuringPerio"/>
      <w:bookmarkEnd w:id="581"/>
      <w:r>
        <w:rPr>
          <w:rFonts w:ascii="Times New Roman;Times;Serif" w:hAnsi="Times New Roman;Times;Serif"/>
          <w:b w:val="false"/>
          <w:i w:val="false"/>
          <w:caps w:val="false"/>
          <w:smallCaps w:val="false"/>
          <w:sz w:val="20"/>
        </w:rPr>
        <w:t xml:space="preserve">32,452 shares the Company’s common stock were issued, net of </w:t>
      </w:r>
      <w:bookmarkStart w:id="582" w:name="xdx_90E_eus-gaap--SharesPaidForTaxWithho"/>
      <w:bookmarkEnd w:id="582"/>
      <w:r>
        <w:rPr>
          <w:rFonts w:ascii="Times New Roman;Times;Serif" w:hAnsi="Times New Roman;Times;Serif"/>
          <w:b w:val="false"/>
          <w:i w:val="false"/>
          <w:caps w:val="false"/>
          <w:smallCaps w:val="false"/>
          <w:sz w:val="20"/>
        </w:rPr>
        <w:t>17,548 shares of common stock withheld for payroll tax withholdings totaling $</w:t>
      </w:r>
      <w:bookmarkStart w:id="583" w:name="xdx_90D_eus-gaap--PaymentsRelatedToTaxWi"/>
      <w:bookmarkEnd w:id="583"/>
      <w:r>
        <w:rPr>
          <w:rFonts w:ascii="Times New Roman;Times;Serif" w:hAnsi="Times New Roman;Times;Serif"/>
          <w:b w:val="false"/>
          <w:i w:val="false"/>
          <w:caps w:val="false"/>
          <w:smallCaps w:val="false"/>
          <w:sz w:val="20"/>
        </w:rPr>
        <w:t>187,000.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w:t>
      </w:r>
      <w:bookmarkStart w:id="584" w:name="xdx_906_eus-gaap--ShareBasedCompensation"/>
      <w:bookmarkEnd w:id="584"/>
      <w:r>
        <w:rPr>
          <w:rFonts w:ascii="Times New Roman;Times;Serif" w:hAnsi="Times New Roman;Times;Serif"/>
          <w:b w:val="false"/>
          <w:i w:val="false"/>
          <w:caps w:val="false"/>
          <w:smallCaps w:val="false"/>
          <w:sz w:val="20"/>
        </w:rPr>
        <w:t>8,389 shares of the Company’s common stock underlying RSUs issued to directors vested, but the issuance and delivery of these shares are deferred until the applicable director ceases providing services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Option Plan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December 31, 2023, the 2017 Plan provides for the issuance of a maximum of </w:t>
      </w:r>
      <w:bookmarkStart w:id="585" w:name="xdx_907_eus-gaap--ShareBasedCompensation"/>
      <w:bookmarkEnd w:id="585"/>
      <w:r>
        <w:rPr>
          <w:rFonts w:ascii="Times New Roman;Times;Serif" w:hAnsi="Times New Roman;Times;Serif"/>
          <w:b w:val="false"/>
          <w:i w:val="false"/>
          <w:caps w:val="false"/>
          <w:smallCaps w:val="false"/>
          <w:sz w:val="20"/>
        </w:rPr>
        <w:t xml:space="preserve">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w:t>
      </w:r>
      <w:bookmarkStart w:id="586" w:name="xdx_904_eus-gaap--CommonStockCapitalShar"/>
      <w:bookmarkEnd w:id="586"/>
      <w:r>
        <w:rPr>
          <w:rFonts w:ascii="Times New Roman;Times;Serif" w:hAnsi="Times New Roman;Times;Serif"/>
          <w:b w:val="false"/>
          <w:i w:val="false"/>
          <w:caps w:val="false"/>
          <w:smallCaps w:val="false"/>
          <w:sz w:val="20"/>
        </w:rPr>
        <w:t>400,250 shares available for future issuances under the 2017 Plan at March 31, 2024.</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587" w:name="xdx_896_eus-gaap--ScheduleOfShareBasedCo"/>
      <w:bookmarkEnd w:id="587"/>
      <w:r>
        <w:rPr>
          <w:rFonts w:ascii="Times New Roman;Times;Serif" w:hAnsi="Times New Roman;Times;Serif"/>
          <w:b w:val="false"/>
          <w:i w:val="false"/>
          <w:caps w:val="false"/>
          <w:smallCaps w:val="false"/>
          <w:sz w:val="20"/>
        </w:rPr>
        <w:t>A summary of stock option activity under the Plans for the three months ended March 31, 2024 is as follows:</w:t>
      </w:r>
    </w:p>
    <w:p>
      <w:pPr>
        <w:pStyle w:val="TextBody"/>
        <w:bidi w:val="0"/>
        <w:spacing w:before="0" w:after="0"/>
        <w:jc w:val="left"/>
        <w:rPr>
          <w:caps w:val="false"/>
          <w:smallCaps w:val="false"/>
        </w:rPr>
      </w:pPr>
      <w:r>
        <w:rPr>
          <w:caps w:val="false"/>
          <w:smallCaps w:val="false"/>
        </w:rPr>
        <w:t> </w:t>
      </w:r>
      <w:bookmarkStart w:id="588" w:name="xdx_8B1_zVIKpCPPFPal"/>
      <w:bookmarkEnd w:id="588"/>
      <w:r>
        <w:rPr>
          <w:rFonts w:ascii="Times New Roman;Times;Serif" w:hAnsi="Times New Roman;Times;Serif"/>
          <w:b w:val="false"/>
          <w:i w:val="false"/>
          <w:caps w:val="false"/>
          <w:smallCaps w:val="false"/>
          <w:sz w:val="20"/>
        </w:rPr>
        <w:t>SCHEDULE OF STOCK OPTION PLAN ACTIVITY</w:t>
      </w:r>
    </w:p>
    <w:tbl>
      <w:tblPr>
        <w:tblW w:w="10205" w:type="dxa"/>
        <w:jc w:val="left"/>
        <w:tblInd w:w="0" w:type="dxa"/>
        <w:tblLayout w:type="fixed"/>
        <w:tblCellMar>
          <w:top w:w="0" w:type="dxa"/>
          <w:left w:w="0" w:type="dxa"/>
          <w:bottom w:w="0" w:type="dxa"/>
          <w:right w:w="0" w:type="dxa"/>
        </w:tblCellMar>
      </w:tblPr>
      <w:tblGrid>
        <w:gridCol w:w="2084"/>
        <w:gridCol w:w="60"/>
        <w:gridCol w:w="77"/>
        <w:gridCol w:w="1274"/>
        <w:gridCol w:w="95"/>
        <w:gridCol w:w="60"/>
        <w:gridCol w:w="378"/>
        <w:gridCol w:w="1514"/>
        <w:gridCol w:w="60"/>
        <w:gridCol w:w="60"/>
        <w:gridCol w:w="309"/>
        <w:gridCol w:w="2273"/>
        <w:gridCol w:w="60"/>
        <w:gridCol w:w="60"/>
        <w:gridCol w:w="198"/>
        <w:gridCol w:w="1563"/>
        <w:gridCol w:w="80"/>
      </w:tblGrid>
      <w:tr>
        <w:trPr/>
        <w:tc>
          <w:tcPr>
            <w:tcW w:w="2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w:t>
            </w:r>
          </w:p>
        </w:tc>
        <w:tc>
          <w:tcPr>
            <w:tcW w:w="80" w:type="dxa"/>
            <w:tcBorders/>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outstanding – January 1, 2024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589" w:name="xdx_98C_eus-gaap--ShareBasedCompensation"/>
            <w:bookmarkEnd w:id="589"/>
          </w:p>
        </w:tc>
        <w:tc>
          <w:tcPr>
            <w:tcW w:w="1274" w:type="dxa"/>
            <w:tcBorders/>
            <w:shd w:fill="CCEEFF" w:val="clear"/>
            <w:vAlign w:val="center"/>
          </w:tcPr>
          <w:p>
            <w:pPr>
              <w:pStyle w:val="TableContents"/>
              <w:bidi w:val="0"/>
              <w:spacing w:before="0" w:after="283"/>
              <w:jc w:val="right"/>
              <w:rPr/>
            </w:pPr>
            <w:r>
              <w:rPr/>
              <w:t>2,711,317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590" w:name="xdx_981_eus-gaap--ShareBasedCompensation"/>
            <w:bookmarkEnd w:id="590"/>
          </w:p>
        </w:tc>
        <w:tc>
          <w:tcPr>
            <w:tcW w:w="1514" w:type="dxa"/>
            <w:tcBorders/>
            <w:shd w:fill="CCEEFF" w:val="clear"/>
            <w:vAlign w:val="center"/>
          </w:tcPr>
          <w:p>
            <w:pPr>
              <w:pStyle w:val="TableContents"/>
              <w:bidi w:val="0"/>
              <w:spacing w:before="0" w:after="283"/>
              <w:jc w:val="right"/>
              <w:rPr/>
            </w:pPr>
            <w:r>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591" w:name="xdx_98A_eus-gaap--ShareBasedCompensation"/>
            <w:bookmarkEnd w:id="591"/>
          </w:p>
        </w:tc>
        <w:tc>
          <w:tcPr>
            <w:tcW w:w="1274" w:type="dxa"/>
            <w:tcBorders/>
            <w:shd w:fill="FFFFFF" w:val="clear"/>
            <w:vAlign w:val="center"/>
          </w:tcPr>
          <w:p>
            <w:pPr>
              <w:pStyle w:val="TableContents"/>
              <w:bidi w:val="0"/>
              <w:spacing w:before="0" w:after="283"/>
              <w:jc w:val="right"/>
              <w:rPr/>
            </w:pPr>
            <w:r>
              <w:rPr/>
              <w:t>51,500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592" w:name="xdx_988_eus-gaap--ShareBasedCompensation"/>
            <w:bookmarkEnd w:id="592"/>
          </w:p>
        </w:tc>
        <w:tc>
          <w:tcPr>
            <w:tcW w:w="1514" w:type="dxa"/>
            <w:tcBorders/>
            <w:shd w:fill="FFFFFF" w:val="clear"/>
            <w:vAlign w:val="center"/>
          </w:tcPr>
          <w:p>
            <w:pPr>
              <w:pStyle w:val="TableContents"/>
              <w:bidi w:val="0"/>
              <w:spacing w:before="0" w:after="283"/>
              <w:jc w:val="right"/>
              <w:rPr/>
            </w:pPr>
            <w:r>
              <w:rPr/>
              <w:t>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593" w:name="xdx_98B_eus-gaap--StockIssuedDuringPerio"/>
            <w:bookmarkEnd w:id="593"/>
          </w:p>
        </w:tc>
        <w:tc>
          <w:tcPr>
            <w:tcW w:w="1274" w:type="dxa"/>
            <w:tcBorders/>
            <w:shd w:fill="CCEEFF" w:val="clear"/>
            <w:vAlign w:val="center"/>
          </w:tcPr>
          <w:p>
            <w:pPr>
              <w:pStyle w:val="TableContents"/>
              <w:bidi w:val="0"/>
              <w:spacing w:before="0" w:after="283"/>
              <w:jc w:val="right"/>
              <w:rPr/>
            </w:pPr>
            <w:r>
              <w:rPr/>
              <w:t>(46,175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594" w:name="xdx_98A_eus-gaap--ShareBasedCompensation"/>
            <w:bookmarkEnd w:id="594"/>
          </w:p>
        </w:tc>
        <w:tc>
          <w:tcPr>
            <w:tcW w:w="1514" w:type="dxa"/>
            <w:tcBorders/>
            <w:shd w:fill="CCEEFF" w:val="clear"/>
            <w:vAlign w:val="center"/>
          </w:tcPr>
          <w:p>
            <w:pPr>
              <w:pStyle w:val="TableContents"/>
              <w:bidi w:val="0"/>
              <w:spacing w:before="0" w:after="283"/>
              <w:jc w:val="right"/>
              <w:rPr/>
            </w:pPr>
            <w:r>
              <w:rPr/>
              <w:t>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cancelled/forfeited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595" w:name="xdx_987_eus-gaap--ShareBasedCompensation"/>
            <w:bookmarkEnd w:id="595"/>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(48,626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596" w:name="xdx_98C_eus-gaap--ShareBasedCompensation"/>
            <w:bookmarkEnd w:id="596"/>
          </w:p>
        </w:tc>
        <w:tc>
          <w:tcPr>
            <w:tcW w:w="1514" w:type="dxa"/>
            <w:tcBorders/>
            <w:shd w:fill="FFFFFF" w:val="clear"/>
            <w:vAlign w:val="center"/>
          </w:tcPr>
          <w:p>
            <w:pPr>
              <w:pStyle w:val="TableContents"/>
              <w:bidi w:val="0"/>
              <w:spacing w:before="0" w:after="283"/>
              <w:jc w:val="right"/>
              <w:rPr/>
            </w:pPr>
            <w:r>
              <w:rPr/>
              <w:t>12.22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outstanding – March 31, 2024</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97" w:name="xdx_989_eus-gaap--ShareBasedCompensation"/>
            <w:bookmarkEnd w:id="597"/>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2,668,016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598" w:name="xdx_982_eus-gaap--ShareBasedCompensation"/>
            <w:bookmarkEnd w:id="598"/>
          </w:p>
        </w:tc>
        <w:tc>
          <w:tcPr>
            <w:tcW w:w="1514" w:type="dxa"/>
            <w:tcBorders/>
            <w:shd w:fill="CCEEFF" w:val="clear"/>
            <w:vAlign w:val="center"/>
          </w:tcPr>
          <w:p>
            <w:pPr>
              <w:pStyle w:val="TableContents"/>
              <w:bidi w:val="0"/>
              <w:spacing w:before="0" w:after="283"/>
              <w:jc w:val="right"/>
              <w:rPr/>
            </w:pPr>
            <w:r>
              <w:rPr/>
              <w:t>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bookmarkStart w:id="599" w:name="xdx_901_eus-gaap--SharebasedCompensation"/>
            <w:bookmarkEnd w:id="599"/>
            <w:r>
              <w:rPr/>
              <w:t>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bookmarkStart w:id="600" w:name="xdx_98D_eus-gaap--ShareBasedCompensation"/>
            <w:bookmarkEnd w:id="600"/>
          </w:p>
        </w:tc>
        <w:tc>
          <w:tcPr>
            <w:tcW w:w="1563" w:type="dxa"/>
            <w:tcBorders/>
            <w:shd w:fill="CCEEFF" w:val="clear"/>
            <w:vAlign w:val="center"/>
          </w:tcPr>
          <w:p>
            <w:pPr>
              <w:pStyle w:val="TableContents"/>
              <w:bidi w:val="0"/>
              <w:spacing w:before="0" w:after="283"/>
              <w:jc w:val="right"/>
              <w:rPr/>
            </w:pPr>
            <w:r>
              <w:rPr/>
              <w:t>19,285,000</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exercisable</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1" w:name="xdx_98A_eus-gaap--ShareBasedCompensation"/>
            <w:bookmarkEnd w:id="601"/>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2,404,897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602" w:name="xdx_984_eus-gaap--ShareBasedCompensation"/>
            <w:bookmarkEnd w:id="602"/>
          </w:p>
        </w:tc>
        <w:tc>
          <w:tcPr>
            <w:tcW w:w="1514" w:type="dxa"/>
            <w:tcBorders/>
            <w:shd w:fill="FFFFFF" w:val="clear"/>
            <w:vAlign w:val="center"/>
          </w:tcPr>
          <w:p>
            <w:pPr>
              <w:pStyle w:val="TableContents"/>
              <w:bidi w:val="0"/>
              <w:spacing w:before="0" w:after="283"/>
              <w:jc w:val="right"/>
              <w:rPr/>
            </w:pPr>
            <w:r>
              <w:rPr/>
              <w:t>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bookmarkStart w:id="603" w:name="xdx_90B_eus-gaap--SharebasedCompensation"/>
            <w:bookmarkEnd w:id="603"/>
            <w:r>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w:t>
            </w:r>
            <w:bookmarkStart w:id="604" w:name="xdx_982_eus-gaap--SharebasedCompensation"/>
            <w:bookmarkEnd w:id="604"/>
          </w:p>
        </w:tc>
        <w:tc>
          <w:tcPr>
            <w:tcW w:w="1563" w:type="dxa"/>
            <w:tcBorders/>
            <w:shd w:fill="FFFFFF" w:val="clear"/>
            <w:vAlign w:val="center"/>
          </w:tcPr>
          <w:p>
            <w:pPr>
              <w:pStyle w:val="TableContents"/>
              <w:bidi w:val="0"/>
              <w:spacing w:before="0" w:after="283"/>
              <w:jc w:val="right"/>
              <w:rPr/>
            </w:pPr>
            <w:r>
              <w:rPr/>
              <w:t>18,508,000</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vested and expected to vest</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05" w:name="xdx_981_eus-gaap--ShareBasedCompensation"/>
            <w:bookmarkEnd w:id="605"/>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2,631,881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06" w:name="xdx_984_eus-gaap--ShareBasedCompensation"/>
            <w:bookmarkEnd w:id="606"/>
          </w:p>
        </w:tc>
        <w:tc>
          <w:tcPr>
            <w:tcW w:w="1514" w:type="dxa"/>
            <w:tcBorders/>
            <w:shd w:fill="CCEEFF" w:val="clear"/>
            <w:vAlign w:val="center"/>
          </w:tcPr>
          <w:p>
            <w:pPr>
              <w:pStyle w:val="TableContents"/>
              <w:bidi w:val="0"/>
              <w:spacing w:before="0" w:after="283"/>
              <w:jc w:val="right"/>
              <w:rPr/>
            </w:pPr>
            <w:r>
              <w:rPr/>
              <w:t>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bookmarkStart w:id="607" w:name="xdx_90A_eus-gaap--SharebasedCompensation"/>
            <w:bookmarkEnd w:id="607"/>
            <w:r>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bookmarkStart w:id="608" w:name="xdx_985_eus-gaap--ShareBasedCompensation"/>
            <w:bookmarkEnd w:id="608"/>
          </w:p>
        </w:tc>
        <w:tc>
          <w:tcPr>
            <w:tcW w:w="1563" w:type="dxa"/>
            <w:tcBorders/>
            <w:shd w:fill="CCEEFF" w:val="clear"/>
            <w:vAlign w:val="center"/>
          </w:tcPr>
          <w:p>
            <w:pPr>
              <w:pStyle w:val="TableContents"/>
              <w:bidi w:val="0"/>
              <w:spacing w:before="0" w:after="283"/>
              <w:jc w:val="right"/>
              <w:rPr/>
            </w:pPr>
            <w:r>
              <w:rPr/>
              <w:t>19,191,000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609" w:name="xdx_8A3_z64jdI4FyWAk"/>
      <w:bookmarkEnd w:id="609"/>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March 31, 2024, based on the closing price of the Company’s common stock of $</w:t>
      </w:r>
      <w:bookmarkStart w:id="610" w:name="xdx_90C_ecustom--ClosingPriceOfCommonSto"/>
      <w:bookmarkEnd w:id="610"/>
      <w:r>
        <w:rPr>
          <w:rFonts w:ascii="Times New Roman;Times;Serif" w:hAnsi="Times New Roman;Times;Serif"/>
          <w:b w:val="false"/>
          <w:i w:val="false"/>
          <w:caps w:val="false"/>
          <w:smallCaps w:val="false"/>
          <w:sz w:val="20"/>
        </w:rPr>
        <w:t>13.23 on that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2024, the Company granted stock options to certain employees. </w:t>
      </w:r>
      <w:bookmarkStart w:id="611" w:name="xdx_908_eus-gaap--ShareBasedCompensation"/>
      <w:bookmarkEnd w:id="611"/>
      <w:r>
        <w:rPr>
          <w:rFonts w:ascii="Times New Roman;Times;Serif" w:hAnsi="Times New Roman;Times;Serif"/>
          <w:b w:val="false"/>
          <w:i w:val="false"/>
          <w:caps w:val="false"/>
          <w:smallCaps w:val="false"/>
          <w:sz w:val="20"/>
        </w:rPr>
        <w:t>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three months ended March 31, 2024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w:t>
      </w:r>
      <w:bookmarkStart w:id="612" w:name="xdx_902_ecustom--ShareBasedCompensationA"/>
      <w:bookmarkEnd w:id="612"/>
      <w:r>
        <w:rPr>
          <w:rFonts w:ascii="Times New Roman;Times;Serif" w:hAnsi="Times New Roman;Times;Serif"/>
          <w:b w:val="false"/>
          <w:i w:val="false"/>
          <w:caps w:val="false"/>
          <w:smallCaps w:val="false"/>
          <w:sz w:val="20"/>
        </w:rPr>
        <w:t>10%. These factors could change in the future, which would affect the determination of stock-based compensation expense in future periods. Utilizing these assumptions, the fair value is determined at the date of grant.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13" w:name="xdx_89E_eus-gaap--ScheduleOfShareBasedPa"/>
      <w:bookmarkEnd w:id="613"/>
      <w:r>
        <w:rPr>
          <w:rFonts w:ascii="Times New Roman;Times;Serif" w:hAnsi="Times New Roman;Times;Serif"/>
          <w:b w:val="false"/>
          <w:i w:val="false"/>
          <w:caps w:val="false"/>
          <w:smallCaps w:val="false"/>
          <w:sz w:val="20"/>
        </w:rPr>
        <w:t>The table below illustrates the fair value per share determined using the Black-Scholes-Merton option pricing model with the following assumptions used for valuing options granted to employees:</w:t>
      </w:r>
    </w:p>
    <w:p>
      <w:pPr>
        <w:pStyle w:val="TextBody"/>
        <w:bidi w:val="0"/>
        <w:spacing w:before="0" w:after="0"/>
        <w:jc w:val="both"/>
        <w:rPr>
          <w:caps w:val="false"/>
          <w:smallCaps w:val="false"/>
        </w:rPr>
      </w:pPr>
      <w:r>
        <w:rPr>
          <w:caps w:val="false"/>
          <w:smallCaps w:val="false"/>
        </w:rPr>
        <w:t> </w:t>
      </w:r>
      <w:bookmarkStart w:id="614" w:name="xdx_8BC_zBqFUzblZaJd"/>
      <w:bookmarkEnd w:id="614"/>
      <w:r>
        <w:rPr>
          <w:rFonts w:ascii="Times New Roman;Times;Serif" w:hAnsi="Times New Roman;Times;Serif"/>
          <w:b w:val="false"/>
          <w:i w:val="false"/>
          <w:caps w:val="false"/>
          <w:smallCaps w:val="false"/>
          <w:sz w:val="20"/>
        </w:rPr>
        <w:t>SCHEDULE OF FAIR VALUE ASSUMPTIONS</w:t>
      </w:r>
    </w:p>
    <w:tbl>
      <w:tblPr>
        <w:tblW w:w="5705" w:type="dxa"/>
        <w:jc w:val="left"/>
        <w:tblInd w:w="0" w:type="dxa"/>
        <w:tblLayout w:type="fixed"/>
        <w:tblCellMar>
          <w:top w:w="0" w:type="dxa"/>
          <w:left w:w="0" w:type="dxa"/>
          <w:bottom w:w="0" w:type="dxa"/>
          <w:right w:w="0" w:type="dxa"/>
        </w:tblCellMar>
      </w:tblPr>
      <w:tblGrid>
        <w:gridCol w:w="4475"/>
        <w:gridCol w:w="60"/>
        <w:gridCol w:w="140"/>
        <w:gridCol w:w="800"/>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15" w:name="xdx_98E_eus-gaap--ShareBasedCompensation"/>
            <w:bookmarkEnd w:id="615"/>
          </w:p>
        </w:tc>
        <w:tc>
          <w:tcPr>
            <w:tcW w:w="800" w:type="dxa"/>
            <w:tcBorders/>
            <w:shd w:fill="CCEEFF" w:val="clear"/>
            <w:vAlign w:val="center"/>
          </w:tcPr>
          <w:p>
            <w:pPr>
              <w:pStyle w:val="TableContents"/>
              <w:bidi w:val="0"/>
              <w:spacing w:before="0" w:after="283"/>
              <w:jc w:val="right"/>
              <w:rPr/>
            </w:pPr>
            <w:r>
              <w:rPr/>
              <w:t>6.34</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Expected terms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616" w:name="xdx_902_eus-gaap--SharebasedCompensation"/>
            <w:bookmarkEnd w:id="616"/>
            <w:r>
              <w:rPr/>
              <w:t>6.11</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617" w:name="xdx_906_eus-gaap--ShareBasedCompensation"/>
            <w:bookmarkEnd w:id="617"/>
            <w:r>
              <w:rPr/>
              <w:t>68</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618" w:name="xdx_90F_eus-gaap--ShareBasedCompensation"/>
            <w:bookmarkEnd w:id="618"/>
            <w:r>
              <w:rPr>
                <w:rFonts w:ascii="Times New Roman;Times;Serif" w:hAnsi="Times New Roman;Times;Serif"/>
                <w:sz w:val="20"/>
              </w:rPr>
              <w:t>4.06-</w:t>
            </w:r>
            <w:bookmarkStart w:id="619" w:name="xdx_90B_eus-gaap--ShareBasedCompensation"/>
            <w:bookmarkEnd w:id="619"/>
            <w:r>
              <w:rPr>
                <w:rFonts w:ascii="Times New Roman;Times;Serif" w:hAnsi="Times New Roman;Times;Serif"/>
                <w:sz w:val="20"/>
              </w:rPr>
              <w:t>4.21</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0" w:name="xdx_98A_eus-gaap--ShareBasedCompensation"/>
            <w:bookmarkEnd w:id="620"/>
          </w:p>
        </w:tc>
        <w:tc>
          <w:tcPr>
            <w:tcW w:w="8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621" w:name="xdx_8A2_zsYvELjwY16l"/>
      <w:bookmarkEnd w:id="62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22" w:name="xdx_89A_eus-gaap--ScheduleOfShareBasedCo"/>
      <w:bookmarkEnd w:id="622"/>
      <w:r>
        <w:rPr>
          <w:rFonts w:ascii="Times New Roman;Times;Serif" w:hAnsi="Times New Roman;Times;Serif"/>
          <w:b w:val="false"/>
          <w:i w:val="false"/>
          <w:caps w:val="false"/>
          <w:smallCaps w:val="false"/>
          <w:sz w:val="20"/>
        </w:rPr>
        <w:t>The following table summarizes information about stock options outstanding and exercisable at March 31, 2024:</w:t>
      </w:r>
    </w:p>
    <w:p>
      <w:pPr>
        <w:pStyle w:val="TextBody"/>
        <w:bidi w:val="0"/>
        <w:spacing w:before="0" w:after="0"/>
        <w:jc w:val="center"/>
        <w:rPr>
          <w:caps w:val="false"/>
          <w:smallCaps w:val="false"/>
        </w:rPr>
      </w:pPr>
      <w:r>
        <w:rPr>
          <w:caps w:val="false"/>
          <w:smallCaps w:val="false"/>
        </w:rPr>
        <w:t> </w:t>
      </w:r>
      <w:bookmarkStart w:id="623" w:name="xdx_8B6_zFjOE95RhSRj"/>
      <w:bookmarkEnd w:id="623"/>
      <w:r>
        <w:rPr>
          <w:rFonts w:ascii="Times New Roman;Times;Serif" w:hAnsi="Times New Roman;Times;Serif"/>
          <w:b w:val="false"/>
          <w:i w:val="false"/>
          <w:caps w:val="false"/>
          <w:smallCaps w:val="false"/>
          <w:sz w:val="20"/>
        </w:rPr>
        <w:t>SCHEDULE OF STOCK OPTION OUTSTANDING AND EXERCISABLE</w:t>
      </w:r>
    </w:p>
    <w:tbl>
      <w:tblPr>
        <w:tblW w:w="10205" w:type="dxa"/>
        <w:jc w:val="left"/>
        <w:tblInd w:w="0" w:type="dxa"/>
        <w:tblLayout w:type="fixed"/>
        <w:tblCellMar>
          <w:top w:w="0" w:type="dxa"/>
          <w:left w:w="0" w:type="dxa"/>
          <w:bottom w:w="0" w:type="dxa"/>
          <w:right w:w="0" w:type="dxa"/>
        </w:tblCellMar>
      </w:tblPr>
      <w:tblGrid>
        <w:gridCol w:w="1668"/>
        <w:gridCol w:w="60"/>
        <w:gridCol w:w="97"/>
        <w:gridCol w:w="1613"/>
        <w:gridCol w:w="60"/>
        <w:gridCol w:w="60"/>
        <w:gridCol w:w="404"/>
        <w:gridCol w:w="2968"/>
        <w:gridCol w:w="60"/>
        <w:gridCol w:w="60"/>
        <w:gridCol w:w="204"/>
        <w:gridCol w:w="646"/>
        <w:gridCol w:w="60"/>
        <w:gridCol w:w="60"/>
        <w:gridCol w:w="64"/>
        <w:gridCol w:w="1060"/>
        <w:gridCol w:w="64"/>
        <w:gridCol w:w="64"/>
        <w:gridCol w:w="204"/>
        <w:gridCol w:w="646"/>
        <w:gridCol w:w="83"/>
      </w:tblGrid>
      <w:tr>
        <w:trPr/>
        <w:tc>
          <w:tcPr>
            <w:tcW w:w="16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7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Options Exercisable</w:t>
            </w:r>
          </w:p>
        </w:tc>
        <w:tc>
          <w:tcPr>
            <w:tcW w:w="83" w:type="dxa"/>
            <w:tcBorders/>
            <w:vAlign w:val="center"/>
          </w:tcPr>
          <w:p>
            <w:pPr>
              <w:pStyle w:val="TableContents"/>
              <w:bidi w:val="0"/>
              <w:spacing w:before="0" w:after="283"/>
              <w:jc w:val="left"/>
              <w:rPr/>
            </w:pPr>
            <w:r>
              <w:rPr/>
              <w:t> </w:t>
            </w:r>
          </w:p>
        </w:tc>
      </w:tr>
      <w:tr>
        <w:trPr/>
        <w:tc>
          <w:tcPr>
            <w:tcW w:w="1668" w:type="dxa"/>
            <w:tcBorders>
              <w:bottom w:val="single" w:sz="12" w:space="0" w:color="000000"/>
            </w:tcBorders>
            <w:tcMar>
              <w:bottom w:w="28" w:type="dxa"/>
            </w:tcMar>
            <w:vAlign w:val="center"/>
          </w:tcPr>
          <w:p>
            <w:pPr>
              <w:pStyle w:val="TableContents"/>
              <w:bidi w:val="0"/>
              <w:spacing w:before="0" w:after="283"/>
              <w:jc w:val="center"/>
              <w:rPr>
                <w:b/>
              </w:rPr>
            </w:pPr>
            <w:r>
              <w:rPr>
                <w:b/>
              </w:rPr>
              <w:t>Range of Exercise Prices</w:t>
            </w:r>
          </w:p>
        </w:tc>
        <w:tc>
          <w:tcPr>
            <w:tcW w:w="60" w:type="dxa"/>
            <w:tcBorders/>
            <w:vAlign w:val="center"/>
          </w:tcPr>
          <w:p>
            <w:pPr>
              <w:pStyle w:val="TableContents"/>
              <w:bidi w:val="0"/>
              <w:spacing w:before="0" w:after="283"/>
              <w:jc w:val="left"/>
              <w:rPr/>
            </w:pPr>
            <w:r>
              <w:rPr/>
              <w:t> </w:t>
            </w:r>
          </w:p>
        </w:tc>
        <w:tc>
          <w:tcPr>
            <w:tcW w:w="1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83" w:type="dxa"/>
            <w:tcBorders/>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624" w:name="xdx_90A_eus-gaap--ShareBasedCompensation"/>
            <w:bookmarkEnd w:id="624"/>
            <w:r>
              <w:rPr/>
              <w:t>1.47 - $</w:t>
            </w:r>
            <w:bookmarkStart w:id="625" w:name="xdx_909_eus-gaap--ShareBasedCompensation"/>
            <w:bookmarkEnd w:id="625"/>
            <w:r>
              <w:rPr/>
              <w:t>1.73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626" w:name="xdx_98B_eus-gaap--ShareBasedCompensation"/>
            <w:bookmarkEnd w:id="626"/>
          </w:p>
        </w:tc>
        <w:tc>
          <w:tcPr>
            <w:tcW w:w="1613" w:type="dxa"/>
            <w:tcBorders/>
            <w:shd w:fill="CCEEFF" w:val="clear"/>
            <w:vAlign w:val="center"/>
          </w:tcPr>
          <w:p>
            <w:pPr>
              <w:pStyle w:val="TableContents"/>
              <w:bidi w:val="0"/>
              <w:spacing w:before="0" w:after="283"/>
              <w:jc w:val="right"/>
              <w:rPr/>
            </w:pPr>
            <w:r>
              <w:rPr/>
              <w:t>295,852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627" w:name="xdx_902_eus-gaap--SharebasedCompensation"/>
            <w:bookmarkEnd w:id="627"/>
            <w:r>
              <w:rPr/>
              <w:t>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28" w:name="xdx_98A_eus-gaap--SharebasedCompensation"/>
            <w:bookmarkEnd w:id="628"/>
          </w:p>
        </w:tc>
        <w:tc>
          <w:tcPr>
            <w:tcW w:w="646" w:type="dxa"/>
            <w:tcBorders/>
            <w:shd w:fill="CCEEFF" w:val="clear"/>
            <w:vAlign w:val="center"/>
          </w:tcPr>
          <w:p>
            <w:pPr>
              <w:pStyle w:val="TableContents"/>
              <w:bidi w:val="0"/>
              <w:spacing w:before="0" w:after="283"/>
              <w:jc w:val="right"/>
              <w:rPr/>
            </w:pPr>
            <w:r>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29" w:name="xdx_986_eus-gaap--ShareBasedCompensation"/>
            <w:bookmarkEnd w:id="629"/>
          </w:p>
        </w:tc>
        <w:tc>
          <w:tcPr>
            <w:tcW w:w="1060" w:type="dxa"/>
            <w:tcBorders/>
            <w:shd w:fill="CCEEFF" w:val="clear"/>
            <w:vAlign w:val="center"/>
          </w:tcPr>
          <w:p>
            <w:pPr>
              <w:pStyle w:val="TableContents"/>
              <w:bidi w:val="0"/>
              <w:spacing w:before="0" w:after="283"/>
              <w:jc w:val="right"/>
              <w:rPr/>
            </w:pPr>
            <w:r>
              <w:rPr/>
              <w:t>295,852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30" w:name="xdx_985_eus-gaap--SharebasedCompensation"/>
            <w:bookmarkEnd w:id="630"/>
          </w:p>
        </w:tc>
        <w:tc>
          <w:tcPr>
            <w:tcW w:w="646" w:type="dxa"/>
            <w:tcBorders/>
            <w:shd w:fill="CCEEFF" w:val="clear"/>
            <w:vAlign w:val="center"/>
          </w:tcPr>
          <w:p>
            <w:pPr>
              <w:pStyle w:val="TableContents"/>
              <w:bidi w:val="0"/>
              <w:spacing w:before="0" w:after="283"/>
              <w:jc w:val="right"/>
              <w:rPr/>
            </w:pPr>
            <w:r>
              <w:rPr/>
              <w:t>1.72</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631" w:name="xdx_90D_eus-gaap--ShareBasedCompensation"/>
            <w:bookmarkEnd w:id="631"/>
            <w:r>
              <w:rPr/>
              <w:t>2.23</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632" w:name="xdx_989_eus-gaap--ShareBasedCompensation"/>
            <w:bookmarkEnd w:id="632"/>
          </w:p>
        </w:tc>
        <w:tc>
          <w:tcPr>
            <w:tcW w:w="1613" w:type="dxa"/>
            <w:tcBorders/>
            <w:shd w:fill="FFFFFF" w:val="clear"/>
            <w:vAlign w:val="center"/>
          </w:tcPr>
          <w:p>
            <w:pPr>
              <w:pStyle w:val="TableContents"/>
              <w:bidi w:val="0"/>
              <w:spacing w:before="0" w:after="283"/>
              <w:jc w:val="right"/>
              <w:rPr/>
            </w:pPr>
            <w:r>
              <w:rPr/>
              <w:t>285,000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633" w:name="xdx_907_eus-gaap--SharebasedCompensation"/>
            <w:bookmarkEnd w:id="633"/>
            <w:r>
              <w:rPr/>
              <w:t>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34" w:name="xdx_98E_eus-gaap--SharebasedCompensation"/>
            <w:bookmarkEnd w:id="634"/>
          </w:p>
        </w:tc>
        <w:tc>
          <w:tcPr>
            <w:tcW w:w="646" w:type="dxa"/>
            <w:tcBorders/>
            <w:shd w:fill="FFFFFF" w:val="clear"/>
            <w:vAlign w:val="center"/>
          </w:tcPr>
          <w:p>
            <w:pPr>
              <w:pStyle w:val="TableContents"/>
              <w:bidi w:val="0"/>
              <w:spacing w:before="0" w:after="283"/>
              <w:jc w:val="right"/>
              <w:rPr/>
            </w:pPr>
            <w:r>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635" w:name="xdx_984_eus-gaap--ShareBasedCompensation"/>
            <w:bookmarkEnd w:id="635"/>
          </w:p>
        </w:tc>
        <w:tc>
          <w:tcPr>
            <w:tcW w:w="1060" w:type="dxa"/>
            <w:tcBorders/>
            <w:shd w:fill="FFFFFF" w:val="clear"/>
            <w:vAlign w:val="center"/>
          </w:tcPr>
          <w:p>
            <w:pPr>
              <w:pStyle w:val="TableContents"/>
              <w:bidi w:val="0"/>
              <w:spacing w:before="0" w:after="283"/>
              <w:jc w:val="right"/>
              <w:rPr/>
            </w:pPr>
            <w:r>
              <w:rPr/>
              <w:t>285,000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36" w:name="xdx_989_eus-gaap--SharebasedCompensation"/>
            <w:bookmarkEnd w:id="636"/>
          </w:p>
        </w:tc>
        <w:tc>
          <w:tcPr>
            <w:tcW w:w="646" w:type="dxa"/>
            <w:tcBorders/>
            <w:shd w:fill="FFFFFF" w:val="clear"/>
            <w:vAlign w:val="center"/>
          </w:tcPr>
          <w:p>
            <w:pPr>
              <w:pStyle w:val="TableContents"/>
              <w:bidi w:val="0"/>
              <w:spacing w:before="0" w:after="283"/>
              <w:jc w:val="right"/>
              <w:rPr/>
            </w:pPr>
            <w:r>
              <w:rPr/>
              <w:t>2.23</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637" w:name="xdx_90F_eus-gaap--ShareBasedCompensation"/>
            <w:bookmarkEnd w:id="637"/>
            <w:r>
              <w:rPr/>
              <w:t>2.40 - $</w:t>
            </w:r>
            <w:bookmarkStart w:id="638" w:name="xdx_904_eus-gaap--ShareBasedCompensation"/>
            <w:bookmarkEnd w:id="638"/>
            <w:r>
              <w:rPr/>
              <w:t>2.60</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639" w:name="xdx_984_eus-gaap--ShareBasedCompensation"/>
            <w:bookmarkEnd w:id="639"/>
          </w:p>
        </w:tc>
        <w:tc>
          <w:tcPr>
            <w:tcW w:w="1613" w:type="dxa"/>
            <w:tcBorders/>
            <w:shd w:fill="CCEEFF" w:val="clear"/>
            <w:vAlign w:val="center"/>
          </w:tcPr>
          <w:p>
            <w:pPr>
              <w:pStyle w:val="TableContents"/>
              <w:bidi w:val="0"/>
              <w:spacing w:before="0" w:after="283"/>
              <w:jc w:val="right"/>
              <w:rPr/>
            </w:pPr>
            <w:r>
              <w:rPr/>
              <w:t>24,068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640" w:name="xdx_90C_eus-gaap--SharebasedCompensation"/>
            <w:bookmarkEnd w:id="640"/>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41" w:name="xdx_980_eus-gaap--SharebasedCompensation"/>
            <w:bookmarkEnd w:id="641"/>
          </w:p>
        </w:tc>
        <w:tc>
          <w:tcPr>
            <w:tcW w:w="646" w:type="dxa"/>
            <w:tcBorders/>
            <w:shd w:fill="CCEEFF" w:val="clear"/>
            <w:vAlign w:val="center"/>
          </w:tcPr>
          <w:p>
            <w:pPr>
              <w:pStyle w:val="TableContents"/>
              <w:bidi w:val="0"/>
              <w:spacing w:before="0" w:after="283"/>
              <w:jc w:val="right"/>
              <w:rPr/>
            </w:pPr>
            <w:r>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42" w:name="xdx_98B_eus-gaap--ShareBasedCompensation"/>
            <w:bookmarkEnd w:id="642"/>
          </w:p>
        </w:tc>
        <w:tc>
          <w:tcPr>
            <w:tcW w:w="1060" w:type="dxa"/>
            <w:tcBorders/>
            <w:shd w:fill="CCEEFF" w:val="clear"/>
            <w:vAlign w:val="center"/>
          </w:tcPr>
          <w:p>
            <w:pPr>
              <w:pStyle w:val="TableContents"/>
              <w:bidi w:val="0"/>
              <w:spacing w:before="0" w:after="283"/>
              <w:jc w:val="right"/>
              <w:rPr/>
            </w:pPr>
            <w:r>
              <w:rPr/>
              <w:t>24,068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43" w:name="xdx_98B_eus-gaap--SharebasedCompensation"/>
            <w:bookmarkEnd w:id="643"/>
          </w:p>
        </w:tc>
        <w:tc>
          <w:tcPr>
            <w:tcW w:w="646" w:type="dxa"/>
            <w:tcBorders/>
            <w:shd w:fill="CCEEFF" w:val="clear"/>
            <w:vAlign w:val="center"/>
          </w:tcPr>
          <w:p>
            <w:pPr>
              <w:pStyle w:val="TableContents"/>
              <w:bidi w:val="0"/>
              <w:spacing w:before="0" w:after="283"/>
              <w:jc w:val="right"/>
              <w:rPr/>
            </w:pPr>
            <w:r>
              <w:rPr/>
              <w:t>2.58</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644" w:name="xdx_908_eus-gaap--ShareBasedCompensation"/>
            <w:bookmarkEnd w:id="644"/>
            <w:r>
              <w:rPr/>
              <w:t>3.95</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645" w:name="xdx_98E_eus-gaap--ShareBasedCompensation"/>
            <w:bookmarkEnd w:id="645"/>
          </w:p>
        </w:tc>
        <w:tc>
          <w:tcPr>
            <w:tcW w:w="1613" w:type="dxa"/>
            <w:tcBorders/>
            <w:shd w:fill="FFFFFF" w:val="clear"/>
            <w:vAlign w:val="center"/>
          </w:tcPr>
          <w:p>
            <w:pPr>
              <w:pStyle w:val="TableContents"/>
              <w:bidi w:val="0"/>
              <w:spacing w:before="0" w:after="283"/>
              <w:jc w:val="right"/>
              <w:rPr/>
            </w:pPr>
            <w:r>
              <w:rPr/>
              <w:t>310,000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646" w:name="xdx_900_eus-gaap--SharebasedCompensation"/>
            <w:bookmarkEnd w:id="646"/>
            <w:r>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47" w:name="xdx_98B_eus-gaap--SharebasedCompensation"/>
            <w:bookmarkEnd w:id="647"/>
          </w:p>
        </w:tc>
        <w:tc>
          <w:tcPr>
            <w:tcW w:w="646" w:type="dxa"/>
            <w:tcBorders/>
            <w:shd w:fill="FFFFFF" w:val="clear"/>
            <w:vAlign w:val="center"/>
          </w:tcPr>
          <w:p>
            <w:pPr>
              <w:pStyle w:val="TableContents"/>
              <w:bidi w:val="0"/>
              <w:spacing w:before="0" w:after="283"/>
              <w:jc w:val="right"/>
              <w:rPr/>
            </w:pPr>
            <w:r>
              <w:rPr/>
              <w:t>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648" w:name="xdx_98F_eus-gaap--ShareBasedCompensation"/>
            <w:bookmarkEnd w:id="648"/>
          </w:p>
        </w:tc>
        <w:tc>
          <w:tcPr>
            <w:tcW w:w="1060" w:type="dxa"/>
            <w:tcBorders/>
            <w:shd w:fill="FFFFFF" w:val="clear"/>
            <w:vAlign w:val="center"/>
          </w:tcPr>
          <w:p>
            <w:pPr>
              <w:pStyle w:val="TableContents"/>
              <w:bidi w:val="0"/>
              <w:spacing w:before="0" w:after="283"/>
              <w:jc w:val="right"/>
              <w:rPr/>
            </w:pPr>
            <w:r>
              <w:rPr/>
              <w:t>310,000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49" w:name="xdx_989_eus-gaap--SharebasedCompensation"/>
            <w:bookmarkEnd w:id="649"/>
          </w:p>
        </w:tc>
        <w:tc>
          <w:tcPr>
            <w:tcW w:w="646" w:type="dxa"/>
            <w:tcBorders/>
            <w:shd w:fill="FFFFFF" w:val="clear"/>
            <w:vAlign w:val="center"/>
          </w:tcPr>
          <w:p>
            <w:pPr>
              <w:pStyle w:val="TableContents"/>
              <w:bidi w:val="0"/>
              <w:spacing w:before="0" w:after="283"/>
              <w:jc w:val="right"/>
              <w:rPr/>
            </w:pPr>
            <w:r>
              <w:rPr/>
              <w:t>3.95</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650" w:name="xdx_904_eus-gaap--ShareBasedCompensation"/>
            <w:bookmarkEnd w:id="650"/>
            <w:r>
              <w:rPr/>
              <w:t>4.49 - $</w:t>
            </w:r>
            <w:bookmarkStart w:id="651" w:name="xdx_900_eus-gaap--ShareBasedCompensation"/>
            <w:bookmarkEnd w:id="651"/>
            <w:r>
              <w:rPr/>
              <w:t>5.72</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652" w:name="xdx_987_eus-gaap--ShareBasedCompensation"/>
            <w:bookmarkEnd w:id="652"/>
          </w:p>
        </w:tc>
        <w:tc>
          <w:tcPr>
            <w:tcW w:w="1613" w:type="dxa"/>
            <w:tcBorders/>
            <w:shd w:fill="CCEEFF" w:val="clear"/>
            <w:vAlign w:val="center"/>
          </w:tcPr>
          <w:p>
            <w:pPr>
              <w:pStyle w:val="TableContents"/>
              <w:bidi w:val="0"/>
              <w:spacing w:before="0" w:after="283"/>
              <w:jc w:val="right"/>
              <w:rPr/>
            </w:pPr>
            <w:r>
              <w:rPr/>
              <w:t>100,225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653" w:name="xdx_90D_eus-gaap--SharebasedCompensation"/>
            <w:bookmarkEnd w:id="653"/>
            <w:r>
              <w:rPr/>
              <w:t>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54" w:name="xdx_98A_eus-gaap--SharebasedCompensation"/>
            <w:bookmarkEnd w:id="654"/>
          </w:p>
        </w:tc>
        <w:tc>
          <w:tcPr>
            <w:tcW w:w="646" w:type="dxa"/>
            <w:tcBorders/>
            <w:shd w:fill="CCEEFF" w:val="clear"/>
            <w:vAlign w:val="center"/>
          </w:tcPr>
          <w:p>
            <w:pPr>
              <w:pStyle w:val="TableContents"/>
              <w:bidi w:val="0"/>
              <w:spacing w:before="0" w:after="283"/>
              <w:jc w:val="right"/>
              <w:rPr/>
            </w:pPr>
            <w:r>
              <w:rPr/>
              <w:t>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55" w:name="xdx_983_eus-gaap--ShareBasedCompensation"/>
            <w:bookmarkEnd w:id="655"/>
          </w:p>
        </w:tc>
        <w:tc>
          <w:tcPr>
            <w:tcW w:w="1060" w:type="dxa"/>
            <w:tcBorders/>
            <w:shd w:fill="CCEEFF" w:val="clear"/>
            <w:vAlign w:val="center"/>
          </w:tcPr>
          <w:p>
            <w:pPr>
              <w:pStyle w:val="TableContents"/>
              <w:bidi w:val="0"/>
              <w:spacing w:before="0" w:after="283"/>
              <w:jc w:val="right"/>
              <w:rPr/>
            </w:pPr>
            <w:r>
              <w:rPr/>
              <w:t>96,350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56" w:name="xdx_982_eus-gaap--SharebasedCompensation"/>
            <w:bookmarkEnd w:id="656"/>
          </w:p>
        </w:tc>
        <w:tc>
          <w:tcPr>
            <w:tcW w:w="646" w:type="dxa"/>
            <w:tcBorders/>
            <w:shd w:fill="CCEEFF" w:val="clear"/>
            <w:vAlign w:val="center"/>
          </w:tcPr>
          <w:p>
            <w:pPr>
              <w:pStyle w:val="TableContents"/>
              <w:bidi w:val="0"/>
              <w:spacing w:before="0" w:after="283"/>
              <w:jc w:val="right"/>
              <w:rPr/>
            </w:pPr>
            <w:r>
              <w:rPr/>
              <w:t>5.53</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657" w:name="xdx_903_eus-gaap--ShareBasedCompensation"/>
            <w:bookmarkEnd w:id="657"/>
            <w:r>
              <w:rPr/>
              <w:t>6.30</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658" w:name="xdx_987_eus-gaap--ShareBasedCompensation"/>
            <w:bookmarkEnd w:id="658"/>
          </w:p>
        </w:tc>
        <w:tc>
          <w:tcPr>
            <w:tcW w:w="1613" w:type="dxa"/>
            <w:tcBorders/>
            <w:shd w:fill="FFFFFF" w:val="clear"/>
            <w:vAlign w:val="center"/>
          </w:tcPr>
          <w:p>
            <w:pPr>
              <w:pStyle w:val="TableContents"/>
              <w:bidi w:val="0"/>
              <w:spacing w:before="0" w:after="283"/>
              <w:jc w:val="right"/>
              <w:rPr/>
            </w:pPr>
            <w:r>
              <w:rPr/>
              <w:t>285,000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659" w:name="xdx_905_eus-gaap--SharebasedCompensation"/>
            <w:bookmarkEnd w:id="659"/>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60" w:name="xdx_98A_eus-gaap--SharebasedCompensation"/>
            <w:bookmarkEnd w:id="660"/>
          </w:p>
        </w:tc>
        <w:tc>
          <w:tcPr>
            <w:tcW w:w="646" w:type="dxa"/>
            <w:tcBorders/>
            <w:shd w:fill="FFFFFF" w:val="clear"/>
            <w:vAlign w:val="center"/>
          </w:tcPr>
          <w:p>
            <w:pPr>
              <w:pStyle w:val="TableContents"/>
              <w:bidi w:val="0"/>
              <w:spacing w:before="0" w:after="283"/>
              <w:jc w:val="right"/>
              <w:rPr/>
            </w:pPr>
            <w:r>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661" w:name="xdx_984_eus-gaap--ShareBasedCompensation"/>
            <w:bookmarkEnd w:id="661"/>
          </w:p>
        </w:tc>
        <w:tc>
          <w:tcPr>
            <w:tcW w:w="1060" w:type="dxa"/>
            <w:tcBorders/>
            <w:shd w:fill="FFFFFF" w:val="clear"/>
            <w:vAlign w:val="center"/>
          </w:tcPr>
          <w:p>
            <w:pPr>
              <w:pStyle w:val="TableContents"/>
              <w:bidi w:val="0"/>
              <w:spacing w:before="0" w:after="283"/>
              <w:jc w:val="right"/>
              <w:rPr/>
            </w:pPr>
            <w:r>
              <w:rPr/>
              <w:t>285,000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62" w:name="xdx_985_eus-gaap--SharebasedCompensation"/>
            <w:bookmarkEnd w:id="662"/>
          </w:p>
        </w:tc>
        <w:tc>
          <w:tcPr>
            <w:tcW w:w="646" w:type="dxa"/>
            <w:tcBorders/>
            <w:shd w:fill="FFFFFF" w:val="clear"/>
            <w:vAlign w:val="center"/>
          </w:tcPr>
          <w:p>
            <w:pPr>
              <w:pStyle w:val="TableContents"/>
              <w:bidi w:val="0"/>
              <w:spacing w:before="0" w:after="283"/>
              <w:jc w:val="right"/>
              <w:rPr/>
            </w:pPr>
            <w:r>
              <w:rPr/>
              <w:t>6.30</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663" w:name="xdx_90E_eus-gaap--ShareBasedCompensation"/>
            <w:bookmarkEnd w:id="663"/>
            <w:r>
              <w:rPr/>
              <w:t>6.75 - $</w:t>
            </w:r>
            <w:bookmarkStart w:id="664" w:name="xdx_909_eus-gaap--ShareBasedCompensation"/>
            <w:bookmarkEnd w:id="664"/>
            <w:r>
              <w:rPr/>
              <w:t>7.26</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665" w:name="xdx_983_eus-gaap--ShareBasedCompensation"/>
            <w:bookmarkEnd w:id="665"/>
          </w:p>
        </w:tc>
        <w:tc>
          <w:tcPr>
            <w:tcW w:w="1613" w:type="dxa"/>
            <w:tcBorders/>
            <w:shd w:fill="CCEEFF" w:val="clear"/>
            <w:vAlign w:val="center"/>
          </w:tcPr>
          <w:p>
            <w:pPr>
              <w:pStyle w:val="TableContents"/>
              <w:bidi w:val="0"/>
              <w:spacing w:before="0" w:after="283"/>
              <w:jc w:val="right"/>
              <w:rPr/>
            </w:pPr>
            <w:r>
              <w:rPr/>
              <w:t>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666" w:name="xdx_90C_eus-gaap--SharebasedCompensation"/>
            <w:bookmarkEnd w:id="666"/>
            <w:r>
              <w:rPr/>
              <w:t>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67" w:name="xdx_986_eus-gaap--SharebasedCompensation"/>
            <w:bookmarkEnd w:id="667"/>
          </w:p>
        </w:tc>
        <w:tc>
          <w:tcPr>
            <w:tcW w:w="646" w:type="dxa"/>
            <w:tcBorders/>
            <w:shd w:fill="CCEEFF" w:val="clear"/>
            <w:vAlign w:val="center"/>
          </w:tcPr>
          <w:p>
            <w:pPr>
              <w:pStyle w:val="TableContents"/>
              <w:bidi w:val="0"/>
              <w:spacing w:before="0" w:after="283"/>
              <w:jc w:val="right"/>
              <w:rPr/>
            </w:pPr>
            <w:r>
              <w:rPr/>
              <w:t>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68" w:name="xdx_98E_eus-gaap--ShareBasedCompensation"/>
            <w:bookmarkEnd w:id="668"/>
          </w:p>
        </w:tc>
        <w:tc>
          <w:tcPr>
            <w:tcW w:w="1060" w:type="dxa"/>
            <w:tcBorders/>
            <w:shd w:fill="CCEEFF" w:val="clear"/>
            <w:vAlign w:val="center"/>
          </w:tcPr>
          <w:p>
            <w:pPr>
              <w:pStyle w:val="TableContents"/>
              <w:bidi w:val="0"/>
              <w:spacing w:before="0" w:after="283"/>
              <w:jc w:val="right"/>
              <w:rPr/>
            </w:pPr>
            <w:r>
              <w:rPr/>
              <w:t>24,979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69" w:name="xdx_98B_eus-gaap--SharebasedCompensation"/>
            <w:bookmarkEnd w:id="669"/>
          </w:p>
        </w:tc>
        <w:tc>
          <w:tcPr>
            <w:tcW w:w="646" w:type="dxa"/>
            <w:tcBorders/>
            <w:shd w:fill="CCEEFF" w:val="clear"/>
            <w:vAlign w:val="center"/>
          </w:tcPr>
          <w:p>
            <w:pPr>
              <w:pStyle w:val="TableContents"/>
              <w:bidi w:val="0"/>
              <w:spacing w:before="0" w:after="283"/>
              <w:jc w:val="right"/>
              <w:rPr/>
            </w:pPr>
            <w:r>
              <w:rPr/>
              <w:t>6.92</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670" w:name="xdx_903_eus-gaap--ShareBasedCompensation"/>
            <w:bookmarkEnd w:id="670"/>
            <w:r>
              <w:rPr/>
              <w:t>7.30</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671" w:name="xdx_987_eus-gaap--ShareBasedCompensation"/>
            <w:bookmarkEnd w:id="671"/>
          </w:p>
        </w:tc>
        <w:tc>
          <w:tcPr>
            <w:tcW w:w="1613" w:type="dxa"/>
            <w:tcBorders/>
            <w:shd w:fill="FFFFFF" w:val="clear"/>
            <w:vAlign w:val="center"/>
          </w:tcPr>
          <w:p>
            <w:pPr>
              <w:pStyle w:val="TableContents"/>
              <w:bidi w:val="0"/>
              <w:spacing w:before="0" w:after="283"/>
              <w:jc w:val="right"/>
              <w:rPr/>
            </w:pPr>
            <w:r>
              <w:rPr/>
              <w:t>274,500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672" w:name="xdx_901_eus-gaap--SharebasedCompensation"/>
            <w:bookmarkEnd w:id="672"/>
            <w:r>
              <w:rPr/>
              <w:t>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73" w:name="xdx_98C_eus-gaap--SharebasedCompensation"/>
            <w:bookmarkEnd w:id="673"/>
          </w:p>
        </w:tc>
        <w:tc>
          <w:tcPr>
            <w:tcW w:w="646" w:type="dxa"/>
            <w:tcBorders/>
            <w:shd w:fill="FFFFFF" w:val="clear"/>
            <w:vAlign w:val="center"/>
          </w:tcPr>
          <w:p>
            <w:pPr>
              <w:pStyle w:val="TableContents"/>
              <w:bidi w:val="0"/>
              <w:spacing w:before="0" w:after="283"/>
              <w:jc w:val="right"/>
              <w:rPr/>
            </w:pPr>
            <w:r>
              <w:rPr/>
              <w:t>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674" w:name="xdx_98C_eus-gaap--ShareBasedCompensation"/>
            <w:bookmarkEnd w:id="674"/>
          </w:p>
        </w:tc>
        <w:tc>
          <w:tcPr>
            <w:tcW w:w="1060" w:type="dxa"/>
            <w:tcBorders/>
            <w:shd w:fill="FFFFFF" w:val="clear"/>
            <w:vAlign w:val="center"/>
          </w:tcPr>
          <w:p>
            <w:pPr>
              <w:pStyle w:val="TableContents"/>
              <w:bidi w:val="0"/>
              <w:spacing w:before="0" w:after="283"/>
              <w:jc w:val="right"/>
              <w:rPr/>
            </w:pPr>
            <w:r>
              <w:rPr/>
              <w:t>274,500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75" w:name="xdx_980_eus-gaap--SharebasedCompensation"/>
            <w:bookmarkEnd w:id="675"/>
          </w:p>
        </w:tc>
        <w:tc>
          <w:tcPr>
            <w:tcW w:w="646" w:type="dxa"/>
            <w:tcBorders/>
            <w:shd w:fill="FFFFFF" w:val="clear"/>
            <w:vAlign w:val="center"/>
          </w:tcPr>
          <w:p>
            <w:pPr>
              <w:pStyle w:val="TableContents"/>
              <w:bidi w:val="0"/>
              <w:spacing w:before="0" w:after="283"/>
              <w:jc w:val="right"/>
              <w:rPr/>
            </w:pPr>
            <w:r>
              <w:rPr/>
              <w:t>7.30</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676" w:name="xdx_908_eus-gaap--ShareBasedCompensation"/>
            <w:bookmarkEnd w:id="676"/>
            <w:r>
              <w:rPr/>
              <w:t>7.37 - $</w:t>
            </w:r>
            <w:bookmarkStart w:id="677" w:name="xdx_907_eus-gaap--ShareBasedCompensation"/>
            <w:bookmarkEnd w:id="677"/>
            <w:r>
              <w:rPr/>
              <w:t>7.79</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678" w:name="xdx_981_eus-gaap--ShareBasedCompensation"/>
            <w:bookmarkEnd w:id="678"/>
          </w:p>
        </w:tc>
        <w:tc>
          <w:tcPr>
            <w:tcW w:w="1613" w:type="dxa"/>
            <w:tcBorders/>
            <w:shd w:fill="CCEEFF" w:val="clear"/>
            <w:vAlign w:val="center"/>
          </w:tcPr>
          <w:p>
            <w:pPr>
              <w:pStyle w:val="TableContents"/>
              <w:bidi w:val="0"/>
              <w:spacing w:before="0" w:after="283"/>
              <w:jc w:val="right"/>
              <w:rPr/>
            </w:pPr>
            <w:r>
              <w:rPr/>
              <w:t>204,261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679" w:name="xdx_900_eus-gaap--SharebasedCompensation"/>
            <w:bookmarkEnd w:id="679"/>
            <w:r>
              <w:rPr/>
              <w:t>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80" w:name="xdx_98E_eus-gaap--SharebasedCompensation"/>
            <w:bookmarkEnd w:id="680"/>
          </w:p>
        </w:tc>
        <w:tc>
          <w:tcPr>
            <w:tcW w:w="646"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81" w:name="xdx_987_eus-gaap--ShareBasedCompensation"/>
            <w:bookmarkEnd w:id="681"/>
          </w:p>
        </w:tc>
        <w:tc>
          <w:tcPr>
            <w:tcW w:w="1060" w:type="dxa"/>
            <w:tcBorders/>
            <w:shd w:fill="CCEEFF" w:val="clear"/>
            <w:vAlign w:val="center"/>
          </w:tcPr>
          <w:p>
            <w:pPr>
              <w:pStyle w:val="TableContents"/>
              <w:bidi w:val="0"/>
              <w:spacing w:before="0" w:after="283"/>
              <w:jc w:val="right"/>
              <w:rPr/>
            </w:pPr>
            <w:r>
              <w:rPr/>
              <w:t>155,136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82" w:name="xdx_984_eus-gaap--SharebasedCompensation"/>
            <w:bookmarkEnd w:id="682"/>
          </w:p>
        </w:tc>
        <w:tc>
          <w:tcPr>
            <w:tcW w:w="646" w:type="dxa"/>
            <w:tcBorders/>
            <w:shd w:fill="CCEEFF" w:val="clear"/>
            <w:vAlign w:val="center"/>
          </w:tcPr>
          <w:p>
            <w:pPr>
              <w:pStyle w:val="TableContents"/>
              <w:bidi w:val="0"/>
              <w:spacing w:before="0" w:after="283"/>
              <w:jc w:val="right"/>
              <w:rPr/>
            </w:pPr>
            <w:r>
              <w:rPr/>
              <w:t>7.47</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683" w:name="xdx_902_eus-gaap--ShareBasedCompensation"/>
            <w:bookmarkEnd w:id="683"/>
            <w:r>
              <w:rPr/>
              <w:t>7.87 - $</w:t>
            </w:r>
            <w:bookmarkStart w:id="684" w:name="xdx_906_eus-gaap--ShareBasedCompensation"/>
            <w:bookmarkEnd w:id="684"/>
            <w:r>
              <w:rPr/>
              <w:t>25.86</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85" w:name="xdx_988_eus-gaap--ShareBasedCompensation"/>
            <w:bookmarkEnd w:id="685"/>
          </w:p>
        </w:tc>
        <w:tc>
          <w:tcPr>
            <w:tcW w:w="1613" w:type="dxa"/>
            <w:tcBorders>
              <w:bottom w:val="single" w:sz="12" w:space="0" w:color="000000"/>
            </w:tcBorders>
            <w:shd w:fill="FFFFFF" w:val="clear"/>
            <w:tcMar>
              <w:bottom w:w="28" w:type="dxa"/>
            </w:tcMar>
            <w:vAlign w:val="center"/>
          </w:tcPr>
          <w:p>
            <w:pPr>
              <w:pStyle w:val="TableContents"/>
              <w:bidi w:val="0"/>
              <w:spacing w:before="0" w:after="283"/>
              <w:jc w:val="right"/>
              <w:rPr/>
            </w:pPr>
            <w:r>
              <w:rPr/>
              <w:t>826,610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686" w:name="xdx_90D_eus-gaap--SharebasedCompensation"/>
            <w:bookmarkEnd w:id="686"/>
            <w:r>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87" w:name="xdx_98D_eus-gaap--SharebasedCompensation"/>
            <w:bookmarkEnd w:id="687"/>
          </w:p>
        </w:tc>
        <w:tc>
          <w:tcPr>
            <w:tcW w:w="646" w:type="dxa"/>
            <w:tcBorders/>
            <w:shd w:fill="FFFFFF" w:val="clear"/>
            <w:vAlign w:val="center"/>
          </w:tcPr>
          <w:p>
            <w:pPr>
              <w:pStyle w:val="TableContents"/>
              <w:bidi w:val="0"/>
              <w:spacing w:before="0" w:after="283"/>
              <w:jc w:val="right"/>
              <w:rPr/>
            </w:pPr>
            <w:r>
              <w:rPr/>
              <w:t>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88" w:name="xdx_98E_eus-gaap--ShareBasedCompensation"/>
            <w:bookmarkEnd w:id="688"/>
          </w:p>
        </w:tc>
        <w:tc>
          <w:tcPr>
            <w:tcW w:w="1060" w:type="dxa"/>
            <w:tcBorders>
              <w:bottom w:val="single" w:sz="12" w:space="0" w:color="000000"/>
            </w:tcBorders>
            <w:shd w:fill="FFFFFF" w:val="clear"/>
            <w:tcMar>
              <w:bottom w:w="28" w:type="dxa"/>
            </w:tcMar>
            <w:vAlign w:val="center"/>
          </w:tcPr>
          <w:p>
            <w:pPr>
              <w:pStyle w:val="TableContents"/>
              <w:bidi w:val="0"/>
              <w:spacing w:before="0" w:after="283"/>
              <w:jc w:val="right"/>
              <w:rPr/>
            </w:pPr>
            <w:r>
              <w:rPr/>
              <w:t>654,012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689" w:name="xdx_986_eus-gaap--SharebasedCompensation"/>
            <w:bookmarkEnd w:id="689"/>
          </w:p>
        </w:tc>
        <w:tc>
          <w:tcPr>
            <w:tcW w:w="646" w:type="dxa"/>
            <w:tcBorders/>
            <w:shd w:fill="FFFFFF" w:val="clear"/>
            <w:vAlign w:val="center"/>
          </w:tcPr>
          <w:p>
            <w:pPr>
              <w:pStyle w:val="TableContents"/>
              <w:bidi w:val="0"/>
              <w:spacing w:before="0" w:after="283"/>
              <w:jc w:val="right"/>
              <w:rPr/>
            </w:pPr>
            <w:r>
              <w:rPr/>
              <w:t>8.01</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690" w:name="xdx_905_eus-gaap--ShareBasedCompensation"/>
            <w:bookmarkEnd w:id="690"/>
            <w:r>
              <w:rPr/>
              <w:t>1.47 - $</w:t>
            </w:r>
            <w:bookmarkStart w:id="691" w:name="xdx_907_eus-gaap--ShareBasedCompensation"/>
            <w:bookmarkEnd w:id="691"/>
            <w:r>
              <w:rPr/>
              <w:t>25.86</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2" w:name="xdx_985_eus-gaap--ShareBasedCompensation"/>
            <w:bookmarkEnd w:id="692"/>
          </w:p>
        </w:tc>
        <w:tc>
          <w:tcPr>
            <w:tcW w:w="1613" w:type="dxa"/>
            <w:tcBorders>
              <w:bottom w:val="double" w:sz="6" w:space="0" w:color="000000"/>
            </w:tcBorders>
            <w:shd w:fill="CCEEFF" w:val="clear"/>
            <w:tcMar>
              <w:bottom w:w="28" w:type="dxa"/>
            </w:tcMar>
            <w:vAlign w:val="center"/>
          </w:tcPr>
          <w:p>
            <w:pPr>
              <w:pStyle w:val="TableContents"/>
              <w:bidi w:val="0"/>
              <w:spacing w:before="0" w:after="283"/>
              <w:jc w:val="right"/>
              <w:rPr/>
            </w:pPr>
            <w:r>
              <w:rPr/>
              <w:t>2,668,016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693" w:name="xdx_90E_eus-gaap--SharebasedCompensation"/>
            <w:bookmarkEnd w:id="693"/>
            <w:r>
              <w:rPr/>
              <w:t>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94" w:name="xdx_98C_eus-gaap--SharebasedCompensation"/>
            <w:bookmarkEnd w:id="694"/>
          </w:p>
        </w:tc>
        <w:tc>
          <w:tcPr>
            <w:tcW w:w="646" w:type="dxa"/>
            <w:tcBorders/>
            <w:shd w:fill="CCEEFF" w:val="clear"/>
            <w:vAlign w:val="center"/>
          </w:tcPr>
          <w:p>
            <w:pPr>
              <w:pStyle w:val="TableContents"/>
              <w:bidi w:val="0"/>
              <w:spacing w:before="0" w:after="283"/>
              <w:jc w:val="right"/>
              <w:rPr/>
            </w:pPr>
            <w:r>
              <w:rPr/>
              <w:t>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5" w:name="xdx_98C_eus-gaap--ShareBasedCompensation"/>
            <w:bookmarkEnd w:id="695"/>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pPr>
            <w:r>
              <w:rPr/>
              <w:t>2,404,897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696" w:name="xdx_984_eus-gaap--SharebasedCompensation"/>
            <w:bookmarkEnd w:id="696"/>
          </w:p>
        </w:tc>
        <w:tc>
          <w:tcPr>
            <w:tcW w:w="646" w:type="dxa"/>
            <w:tcBorders/>
            <w:shd w:fill="CCEEFF" w:val="clear"/>
            <w:vAlign w:val="center"/>
          </w:tcPr>
          <w:p>
            <w:pPr>
              <w:pStyle w:val="TableContents"/>
              <w:bidi w:val="0"/>
              <w:spacing w:before="0" w:after="283"/>
              <w:jc w:val="right"/>
              <w:rPr/>
            </w:pPr>
            <w:r>
              <w:rPr/>
              <w:t>5.55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97" w:name="xdx_8A7_zeqCJNXxoob"/>
      <w:bookmarkEnd w:id="69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March 31, 2024, there was approximately $</w:t>
      </w:r>
      <w:bookmarkStart w:id="698" w:name="xdx_90C_eus-gaap--EmployeeServiceShareBa"/>
      <w:bookmarkEnd w:id="698"/>
      <w:r>
        <w:rPr>
          <w:rFonts w:ascii="Times New Roman;Times;Serif" w:hAnsi="Times New Roman;Times;Serif"/>
          <w:b w:val="false"/>
          <w:i w:val="false"/>
          <w:caps w:val="false"/>
          <w:smallCaps w:val="false"/>
          <w:sz w:val="20"/>
          <w:shd w:fill="FFFFFF" w:val="clear"/>
        </w:rPr>
        <w:t xml:space="preserve">1,815,000 of total unrecognized compensation expense related to unvested stock options granted under the Plans. That expense is expected to be recognized over the weighted-average remaining vesting period of </w:t>
      </w:r>
      <w:bookmarkStart w:id="699" w:name="xdx_905_eus-gaap--EmployeeServiceShareBa"/>
      <w:bookmarkEnd w:id="699"/>
      <w:r>
        <w:rPr>
          <w:rFonts w:ascii="Times New Roman;Times;Serif" w:hAnsi="Times New Roman;Times;Serif"/>
          <w:b w:val="false"/>
          <w:i w:val="false"/>
          <w:caps w:val="false"/>
          <w:smallCaps w:val="false"/>
          <w:sz w:val="20"/>
          <w:shd w:fill="FFFFFF" w:val="clear"/>
        </w:rPr>
        <w:t>2.81 years. The stock-based compensation for all stock options was $</w:t>
      </w:r>
      <w:bookmarkStart w:id="700" w:name="xdx_908_eus-gaap--ShareBasedCompensation"/>
      <w:bookmarkEnd w:id="700"/>
      <w:r>
        <w:rPr>
          <w:rFonts w:ascii="Times New Roman;Times;Serif" w:hAnsi="Times New Roman;Times;Serif"/>
          <w:b w:val="false"/>
          <w:i w:val="false"/>
          <w:caps w:val="false"/>
          <w:smallCaps w:val="false"/>
          <w:sz w:val="20"/>
          <w:shd w:fill="FFFFFF" w:val="clear"/>
        </w:rPr>
        <w:t>126,000 and $</w:t>
      </w:r>
      <w:bookmarkStart w:id="701" w:name="xdx_90A_eus-gaap--ShareBasedCompensation"/>
      <w:bookmarkEnd w:id="701"/>
      <w:r>
        <w:rPr>
          <w:rFonts w:ascii="Times New Roman;Times;Serif" w:hAnsi="Times New Roman;Times;Serif"/>
          <w:b w:val="false"/>
          <w:i w:val="false"/>
          <w:caps w:val="false"/>
          <w:smallCaps w:val="false"/>
          <w:sz w:val="20"/>
          <w:shd w:fill="FFFFFF" w:val="clear"/>
        </w:rPr>
        <w:t>341,000 during the three months ended March 31, 2024 and 2023,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of options exercised during the three months ended March 31, 2024 was $</w:t>
      </w:r>
      <w:bookmarkStart w:id="702" w:name="xdx_90E_eus-gaap--ShareBasedCompensation"/>
      <w:bookmarkEnd w:id="702"/>
      <w:r>
        <w:rPr>
          <w:rFonts w:ascii="Times New Roman;Times;Serif" w:hAnsi="Times New Roman;Times;Serif"/>
          <w:b w:val="false"/>
          <w:i w:val="false"/>
          <w:caps w:val="false"/>
          <w:smallCaps w:val="false"/>
          <w:sz w:val="20"/>
        </w:rPr>
        <w:t>139,000.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Restricted Stock Units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awards are granted subject to certain vesting requirements and other restrictions, including time-based performance and market-based vesting criteria. The grant date fair value of the RSUs, which has been determined based upon the market value of the Company’s common stock on the grant date, is expensed over the vesting period of the RSUs.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03" w:name="xdx_890_eus-gaap--ScheduleOfShareBasedCo"/>
      <w:bookmarkEnd w:id="703"/>
      <w:r>
        <w:rPr>
          <w:rFonts w:ascii="Times New Roman;Times;Serif" w:hAnsi="Times New Roman;Times;Serif"/>
          <w:b w:val="false"/>
          <w:i w:val="false"/>
          <w:caps w:val="false"/>
          <w:smallCaps w:val="false"/>
          <w:sz w:val="20"/>
        </w:rPr>
        <w:t>A summary of the Company’s RSU activity and related information for the three months ended March 31, 2024 is as follows:</w:t>
      </w:r>
    </w:p>
    <w:p>
      <w:pPr>
        <w:pStyle w:val="TextBody"/>
        <w:bidi w:val="0"/>
        <w:spacing w:before="0" w:after="0"/>
        <w:jc w:val="both"/>
        <w:rPr>
          <w:caps w:val="false"/>
          <w:smallCaps w:val="false"/>
        </w:rPr>
      </w:pPr>
      <w:r>
        <w:rPr>
          <w:caps w:val="false"/>
          <w:smallCaps w:val="false"/>
        </w:rPr>
        <w:t> </w:t>
      </w:r>
      <w:bookmarkStart w:id="704" w:name="xdx_8B2_ze02WShgEPXc"/>
      <w:bookmarkEnd w:id="704"/>
      <w:r>
        <w:rPr>
          <w:rFonts w:ascii="Times New Roman;Times;Serif" w:hAnsi="Times New Roman;Times;Serif"/>
          <w:b w:val="false"/>
          <w:i w:val="false"/>
          <w:caps w:val="false"/>
          <w:smallCaps w:val="false"/>
          <w:sz w:val="20"/>
        </w:rPr>
        <w:t>SCHEDULE OF RESTRICTED STOCK UNITS ACTIVITY</w:t>
      </w:r>
    </w:p>
    <w:tbl>
      <w:tblPr>
        <w:tblW w:w="9663" w:type="dxa"/>
        <w:jc w:val="left"/>
        <w:tblInd w:w="0" w:type="dxa"/>
        <w:tblLayout w:type="fixed"/>
        <w:tblCellMar>
          <w:top w:w="0" w:type="dxa"/>
          <w:left w:w="0" w:type="dxa"/>
          <w:bottom w:w="0" w:type="dxa"/>
          <w:right w:w="0" w:type="dxa"/>
        </w:tblCellMar>
      </w:tblPr>
      <w:tblGrid>
        <w:gridCol w:w="3215"/>
        <w:gridCol w:w="60"/>
        <w:gridCol w:w="120"/>
        <w:gridCol w:w="1759"/>
        <w:gridCol w:w="95"/>
        <w:gridCol w:w="60"/>
        <w:gridCol w:w="1032"/>
        <w:gridCol w:w="3247"/>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unvested - January 1, 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bookmarkStart w:id="705" w:name="xdx_985_eus-gaap--ShareBasedCompensation"/>
            <w:bookmarkEnd w:id="705"/>
          </w:p>
        </w:tc>
        <w:tc>
          <w:tcPr>
            <w:tcW w:w="1759" w:type="dxa"/>
            <w:tcBorders/>
            <w:shd w:fill="CCEEFF" w:val="clear"/>
            <w:vAlign w:val="center"/>
          </w:tcPr>
          <w:p>
            <w:pPr>
              <w:pStyle w:val="TableContents"/>
              <w:bidi w:val="0"/>
              <w:spacing w:before="0" w:after="283"/>
              <w:jc w:val="right"/>
              <w:rPr/>
            </w:pPr>
            <w:r>
              <w:rPr/>
              <w:t>363,029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w:t>
            </w:r>
            <w:bookmarkStart w:id="706" w:name="xdx_98A_eus-gaap--ShareBasedCompensation"/>
            <w:bookmarkEnd w:id="706"/>
          </w:p>
        </w:tc>
        <w:tc>
          <w:tcPr>
            <w:tcW w:w="3247" w:type="dxa"/>
            <w:tcBorders/>
            <w:shd w:fill="CCEEFF" w:val="clear"/>
            <w:vAlign w:val="center"/>
          </w:tcPr>
          <w:p>
            <w:pPr>
              <w:pStyle w:val="TableContents"/>
              <w:bidi w:val="0"/>
              <w:spacing w:before="0" w:after="283"/>
              <w:jc w:val="right"/>
              <w:rPr/>
            </w:pPr>
            <w:r>
              <w:rPr/>
              <w:t>9.23</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bookmarkStart w:id="707" w:name="xdx_986_eus-gaap--ShareBasedCompensation"/>
            <w:bookmarkEnd w:id="707"/>
          </w:p>
        </w:tc>
        <w:tc>
          <w:tcPr>
            <w:tcW w:w="1759" w:type="dxa"/>
            <w:tcBorders/>
            <w:shd w:fill="FFFFFF" w:val="clear"/>
            <w:vAlign w:val="center"/>
          </w:tcPr>
          <w:p>
            <w:pPr>
              <w:pStyle w:val="TableContents"/>
              <w:bidi w:val="0"/>
              <w:spacing w:before="0" w:after="283"/>
              <w:jc w:val="right"/>
              <w:rPr/>
            </w:pPr>
            <w:r>
              <w:rPr/>
              <w:t>6,238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bookmarkStart w:id="708" w:name="xdx_983_eus-gaap--ShareBasedCompensation"/>
            <w:bookmarkEnd w:id="708"/>
          </w:p>
        </w:tc>
        <w:tc>
          <w:tcPr>
            <w:tcW w:w="3247" w:type="dxa"/>
            <w:tcBorders/>
            <w:shd w:fill="FFFFFF" w:val="clear"/>
            <w:vAlign w:val="center"/>
          </w:tcPr>
          <w:p>
            <w:pPr>
              <w:pStyle w:val="TableContents"/>
              <w:bidi w:val="0"/>
              <w:spacing w:before="0" w:after="283"/>
              <w:jc w:val="right"/>
              <w:rPr/>
            </w:pPr>
            <w:r>
              <w:rPr/>
              <w:t>9.66</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vested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bookmarkStart w:id="709" w:name="xdx_98C_eus-gaap--ShareBasedCompensation"/>
            <w:bookmarkEnd w:id="709"/>
          </w:p>
        </w:tc>
        <w:tc>
          <w:tcPr>
            <w:tcW w:w="1759" w:type="dxa"/>
            <w:tcBorders/>
            <w:shd w:fill="CCEEFF" w:val="clear"/>
            <w:vAlign w:val="center"/>
          </w:tcPr>
          <w:p>
            <w:pPr>
              <w:pStyle w:val="TableContents"/>
              <w:bidi w:val="0"/>
              <w:spacing w:before="0" w:after="283"/>
              <w:jc w:val="right"/>
              <w:rPr/>
            </w:pPr>
            <w:r>
              <w:rPr/>
              <w:t>(283,389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bookmarkStart w:id="710" w:name="xdx_988_eus-gaap--ShareBasedCompensation"/>
            <w:bookmarkEnd w:id="710"/>
          </w:p>
        </w:tc>
        <w:tc>
          <w:tcPr>
            <w:tcW w:w="3247" w:type="dxa"/>
            <w:tcBorders/>
            <w:shd w:fill="CCEEFF" w:val="clear"/>
            <w:vAlign w:val="center"/>
          </w:tcPr>
          <w:p>
            <w:pPr>
              <w:pStyle w:val="TableContents"/>
              <w:bidi w:val="0"/>
              <w:spacing w:before="0" w:after="283"/>
              <w:jc w:val="right"/>
              <w:rPr/>
            </w:pPr>
            <w:r>
              <w:rPr/>
              <w:t>9.21</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RSUs cancelled/forfeited</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11" w:name="xdx_98B_eus-gaap--ShareBasedCompensation"/>
            <w:bookmarkEnd w:id="711"/>
          </w:p>
        </w:tc>
        <w:tc>
          <w:tcPr>
            <w:tcW w:w="1759" w:type="dxa"/>
            <w:tcBorders>
              <w:bottom w:val="single" w:sz="12" w:space="0" w:color="000000"/>
            </w:tcBorders>
            <w:shd w:fill="FFFFFF" w:val="clear"/>
            <w:tcMar>
              <w:bottom w:w="28" w:type="dxa"/>
            </w:tcMar>
            <w:vAlign w:val="center"/>
          </w:tcPr>
          <w:p>
            <w:pPr>
              <w:pStyle w:val="TableContents"/>
              <w:bidi w:val="0"/>
              <w:spacing w:before="0" w:after="283"/>
              <w:jc w:val="right"/>
              <w:rPr/>
            </w:pPr>
            <w:r>
              <w:rPr/>
              <w:t>(3,750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bookmarkStart w:id="712" w:name="xdx_989_eus-gaap--ShareBasedCompensation"/>
            <w:bookmarkEnd w:id="712"/>
          </w:p>
        </w:tc>
        <w:tc>
          <w:tcPr>
            <w:tcW w:w="3247" w:type="dxa"/>
            <w:tcBorders/>
            <w:shd w:fill="FFFFFF" w:val="clear"/>
            <w:vAlign w:val="center"/>
          </w:tcPr>
          <w:p>
            <w:pPr>
              <w:pStyle w:val="TableContents"/>
              <w:bidi w:val="0"/>
              <w:spacing w:before="0" w:after="283"/>
              <w:jc w:val="right"/>
              <w:rPr/>
            </w:pPr>
            <w:r>
              <w:rPr/>
              <w:t>8.10</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unvested - March 31, 2024</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13" w:name="xdx_98E_eus-gaap--ShareBasedCompensation"/>
            <w:bookmarkEnd w:id="713"/>
          </w:p>
        </w:tc>
        <w:tc>
          <w:tcPr>
            <w:tcW w:w="1759" w:type="dxa"/>
            <w:tcBorders>
              <w:bottom w:val="double" w:sz="6" w:space="0" w:color="000000"/>
            </w:tcBorders>
            <w:shd w:fill="CCEEFF" w:val="clear"/>
            <w:tcMar>
              <w:bottom w:w="28" w:type="dxa"/>
            </w:tcMar>
            <w:vAlign w:val="center"/>
          </w:tcPr>
          <w:p>
            <w:pPr>
              <w:pStyle w:val="TableContents"/>
              <w:bidi w:val="0"/>
              <w:spacing w:before="0" w:after="283"/>
              <w:jc w:val="right"/>
              <w:rPr/>
            </w:pPr>
            <w:r>
              <w:rPr/>
              <w:t>82,128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w:t>
            </w:r>
            <w:bookmarkStart w:id="714" w:name="xdx_98E_eus-gaap--ShareBasedCompensation"/>
            <w:bookmarkEnd w:id="714"/>
          </w:p>
        </w:tc>
        <w:tc>
          <w:tcPr>
            <w:tcW w:w="3247" w:type="dxa"/>
            <w:tcBorders/>
            <w:shd w:fill="CCEEFF" w:val="clear"/>
            <w:vAlign w:val="center"/>
          </w:tcPr>
          <w:p>
            <w:pPr>
              <w:pStyle w:val="TableContents"/>
              <w:bidi w:val="0"/>
              <w:spacing w:before="0" w:after="283"/>
              <w:jc w:val="right"/>
              <w:rPr/>
            </w:pPr>
            <w:r>
              <w:rPr/>
              <w:t>9.37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715" w:name="xdx_8AC_zdW6AlUJbzf6"/>
      <w:bookmarkEnd w:id="715"/>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March 31, 2024, the total unrecognized compensation expense related to unvested RSUs was approximately $</w:t>
      </w:r>
      <w:bookmarkStart w:id="716" w:name="xdx_909_eus-gaap--EmployeeServiceShareBa"/>
      <w:bookmarkEnd w:id="716"/>
      <w:r>
        <w:rPr>
          <w:rFonts w:ascii="Times New Roman;Times;Serif" w:hAnsi="Times New Roman;Times;Serif"/>
          <w:b w:val="false"/>
          <w:i w:val="false"/>
          <w:caps w:val="false"/>
          <w:smallCaps w:val="false"/>
          <w:sz w:val="20"/>
          <w:shd w:fill="FFFFFF" w:val="clear"/>
        </w:rPr>
        <w:t xml:space="preserve">859,000, which is expected to be recognized over a weighted-average period of </w:t>
      </w:r>
      <w:bookmarkStart w:id="717" w:name="xdx_904_eus-gaap--EmployeeServiceShareBa"/>
      <w:bookmarkEnd w:id="717"/>
      <w:r>
        <w:rPr>
          <w:rFonts w:ascii="Times New Roman;Times;Serif" w:hAnsi="Times New Roman;Times;Serif"/>
          <w:b w:val="false"/>
          <w:i w:val="false"/>
          <w:caps w:val="false"/>
          <w:smallCaps w:val="false"/>
          <w:sz w:val="20"/>
          <w:shd w:fill="FFFFFF" w:val="clear"/>
        </w:rPr>
        <w:t>2.2 years, based on estimated and actual vesting schedules of the applicable RSUs. The stock-based compensation for RSUs during the three months ended March 31, 2024 and 2023 was $</w:t>
      </w:r>
      <w:bookmarkStart w:id="718" w:name="xdx_907_eus-gaap--ShareBasedCompensation"/>
      <w:bookmarkEnd w:id="718"/>
      <w:r>
        <w:rPr>
          <w:rFonts w:ascii="Times New Roman;Times;Serif" w:hAnsi="Times New Roman;Times;Serif"/>
          <w:b w:val="false"/>
          <w:i w:val="false"/>
          <w:caps w:val="false"/>
          <w:smallCaps w:val="false"/>
          <w:sz w:val="20"/>
          <w:shd w:fill="FFFFFF" w:val="clear"/>
        </w:rPr>
        <w:t>405,000 and $</w:t>
      </w:r>
      <w:bookmarkStart w:id="719" w:name="xdx_90E_eus-gaap--ShareBasedCompensation"/>
      <w:bookmarkEnd w:id="719"/>
      <w:r>
        <w:rPr>
          <w:rFonts w:ascii="Times New Roman;Times;Serif" w:hAnsi="Times New Roman;Times;Serif"/>
          <w:b w:val="false"/>
          <w:i w:val="false"/>
          <w:caps w:val="false"/>
          <w:smallCaps w:val="false"/>
          <w:sz w:val="20"/>
          <w:shd w:fill="FFFFFF" w:val="clear"/>
        </w:rPr>
        <w:t>29,000,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20" w:name="xdx_896_ecustom--ScheduleOfShareBasedCom"/>
      <w:bookmarkEnd w:id="720"/>
      <w:r>
        <w:rPr>
          <w:rFonts w:ascii="Times New Roman;Times;Serif" w:hAnsi="Times New Roman;Times;Serif"/>
          <w:b w:val="false"/>
          <w:i w:val="false"/>
          <w:caps w:val="false"/>
          <w:smallCaps w:val="false"/>
          <w:sz w:val="20"/>
        </w:rPr>
        <w:t>A summary of the Company’s PSU activity and related information for the three months ended March 31, 2024 is as follows:</w:t>
      </w:r>
    </w:p>
    <w:p>
      <w:pPr>
        <w:pStyle w:val="TextBody"/>
        <w:bidi w:val="0"/>
        <w:spacing w:before="0" w:after="0"/>
        <w:jc w:val="both"/>
        <w:rPr>
          <w:caps w:val="false"/>
          <w:smallCaps w:val="false"/>
        </w:rPr>
      </w:pPr>
      <w:r>
        <w:rPr>
          <w:caps w:val="false"/>
          <w:smallCaps w:val="false"/>
        </w:rPr>
        <w:t> </w:t>
      </w:r>
      <w:bookmarkStart w:id="721" w:name="xdx_8B0_zAkxyhulFmJd"/>
      <w:bookmarkEnd w:id="721"/>
      <w:r>
        <w:rPr>
          <w:rFonts w:ascii="Times New Roman;Times;Serif" w:hAnsi="Times New Roman;Times;Serif"/>
          <w:b w:val="false"/>
          <w:i w:val="false"/>
          <w:caps w:val="false"/>
          <w:smallCaps w:val="false"/>
          <w:sz w:val="20"/>
        </w:rPr>
        <w:t>SCHEDULE OF PERFORMANCE STOCK UNITS ACTIVITY</w:t>
      </w:r>
    </w:p>
    <w:tbl>
      <w:tblPr>
        <w:tblW w:w="9644" w:type="dxa"/>
        <w:jc w:val="left"/>
        <w:tblInd w:w="0" w:type="dxa"/>
        <w:tblLayout w:type="fixed"/>
        <w:tblCellMar>
          <w:top w:w="0" w:type="dxa"/>
          <w:left w:w="0" w:type="dxa"/>
          <w:bottom w:w="0" w:type="dxa"/>
          <w:right w:w="0" w:type="dxa"/>
        </w:tblCellMar>
      </w:tblPr>
      <w:tblGrid>
        <w:gridCol w:w="3230"/>
        <w:gridCol w:w="60"/>
        <w:gridCol w:w="108"/>
        <w:gridCol w:w="1771"/>
        <w:gridCol w:w="60"/>
        <w:gridCol w:w="60"/>
        <w:gridCol w:w="856"/>
        <w:gridCol w:w="3424"/>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PSUs unvested – January 1, 2024</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722" w:name="xdx_986_eus-gaap--ShareBasedCompensation"/>
            <w:bookmarkEnd w:id="722"/>
          </w:p>
        </w:tc>
        <w:tc>
          <w:tcPr>
            <w:tcW w:w="1771" w:type="dxa"/>
            <w:tcBorders/>
            <w:shd w:fill="CCEEFF" w:val="clear"/>
            <w:vAlign w:val="center"/>
          </w:tcPr>
          <w:p>
            <w:pPr>
              <w:pStyle w:val="TableContents"/>
              <w:bidi w:val="0"/>
              <w:spacing w:before="0" w:after="283"/>
              <w:jc w:val="right"/>
              <w:rPr/>
            </w:pPr>
            <w:r>
              <w:rPr/>
              <w:t>1,567,913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723" w:name="xdx_98A_eus-gaap--ShareBasedCompensation"/>
            <w:bookmarkEnd w:id="723"/>
          </w:p>
        </w:tc>
        <w:tc>
          <w:tcPr>
            <w:tcW w:w="3424"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PSUs granted</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bookmarkStart w:id="724" w:name="xdx_985_eus-gaap--ShareBasedCompensation"/>
            <w:bookmarkEnd w:id="724"/>
          </w:p>
        </w:tc>
        <w:tc>
          <w:tcPr>
            <w:tcW w:w="1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PSUs vested</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725" w:name="xdx_98F_eus-gaap--ShareBasedCompensation"/>
            <w:bookmarkEnd w:id="725"/>
          </w:p>
        </w:tc>
        <w:tc>
          <w:tcPr>
            <w:tcW w:w="1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34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PSUs cancelled/forfeited</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26" w:name="xdx_986_eus-gaap--ShareBasedCompensation"/>
            <w:bookmarkEnd w:id="726"/>
          </w:p>
        </w:tc>
        <w:tc>
          <w:tcPr>
            <w:tcW w:w="17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PSUs unvested – March 31, 2024</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27" w:name="xdx_98B_eus-gaap--ShareBasedCompensation"/>
            <w:bookmarkEnd w:id="727"/>
          </w:p>
        </w:tc>
        <w:tc>
          <w:tcPr>
            <w:tcW w:w="1771" w:type="dxa"/>
            <w:tcBorders>
              <w:bottom w:val="double" w:sz="6" w:space="0" w:color="000000"/>
            </w:tcBorders>
            <w:shd w:fill="CCEEFF" w:val="clear"/>
            <w:tcMar>
              <w:bottom w:w="28" w:type="dxa"/>
            </w:tcMar>
            <w:vAlign w:val="center"/>
          </w:tcPr>
          <w:p>
            <w:pPr>
              <w:pStyle w:val="TableContents"/>
              <w:bidi w:val="0"/>
              <w:spacing w:before="0" w:after="283"/>
              <w:jc w:val="right"/>
              <w:rPr/>
            </w:pPr>
            <w:r>
              <w:rPr/>
              <w:t>1,567,913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728" w:name="xdx_98D_eus-gaap--ShareBasedCompensation"/>
            <w:bookmarkEnd w:id="728"/>
          </w:p>
        </w:tc>
        <w:tc>
          <w:tcPr>
            <w:tcW w:w="3424"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729" w:name="xdx_8A1_zhKboQ8SDcNj"/>
      <w:bookmarkEnd w:id="729"/>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 total unrecognized compensation expense related to unvested PSUs was approximately $</w:t>
      </w:r>
      <w:bookmarkStart w:id="730" w:name="xdx_902_eus-gaap--EmployeeServiceShareBa"/>
      <w:bookmarkEnd w:id="730"/>
      <w:r>
        <w:rPr>
          <w:rFonts w:ascii="Times New Roman;Times;Serif" w:hAnsi="Times New Roman;Times;Serif"/>
          <w:b w:val="false"/>
          <w:i w:val="false"/>
          <w:caps w:val="false"/>
          <w:smallCaps w:val="false"/>
          <w:sz w:val="20"/>
        </w:rPr>
        <w:t xml:space="preserve">14,553,000, which is expected to be recognized over a weighted-average period of </w:t>
      </w:r>
      <w:bookmarkStart w:id="731" w:name="xdx_907_eus-gaap--EmployeeServiceShareBa"/>
      <w:bookmarkEnd w:id="731"/>
      <w:r>
        <w:rPr>
          <w:rFonts w:ascii="Times New Roman;Times;Serif" w:hAnsi="Times New Roman;Times;Serif"/>
          <w:b w:val="false"/>
          <w:i w:val="false"/>
          <w:caps w:val="false"/>
          <w:smallCaps w:val="false"/>
          <w:sz w:val="20"/>
        </w:rPr>
        <w:t>1.01 years, based on estimated and actual vesting schedules of the applicable PSUs. The stock-based compensation for PSUs during the three months ended March 31, 2024 and 2023 was $</w:t>
      </w:r>
      <w:bookmarkStart w:id="732" w:name="xdx_90E_eus-gaap--ShareBasedCompensation"/>
      <w:bookmarkEnd w:id="732"/>
      <w:r>
        <w:rPr>
          <w:rFonts w:ascii="Times New Roman;Times;Serif" w:hAnsi="Times New Roman;Times;Serif"/>
          <w:b w:val="false"/>
          <w:i w:val="false"/>
          <w:caps w:val="false"/>
          <w:smallCaps w:val="false"/>
          <w:sz w:val="20"/>
        </w:rPr>
        <w:t>3,638,000 and $</w:t>
      </w:r>
      <w:bookmarkStart w:id="733" w:name="xdx_901_eus-gaap--ShareBasedCompensation"/>
      <w:bookmarkEnd w:id="733"/>
      <w:r>
        <w:rPr>
          <w:rFonts w:ascii="Times New Roman;Times;Serif" w:hAnsi="Times New Roman;Times;Serif"/>
          <w:b w:val="false"/>
          <w:i w:val="false"/>
          <w:caps w:val="false"/>
          <w:smallCaps w:val="false"/>
          <w:sz w:val="20"/>
        </w:rPr>
        <w:t>1,263,000, respectively.</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Summary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34" w:name="xdx_89E_eus-gaap--ScheduleOfShareBasedCo"/>
      <w:bookmarkEnd w:id="734"/>
      <w:r>
        <w:rPr>
          <w:rFonts w:ascii="Times New Roman;Times;Serif" w:hAnsi="Times New Roman;Times;Serif"/>
          <w:b w:val="false"/>
          <w:i w:val="false"/>
          <w:caps w:val="false"/>
          <w:smallCaps w:val="false"/>
          <w:sz w:val="20"/>
        </w:rPr>
        <w:t>The Company recorded stock-based compensation related to equity instruments granted to employees, directors and consultants as follows:</w:t>
      </w:r>
    </w:p>
    <w:p>
      <w:pPr>
        <w:pStyle w:val="TextBody"/>
        <w:bidi w:val="0"/>
        <w:spacing w:before="0" w:after="0"/>
        <w:jc w:val="both"/>
        <w:rPr>
          <w:caps w:val="false"/>
          <w:smallCaps w:val="false"/>
        </w:rPr>
      </w:pPr>
      <w:r>
        <w:rPr>
          <w:caps w:val="false"/>
          <w:smallCaps w:val="false"/>
        </w:rPr>
        <w:t> </w:t>
      </w:r>
      <w:bookmarkStart w:id="735" w:name="xdx_8B6_zXiNJBCjWPj3"/>
      <w:bookmarkEnd w:id="735"/>
      <w:r>
        <w:rPr>
          <w:rFonts w:ascii="Times New Roman;Times;Serif" w:hAnsi="Times New Roman;Times;Serif"/>
          <w:b w:val="false"/>
          <w:i w:val="false"/>
          <w:caps w:val="false"/>
          <w:smallCaps w:val="false"/>
          <w:sz w:val="20"/>
        </w:rPr>
        <w:t>SCHEDULE OF STOCK BASED COMPENSATION GRANTED TO EMPLOYEES, DIRECTORS AND CONSULTANTS</w:t>
      </w:r>
    </w:p>
    <w:tbl>
      <w:tblPr>
        <w:tblW w:w="8481" w:type="dxa"/>
        <w:jc w:val="left"/>
        <w:tblInd w:w="0" w:type="dxa"/>
        <w:tblLayout w:type="fixed"/>
        <w:tblCellMar>
          <w:top w:w="0" w:type="dxa"/>
          <w:left w:w="0" w:type="dxa"/>
          <w:bottom w:w="0" w:type="dxa"/>
          <w:right w:w="0" w:type="dxa"/>
        </w:tblCellMar>
      </w:tblPr>
      <w:tblGrid>
        <w:gridCol w:w="4550"/>
        <w:gridCol w:w="60"/>
        <w:gridCol w:w="225"/>
        <w:gridCol w:w="1577"/>
        <w:gridCol w:w="96"/>
        <w:gridCol w:w="96"/>
        <w:gridCol w:w="225"/>
        <w:gridCol w:w="1577"/>
        <w:gridCol w:w="7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6" w:name="xdx_490_20240101__20240331_zDIMmSnW2Uhc"/>
            <w:bookmarkEnd w:id="736"/>
          </w:p>
        </w:tc>
        <w:tc>
          <w:tcPr>
            <w:tcW w:w="1802"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bookmarkStart w:id="737" w:name="xdx_497_20230101__20230331_zVqaWLPDKCoc"/>
            <w:bookmarkEnd w:id="737"/>
          </w:p>
        </w:tc>
        <w:tc>
          <w:tcPr>
            <w:tcW w:w="1802"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6" w:type="dxa"/>
            <w:gridSpan w:val="6"/>
            <w:tcBorders>
              <w:bottom w:val="single" w:sz="12" w:space="0" w:color="000000"/>
            </w:tcBorders>
            <w:tcMar>
              <w:bottom w:w="28" w:type="dxa"/>
            </w:tcMar>
            <w:vAlign w:val="center"/>
          </w:tcPr>
          <w:p>
            <w:pPr>
              <w:pStyle w:val="TableContents"/>
              <w:bidi w:val="0"/>
              <w:spacing w:before="0" w:after="283"/>
              <w:jc w:val="center"/>
              <w:rPr/>
            </w:pPr>
            <w:r>
              <w:rPr/>
              <w:t>For the Three Months Ended March 31,</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2"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02"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bookmarkStart w:id="738" w:name="xdx_40A_eus-gaap--AllocatedShareBasedCom"/>
            <w:bookmarkEnd w:id="738"/>
          </w:p>
        </w:tc>
      </w:tr>
      <w:tr>
        <w:trPr/>
        <w:tc>
          <w:tcPr>
            <w:tcW w:w="4550" w:type="dxa"/>
            <w:tcBorders/>
            <w:shd w:fill="CCEEFF" w:val="clear"/>
            <w:vAlign w:val="center"/>
          </w:tcPr>
          <w:p>
            <w:pPr>
              <w:pStyle w:val="TableContents"/>
              <w:bidi w:val="0"/>
              <w:spacing w:before="0" w:after="283"/>
              <w:jc w:val="left"/>
              <w:rPr/>
            </w:pPr>
            <w:r>
              <w:rPr/>
              <w:t>Employees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577" w:type="dxa"/>
            <w:tcBorders/>
            <w:shd w:fill="CCEEFF" w:val="clear"/>
            <w:vAlign w:val="center"/>
          </w:tcPr>
          <w:p>
            <w:pPr>
              <w:pStyle w:val="TableContents"/>
              <w:bidi w:val="0"/>
              <w:spacing w:before="0" w:after="283"/>
              <w:jc w:val="right"/>
              <w:rPr/>
            </w:pPr>
            <w:r>
              <w:rPr/>
              <w:t>3,525,000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577" w:type="dxa"/>
            <w:tcBorders/>
            <w:shd w:fill="CCEEFF" w:val="clear"/>
            <w:vAlign w:val="center"/>
          </w:tcPr>
          <w:p>
            <w:pPr>
              <w:pStyle w:val="TableContents"/>
              <w:bidi w:val="0"/>
              <w:spacing w:before="0" w:after="283"/>
              <w:jc w:val="right"/>
              <w:rPr/>
            </w:pPr>
            <w:r>
              <w:rPr/>
              <w:t>1,328,000</w:t>
            </w:r>
          </w:p>
        </w:tc>
        <w:tc>
          <w:tcPr>
            <w:tcW w:w="75" w:type="dxa"/>
            <w:tcBorders/>
            <w:shd w:fill="CCEEFF" w:val="clear"/>
            <w:vAlign w:val="center"/>
          </w:tcPr>
          <w:p>
            <w:pPr>
              <w:pStyle w:val="TableContents"/>
              <w:bidi w:val="0"/>
              <w:spacing w:before="0" w:after="283"/>
              <w:jc w:val="left"/>
              <w:rPr/>
            </w:pPr>
            <w:r>
              <w:rPr/>
              <w:t> </w:t>
            </w:r>
            <w:bookmarkStart w:id="739" w:name="xdx_407_eus-gaap--AllocatedShareBasedCom"/>
            <w:bookmarkEnd w:id="739"/>
          </w:p>
        </w:tc>
      </w:tr>
      <w:tr>
        <w:trPr/>
        <w:tc>
          <w:tcPr>
            <w:tcW w:w="4550" w:type="dxa"/>
            <w:tcBorders/>
            <w:shd w:fill="FFFFFF" w:val="clear"/>
            <w:vAlign w:val="center"/>
          </w:tcPr>
          <w:p>
            <w:pPr>
              <w:pStyle w:val="TableContents"/>
              <w:bidi w:val="0"/>
              <w:spacing w:before="0" w:after="283"/>
              <w:jc w:val="left"/>
              <w:rPr/>
            </w:pPr>
            <w:r>
              <w:rPr/>
              <w:t>Employees – research and development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7" w:type="dxa"/>
            <w:tcBorders/>
            <w:shd w:fill="FFFFFF" w:val="clear"/>
            <w:vAlign w:val="center"/>
          </w:tcPr>
          <w:p>
            <w:pPr>
              <w:pStyle w:val="TableContents"/>
              <w:bidi w:val="0"/>
              <w:spacing w:before="0" w:after="283"/>
              <w:jc w:val="right"/>
              <w:rPr/>
            </w:pPr>
            <w:r>
              <w:rPr/>
              <w:t>439,000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7" w:type="dxa"/>
            <w:tcBorders/>
            <w:shd w:fill="FFFFFF" w:val="clear"/>
            <w:vAlign w:val="center"/>
          </w:tcPr>
          <w:p>
            <w:pPr>
              <w:pStyle w:val="TableContents"/>
              <w:bidi w:val="0"/>
              <w:spacing w:before="0" w:after="283"/>
              <w:jc w:val="right"/>
              <w:rPr/>
            </w:pPr>
            <w:r>
              <w:rPr/>
              <w:t>163,000</w:t>
            </w:r>
          </w:p>
        </w:tc>
        <w:tc>
          <w:tcPr>
            <w:tcW w:w="75" w:type="dxa"/>
            <w:tcBorders/>
            <w:shd w:fill="FFFFFF" w:val="clear"/>
            <w:vAlign w:val="center"/>
          </w:tcPr>
          <w:p>
            <w:pPr>
              <w:pStyle w:val="TableContents"/>
              <w:bidi w:val="0"/>
              <w:spacing w:before="0" w:after="283"/>
              <w:jc w:val="left"/>
              <w:rPr/>
            </w:pPr>
            <w:r>
              <w:rPr/>
              <w:t> </w:t>
            </w:r>
            <w:bookmarkStart w:id="740" w:name="xdx_402_eus-gaap--AllocatedShareBasedCom"/>
            <w:bookmarkEnd w:id="740"/>
          </w:p>
        </w:tc>
      </w:tr>
      <w:tr>
        <w:trPr/>
        <w:tc>
          <w:tcPr>
            <w:tcW w:w="4550" w:type="dxa"/>
            <w:tcBorders/>
            <w:shd w:fill="CCEEFF" w:val="clear"/>
            <w:vAlign w:val="center"/>
          </w:tcPr>
          <w:p>
            <w:pPr>
              <w:pStyle w:val="TableContents"/>
              <w:bidi w:val="0"/>
              <w:spacing w:before="0" w:after="283"/>
              <w:jc w:val="left"/>
              <w:rPr/>
            </w:pPr>
            <w:r>
              <w:rPr/>
              <w:t>Directors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188,000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125,000</w:t>
            </w:r>
          </w:p>
        </w:tc>
        <w:tc>
          <w:tcPr>
            <w:tcW w:w="75" w:type="dxa"/>
            <w:tcBorders/>
            <w:shd w:fill="CCEEFF" w:val="clear"/>
            <w:vAlign w:val="center"/>
          </w:tcPr>
          <w:p>
            <w:pPr>
              <w:pStyle w:val="TableContents"/>
              <w:bidi w:val="0"/>
              <w:spacing w:before="0" w:after="283"/>
              <w:jc w:val="left"/>
              <w:rPr/>
            </w:pPr>
            <w:r>
              <w:rPr/>
              <w:t> </w:t>
            </w:r>
            <w:bookmarkStart w:id="741" w:name="xdx_409_eus-gaap--AllocatedShareBasedCom"/>
            <w:bookmarkEnd w:id="741"/>
          </w:p>
        </w:tc>
      </w:tr>
      <w:tr>
        <w:trPr/>
        <w:tc>
          <w:tcPr>
            <w:tcW w:w="4550" w:type="dxa"/>
            <w:tcBorders/>
            <w:shd w:fill="FFFFFF" w:val="clear"/>
            <w:vAlign w:val="center"/>
          </w:tcPr>
          <w:p>
            <w:pPr>
              <w:pStyle w:val="TableContents"/>
              <w:bidi w:val="0"/>
              <w:spacing w:before="0" w:after="283"/>
              <w:jc w:val="left"/>
              <w:rPr/>
            </w:pPr>
            <w:r>
              <w:rPr/>
              <w:t>Consultants - selling, general and administrative</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7" w:type="dxa"/>
            <w:tcBorders>
              <w:bottom w:val="single" w:sz="12" w:space="0" w:color="000000"/>
            </w:tcBorders>
            <w:shd w:fill="FFFFFF" w:val="clear"/>
            <w:tcMar>
              <w:bottom w:w="28" w:type="dxa"/>
            </w:tcMar>
            <w:vAlign w:val="center"/>
          </w:tcPr>
          <w:p>
            <w:pPr>
              <w:pStyle w:val="TableContents"/>
              <w:bidi w:val="0"/>
              <w:spacing w:before="0" w:after="283"/>
              <w:jc w:val="right"/>
              <w:rPr/>
            </w:pPr>
            <w:r>
              <w:rPr/>
              <w:t>17,000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7" w:type="dxa"/>
            <w:tcBorders>
              <w:bottom w:val="single" w:sz="12" w:space="0" w:color="000000"/>
            </w:tcBorders>
            <w:shd w:fill="FFFFFF" w:val="clear"/>
            <w:tcMar>
              <w:bottom w:w="28" w:type="dxa"/>
            </w:tcMar>
            <w:vAlign w:val="center"/>
          </w:tcPr>
          <w:p>
            <w:pPr>
              <w:pStyle w:val="TableContents"/>
              <w:bidi w:val="0"/>
              <w:spacing w:before="0" w:after="283"/>
              <w:jc w:val="right"/>
              <w:rPr/>
            </w:pPr>
            <w:r>
              <w:rPr/>
              <w:t>17,000</w:t>
            </w:r>
          </w:p>
        </w:tc>
        <w:tc>
          <w:tcPr>
            <w:tcW w:w="75" w:type="dxa"/>
            <w:tcBorders/>
            <w:shd w:fill="FFFFFF" w:val="clear"/>
            <w:vAlign w:val="center"/>
          </w:tcPr>
          <w:p>
            <w:pPr>
              <w:pStyle w:val="TableContents"/>
              <w:bidi w:val="0"/>
              <w:spacing w:before="0" w:after="283"/>
              <w:jc w:val="left"/>
              <w:rPr/>
            </w:pPr>
            <w:r>
              <w:rPr/>
              <w:t> </w:t>
            </w:r>
            <w:bookmarkStart w:id="742" w:name="xdx_409_eus-gaap--AllocatedShareBasedCom"/>
            <w:bookmarkEnd w:id="742"/>
          </w:p>
        </w:tc>
      </w:tr>
      <w:tr>
        <w:trPr/>
        <w:tc>
          <w:tcPr>
            <w:tcW w:w="45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7" w:type="dxa"/>
            <w:tcBorders>
              <w:bottom w:val="double" w:sz="6" w:space="0" w:color="000000"/>
            </w:tcBorders>
            <w:shd w:fill="CCEEFF" w:val="clear"/>
            <w:tcMar>
              <w:bottom w:w="28" w:type="dxa"/>
            </w:tcMar>
            <w:vAlign w:val="center"/>
          </w:tcPr>
          <w:p>
            <w:pPr>
              <w:pStyle w:val="TableContents"/>
              <w:bidi w:val="0"/>
              <w:spacing w:before="0" w:after="283"/>
              <w:jc w:val="right"/>
              <w:rPr/>
            </w:pPr>
            <w:r>
              <w:rPr/>
              <w:t>4,169,000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7" w:type="dxa"/>
            <w:tcBorders>
              <w:bottom w:val="double" w:sz="6" w:space="0" w:color="000000"/>
            </w:tcBorders>
            <w:shd w:fill="CCEEFF" w:val="clear"/>
            <w:tcMar>
              <w:bottom w:w="28" w:type="dxa"/>
            </w:tcMar>
            <w:vAlign w:val="center"/>
          </w:tcPr>
          <w:p>
            <w:pPr>
              <w:pStyle w:val="TableContents"/>
              <w:bidi w:val="0"/>
              <w:spacing w:before="0" w:after="283"/>
              <w:jc w:val="right"/>
              <w:rPr/>
            </w:pPr>
            <w:r>
              <w:rPr/>
              <w:t>1,633,000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743" w:name="xdx_8AB_zluRgzZ4R3Vj"/>
      <w:bookmarkEnd w:id="743"/>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44" w:name="xdx_80A_eus-gaap--CommitmentsAndContinge"/>
      <w:bookmarkEnd w:id="744"/>
      <w:r>
        <w:rPr>
          <w:rFonts w:ascii="Times New Roman;Times;Serif" w:hAnsi="Times New Roman;Times;Serif"/>
          <w:b/>
          <w:i w:val="false"/>
          <w:caps w:val="false"/>
          <w:smallCaps w:val="false"/>
          <w:sz w:val="20"/>
        </w:rPr>
        <w:t xml:space="preserve">NOTE 14. </w:t>
      </w:r>
      <w:bookmarkStart w:id="745" w:name="xdx_82A_zklJwgyPl1G8"/>
      <w:bookmarkEnd w:id="745"/>
      <w:r>
        <w:rPr>
          <w:rFonts w:ascii="Times New Roman;Times;Serif" w:hAnsi="Times New Roman;Times;Serif"/>
          <w:b/>
          <w:i w:val="false"/>
          <w:caps w:val="false"/>
          <w:smallCaps w:val="false"/>
          <w:sz w:val="20"/>
        </w:rPr>
        <w:t xml:space="preserve">COMMITMENTS AND CONTINGENCIES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Other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footnote.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faces often extend for several years. While it is not possible to accurately predict or determine the eventual outcomes of matters that have not concluded, an adverse determination in one or more of the matters (whether discussed in this footnote or not) currently pending may have a material adverse effect on the Company’s condensed consolidated results of operations, financial position or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Ocular Science, Inc. et. 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ImprimisRx is seeking damages from OSRX. Since July 2021, the complaint has been amended and OSRX added counterclaims alleging ImprimisRx, LLC is violating the Lanham Act with false advertising. Both parties are seeking damages from the other. The Company expects the trial to take place in August 2024.</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Professional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License and Related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FDA Approved Product Acquisitions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 During the three months ended March 31, 2024 and 2023, $</w:t>
      </w:r>
      <w:bookmarkStart w:id="746" w:name="xdx_906_eus-gaap--RoyaltyExpense_c202401"/>
      <w:bookmarkEnd w:id="746"/>
      <w:r>
        <w:rPr>
          <w:rFonts w:ascii="Times New Roman;Times;Serif" w:hAnsi="Times New Roman;Times;Serif"/>
          <w:b w:val="false"/>
          <w:i w:val="false"/>
          <w:caps w:val="false"/>
          <w:smallCaps w:val="false"/>
          <w:sz w:val="20"/>
        </w:rPr>
        <w:t>274,000 and $</w:t>
      </w:r>
      <w:bookmarkStart w:id="747" w:name="xdx_909_eus-gaap--RoyaltyExpense_c202301"/>
      <w:bookmarkEnd w:id="747"/>
      <w:r>
        <w:rPr>
          <w:rFonts w:ascii="Times New Roman;Times;Serif" w:hAnsi="Times New Roman;Times;Serif"/>
          <w:b w:val="false"/>
          <w:i w:val="false"/>
          <w:caps w:val="false"/>
          <w:smallCaps w:val="false"/>
          <w:sz w:val="20"/>
        </w:rPr>
        <w:t>0 were incurred under these agreements as royalty expenses, respectively. The Company incurred $</w:t>
      </w:r>
      <w:bookmarkStart w:id="748" w:name="xdx_90B_ecustom--UpfrontAndMilestonePaym"/>
      <w:bookmarkEnd w:id="748"/>
      <w:r>
        <w:rPr>
          <w:rFonts w:ascii="Times New Roman;Times;Serif" w:hAnsi="Times New Roman;Times;Serif"/>
          <w:b w:val="false"/>
          <w:i w:val="false"/>
          <w:caps w:val="false"/>
          <w:smallCaps w:val="false"/>
          <w:sz w:val="20"/>
        </w:rPr>
        <w:t>0 and $</w:t>
      </w:r>
      <w:bookmarkStart w:id="749" w:name="xdx_904_ecustom--UpfrontAndMilestonePaym"/>
      <w:bookmarkEnd w:id="749"/>
      <w:r>
        <w:rPr>
          <w:rFonts w:ascii="Times New Roman;Times;Serif" w:hAnsi="Times New Roman;Times;Serif"/>
          <w:b w:val="false"/>
          <w:i w:val="false"/>
          <w:caps w:val="false"/>
          <w:smallCaps w:val="false"/>
          <w:sz w:val="20"/>
        </w:rPr>
        <w:t>5,000,000 related to upfront and milestone payments under these agreements during the three months ended March 31, 2024 and 2023, respectively. As of March 31, 2024, the remaining contingent consideration payable pursuant to these agreements were not considered probable and reasonably estimable and therefore, no amount was accrued related to these contingent obligations during the three months ended March 31, 2024. At the time contingent consideration payable becomes probable and reasonably estimable the additional consideration, if any, paid will be allocated to the assets based on their initial estimated fair values as a percent of the total purchase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Formulation Acquisitions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acquired and sourced intellectual property rights related to certain proprietary innovations from certain inventors, innovator companies and related parties (the “Inventors”) through multiple asset purchase agreements and license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these intellectual property rights, the Company is obligated to make payments to the Inventors based on the completion of certain milestones, generally consisting of: (1) a payment payable within 30 to 45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months ended March 31, 2024 and 2023, $</w:t>
      </w:r>
      <w:bookmarkStart w:id="750" w:name="xdx_908_eus-gaap--RoyaltyExpense_c202401"/>
      <w:bookmarkEnd w:id="750"/>
      <w:r>
        <w:rPr>
          <w:rFonts w:ascii="Times New Roman;Times;Serif" w:hAnsi="Times New Roman;Times;Serif"/>
          <w:b w:val="false"/>
          <w:i w:val="false"/>
          <w:caps w:val="false"/>
          <w:smallCaps w:val="false"/>
          <w:sz w:val="20"/>
        </w:rPr>
        <w:t>180,000 and $</w:t>
      </w:r>
      <w:bookmarkStart w:id="751" w:name="xdx_905_eus-gaap--RoyaltyExpense_c202301"/>
      <w:bookmarkEnd w:id="751"/>
      <w:r>
        <w:rPr>
          <w:rFonts w:ascii="Times New Roman;Times;Serif" w:hAnsi="Times New Roman;Times;Serif"/>
          <w:b w:val="false"/>
          <w:i w:val="false"/>
          <w:caps w:val="false"/>
          <w:smallCaps w:val="false"/>
          <w:sz w:val="20"/>
        </w:rPr>
        <w:t>376,000 were incurred under these agreements as royalty expenses, respectively.</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52" w:name="xdx_90E_ecustom--DescriptionForCommissio"/>
      <w:bookmarkEnd w:id="752"/>
      <w:r>
        <w:rPr>
          <w:rFonts w:ascii="Times New Roman;Times;Serif" w:hAnsi="Times New Roman;Times;Serif"/>
          <w:b w:val="false"/>
          <w:i w:val="false"/>
          <w:caps w:val="false"/>
          <w:smallCaps w:val="false"/>
          <w:sz w:val="20"/>
        </w:rPr>
        <w:t xml:space="preserve">Under the terms of the sales and marketing agreements, the Company was generally required to make commission payments equal to </w:t>
      </w:r>
      <w:bookmarkStart w:id="753" w:name="xdx_90E_ecustom--CommissionPaymentsPerce"/>
      <w:bookmarkEnd w:id="753"/>
      <w:r>
        <w:rPr>
          <w:rFonts w:ascii="Times New Roman;Times;Serif" w:hAnsi="Times New Roman;Times;Serif"/>
          <w:b w:val="false"/>
          <w:i w:val="false"/>
          <w:caps w:val="false"/>
          <w:smallCaps w:val="false"/>
          <w:sz w:val="20"/>
        </w:rPr>
        <w:t xml:space="preserve">10% to </w:t>
      </w:r>
      <w:bookmarkStart w:id="754" w:name="xdx_90F_ecustom--CommissionPaymentsPerce"/>
      <w:bookmarkEnd w:id="754"/>
      <w:r>
        <w:rPr>
          <w:rFonts w:ascii="Times New Roman;Times;Serif" w:hAnsi="Times New Roman;Times;Serif"/>
          <w:b w:val="false"/>
          <w:i w:val="false"/>
          <w:caps w:val="false"/>
          <w:smallCaps w:val="false"/>
          <w:sz w:val="20"/>
        </w:rPr>
        <w:t>14% of net sales for products above and beyond the initial existing sales amounts. In addition, the Company was required to make periodic milestone payments to certain organizations in shares of the Company’s restricted common stock if net sales in the assigned territory reach certain future levels by the end of their terms. Commission expenses of $</w:t>
      </w:r>
      <w:bookmarkStart w:id="755" w:name="xdx_901_eus-gaap--SalesCommissionsAndFee"/>
      <w:bookmarkEnd w:id="755"/>
      <w:r>
        <w:rPr>
          <w:rFonts w:ascii="Times New Roman;Times;Serif" w:hAnsi="Times New Roman;Times;Serif"/>
          <w:b w:val="false"/>
          <w:i w:val="false"/>
          <w:caps w:val="false"/>
          <w:smallCaps w:val="false"/>
          <w:sz w:val="20"/>
        </w:rPr>
        <w:t>0 and $</w:t>
      </w:r>
      <w:bookmarkStart w:id="756" w:name="xdx_909_eus-gaap--SalesCommissionsAndFee"/>
      <w:bookmarkEnd w:id="756"/>
      <w:r>
        <w:rPr>
          <w:rFonts w:ascii="Times New Roman;Times;Serif" w:hAnsi="Times New Roman;Times;Serif"/>
          <w:b w:val="false"/>
          <w:i w:val="false"/>
          <w:caps w:val="false"/>
          <w:smallCaps w:val="false"/>
          <w:sz w:val="20"/>
        </w:rPr>
        <w:t>130,000 were incurred under these agreements for commission expenses during the three months ended March 31, 2024 and 2023,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Manufacturing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manufacturing agreements with respect to third-party contract manufacturers for its FDA approved pharmaceutical products. Some of these contract manufacturing agreements require minimum annual order amounts. The Company has committed to pay approximately $</w:t>
      </w:r>
      <w:bookmarkStart w:id="757" w:name="xdx_90F_eus-gaap--PurchaseCommitmentRema"/>
      <w:bookmarkEnd w:id="757"/>
      <w:r>
        <w:rPr>
          <w:rFonts w:ascii="Times New Roman;Times;Serif" w:hAnsi="Times New Roman;Times;Serif"/>
          <w:b w:val="false"/>
          <w:i w:val="false"/>
          <w:caps w:val="false"/>
          <w:smallCaps w:val="false"/>
          <w:sz w:val="20"/>
        </w:rPr>
        <w:t>2,728,000  related to contract manufacturing agreements for the year ending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58" w:name="xdx_803_eus-gaap--SegmentReportingDisclo"/>
      <w:bookmarkEnd w:id="758"/>
      <w:r>
        <w:rPr>
          <w:rFonts w:ascii="Times New Roman;Times;Serif" w:hAnsi="Times New Roman;Times;Serif"/>
          <w:b/>
          <w:i w:val="false"/>
          <w:caps w:val="false"/>
          <w:smallCaps w:val="false"/>
          <w:sz w:val="20"/>
        </w:rPr>
        <w:t xml:space="preserve">NOTE 15. </w:t>
      </w:r>
      <w:bookmarkStart w:id="759" w:name="xdx_825_zyyDoQ0FD04e"/>
      <w:bookmarkEnd w:id="759"/>
      <w:r>
        <w:rPr>
          <w:rFonts w:ascii="Times New Roman;Times;Serif" w:hAnsi="Times New Roman;Times;Serif"/>
          <w:b/>
          <w:i w:val="false"/>
          <w:caps w:val="false"/>
          <w:smallCaps w:val="false"/>
          <w:sz w:val="20"/>
        </w:rPr>
        <w:t>SEGMENTS AND CONCENTRATIONS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its business on the basis of a single reportable segment, which is the business of discovery, development, and commercialization of innovative ophthalmic therapies. The Company’s chief operating decision-maker is the Chief Executive Officer, who evaluates the Company as a single operating segment.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and two products that accounted for more than 10% of total revenues during the three months ended March 31, 2024 and 2023, respectively. These products accounted for </w:t>
      </w:r>
      <w:bookmarkStart w:id="760" w:name="xdx_90C_eus-gaap--ConcentrationRiskPerce"/>
      <w:bookmarkStart w:id="761" w:name="xdx_90F_eus-gaap--ConcentrationRiskPerce"/>
      <w:bookmarkEnd w:id="760"/>
      <w:bookmarkEnd w:id="761"/>
      <w:r>
        <w:rPr>
          <w:rFonts w:ascii="Times New Roman;Times;Serif" w:hAnsi="Times New Roman;Times;Serif"/>
          <w:b w:val="false"/>
          <w:i w:val="false"/>
          <w:caps w:val="false"/>
          <w:smallCaps w:val="false"/>
          <w:sz w:val="20"/>
        </w:rPr>
        <w:t xml:space="preserve">11% and </w:t>
      </w:r>
      <w:bookmarkStart w:id="762" w:name="xdx_907_eus-gaap--ConcentrationRiskPerce"/>
      <w:bookmarkStart w:id="763" w:name="xdx_90C_eus-gaap--ConcentrationRiskPerce"/>
      <w:bookmarkEnd w:id="762"/>
      <w:bookmarkEnd w:id="763"/>
      <w:r>
        <w:rPr>
          <w:rFonts w:ascii="Times New Roman;Times;Serif" w:hAnsi="Times New Roman;Times;Serif"/>
          <w:b w:val="false"/>
          <w:i w:val="false"/>
          <w:caps w:val="false"/>
          <w:smallCaps w:val="false"/>
          <w:sz w:val="20"/>
        </w:rPr>
        <w:t>36% of revenues during the three months ended March 31, 2024 and 2023,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2024 and December 31, 2023, accounts receivable from a single customer accounted for </w:t>
      </w:r>
      <w:bookmarkStart w:id="764" w:name="xdx_904_eus-gaap--ConcentrationRiskPerce"/>
      <w:bookmarkEnd w:id="764"/>
      <w:r>
        <w:rPr>
          <w:rFonts w:ascii="Times New Roman;Times;Serif" w:hAnsi="Times New Roman;Times;Serif"/>
          <w:b w:val="false"/>
          <w:i w:val="false"/>
          <w:caps w:val="false"/>
          <w:smallCaps w:val="false"/>
          <w:sz w:val="20"/>
        </w:rPr>
        <w:t xml:space="preserve">68% and </w:t>
      </w:r>
      <w:bookmarkStart w:id="765" w:name="xdx_90A_eus-gaap--ConcentrationRiskPerce"/>
      <w:bookmarkEnd w:id="765"/>
      <w:r>
        <w:rPr>
          <w:rFonts w:ascii="Times New Roman;Times;Serif" w:hAnsi="Times New Roman;Times;Serif"/>
          <w:b w:val="false"/>
          <w:i w:val="false"/>
          <w:caps w:val="false"/>
          <w:smallCaps w:val="false"/>
          <w:sz w:val="20"/>
        </w:rPr>
        <w:t xml:space="preserve">80% of total accounts receivable, respectively. For the three months ended March 31, 2024, revenues from a single customer accounted for </w:t>
      </w:r>
      <w:bookmarkStart w:id="766" w:name="xdx_90E_eus-gaap--ConcentrationRiskPerce"/>
      <w:bookmarkEnd w:id="766"/>
      <w:r>
        <w:rPr>
          <w:rFonts w:ascii="Times New Roman;Times;Serif" w:hAnsi="Times New Roman;Times;Serif"/>
          <w:b w:val="false"/>
          <w:i w:val="false"/>
          <w:caps w:val="false"/>
          <w:smallCaps w:val="false"/>
          <w:sz w:val="20"/>
        </w:rPr>
        <w:t>27% of total revenues. For the three months ended March 31, 2023, no customer exceeded 10% of total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receives its active pharmaceutical ingredients from three main suppliers. These suppliers collectively accounted for </w:t>
      </w:r>
      <w:bookmarkStart w:id="767" w:name="xdx_908_eus-gaap--ConcentrationRiskPerce"/>
      <w:bookmarkEnd w:id="767"/>
      <w:r>
        <w:rPr>
          <w:rFonts w:ascii="Times New Roman;Times;Serif" w:hAnsi="Times New Roman;Times;Serif"/>
          <w:b w:val="false"/>
          <w:i w:val="false"/>
          <w:caps w:val="false"/>
          <w:smallCaps w:val="false"/>
          <w:sz w:val="20"/>
        </w:rPr>
        <w:t xml:space="preserve">85% of active pharmaceutical ingredient purchases during the three months ended March 31, 2024, and </w:t>
      </w:r>
      <w:bookmarkStart w:id="768" w:name="xdx_901_eus-gaap--ConcentrationRiskPerce"/>
      <w:bookmarkEnd w:id="768"/>
      <w:r>
        <w:rPr>
          <w:rFonts w:ascii="Times New Roman;Times;Serif" w:hAnsi="Times New Roman;Times;Serif"/>
          <w:b w:val="false"/>
          <w:i w:val="false"/>
          <w:caps w:val="false"/>
          <w:smallCaps w:val="false"/>
          <w:sz w:val="20"/>
        </w:rPr>
        <w:t>90% during the same period in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69" w:name="xdx_802_eus-gaap--SubsequentEventsTextBl"/>
      <w:bookmarkEnd w:id="769"/>
      <w:r>
        <w:rPr>
          <w:rFonts w:ascii="Times New Roman;Times;Serif" w:hAnsi="Times New Roman;Times;Serif"/>
          <w:b/>
          <w:i w:val="false"/>
          <w:caps w:val="false"/>
          <w:smallCaps w:val="false"/>
          <w:sz w:val="20"/>
        </w:rPr>
        <w:t xml:space="preserve">NOTE 16. </w:t>
      </w:r>
      <w:bookmarkStart w:id="770" w:name="xdx_82A_zMU22p8egfza"/>
      <w:bookmarkEnd w:id="770"/>
      <w:r>
        <w:rPr>
          <w:rFonts w:ascii="Times New Roman;Times;Serif" w:hAnsi="Times New Roman;Times;Serif"/>
          <w:b/>
          <w:i w:val="false"/>
          <w:caps w:val="false"/>
          <w:smallCaps w:val="false"/>
          <w:sz w:val="20"/>
        </w:rPr>
        <w:t>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an evaluation of events occurring subsequent to March 31, 2024 through the filing date of this Quarterly Report on Form 10-Q. Based on its evaluation, no events other than those described below need to be disclosed.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2024, the Company issued </w:t>
      </w:r>
      <w:bookmarkStart w:id="771" w:name="xdx_900_eus-gaap--StockIssuedDuringPerio"/>
      <w:bookmarkEnd w:id="771"/>
      <w:r>
        <w:rPr>
          <w:rFonts w:ascii="Times New Roman;Times;Serif" w:hAnsi="Times New Roman;Times;Serif"/>
          <w:b w:val="false"/>
          <w:i w:val="false"/>
          <w:caps w:val="false"/>
          <w:smallCaps w:val="false"/>
          <w:sz w:val="20"/>
        </w:rPr>
        <w:t>1,481 shares of common stock and received proceeds of $</w:t>
      </w:r>
      <w:bookmarkStart w:id="772" w:name="xdx_909_eus-gaap--ProceedsFromIssuanceOf"/>
      <w:bookmarkEnd w:id="772"/>
      <w:r>
        <w:rPr>
          <w:rFonts w:ascii="Times New Roman;Times;Serif" w:hAnsi="Times New Roman;Times;Serif"/>
          <w:b w:val="false"/>
          <w:i w:val="false"/>
          <w:caps w:val="false"/>
          <w:smallCaps w:val="false"/>
          <w:sz w:val="20"/>
        </w:rPr>
        <w:t xml:space="preserve">11,000 upon the exercise of options to purchase </w:t>
      </w:r>
      <w:bookmarkStart w:id="773" w:name="xdx_90C_eus-gaap--StockIssuedDuringPerio"/>
      <w:bookmarkEnd w:id="773"/>
      <w:r>
        <w:rPr>
          <w:rFonts w:ascii="Times New Roman;Times;Serif" w:hAnsi="Times New Roman;Times;Serif"/>
          <w:b w:val="false"/>
          <w:i w:val="false"/>
          <w:caps w:val="false"/>
          <w:smallCaps w:val="false"/>
          <w:sz w:val="20"/>
        </w:rPr>
        <w:t>1,481 shares of common stock with exercise prices between $</w:t>
      </w:r>
      <w:bookmarkStart w:id="774" w:name="xdx_907_eus-gaap--ShareBasedCompensation"/>
      <w:bookmarkEnd w:id="774"/>
      <w:r>
        <w:rPr>
          <w:rFonts w:ascii="Times New Roman;Times;Serif" w:hAnsi="Times New Roman;Times;Serif"/>
          <w:b w:val="false"/>
          <w:i w:val="false"/>
          <w:caps w:val="false"/>
          <w:smallCaps w:val="false"/>
          <w:sz w:val="20"/>
        </w:rPr>
        <w:t>10.62 and $</w:t>
      </w:r>
      <w:bookmarkStart w:id="775" w:name="xdx_90C_eus-gaap--ShareBasedCompensation"/>
      <w:bookmarkEnd w:id="775"/>
      <w:r>
        <w:rPr>
          <w:rFonts w:ascii="Times New Roman;Times;Serif" w:hAnsi="Times New Roman;Times;Serif"/>
          <w:b w:val="false"/>
          <w:i w:val="false"/>
          <w:caps w:val="false"/>
          <w:smallCaps w:val="false"/>
          <w:sz w:val="20"/>
        </w:rPr>
        <w:t>12.72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2024, the Company sold all </w:t>
      </w:r>
      <w:bookmarkStart w:id="776" w:name="xdx_903_eus-gaap--SaleOfStockNumberOfSha"/>
      <w:bookmarkEnd w:id="776"/>
      <w:r>
        <w:rPr>
          <w:rFonts w:ascii="Times New Roman;Times;Serif" w:hAnsi="Times New Roman;Times;Serif"/>
          <w:b w:val="false"/>
          <w:i w:val="false"/>
          <w:caps w:val="false"/>
          <w:smallCaps w:val="false"/>
          <w:sz w:val="20"/>
        </w:rPr>
        <w:t>1,982,000 shares of common stock it held of Eton in a block trade at a gross price of $</w:t>
      </w:r>
      <w:bookmarkStart w:id="777" w:name="xdx_904_eus-gaap--SaleOfStockPricePerSha"/>
      <w:bookmarkEnd w:id="777"/>
      <w:r>
        <w:rPr>
          <w:rFonts w:ascii="Times New Roman;Times;Serif" w:hAnsi="Times New Roman;Times;Serif"/>
          <w:b w:val="false"/>
          <w:i w:val="false"/>
          <w:caps w:val="false"/>
          <w:smallCaps w:val="false"/>
          <w:sz w:val="20"/>
        </w:rPr>
        <w:t>3.00 per share. After deducting trading expenses and commissions of approximately $</w:t>
      </w:r>
      <w:bookmarkStart w:id="778" w:name="xdx_900_eus-gaap--OtherExpenses_c2024040"/>
      <w:bookmarkEnd w:id="778"/>
      <w:r>
        <w:rPr>
          <w:rFonts w:ascii="Times New Roman;Times;Serif" w:hAnsi="Times New Roman;Times;Serif"/>
          <w:b w:val="false"/>
          <w:i w:val="false"/>
          <w:caps w:val="false"/>
          <w:smallCaps w:val="false"/>
          <w:sz w:val="20"/>
        </w:rPr>
        <w:t>436,000, the Company received net proceeds of $</w:t>
      </w:r>
      <w:bookmarkStart w:id="779" w:name="xdx_903_eus-gaap--SaleOfStockConsiderati"/>
      <w:bookmarkEnd w:id="779"/>
      <w:r>
        <w:rPr>
          <w:rFonts w:ascii="Times New Roman;Times;Serif" w:hAnsi="Times New Roman;Times;Serif"/>
          <w:b w:val="false"/>
          <w:i w:val="false"/>
          <w:caps w:val="false"/>
          <w:smallCaps w:val="false"/>
          <w:sz w:val="20"/>
        </w:rPr>
        <w:t>5,510,000 related to the trade.</w:t>
      </w:r>
    </w:p>
    <w:p>
      <w:pPr>
        <w:pStyle w:val="TextBody"/>
        <w:bidi w:val="0"/>
        <w:spacing w:before="0" w:after="0"/>
        <w:jc w:val="both"/>
        <w:rPr>
          <w:caps w:val="false"/>
          <w:smallCaps w:val="false"/>
        </w:rPr>
      </w:pPr>
      <w:bookmarkStart w:id="780" w:name="xdx_81A_zwh8piK5WBPc"/>
      <w:bookmarkEnd w:id="78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1" w:name="sk_003"/>
      <w:bookmarkEnd w:id="781"/>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2023 and subsequent reports, which discuss our business in greater detail. As used in this discussion and analysis, unless the context indicates otherwise, the terms the “Company,” “Harrow,” “we,” “us” and “our” refer to Harrow, Inc. and its consolidated subsidiaries, including ImprimisRx, LLC, ImprimisRx NJ, LLC dba ImprimisRx, Imprimis NJOF, LLC, Harrow IP, LLC and Harrow Eye, LLC. In this discussion and analysis, we refer to our consolidated subsidiaries ImprimisRx, LLC, ImprimisRx NJ, LLC and Imprimis NJOF, LLC collectively as “ImprimisRx.”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 In addition, we have a non-controlling equity interest in Melt Pharmaceuticals, Inc. (“Melt”), and two other companies that began as subsidiaries of Harrow and were subsequently carved-out of our corporate structure and deconsolidated from our financial statements.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primary factors affecting our performance are our ability to increase revenues of our branded pharmaceutical products, proprietary compounded formulations and certain non-proprietary products, grow and gain operating efficiencies in our operations,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developments in 2024 to date that are important to understand our financial condition and results of operations. See the notes to our unaudited condensed consolidated financial statements included in this Quarterly Report for additional information about each of these developments.</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br/>
        <w:t>Apotex - Canadian Out-License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entered into a license and supply agreement with Apotex Inc. (“Apotex”). Under the terms of the agreement, Apotex licensed exclusive rights and marketing authorizations of the following products in the Canadian market from Harrow: VERKAZIA (cyclosporine ophthalmic emulsion) 0.1% and Cationorm PLUS. Apotex was also granted a license for products Apotex will pursue approval for in Canada: VEVYE (cyclosporine ophthalmic solution) 0.1%, IHEEZO (chloroprocaine hydrochloride ophthalmic gel) 3%, and ZERVIATE (cetirizine ophthalmic solution) 0.24% (with VERKAZIA and Cationorm Plus, collectively, the “Apotex Products”). In exchange, Apotex will make payments to Harrow for milestones related to manufacturing arrangements, regulatory and commercial achievements, in addition to royalties on net sales of the Apotex Products.</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br/>
        <w:t>IHEEZO Reimbursement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January 2024, we met with the Centers for Medicare &amp; Medicaid Services (“CMS”)to request clarification related to its anesthesia billing policy which has historically not allowed for the separate billing of anesthesia services in the physician’s office. During the meeting we requested that CMS clarify that J-Code 2403, IHEEZO’s permanent J-Code, is appropriate to be billed for the anesthesia product itself (i.e., IHEEZO in our case) in the physician office setting. In March 2024, we received communication from a representative at CMS that the inclusion of J-Code 2403 in CMS’s April 2024 quarterly drug pricing file of the average sales prices (ASP) of some Medicare Part B-covered drugs and biologicals confirms that IHEEZO is separately payable in the physician office setting.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February 2024, we made a request to CMS to consider increasing the Medically Unlikely Edits (“MUE”) for IHEEZO’s J-Code from 1 to 2. This request was made because the limitation of one MUE only allowed a single IHEEZO administration (equal to one single-use vial) to be used and billed, while many ophthalmologists perform bilateral ocular procedures, which would require two vials of IHEEZO to be used. On March 20, 2024, the Company received communication from the National Correct Coding Initiative (NCCI) program of CMS stating that CMS decided to increase the MUE for IHEEZO’s J-Code (J2403) from 1 to 2. While not final until published, CMS stated in its communication to the Company that the MUE edit will be (1) effective in July 2024, and (2) made retroactive for procedures dating to January 1, 2024.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VEVYE U.S. Launch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launched VEVYE (cyclosporine ophthalmic solution) 0.1%, the first and only water-free cyclosporine dissolved in a semifluorinated alkane approved to treat both the signs and symptoms of dry eye disease in the U.S. We partnered with various entities including PhilRx, Apollo Care and PARx Solutions to enhance our market and patient access program for VEVYE.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period-to-period comparisons of our financial results for the three months ended March 31, 2024 and 2023 are not necessarily indicative of results for any future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revenues for the three months ended March 31, 2024 and 2023:</w:t>
      </w:r>
    </w:p>
    <w:p>
      <w:pPr>
        <w:pStyle w:val="TextBody"/>
        <w:bidi w:val="0"/>
        <w:spacing w:before="0" w:after="0"/>
        <w:ind w:left="0" w:right="0" w:firstLine="720"/>
        <w:jc w:val="both"/>
        <w:rPr>
          <w:caps w:val="false"/>
          <w:smallCaps w:val="false"/>
        </w:rPr>
      </w:pPr>
      <w:r>
        <w:rPr>
          <w:caps w:val="false"/>
          <w:smallCaps w:val="false"/>
        </w:rPr>
        <w:t> </w:t>
      </w:r>
    </w:p>
    <w:tbl>
      <w:tblPr>
        <w:tblW w:w="6366" w:type="dxa"/>
        <w:jc w:val="left"/>
        <w:tblInd w:w="0" w:type="dxa"/>
        <w:tblLayout w:type="fixed"/>
        <w:tblCellMar>
          <w:top w:w="0" w:type="dxa"/>
          <w:left w:w="0" w:type="dxa"/>
          <w:bottom w:w="0" w:type="dxa"/>
          <w:right w:w="0" w:type="dxa"/>
        </w:tblCellMar>
      </w:tblPr>
      <w:tblGrid>
        <w:gridCol w:w="1820"/>
        <w:gridCol w:w="60"/>
        <w:gridCol w:w="162"/>
        <w:gridCol w:w="1277"/>
        <w:gridCol w:w="69"/>
        <w:gridCol w:w="69"/>
        <w:gridCol w:w="162"/>
        <w:gridCol w:w="1277"/>
        <w:gridCol w:w="60"/>
        <w:gridCol w:w="60"/>
        <w:gridCol w:w="140"/>
        <w:gridCol w:w="1100"/>
        <w:gridCol w:w="110"/>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11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b/>
              </w:rPr>
            </w:pPr>
            <w:r>
              <w:rPr>
                <w:b/>
              </w:rPr>
              <w:t>Product sales,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34,508,000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20,453,000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14,055,000</w:t>
            </w:r>
          </w:p>
        </w:tc>
        <w:tc>
          <w:tcPr>
            <w:tcW w:w="11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b/>
              </w:rPr>
            </w:pPr>
            <w:r>
              <w:rPr>
                <w:b/>
              </w:rPr>
              <w:t>Other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79,000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5,650,000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(5,571,000</w:t>
            </w:r>
          </w:p>
        </w:tc>
        <w:tc>
          <w:tcPr>
            <w:tcW w:w="110" w:type="dxa"/>
            <w:tcBorders/>
            <w:shd w:fill="FFFFFF" w:val="clear"/>
            <w:vAlign w:val="center"/>
          </w:tcPr>
          <w:p>
            <w:pPr>
              <w:pStyle w:val="TableContents"/>
              <w:bidi w:val="0"/>
              <w:spacing w:before="0" w:after="283"/>
              <w:jc w:val="left"/>
              <w:rPr/>
            </w:pPr>
            <w:r>
              <w:rPr/>
              <w:t>)</w:t>
            </w:r>
          </w:p>
        </w:tc>
      </w:tr>
      <w:tr>
        <w:trPr/>
        <w:tc>
          <w:tcPr>
            <w:tcW w:w="18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34,587,000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26,103,000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8,484,000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between periods was related to an increase in sales of our branded ophthalmology products. During 2023, the Company recorded $5,650,000 in revenues associated with the transfer of profits of recently acquired products where the product new drug applications (“NDAs”) had not yet transferred to Harrow. During the three months ended March 31, 2024, revenues from branded products totaled $13,868,000, compared to $6,272,000 (which included revenues from the transfer of profits) during the same period in the prior year.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cost of sales for the three months ended March 31, 2024 and 2023:</w:t>
      </w:r>
    </w:p>
    <w:p>
      <w:pPr>
        <w:pStyle w:val="TextBody"/>
        <w:bidi w:val="0"/>
        <w:spacing w:before="0" w:after="0"/>
        <w:ind w:left="0" w:right="0" w:firstLine="72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1280"/>
        <w:gridCol w:w="60"/>
        <w:gridCol w:w="170"/>
        <w:gridCol w:w="1339"/>
        <w:gridCol w:w="73"/>
        <w:gridCol w:w="73"/>
        <w:gridCol w:w="170"/>
        <w:gridCol w:w="1193"/>
        <w:gridCol w:w="60"/>
        <w:gridCol w:w="60"/>
        <w:gridCol w:w="140"/>
        <w:gridCol w:w="980"/>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b/>
              </w:rPr>
            </w:pPr>
            <w:r>
              <w:rPr>
                <w:b/>
              </w:rPr>
              <w:t>Cost of sales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pPr>
            <w:r>
              <w:rPr/>
              <w:t>10,553,000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8,271,000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2,282,000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our cost of sales was largely attributable to expenses associated with unit volumes sold and increased direct and indirect costs associated with production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Margin</w:t>
      </w:r>
    </w:p>
    <w:p>
      <w:pPr>
        <w:pStyle w:val="TextBody"/>
        <w:bidi w:val="0"/>
        <w:spacing w:before="0" w:after="0"/>
        <w:jc w:val="both"/>
        <w:rPr>
          <w:caps w:val="false"/>
          <w:smallCaps w:val="false"/>
        </w:rPr>
      </w:pPr>
      <w:r>
        <w:rPr>
          <w:caps w:val="false"/>
          <w:smallCaps w:val="false"/>
        </w:rPr>
        <w:t> </w:t>
      </w:r>
    </w:p>
    <w:tbl>
      <w:tblPr>
        <w:tblW w:w="6116" w:type="dxa"/>
        <w:jc w:val="left"/>
        <w:tblInd w:w="0" w:type="dxa"/>
        <w:tblLayout w:type="fixed"/>
        <w:tblCellMar>
          <w:top w:w="0" w:type="dxa"/>
          <w:left w:w="0" w:type="dxa"/>
          <w:bottom w:w="0" w:type="dxa"/>
          <w:right w:w="0" w:type="dxa"/>
        </w:tblCellMar>
      </w:tblPr>
      <w:tblGrid>
        <w:gridCol w:w="1415"/>
        <w:gridCol w:w="60"/>
        <w:gridCol w:w="153"/>
        <w:gridCol w:w="1205"/>
        <w:gridCol w:w="235"/>
        <w:gridCol w:w="65"/>
        <w:gridCol w:w="153"/>
        <w:gridCol w:w="1205"/>
        <w:gridCol w:w="215"/>
        <w:gridCol w:w="60"/>
        <w:gridCol w:w="140"/>
        <w:gridCol w:w="980"/>
        <w:gridCol w:w="230"/>
      </w:tblGrid>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30"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24,034,000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17,832,000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6,202,000</w:t>
            </w:r>
          </w:p>
        </w:tc>
        <w:tc>
          <w:tcPr>
            <w:tcW w:w="23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69.49</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sz w:val="4"/>
                <w:szCs w:val="4"/>
              </w:rPr>
            </w:pPr>
            <w:r>
              <w:rPr>
                <w:sz w:val="4"/>
                <w:szCs w:val="4"/>
              </w:rPr>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68.31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margin between the three months ended March 31, 2024 and 2023 was primarily attributable to an increase in sales associated with our branded ophthalmology products, which generally have a higher gross margin profile than our compounded products.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selling, general and administrative expenses for the three months ended March 31, 2024 and 2023:</w:t>
      </w:r>
    </w:p>
    <w:p>
      <w:pPr>
        <w:pStyle w:val="TextBody"/>
        <w:bidi w:val="0"/>
        <w:spacing w:before="0" w:after="0"/>
        <w:ind w:left="0" w:right="0" w:firstLine="720"/>
        <w:jc w:val="both"/>
        <w:rPr>
          <w:caps w:val="false"/>
          <w:smallCaps w:val="false"/>
        </w:rPr>
      </w:pPr>
      <w:r>
        <w:rPr>
          <w:caps w:val="false"/>
          <w:smallCaps w:val="false"/>
        </w:rPr>
        <w:t> </w:t>
      </w:r>
    </w:p>
    <w:tbl>
      <w:tblPr>
        <w:tblW w:w="6781" w:type="dxa"/>
        <w:jc w:val="left"/>
        <w:tblInd w:w="0" w:type="dxa"/>
        <w:tblLayout w:type="fixed"/>
        <w:tblCellMar>
          <w:top w:w="0" w:type="dxa"/>
          <w:left w:w="0" w:type="dxa"/>
          <w:bottom w:w="0" w:type="dxa"/>
          <w:right w:w="0" w:type="dxa"/>
        </w:tblCellMar>
      </w:tblPr>
      <w:tblGrid>
        <w:gridCol w:w="3005"/>
        <w:gridCol w:w="60"/>
        <w:gridCol w:w="134"/>
        <w:gridCol w:w="1025"/>
        <w:gridCol w:w="64"/>
        <w:gridCol w:w="64"/>
        <w:gridCol w:w="134"/>
        <w:gridCol w:w="1025"/>
        <w:gridCol w:w="60"/>
        <w:gridCol w:w="60"/>
        <w:gridCol w:w="125"/>
        <w:gridCol w:w="950"/>
        <w:gridCol w:w="75"/>
      </w:tblGrid>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28,813,000</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selling, general and administrative expenses between periods was primarily attributable to an increase in expenses included regulatory enhancements, costs to support the transition of recent product acquisitions, and an increase in expenses related to the addition of new employees in sales, marketing and other departments to support current and expected growth, including the commercial launch of VEVYE in December 2023. In addition, stock-based compensation expense increased by $2,260,000 for the three months ended March 31, 2024, compared to the prior year period represented another notable increase.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Expenses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research and development expenses for the three months ended March 31, 2024 and 2023:</w:t>
      </w:r>
    </w:p>
    <w:p>
      <w:pPr>
        <w:pStyle w:val="TextBody"/>
        <w:bidi w:val="0"/>
        <w:spacing w:before="0" w:after="0"/>
        <w:ind w:left="0" w:right="0" w:firstLine="720"/>
        <w:jc w:val="left"/>
        <w:rPr>
          <w:caps w:val="false"/>
          <w:smallCaps w:val="false"/>
        </w:rPr>
      </w:pPr>
      <w:r>
        <w:rPr>
          <w:caps w:val="false"/>
          <w:smallCaps w:val="false"/>
        </w:rPr>
        <w:t> </w:t>
      </w:r>
    </w:p>
    <w:tbl>
      <w:tblPr>
        <w:tblW w:w="5971" w:type="dxa"/>
        <w:jc w:val="left"/>
        <w:tblInd w:w="0" w:type="dxa"/>
        <w:tblLayout w:type="fixed"/>
        <w:tblCellMar>
          <w:top w:w="0" w:type="dxa"/>
          <w:left w:w="0" w:type="dxa"/>
          <w:bottom w:w="0" w:type="dxa"/>
          <w:right w:w="0" w:type="dxa"/>
        </w:tblCellMar>
      </w:tblPr>
      <w:tblGrid>
        <w:gridCol w:w="2300"/>
        <w:gridCol w:w="60"/>
        <w:gridCol w:w="160"/>
        <w:gridCol w:w="1083"/>
        <w:gridCol w:w="76"/>
        <w:gridCol w:w="76"/>
        <w:gridCol w:w="160"/>
        <w:gridCol w:w="891"/>
        <w:gridCol w:w="60"/>
        <w:gridCol w:w="60"/>
        <w:gridCol w:w="125"/>
        <w:gridCol w:w="845"/>
        <w:gridCol w:w="75"/>
      </w:tblGrid>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2,149,000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R&amp;D expenses between periods was primarily attributable to increased activity related to our expanded branded product portfolio, product acquisitions, product development efforts, product launches, clinical and medical support.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Expense, Net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$5,415,000 for the three months ended March 31, 2024, compared to $4,747,000 for the same period in 2023. The increase during the period ended March 31, 2024 compared to the same period in 2023 was primarily to the result of an increase in the outstanding principal amount of our 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(Loss) Gain from Eton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we recorded a loss of $(1,248,000), related to the change in fair market value of Eton’s common stock compared to a gain of $2,042,000 for the same period in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we recorded a loss on extinguishment of debt of $5,465,000, related to the payoff of a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we recorded other income of $26,000, related to our sublease at our lab and office space in Nashville.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on hand at March 31, 2024 was $68,538,000, compared to $74,085,000 at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we believe that cash and cash equivalents of $68,538,000 at March 31, 2024, in addition to net proceeds received from the sale of our Eton investment in April 2024, will be sufficient to sustain our planned level of operations and capital expenditures for at least the next 12 months. In addition, we may consider the sale of certain assets including, but not limited to, part of, or all of, our investments in Surface Ophthalmics, Inc. (“Surface”) and Melt and any of our consolidated subsidiaries. However, we may pursue acquisitions of revenue generating products, or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Flow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detailed information about our net cash flows for the three months ended March 31, 2024 and 2023:</w:t>
      </w:r>
    </w:p>
    <w:p>
      <w:pPr>
        <w:pStyle w:val="TextBody"/>
        <w:bidi w:val="0"/>
        <w:spacing w:before="0" w:after="0"/>
        <w:ind w:left="0" w:right="0" w:firstLine="720"/>
        <w:jc w:val="both"/>
        <w:rPr>
          <w:caps w:val="false"/>
          <w:smallCaps w:val="false"/>
        </w:rPr>
      </w:pPr>
      <w:r>
        <w:rPr>
          <w:caps w:val="false"/>
          <w:smallCaps w:val="false"/>
        </w:rPr>
        <w:t> </w:t>
      </w:r>
    </w:p>
    <w:tbl>
      <w:tblPr>
        <w:tblW w:w="8337" w:type="dxa"/>
        <w:jc w:val="left"/>
        <w:tblInd w:w="0" w:type="dxa"/>
        <w:tblLayout w:type="fixed"/>
        <w:tblCellMar>
          <w:top w:w="0" w:type="dxa"/>
          <w:left w:w="0" w:type="dxa"/>
          <w:bottom w:w="0" w:type="dxa"/>
          <w:right w:w="0" w:type="dxa"/>
        </w:tblCellMar>
      </w:tblPr>
      <w:tblGrid>
        <w:gridCol w:w="5015"/>
        <w:gridCol w:w="60"/>
        <w:gridCol w:w="156"/>
        <w:gridCol w:w="1226"/>
        <w:gridCol w:w="105"/>
        <w:gridCol w:w="66"/>
        <w:gridCol w:w="156"/>
        <w:gridCol w:w="1443"/>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2" w:type="dxa"/>
            <w:gridSpan w:val="6"/>
            <w:tcBorders>
              <w:bottom w:val="single" w:sz="12" w:space="0" w:color="000000"/>
            </w:tcBorders>
            <w:tcMar>
              <w:bottom w:w="28" w:type="dxa"/>
            </w:tcMar>
            <w:vAlign w:val="center"/>
          </w:tcPr>
          <w:p>
            <w:pPr>
              <w:pStyle w:val="TableContents"/>
              <w:bidi w:val="0"/>
              <w:jc w:val="center"/>
              <w:rPr>
                <w:rFonts w:ascii="Ties New Roman;Times;Serif" w:hAnsi="Ties New Roman;Times;Serif"/>
                <w:b/>
                <w:sz w:val="20"/>
              </w:rPr>
            </w:pPr>
            <w:r>
              <w:rPr>
                <w:rFonts w:ascii="Ties New Roman;Times;Serif" w:hAnsi="Ties New Roman;Times;Serif"/>
                <w:b/>
                <w:sz w:val="20"/>
              </w:rPr>
              <w:t>For the Three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(used in)provided by: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226" w:type="dxa"/>
            <w:tcBorders/>
            <w:shd w:fill="FFFFFF" w:val="clear"/>
            <w:vAlign w:val="center"/>
          </w:tcPr>
          <w:p>
            <w:pPr>
              <w:pStyle w:val="TableContents"/>
              <w:bidi w:val="0"/>
              <w:spacing w:before="0" w:after="283"/>
              <w:jc w:val="right"/>
              <w:rPr/>
            </w:pPr>
            <w:r>
              <w:rPr/>
              <w:t>(4,628,000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443" w:type="dxa"/>
            <w:tcBorders/>
            <w:shd w:fill="FFFFFF" w:val="clear"/>
            <w:vAlign w:val="center"/>
          </w:tcPr>
          <w:p>
            <w:pPr>
              <w:pStyle w:val="TableContents"/>
              <w:bidi w:val="0"/>
              <w:spacing w:before="0" w:after="283"/>
              <w:jc w:val="right"/>
              <w:rPr/>
            </w:pPr>
            <w:r>
              <w:rPr/>
              <w:t>(8,214,000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(110,000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(130,970,000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(809,000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3" w:type="dxa"/>
            <w:tcBorders>
              <w:bottom w:val="single" w:sz="12" w:space="0" w:color="000000"/>
            </w:tcBorders>
            <w:shd w:fill="FFFFFF" w:val="clear"/>
            <w:tcMar>
              <w:bottom w:w="28" w:type="dxa"/>
            </w:tcMar>
            <w:vAlign w:val="center"/>
          </w:tcPr>
          <w:p>
            <w:pPr>
              <w:pStyle w:val="TableContents"/>
              <w:bidi w:val="0"/>
              <w:spacing w:before="0" w:after="283"/>
              <w:jc w:val="right"/>
              <w:rPr/>
            </w:pPr>
            <w:r>
              <w:rPr/>
              <w:t>62,162,000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(5,547,000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(77,022,000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FFFFFF" w:val="clear"/>
            <w:tcMar>
              <w:bottom w:w="28" w:type="dxa"/>
            </w:tcMar>
            <w:vAlign w:val="center"/>
          </w:tcPr>
          <w:p>
            <w:pPr>
              <w:pStyle w:val="TableContents"/>
              <w:bidi w:val="0"/>
              <w:spacing w:before="0" w:after="283"/>
              <w:jc w:val="right"/>
              <w:rPr/>
            </w:pPr>
            <w:r>
              <w:rPr/>
              <w:t>74,085,000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3" w:type="dxa"/>
            <w:tcBorders>
              <w:bottom w:val="single" w:sz="12" w:space="0" w:color="000000"/>
            </w:tcBorders>
            <w:shd w:fill="FFFFFF" w:val="clear"/>
            <w:tcMar>
              <w:bottom w:w="28" w:type="dxa"/>
            </w:tcMar>
            <w:vAlign w:val="center"/>
          </w:tcPr>
          <w:p>
            <w:pPr>
              <w:pStyle w:val="TableContents"/>
              <w:bidi w:val="0"/>
              <w:spacing w:before="0" w:after="283"/>
              <w:jc w:val="right"/>
              <w:rPr/>
            </w:pPr>
            <w:r>
              <w:rPr/>
              <w:t>96,270,000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CCEEFF" w:val="clear"/>
            <w:tcMar>
              <w:bottom w:w="28" w:type="dxa"/>
            </w:tcMar>
            <w:vAlign w:val="center"/>
          </w:tcPr>
          <w:p>
            <w:pPr>
              <w:pStyle w:val="TableContents"/>
              <w:bidi w:val="0"/>
              <w:spacing w:before="0" w:after="283"/>
              <w:jc w:val="right"/>
              <w:rPr/>
            </w:pPr>
            <w:r>
              <w:rPr/>
              <w:t>68,538,000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3" w:type="dxa"/>
            <w:tcBorders>
              <w:bottom w:val="double" w:sz="6" w:space="0" w:color="000000"/>
            </w:tcBorders>
            <w:shd w:fill="CCEEFF" w:val="clear"/>
            <w:tcMar>
              <w:bottom w:w="28" w:type="dxa"/>
            </w:tcMar>
            <w:vAlign w:val="center"/>
          </w:tcPr>
          <w:p>
            <w:pPr>
              <w:pStyle w:val="TableContents"/>
              <w:bidi w:val="0"/>
              <w:spacing w:before="0" w:after="283"/>
              <w:jc w:val="right"/>
              <w:rPr/>
            </w:pPr>
            <w:r>
              <w:rPr/>
              <w:t>19,248,000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three months ended March 31, 2024 was $(4,628,000) compared to $(8,214,000) during the same period in the prior year. The decrease in net cash used in operating activities between the periods was mainly attributed to an increase in revenues during 2023 and a decrease of $8,396,000 in accounts receivable due to collections during the three months ended March 31, 2024 compared to an increase of $5,882,000 during the same period in 2023. The net cash used in operating activities in 2023 was also impacted due to an increase in inventory levels, coupled with operating expenses associated with the commercial launch of IHEEZO, product acquisitions and integrations and increased costs of goods sold.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three months ended March 31, 2024 was $(110,000) compared to $(130,970,000) during the same period in the prior year. Cash used in investing activities in 2023 was primarily related to the acquisition of five branded products which closed in January 2023. Cash used in investing activities in 2024 was primarily related to equipment and software purchases.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 during the three months ended March 31, 2024 and 2023 was $(809,000) and $62,162,000, respectively. Cash used in financing activities during the three months ended March 31, 2024 was primarily related to payment of payroll taxes upon vesting of RSUs in exchange for shares withheld from the employees. Cash provided by financing activities during the three months ended March 31, 2023 was primarily related to proceeds received from the sale of the notes and entering into loan arrangements, offset by payment of payroll taxes upon vesting and exercise of equity instruments in exchange for shares withheld from employees.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cash consist of cash provided by operating activities. We may also sell some or all of our ownership interests in Surface, Melt or our other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condensed consolidated financial statements included in this Quarterly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2" w:name="sk_004"/>
      <w:bookmarkEnd w:id="782"/>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3" w:name="sk_005"/>
      <w:bookmarkEnd w:id="783"/>
      <w:r>
        <w:rPr>
          <w:rFonts w:ascii="Times New Roman;Times;Serif" w:hAnsi="Times New Roman;Times;Serif"/>
          <w:b/>
          <w:i w:val="false"/>
          <w:caps w:val="false"/>
          <w:smallCaps w:val="false"/>
          <w:sz w:val="20"/>
        </w:rPr>
        <w:t>Item 4.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Evaluation of Disclosure Controls and Procedures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2024. Based on this evaluation, our principal executive officer and principal financial officer have concluded that our disclosure controls and procedures were effective to achieve their stated purpose as of March 31, 2024, the end of the period covered by this Quarterly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Internal Control over Financial Reporting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our internal control over financial reporting (as defined in Rule 13a-15(f) under the Exchange Act) during the quarter ended March 31, 2024, that has materially affected, or is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rFonts w:ascii="Times New Roman;Times;Serif" w:hAnsi="Times New Roman;Times;Serif"/>
          <w:b/>
          <w:i w:val="false"/>
          <w:caps w:val="false"/>
          <w:smallCaps w:val="false"/>
          <w:sz w:val="20"/>
        </w:rPr>
      </w:pPr>
      <w:bookmarkStart w:id="784" w:name="sk_006"/>
      <w:bookmarkEnd w:id="784"/>
      <w:r>
        <w:rPr>
          <w:rFonts w:ascii="Times New Roman;Times;Serif" w:hAnsi="Times New Roman;Times;Serif"/>
          <w:b/>
          <w:i w:val="false"/>
          <w:caps w:val="false"/>
          <w:smallCaps w:val="false"/>
          <w:sz w:val="20"/>
        </w:rPr>
        <w:t>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5" w:name="sk_007"/>
      <w:bookmarkEnd w:id="785"/>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14 to our unaudited condensed consolidated financial statements included in this Quarterly Report for information on various legal proceedings, which is incorporated into this Item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6" w:name="sk_008"/>
      <w:bookmarkEnd w:id="786"/>
      <w:r>
        <w:rPr>
          <w:rFonts w:ascii="Times New Roman;Times;Serif" w:hAnsi="Times New Roman;Times;Serif"/>
          <w:b/>
          <w:i w:val="false"/>
          <w:caps w:val="false"/>
          <w:smallCaps w:val="false"/>
          <w:sz w:val="20"/>
        </w:rPr>
        <w:t>Item 1A. Risk Factors</w:t>
      </w:r>
    </w:p>
    <w:p>
      <w:pPr>
        <w:pStyle w:val="TextBody"/>
        <w:bidi w:val="0"/>
        <w:spacing w:before="0" w:after="0"/>
        <w:ind w:left="0" w:right="0" w:hanging="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contained in this Quarterly Report you should consider the risk factors and the other information in our Annual Report on Form 10-K for the year ended December 31, 2023,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7" w:name="sk_009"/>
      <w:bookmarkEnd w:id="787"/>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8" w:name="sk_010"/>
      <w:bookmarkEnd w:id="788"/>
      <w:r>
        <w:rPr>
          <w:rFonts w:ascii="Times New Roman;Times;Serif" w:hAnsi="Times New Roman;Times;Serif"/>
          <w:b/>
          <w:i w:val="false"/>
          <w:caps w:val="false"/>
          <w:smallCaps w:val="false"/>
          <w:sz w:val="20"/>
        </w:rPr>
        <w:t>Item 3. Defaults Upon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89" w:name="sk_011"/>
      <w:bookmarkEnd w:id="789"/>
      <w:r>
        <w:rPr>
          <w:rFonts w:ascii="Times New Roman;Times;Serif" w:hAnsi="Times New Roman;Times;Serif"/>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90" w:name="sk_012"/>
      <w:bookmarkEnd w:id="790"/>
      <w:r>
        <w:rPr>
          <w:rFonts w:ascii="Times New Roman;Times;Serif" w:hAnsi="Times New Roman;Times;Serif"/>
          <w:b/>
          <w:i w:val="false"/>
          <w:caps w:val="false"/>
          <w:smallCaps w:val="false"/>
          <w:sz w:val="20"/>
        </w:rPr>
        <w:t>Item 5.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91" w:name="sk_013"/>
      <w:bookmarkEnd w:id="791"/>
      <w:r>
        <w:rPr>
          <w:rFonts w:ascii="Times New Roman;Times;Serif" w:hAnsi="Times New Roman;Times;Serif"/>
          <w:b/>
          <w:i w:val="false"/>
          <w:caps w:val="false"/>
          <w:smallCaps w:val="false"/>
          <w:sz w:val="20"/>
        </w:rPr>
        <w:t>Item 6. Exhibits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2"/>
        <w:gridCol w:w="60"/>
        <w:gridCol w:w="9363"/>
      </w:tblGrid>
      <w:tr>
        <w:trPr/>
        <w:tc>
          <w:tcPr>
            <w:tcW w:w="782"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bottom w:val="single" w:sz="12" w:space="0" w:color="000000"/>
            </w:tcBorders>
            <w:vAlign w:val="center"/>
          </w:tcPr>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(incorporated herein by reference to Exhibit 3.1 to the Current Report on Form 8-K on the Company filed with the Securities and Exchange Commission on September 29, 2023).</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(incorporated herein by reference to Exhibit 3.2 to the Current Report on Form 8-K of the Company filed with the Securities and Exchange Commission on September 29, 2023).</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Third Amendment to License and Supply Agreement dated February 6, 2024 between Harrow IP, LLC and Sintetica S.A. (incorporated by reference to Exhibit 10.46 to the Annual Report on Form 10-K for the year ended December 31, 2023 of the Company filed with the Securities and Exchange Commission on March 19, 2024).</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 xml:space="preserve">Certification of Mark L. Baum, principal executive officer, pursuant to Rule 13a-14(a) or 15d-14(a) of the Securities and Exchange Act of 1934, as adopted pursuant to Section 302 of the Sarbanes- Oxley Act of 2002. </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Andrew R. Boll, principal financial and accounting officer, pursuant to Rule 13a-14(a) or 15d-14(a) of the Securities and Exchange Act of 1934, as adopted pursuant to Section 302 of the Sarbanes- Oxley Act of 2002.</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executed by Mark L. Baum, principal executive officer, and Andrew R. Boll, principal financial and accounting officer.</w:t>
              </w:r>
            </w:hyperlink>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6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March 31, 2024, has been formatted in Inline XBRL.</w:t>
            </w:r>
          </w:p>
        </w:tc>
      </w:tr>
    </w:tbl>
    <w:p>
      <w:pPr>
        <w:pStyle w:val="TextBody"/>
        <w:bidi w:val="0"/>
        <w:spacing w:before="0" w:after="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92" w:name="sk_014"/>
      <w:bookmarkEnd w:id="792"/>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635" w:type="dxa"/>
        <w:jc w:val="left"/>
        <w:tblInd w:w="0" w:type="dxa"/>
        <w:tblLayout w:type="fixed"/>
        <w:tblCellMar>
          <w:top w:w="0" w:type="dxa"/>
          <w:left w:w="0" w:type="dxa"/>
          <w:bottom w:w="0" w:type="dxa"/>
          <w:right w:w="0" w:type="dxa"/>
        </w:tblCellMar>
      </w:tblPr>
      <w:tblGrid>
        <w:gridCol w:w="1760"/>
        <w:gridCol w:w="320"/>
        <w:gridCol w:w="555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13, 2024</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793" w:name="ex31-1.htm"/>
      <w:bookmarkStart w:id="794" w:name="ksex311"/>
      <w:bookmarkEnd w:id="793"/>
      <w:bookmarkEnd w:id="79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THE PRINCIPAL EXECUTIVE OFFICER UNDER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OF THE SARBANES-OXLEY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Mark L. Baum, certify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1655"/>
        <w:gridCol w:w="2240"/>
      </w:tblGrid>
      <w:tr>
        <w:trPr/>
        <w:tc>
          <w:tcPr>
            <w:tcW w:w="1655" w:type="dxa"/>
            <w:tcBorders>
              <w:bottom w:val="single" w:sz="8" w:space="0" w:color="FFFFFF"/>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224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655" w:type="dxa"/>
            <w:tcBorders/>
            <w:tcMar>
              <w:bottom w:w="0" w:type="dxa"/>
            </w:tcMar>
            <w:vAlign w:val="center"/>
          </w:tcPr>
          <w:p>
            <w:pPr>
              <w:pStyle w:val="TableContents"/>
              <w:bidi w:val="0"/>
              <w:spacing w:before="0" w:after="283"/>
              <w:jc w:val="left"/>
              <w:rPr>
                <w:sz w:val="4"/>
                <w:szCs w:val="4"/>
              </w:rPr>
            </w:pPr>
            <w:r>
              <w:rPr>
                <w:sz w:val="4"/>
                <w:szCs w:val="4"/>
              </w:rPr>
            </w:r>
          </w:p>
        </w:tc>
        <w:tc>
          <w:tcPr>
            <w:tcW w:w="224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795" w:name="ex31-2.htm"/>
      <w:bookmarkStart w:id="796" w:name="ksex312"/>
      <w:bookmarkEnd w:id="795"/>
      <w:bookmarkEnd w:id="79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THE PRINCIPAL FINANCIAL OFFICER UNDER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OF THE SARBANES-OXLEY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Andrew R. Boll, certify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5305" w:type="dxa"/>
        <w:jc w:val="left"/>
        <w:tblInd w:w="0" w:type="dxa"/>
        <w:tblLayout w:type="fixed"/>
        <w:tblCellMar>
          <w:top w:w="0" w:type="dxa"/>
          <w:left w:w="0" w:type="dxa"/>
          <w:bottom w:w="28" w:type="dxa"/>
          <w:right w:w="0" w:type="dxa"/>
        </w:tblCellMar>
      </w:tblPr>
      <w:tblGrid>
        <w:gridCol w:w="1655"/>
        <w:gridCol w:w="3650"/>
      </w:tblGrid>
      <w:tr>
        <w:trPr/>
        <w:tc>
          <w:tcPr>
            <w:tcW w:w="1655" w:type="dxa"/>
            <w:tcBorders>
              <w:bottom w:val="single" w:sz="8" w:space="0" w:color="FFFFFF"/>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365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655" w:type="dxa"/>
            <w:tcBorders/>
            <w:tcMar>
              <w:bottom w:w="0" w:type="dxa"/>
            </w:tcMar>
            <w:vAlign w:val="center"/>
          </w:tcPr>
          <w:p>
            <w:pPr>
              <w:pStyle w:val="TableContents"/>
              <w:bidi w:val="0"/>
              <w:spacing w:before="0" w:after="283"/>
              <w:jc w:val="left"/>
              <w:rPr>
                <w:sz w:val="4"/>
                <w:szCs w:val="4"/>
              </w:rPr>
            </w:pPr>
            <w:r>
              <w:rPr>
                <w:sz w:val="4"/>
                <w:szCs w:val="4"/>
              </w:rPr>
            </w:r>
          </w:p>
        </w:tc>
        <w:tc>
          <w:tcPr>
            <w:tcW w:w="365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97" w:name="ex32-1.htm"/>
      <w:bookmarkStart w:id="798" w:name="ksex321"/>
      <w:bookmarkEnd w:id="797"/>
      <w:bookmarkEnd w:id="79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REQUIRED BY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1350 OF TITLE 18 OF THE UNITED STATES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March 31, 2024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0" w:after="0"/>
        <w:ind w:left="0" w:right="0" w:firstLine="720"/>
        <w:jc w:val="both"/>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60"/>
        <w:gridCol w:w="75"/>
      </w:tblGrid>
      <w:tr>
        <w:trPr/>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650"/>
        <w:gridCol w:w="75"/>
      </w:tblGrid>
      <w:tr>
        <w:trPr/>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0214/000149315223034832/ex3-1.htm" TargetMode="External"/><Relationship Id="rId3" Type="http://schemas.openxmlformats.org/officeDocument/2006/relationships/hyperlink" Target="https://www.sec.gov/Archives/edgar/data/1360214/000149315223034832/ex3-2.htm" TargetMode="External"/><Relationship Id="rId4" Type="http://schemas.openxmlformats.org/officeDocument/2006/relationships/hyperlink" Target="https://www.sec.gov/Archives/edgar/data/1360214/000149315224010518/ex10-46.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16508</Words>
  <Characters>92921</Characters>
  <CharactersWithSpaces>110642</CharactersWithSpaces>
  <Paragraphs>5051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