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SCHEDULE 14A INFORMATION</w:t>
      </w:r>
    </w:p>
    <w:p>
      <w:pPr>
        <w:spacing w:after="0" w:line="242"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(Amendment No. __)</w:t>
      </w:r>
    </w:p>
    <w:p>
      <w:pPr>
        <w:spacing w:after="0" w:line="20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23" w:lineRule="exact"/>
        <w:rPr>
          <w:sz w:val="24"/>
          <w:szCs w:val="24"/>
          <w:color w:val="auto"/>
        </w:rPr>
      </w:pPr>
    </w:p>
    <w:p>
      <w:pPr>
        <w:ind w:right="4820" w:firstLine="8"/>
        <w:spacing w:after="0" w:line="217" w:lineRule="exact"/>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29"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20955</wp:posOffset>
            </wp:positionV>
            <wp:extent cx="57975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5"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57975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32" w:lineRule="exact"/>
        <w:rPr>
          <w:sz w:val="24"/>
          <w:szCs w:val="24"/>
          <w:color w:val="auto"/>
        </w:rPr>
      </w:pPr>
    </w:p>
    <w:p>
      <w:pPr>
        <w:ind w:left="310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252" w:lineRule="exact"/>
        <w:rPr>
          <w:sz w:val="24"/>
          <w:szCs w:val="24"/>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firstLine="8"/>
        <w:spacing w:after="0" w:line="250"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right="280" w:firstLine="8"/>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sz w:val="24"/>
          <w:szCs w:val="24"/>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80"/>
          </w:cols>
          <w:pgMar w:left="240" w:top="310" w:right="6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457835</wp:posOffset>
            </wp:positionV>
            <wp:extent cx="1964055" cy="85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6405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10,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cordially invited to attend the 2015 Annual Meeting of Stockholders of Imprimis Pharmaceuticals, Inc., which will be held at the offices of Morrison &amp; Foerster, LLP located at 12531 High Bluff Drive, Suite 100, San Diego, California 92130, on May 12, 2015, at 9:00 a.m. local time. We hope you will be able to attend the meeting in person.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attached notice of meeting and proxy statement describe the matters to be acted upon at the annual meeting. If you plan to attend the annual meeting in person, please mark the designated box on the enclosed proxy card. If you plan to attend the annual meeting and your shares are held in street name (by a broker, for example), you should ask the record holder for a legal proxy and bring it with you to the annual meeting, so that we can verify your ownership of Imprimis Pharmaceuticals, Inc. stock. Please note that if your shares are held in street name and you do not bring a legal proxy from the record holder, although you will be able to attend the annual meeting, you will not be able to vote at the annual meeting.</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to attend the annual meeting personally, and regardless of the number of shares you own, it is important that your shares be represented at the annual meeting. Accordingly, we urge you to promptly complete the enclosed proxy card and return it to our Corporate Secretary at 12264 El Camino Real, Suite 350, San Diego, California 92130, or to promptly use the telephone or Internet voting system. If you do attend the annual meeting and wish to vote in person, you may withdraw a previously submitted proxy at that time.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147510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510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320675</wp:posOffset>
            </wp:positionV>
            <wp:extent cx="1964055" cy="857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64055" cy="8578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12,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Imprimis Pharmaceuticals, Inc.: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NOTICE IS HEREBY GIVEN that the Annual Meeting of Stockholders of Imprimis Pharmaceuticals, Inc. (the “Company”) will be held on May 12, 2015 at 9:00 a.m., at the offices of Morrison &amp; Foerster, LLP located at 12531 High Bluff Drive, Suite 100, San Diego, California 92130, for the following purposes:</w:t>
      </w:r>
    </w:p>
    <w:p>
      <w:pPr>
        <w:spacing w:after="0" w:line="181" w:lineRule="exact"/>
        <w:rPr>
          <w:sz w:val="20"/>
          <w:szCs w:val="20"/>
          <w:color w:val="auto"/>
        </w:rPr>
      </w:pPr>
    </w:p>
    <w:p>
      <w:pPr>
        <w:ind w:left="1140" w:right="20" w:hanging="222"/>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to the Board of Directors the five (5) director nominees named in the accompanying proxy statement to serve until the 2016 annual meeting of stockholders and until their successors are duly elected and qualified.</w:t>
      </w:r>
    </w:p>
    <w:p>
      <w:pPr>
        <w:spacing w:after="0" w:line="197" w:lineRule="exact"/>
        <w:rPr>
          <w:rFonts w:ascii="Arial" w:cs="Arial" w:eastAsia="Arial" w:hAnsi="Arial"/>
          <w:sz w:val="18"/>
          <w:szCs w:val="18"/>
          <w:color w:val="auto"/>
        </w:rPr>
      </w:pPr>
    </w:p>
    <w:p>
      <w:pPr>
        <w:ind w:left="1140" w:right="20" w:hanging="222"/>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KMJ Corbin and Company LLP as the Company’s independent registered public accounting firm for the fiscal year ending December 31, 2015.</w:t>
      </w:r>
    </w:p>
    <w:p>
      <w:pPr>
        <w:spacing w:after="0" w:line="197" w:lineRule="exact"/>
        <w:rPr>
          <w:rFonts w:ascii="Arial" w:cs="Arial" w:eastAsia="Arial" w:hAnsi="Arial"/>
          <w:sz w:val="18"/>
          <w:szCs w:val="18"/>
          <w:color w:val="auto"/>
        </w:rPr>
      </w:pPr>
    </w:p>
    <w:p>
      <w:pPr>
        <w:ind w:left="1140" w:hanging="2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Board of Directors has fixed the close of business on April 9, 2015 as the record date for the determination of stockholders entitled to notice of and to vote at the annual meeting and at any adjournment or postponement thereof. All stockholders are invited to attend the meeting. You must present your proxy or voting instruction card or this notice for admission to the meeting.</w:t>
      </w:r>
    </w:p>
    <w:p>
      <w:pPr>
        <w:spacing w:after="0" w:line="18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152400</wp:posOffset>
            </wp:positionV>
            <wp:extent cx="1475105"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510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10, 2015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337820</wp:posOffset>
            </wp:positionV>
            <wp:extent cx="1964055" cy="857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64055" cy="85788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Stockholders to be held on May 12,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enclosed proxy is solicited on behalf of the Board of Directors (the “Board” or “Board of Directors”) for use at the Annual Meeting of Stockholders (the “Annual Meeting”) of Imprimis Pharmaceuticals, Inc. (referred to herein as the “Company,” “we,” “us” or “our”), to be held on May 12, 2015, at 9:00 a.m. local time at the offices of Morrison &amp; Foerster, LLP located at 12531 High Bluff Drive, Suite 100, San Diego, California 92130, or at any adjournment or postponement thereof, for the purposes set forth herein and in the accompanying Notice of Annual Meeting of Stockholders (the “Notice”). We expect to mail this proxy statement (this “Proxy Statement”) and the accompanying materials, including our Annual Report on Form 10-K for the fiscal year ended December 31, 2014 (the “Annual Report”), the Notice and a proxy card, to our stockholders on or about April 10, 2015.</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references to “us”, “we”, “our”, and the “Company” refer to Imprimis Pharmaceuticals, Inc.</w:t>
      </w:r>
    </w:p>
    <w:p>
      <w:pPr>
        <w:spacing w:after="0" w:line="221" w:lineRule="exact"/>
        <w:rPr>
          <w:sz w:val="20"/>
          <w:szCs w:val="20"/>
          <w:color w:val="auto"/>
        </w:rPr>
      </w:pPr>
    </w:p>
    <w:p>
      <w:pPr>
        <w:jc w:val="center"/>
        <w:ind w:left="260" w:right="6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2015 ANNUAL MEETING OF STOCKHOLDERS TO BE HELD ON MAY 12, 2015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this Proxy Statement, the Notice and the Annual Report can be accessed electronically at: www.iproxydirect.com/IMMY.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 2.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holders of record of shares of our common stock at the close of business on the record date, April 9, 2015, will be entitled to notice of and to vote at the Annual Meeting and any postponement or adjournment thereof. At the close of business on April 9, 2015, the Company had 9,353,704 shares of common stock outstanding and entitled to vote, held by 133 stockholders of record. Each holder of record of shares of our common stock on the record date will be entitled to one vote for each share held on all matters to be voted upon at the Annual Meeting.</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Vote Required and Method of Counting Votes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20" w:type="dxa"/>
            <w:vAlign w:val="bottom"/>
            <w:gridSpan w:val="3"/>
          </w:tcPr>
          <w:p>
            <w:pPr>
              <w:ind w:left="120"/>
              <w:spacing w:after="0"/>
              <w:rPr>
                <w:sz w:val="20"/>
                <w:szCs w:val="20"/>
                <w:color w:val="auto"/>
              </w:rPr>
            </w:pPr>
            <w:r>
              <w:rPr>
                <w:rFonts w:ascii="Arial" w:cs="Arial" w:eastAsia="Arial" w:hAnsi="Arial"/>
                <w:sz w:val="18"/>
                <w:szCs w:val="18"/>
                <w:b w:val="1"/>
                <w:bCs w:val="1"/>
                <w:color w:val="auto"/>
              </w:rPr>
              <w:t>Broker Discretionary</w:t>
            </w:r>
          </w:p>
        </w:tc>
        <w:tc>
          <w:tcPr>
            <w:tcW w:w="0" w:type="dxa"/>
            <w:vAlign w:val="bottom"/>
          </w:tcPr>
          <w:p>
            <w:pPr>
              <w:spacing w:after="0"/>
              <w:rPr>
                <w:sz w:val="1"/>
                <w:szCs w:val="1"/>
                <w:color w:val="auto"/>
              </w:rPr>
            </w:pPr>
          </w:p>
        </w:tc>
      </w:tr>
      <w:tr>
        <w:trPr>
          <w:trHeight w:val="241"/>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Proposal</w:t>
            </w:r>
          </w:p>
        </w:tc>
        <w:tc>
          <w:tcPr>
            <w:tcW w:w="6620" w:type="dxa"/>
            <w:vAlign w:val="bottom"/>
          </w:tcPr>
          <w:p>
            <w:pPr>
              <w:spacing w:after="0"/>
              <w:rPr>
                <w:sz w:val="20"/>
                <w:szCs w:val="20"/>
                <w:color w:val="auto"/>
              </w:rPr>
            </w:pPr>
          </w:p>
        </w:tc>
        <w:tc>
          <w:tcPr>
            <w:tcW w:w="1980" w:type="dxa"/>
            <w:vAlign w:val="bottom"/>
            <w:gridSpan w:val="2"/>
          </w:tcPr>
          <w:p>
            <w:pPr>
              <w:ind w:left="120"/>
              <w:spacing w:after="0"/>
              <w:rPr>
                <w:sz w:val="20"/>
                <w:szCs w:val="20"/>
                <w:color w:val="auto"/>
              </w:rPr>
            </w:pPr>
            <w:r>
              <w:rPr>
                <w:rFonts w:ascii="Arial" w:cs="Arial" w:eastAsia="Arial" w:hAnsi="Arial"/>
                <w:sz w:val="18"/>
                <w:szCs w:val="18"/>
                <w:b w:val="1"/>
                <w:bCs w:val="1"/>
                <w:color w:val="auto"/>
              </w:rPr>
              <w:t>Vote Required</w:t>
            </w:r>
          </w:p>
        </w:tc>
        <w:tc>
          <w:tcPr>
            <w:tcW w:w="2020" w:type="dxa"/>
            <w:vAlign w:val="bottom"/>
            <w:gridSpan w:val="3"/>
          </w:tcPr>
          <w:p>
            <w:pPr>
              <w:ind w:left="120"/>
              <w:spacing w:after="0"/>
              <w:rPr>
                <w:sz w:val="20"/>
                <w:szCs w:val="20"/>
                <w:color w:val="auto"/>
              </w:rPr>
            </w:pPr>
            <w:r>
              <w:rPr>
                <w:rFonts w:ascii="Arial" w:cs="Arial" w:eastAsia="Arial" w:hAnsi="Arial"/>
                <w:sz w:val="18"/>
                <w:szCs w:val="18"/>
                <w:b w:val="1"/>
                <w:bCs w:val="1"/>
                <w:color w:val="auto"/>
              </w:rPr>
              <w:t>Voting Allowed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Proposal 1</w:t>
            </w:r>
          </w:p>
        </w:tc>
        <w:tc>
          <w:tcPr>
            <w:tcW w:w="6620" w:type="dxa"/>
            <w:vAlign w:val="bottom"/>
          </w:tcPr>
          <w:p>
            <w:pPr>
              <w:ind w:left="20"/>
              <w:spacing w:after="0"/>
              <w:rPr>
                <w:sz w:val="20"/>
                <w:szCs w:val="20"/>
                <w:color w:val="auto"/>
              </w:rPr>
            </w:pPr>
            <w:r>
              <w:rPr>
                <w:rFonts w:ascii="Arial" w:cs="Arial" w:eastAsia="Arial" w:hAnsi="Arial"/>
                <w:sz w:val="18"/>
                <w:szCs w:val="18"/>
                <w:color w:val="auto"/>
              </w:rPr>
              <w:t>– Election of five directors</w:t>
            </w:r>
          </w:p>
        </w:tc>
        <w:tc>
          <w:tcPr>
            <w:tcW w:w="1980" w:type="dxa"/>
            <w:vAlign w:val="bottom"/>
            <w:gridSpan w:val="2"/>
          </w:tcPr>
          <w:p>
            <w:pPr>
              <w:ind w:left="120"/>
              <w:spacing w:after="0"/>
              <w:rPr>
                <w:sz w:val="20"/>
                <w:szCs w:val="20"/>
                <w:color w:val="auto"/>
              </w:rPr>
            </w:pPr>
            <w:r>
              <w:rPr>
                <w:rFonts w:ascii="Arial" w:cs="Arial" w:eastAsia="Arial" w:hAnsi="Arial"/>
                <w:sz w:val="18"/>
                <w:szCs w:val="18"/>
                <w:color w:val="auto"/>
              </w:rPr>
              <w:t>Plurality of Votes Cast</w:t>
            </w:r>
          </w:p>
        </w:tc>
        <w:tc>
          <w:tcPr>
            <w:tcW w:w="120" w:type="dxa"/>
            <w:vAlign w:val="bottom"/>
          </w:tcPr>
          <w:p>
            <w:pPr>
              <w:spacing w:after="0"/>
              <w:rPr>
                <w:sz w:val="18"/>
                <w:szCs w:val="18"/>
                <w:color w:val="auto"/>
              </w:rPr>
            </w:pPr>
          </w:p>
        </w:tc>
        <w:tc>
          <w:tcPr>
            <w:tcW w:w="1900" w:type="dxa"/>
            <w:vAlign w:val="bottom"/>
            <w:gridSpan w:val="2"/>
          </w:tcPr>
          <w:p>
            <w:pPr>
              <w:ind w:left="5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Proposal 2</w:t>
            </w:r>
          </w:p>
        </w:tc>
        <w:tc>
          <w:tcPr>
            <w:tcW w:w="6620" w:type="dxa"/>
            <w:vAlign w:val="bottom"/>
          </w:tcPr>
          <w:p>
            <w:pPr>
              <w:ind w:left="20"/>
              <w:spacing w:after="0"/>
              <w:rPr>
                <w:sz w:val="20"/>
                <w:szCs w:val="20"/>
                <w:color w:val="auto"/>
              </w:rPr>
            </w:pPr>
            <w:r>
              <w:rPr>
                <w:rFonts w:ascii="Arial" w:cs="Arial" w:eastAsia="Arial" w:hAnsi="Arial"/>
                <w:sz w:val="18"/>
                <w:szCs w:val="18"/>
                <w:color w:val="auto"/>
              </w:rPr>
              <w:t>– Ratification of auditors for the 2015 fiscal year</w:t>
            </w:r>
          </w:p>
        </w:tc>
        <w:tc>
          <w:tcPr>
            <w:tcW w:w="1980" w:type="dxa"/>
            <w:vAlign w:val="bottom"/>
            <w:gridSpan w:val="2"/>
          </w:tcPr>
          <w:p>
            <w:pPr>
              <w:ind w:left="120"/>
              <w:spacing w:after="0"/>
              <w:rPr>
                <w:sz w:val="20"/>
                <w:szCs w:val="20"/>
                <w:color w:val="auto"/>
              </w:rPr>
            </w:pPr>
            <w:r>
              <w:rPr>
                <w:rFonts w:ascii="Arial" w:cs="Arial" w:eastAsia="Arial" w:hAnsi="Arial"/>
                <w:sz w:val="18"/>
                <w:szCs w:val="18"/>
                <w:color w:val="auto"/>
              </w:rPr>
              <w:t>Majority of Votes Cast</w:t>
            </w:r>
          </w:p>
        </w:tc>
        <w:tc>
          <w:tcPr>
            <w:tcW w:w="120" w:type="dxa"/>
            <w:vAlign w:val="bottom"/>
          </w:tcPr>
          <w:p>
            <w:pPr>
              <w:spacing w:after="0"/>
              <w:rPr>
                <w:sz w:val="20"/>
                <w:szCs w:val="20"/>
                <w:color w:val="auto"/>
              </w:rPr>
            </w:pPr>
          </w:p>
        </w:tc>
        <w:tc>
          <w:tcPr>
            <w:tcW w:w="1900" w:type="dxa"/>
            <w:vAlign w:val="bottom"/>
            <w:gridSpan w:val="2"/>
          </w:tcPr>
          <w:p>
            <w:pPr>
              <w:ind w:left="58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With respect to Proposal 1, you may vote FOR or ABSTAIN. Abstentions and broker non-votes, if any, will have no effect on the outcome of Proposal 1. With respect to Proposal 2, you may vote FOR, AGAINST or ABSTAIN. Abstentions, if any, will have no effect on the outcome of Proposal 2, as they are not considered to be votes cast on this matter. Broker non-votes are not expected to result from Proposal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12264 El Camino Real, Suite 350, San Diego, California 92130 or by using the telephone or Internet voting systems.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are a stockholder of record if, at the close of business on the record date, your shares were registered directly in your name with Action Stock Transfer Corp., our transfer agent. If you are a stockholder of record and submit your vote by proxy, you may revoke it at any time before its use, either by:</w:t>
      </w:r>
    </w:p>
    <w:p>
      <w:pPr>
        <w:spacing w:after="0" w:line="124" w:lineRule="exact"/>
        <w:rPr>
          <w:sz w:val="20"/>
          <w:szCs w:val="20"/>
          <w:color w:val="auto"/>
        </w:rPr>
      </w:pPr>
    </w:p>
    <w:p>
      <w:pPr>
        <w:ind w:left="1240" w:hanging="260"/>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revoking it in person at the Annual Meeting;</w:t>
      </w:r>
    </w:p>
    <w:p>
      <w:pPr>
        <w:spacing w:after="0" w:line="225" w:lineRule="exact"/>
        <w:rPr>
          <w:rFonts w:ascii="Arial" w:cs="Arial" w:eastAsia="Arial" w:hAnsi="Arial"/>
          <w:sz w:val="18"/>
          <w:szCs w:val="18"/>
          <w:color w:val="auto"/>
        </w:rPr>
      </w:pPr>
    </w:p>
    <w:p>
      <w:pPr>
        <w:ind w:left="980" w:right="20"/>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a written notice to our Corporate Secretary at 12264 El Camino Real, Suite 350, San Diego, California 92130 before the proxy is used; or</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a later dated proxy card to us at the address noted above before the proxy is used.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Your presence at the Annual Meeting will not revoke your proxy, but if you attend the meeting and cast a ballot, your proxy will be revoked as to the matters on which the ballot is cast.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both"/>
        <w:ind w:firstLine="648"/>
        <w:spacing w:after="0" w:line="308" w:lineRule="auto"/>
        <w:rPr>
          <w:sz w:val="20"/>
          <w:szCs w:val="20"/>
          <w:color w:val="auto"/>
        </w:rPr>
      </w:pPr>
      <w:r>
        <w:rPr>
          <w:rFonts w:ascii="Arial" w:cs="Arial" w:eastAsia="Arial" w:hAnsi="Arial"/>
          <w:sz w:val="17"/>
          <w:szCs w:val="17"/>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complete list of registered stockholders entitled to vote at the Annual Meeting will be available for examination by any stockholder for any purpose related to the Annual Meeting for the ten days prior to the Annual Meeting during ordinary business hours at our principal offices located at 12264 El Camino Real, Suite 350, San Diego, California 92130.</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currently consists of five directors. Our Board has selected five director nominees for election at the Annual Meeting, consisting of all of our incumbent directors, upon the recommendation of the Company’s Nomination and Corporate Governance Committee. Each of the nominees is currently a director of our Company and, except for Dr. Lindstrom, was elected or re-elected by our stockholders at our 2014 annual meeting of stockholders. Dr. Lindstrom, who was appointed as a director in January 2015, was identified and recommended by our CEO, Mark L. Baum. At the Annual Meeting, stockholders will elect five directors to serve until the 2016 annual meeting of stockholders and until the directors’ respective successors are elected and qualified or their earlier death, resignation or removal.</w:t>
      </w:r>
    </w:p>
    <w:p>
      <w:pPr>
        <w:spacing w:after="0" w:line="22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has selected the following five persons as its nominees for election to the Board at the Annual Meeting. Each of these nominees has indicated that 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 Set forth below are the names, ages and certain other information of each director nominee as of April 9,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0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Name</w:t>
            </w:r>
          </w:p>
        </w:tc>
        <w:tc>
          <w:tcPr>
            <w:tcW w:w="10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88"/>
              </w:rPr>
              <w:t>Age</w:t>
            </w:r>
          </w:p>
        </w:tc>
        <w:tc>
          <w:tcPr>
            <w:tcW w:w="7880" w:type="dxa"/>
            <w:vAlign w:val="bottom"/>
            <w:tcBorders>
              <w:bottom w:val="single" w:sz="8" w:color="auto"/>
            </w:tcBorders>
          </w:tcPr>
          <w:p>
            <w:pPr>
              <w:ind w:left="3060"/>
              <w:spacing w:after="0"/>
              <w:rPr>
                <w:sz w:val="20"/>
                <w:szCs w:val="20"/>
                <w:color w:val="auto"/>
              </w:rPr>
            </w:pPr>
            <w:r>
              <w:rPr>
                <w:rFonts w:ascii="Arial" w:cs="Arial" w:eastAsia="Arial" w:hAnsi="Arial"/>
                <w:sz w:val="18"/>
                <w:szCs w:val="18"/>
                <w:b w:val="1"/>
                <w:bCs w:val="1"/>
                <w:color w:val="auto"/>
              </w:rPr>
              <w:t>Position &amp; Committees</w:t>
            </w: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Mark L. Baum</w:t>
            </w:r>
          </w:p>
        </w:tc>
        <w:tc>
          <w:tcPr>
            <w:tcW w:w="102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9"/>
              </w:rPr>
              <w:t>42</w:t>
            </w:r>
          </w:p>
        </w:tc>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 Chief Executive Officer</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Robert J. Kammer</w:t>
            </w:r>
          </w:p>
        </w:tc>
        <w:tc>
          <w:tcPr>
            <w:tcW w:w="1020" w:type="dxa"/>
            <w:vAlign w:val="bottom"/>
          </w:tcPr>
          <w:p>
            <w:pPr>
              <w:jc w:val="center"/>
              <w:ind w:left="590"/>
              <w:spacing w:after="0"/>
              <w:rPr>
                <w:sz w:val="20"/>
                <w:szCs w:val="20"/>
                <w:color w:val="auto"/>
              </w:rPr>
            </w:pPr>
            <w:r>
              <w:rPr>
                <w:rFonts w:ascii="Arial" w:cs="Arial" w:eastAsia="Arial" w:hAnsi="Arial"/>
                <w:sz w:val="18"/>
                <w:szCs w:val="18"/>
                <w:color w:val="auto"/>
                <w:w w:val="89"/>
              </w:rPr>
              <w:t>64</w:t>
            </w:r>
          </w:p>
        </w:tc>
        <w:tc>
          <w:tcPr>
            <w:tcW w:w="7880" w:type="dxa"/>
            <w:vAlign w:val="bottom"/>
          </w:tcPr>
          <w:p>
            <w:pPr>
              <w:ind w:left="40"/>
              <w:spacing w:after="0"/>
              <w:rPr>
                <w:sz w:val="20"/>
                <w:szCs w:val="20"/>
                <w:color w:val="auto"/>
              </w:rPr>
            </w:pPr>
            <w:r>
              <w:rPr>
                <w:rFonts w:ascii="Arial" w:cs="Arial" w:eastAsia="Arial" w:hAnsi="Arial"/>
                <w:sz w:val="18"/>
                <w:szCs w:val="18"/>
                <w:color w:val="auto"/>
              </w:rPr>
              <w:t>Chairman of the Board</w:t>
            </w: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Richard L. Lindstrom</w:t>
            </w:r>
          </w:p>
        </w:tc>
        <w:tc>
          <w:tcPr>
            <w:tcW w:w="1020" w:type="dxa"/>
            <w:vAlign w:val="bottom"/>
            <w:shd w:val="clear" w:color="auto" w:fill="CCEEFF"/>
          </w:tcPr>
          <w:p>
            <w:pPr>
              <w:jc w:val="center"/>
              <w:ind w:left="590"/>
              <w:spacing w:after="0" w:line="201" w:lineRule="exact"/>
              <w:rPr>
                <w:sz w:val="20"/>
                <w:szCs w:val="20"/>
                <w:color w:val="auto"/>
              </w:rPr>
            </w:pPr>
            <w:r>
              <w:rPr>
                <w:rFonts w:ascii="Arial" w:cs="Arial" w:eastAsia="Arial" w:hAnsi="Arial"/>
                <w:sz w:val="18"/>
                <w:szCs w:val="18"/>
                <w:color w:val="auto"/>
                <w:w w:val="89"/>
              </w:rPr>
              <w:t>67</w:t>
            </w:r>
          </w:p>
        </w:tc>
        <w:tc>
          <w:tcPr>
            <w:tcW w:w="78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Director; Audit Committee, Compensation Committee*,</w:t>
            </w: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Nomination and Corporate Governance Committee</w:t>
            </w: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William H. Nelson</w:t>
            </w:r>
          </w:p>
        </w:tc>
        <w:tc>
          <w:tcPr>
            <w:tcW w:w="1020" w:type="dxa"/>
            <w:vAlign w:val="bottom"/>
          </w:tcPr>
          <w:p>
            <w:pPr>
              <w:jc w:val="center"/>
              <w:ind w:left="590"/>
              <w:spacing w:after="0" w:line="201" w:lineRule="exact"/>
              <w:rPr>
                <w:sz w:val="20"/>
                <w:szCs w:val="20"/>
                <w:color w:val="auto"/>
              </w:rPr>
            </w:pPr>
            <w:r>
              <w:rPr>
                <w:rFonts w:ascii="Arial" w:cs="Arial" w:eastAsia="Arial" w:hAnsi="Arial"/>
                <w:sz w:val="18"/>
                <w:szCs w:val="18"/>
                <w:color w:val="auto"/>
                <w:w w:val="89"/>
              </w:rPr>
              <w:t>69</w:t>
            </w:r>
          </w:p>
        </w:tc>
        <w:tc>
          <w:tcPr>
            <w:tcW w:w="7880" w:type="dxa"/>
            <w:vAlign w:val="bottom"/>
          </w:tcPr>
          <w:p>
            <w:pPr>
              <w:ind w:left="40"/>
              <w:spacing w:after="0" w:line="201" w:lineRule="exact"/>
              <w:rPr>
                <w:sz w:val="20"/>
                <w:szCs w:val="20"/>
                <w:color w:val="auto"/>
              </w:rPr>
            </w:pPr>
            <w:r>
              <w:rPr>
                <w:rFonts w:ascii="Arial" w:cs="Arial" w:eastAsia="Arial" w:hAnsi="Arial"/>
                <w:sz w:val="18"/>
                <w:szCs w:val="18"/>
                <w:color w:val="auto"/>
              </w:rPr>
              <w:t>Director; Audit Committee, Compensation Committee,</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Nomination and Corporate Governance Committee*</w:t>
            </w: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Stephen G. Austin</w:t>
            </w:r>
          </w:p>
        </w:tc>
        <w:tc>
          <w:tcPr>
            <w:tcW w:w="1020" w:type="dxa"/>
            <w:vAlign w:val="bottom"/>
            <w:shd w:val="clear" w:color="auto" w:fill="CCEEFF"/>
          </w:tcPr>
          <w:p>
            <w:pPr>
              <w:jc w:val="center"/>
              <w:ind w:left="590"/>
              <w:spacing w:after="0" w:line="201" w:lineRule="exact"/>
              <w:rPr>
                <w:sz w:val="20"/>
                <w:szCs w:val="20"/>
                <w:color w:val="auto"/>
              </w:rPr>
            </w:pPr>
            <w:r>
              <w:rPr>
                <w:rFonts w:ascii="Arial" w:cs="Arial" w:eastAsia="Arial" w:hAnsi="Arial"/>
                <w:sz w:val="18"/>
                <w:szCs w:val="18"/>
                <w:color w:val="auto"/>
                <w:w w:val="89"/>
              </w:rPr>
              <w:t>62</w:t>
            </w:r>
          </w:p>
        </w:tc>
        <w:tc>
          <w:tcPr>
            <w:tcW w:w="78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Director; Audit Committee*, Compensation Committee,</w:t>
            </w: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Nomination and Corporate Governance Committee</w:t>
            </w:r>
          </w:p>
        </w:tc>
      </w:tr>
    </w:tbl>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2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Mark L. Baum, J.D. </w:t>
      </w:r>
      <w:r>
        <w:rPr>
          <w:rFonts w:ascii="Arial" w:cs="Arial" w:eastAsia="Arial" w:hAnsi="Arial"/>
          <w:sz w:val="17"/>
          <w:szCs w:val="17"/>
          <w:color w:val="auto"/>
        </w:rPr>
        <w:t>is a founder of our Company, a director and our Chief Executive Officer. Beginning in 2011, Mr. Baum led the restructuring</w:t>
      </w:r>
      <w:r>
        <w:rPr>
          <w:rFonts w:ascii="Arial" w:cs="Arial" w:eastAsia="Arial" w:hAnsi="Arial"/>
          <w:sz w:val="17"/>
          <w:szCs w:val="17"/>
          <w:b w:val="1"/>
          <w:bCs w:val="1"/>
          <w:color w:val="auto"/>
        </w:rPr>
        <w:t xml:space="preserve"> </w:t>
      </w:r>
      <w:r>
        <w:rPr>
          <w:rFonts w:ascii="Arial" w:cs="Arial" w:eastAsia="Arial" w:hAnsi="Arial"/>
          <w:sz w:val="17"/>
          <w:szCs w:val="17"/>
          <w:color w:val="auto"/>
        </w:rPr>
        <w:t>and reorganization of our Company, including our securities offerings to raise capital to support our business. Mr. Baum was appointed as a director of the Company in December 2011, served as the Chairman of the Board from December 2011 to April 2012, and was appointed as our Chief Executive Officer in April 2012. Prior to Mr. Baum’s involvement with our Company, from 2001 to 2011, he was the founder and managing director of TBLF, LLC, a law firm and fund manager, where he managed a series of three funds and acted as a principal investor in financing publicly traded companies or bridge-to-public equity transactions. Before his fund management experience, Mr. Baum founded and served as the president of YesRx, a publicly traded pharmacy business, and practiced as a U.S. securities lawyer focused on public company reporting requirements and finance-related matters. In addition, Mr. Baum serves on the board of directors for Ideal Power, Inc. (NASDAQ: IPWR), where he is also chairman of the audit committee, and is the chairman of the board of directors of Endra, Inc., a privately-held medical imaging company. Mr. Baum brings to our Board years of public company executive experience, including knowledge of securities laws, reporting requirements and public company finance-related issues.</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Robert J. Kammer, D.D.S., </w:t>
      </w:r>
      <w:r>
        <w:rPr>
          <w:rFonts w:ascii="Arial" w:cs="Arial" w:eastAsia="Arial" w:hAnsi="Arial"/>
          <w:sz w:val="17"/>
          <w:szCs w:val="17"/>
          <w:color w:val="auto"/>
        </w:rPr>
        <w:t>is a founder of our Company and has served as our director since December 2011 and as Chairman of the Board since</w:t>
      </w:r>
      <w:r>
        <w:rPr>
          <w:rFonts w:ascii="Arial" w:cs="Arial" w:eastAsia="Arial" w:hAnsi="Arial"/>
          <w:sz w:val="17"/>
          <w:szCs w:val="17"/>
          <w:b w:val="1"/>
          <w:bCs w:val="1"/>
          <w:color w:val="auto"/>
        </w:rPr>
        <w:t xml:space="preserve"> </w:t>
      </w:r>
      <w:r>
        <w:rPr>
          <w:rFonts w:ascii="Arial" w:cs="Arial" w:eastAsia="Arial" w:hAnsi="Arial"/>
          <w:sz w:val="17"/>
          <w:szCs w:val="17"/>
          <w:color w:val="auto"/>
        </w:rPr>
        <w:t>April 2012. In June 2014, Dr. Kammer joined the board of directors of SoftScience Shoe Company as the co-chairman. In January 2015, Dr. Kammer retired from his clinical practice as a dentist, in which he was engaged from 1975 to 2015. He is a retired Diplomate of The American Board of Orofacial Pain and a Founding Member of The Academy for Sports Dentistry and Colorado Osseointegration Study Club. From 1979 to 1996, Dr. Kammer was an Associate Professor at the University of Colorado School of Dental Medicine. Dr. Kammer has also served as a consultant to the Boulder-Denver Pain Control Center and a reviewer for the Journal of Orofacial Pain. Dr. Kammer recently contributed a chapter to the text “Osteoperiosteal Flap”, has co-authored multiple scientific articles, was co-investigator on a Dental Implant Bar Study at the Mayo Institute from 2011 to 2013 and served as a consultant for Clear Choice Dental Implant Centers from 2010 to 2013. Dr. Kammer received his Bachelor of Science degree in 1971 from Xavier University, Cincinnati, Ohio. He received his Doctor of Dental Surgery degree from the University of Iowa College of Dentistry in 1974. Dr. Kammer brings to our Board over 35 years of clinical experience treating patients and leadership experience in a variety of positions.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Richard L. Lindstrom, M.D. </w:t>
      </w:r>
      <w:r>
        <w:rPr>
          <w:rFonts w:ascii="Arial" w:cs="Arial" w:eastAsia="Arial" w:hAnsi="Arial"/>
          <w:sz w:val="16"/>
          <w:szCs w:val="16"/>
          <w:color w:val="auto"/>
        </w:rPr>
        <w:t>has served as our director since January 2015. Dr. Lindstrom is a founder, director and has been an attending surgeon</w:t>
      </w:r>
      <w:r>
        <w:rPr>
          <w:rFonts w:ascii="Arial" w:cs="Arial" w:eastAsia="Arial" w:hAnsi="Arial"/>
          <w:sz w:val="16"/>
          <w:szCs w:val="16"/>
          <w:b w:val="1"/>
          <w:bCs w:val="1"/>
          <w:color w:val="auto"/>
        </w:rPr>
        <w:t xml:space="preserve"> </w:t>
      </w:r>
      <w:r>
        <w:rPr>
          <w:rFonts w:ascii="Arial" w:cs="Arial" w:eastAsia="Arial" w:hAnsi="Arial"/>
          <w:sz w:val="16"/>
          <w:szCs w:val="16"/>
          <w:color w:val="auto"/>
        </w:rPr>
        <w:t>at Minnesota Eye Consultants P.A., a provider of eye care services, since 1989. He has served as a researcher, teacher, inventor, writer, lecturer and highly acclaimed physician and surgeon in the ophthalmology field. He has also served as a member of the board of directors of the following public companies:</w:t>
      </w:r>
    </w:p>
    <w:p>
      <w:pPr>
        <w:spacing w:after="0" w:line="2" w:lineRule="exact"/>
        <w:rPr>
          <w:sz w:val="20"/>
          <w:szCs w:val="20"/>
          <w:color w:val="auto"/>
        </w:rPr>
      </w:pPr>
    </w:p>
    <w:p>
      <w:pPr>
        <w:jc w:val="both"/>
        <w:ind w:firstLine="8"/>
        <w:spacing w:after="0" w:line="251" w:lineRule="auto"/>
        <w:tabs>
          <w:tab w:leader="none" w:pos="2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TearLab Corporation (NASDAQ: TEAR) since 2010; (ii) Ocular Therapeutix, Inc. (NASDAQ: OCUL) since 2012; and (iii) OnPoint Medical Diagnostics, which merged with Vertical Health Solutions in 2011 (formerly OTCBB: ONMD), from 2010 to 2013. Dr. Lindstrom has also served as associate director of the Minnesota Lions Eye Bank since 1987 and he is a medical advisor for several medical device and pharmaceutical manufacturers and serves on the boards of several other privately-held life sciences companies. Dr. Lindstrom previously served as president of the International Society of Refractive Surgery from 1993 to 1994, the International Intraocular Implant Society from 2002 to 2004, the International Refractive Surgery Club from 2002 to 2004, and the American Society of Cataract and Refractive Surgery (“ASCRS”) from 2007 to 2008. Dr. Lindstrom currently serves on the ASCRS Executive Committee and is the Chair of the ASCRS Foundation. From 1980 to 1989, he served as a professor of ophthalmology at the University of Minnesota, where he is currently an adjunct professor emeritus. Dr. Lindstrom is also a board member of the University of Minnesota Foundation, chairing the Ophthalmology and Visual Neurosciences Division. Dr. Lindstrom holds a B.A. degree in Pre-Medical Studies, a B.S. degree in Medicine and an M.D. degree from the University of Minnesota. Dr. Lindstrom brings to the Board over 30 years of ophthalmology industry experience, as well extensive experience serving as a director of other companies.</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William H. Nelson </w:t>
      </w:r>
      <w:r>
        <w:rPr>
          <w:rFonts w:ascii="Arial" w:cs="Arial" w:eastAsia="Arial" w:hAnsi="Arial"/>
          <w:sz w:val="16"/>
          <w:szCs w:val="16"/>
          <w:color w:val="auto"/>
        </w:rPr>
        <w:t>has served as our director since September 2014. Mr. Nelson served as the President and the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Intermountain Healthcare, an integrated nonprofit healthcare system with hospitals, clinics, and an insurance organization, from 1999 until his retirement in early 2009. Mr. Nelson also served as Chief Operating Officer of Intermountain Healthcare from 1995 to 1998 and Chief Financial Officer from 1976 to 1995. Prior to that, Mr. Nelson was an auditor for Ernst and Ernst (now Ernst &amp; Young) from 1971 to 1976. Mr. Nelson serves on the boards of the Utah Symphony &amp; Opera, Utah Youth Village and other non-profit community based organizations and has served on the boards of Beneficial Life Insurance, United Way of the Greater Salt Lake Area and the Healthcare Research and Development Institute. Mr. Nelson received his Bachelors of Science degree in Accounting from Brigham Young University, his MBA degree from University of Southern California and became a licensed Certified Public Accountant in 1973 (currently inactive). Mr. Nelson brings valuable healthcare industry and management experience to the Board.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Stephen G. Austin, CPA </w:t>
      </w:r>
      <w:r>
        <w:rPr>
          <w:rFonts w:ascii="Arial" w:cs="Arial" w:eastAsia="Arial" w:hAnsi="Arial"/>
          <w:sz w:val="17"/>
          <w:szCs w:val="17"/>
          <w:color w:val="auto"/>
        </w:rPr>
        <w:t>has served as our director since July 2012. He has been a Partner in Swenson Advisors, LLP, a regional accounting firm</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with the Public Company Accounting Oversight Board), since May 1998 and has served as Managing Partner since October 2006. At Swenson Advisors, Mr. Austin manages assurance, Sarbanes-Oxley and other business consulting for public and private companies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He serves as a board member or advisory board member for various not-for-profit foundations, associations and public service organizations in the United States, is on the global board of directors of Integra International, an international association of accounting firms, and served as a director on the board of Avanir Pharmaceuticals, Inc. (formerly NASDAQ: AVNR) from March 2003 to December 2012, where he also served on the audit committee and compensation committee. In 2004, Mr. Austin published a book on business ethics entitled “Rise of the New Ethics Class,” and in 2005 and 2006 he published articles in Asia discussing The Sarbanes-Oxley Act of 2002. Mr. Austin has also authored articles for the American Institute of CPAs, including the Journal of Accountancy. Mr. Austin holds a B.S. degree in accounting from Bob Jones University and an MBA degree from the University of Georgia and has been licensed as a Certified Public Accountant since 1978. Mr. Austin brings to our Board financial and accounting expertise and extensive experience serving as a director of other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enclosed proxy will vote the proxies they receive FOR the election of the nominees named above, unless a particular proxy card withholds authorization to do so or provides contrary instructions.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OF THE NOMINEES FOR DIRECTOR.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Board has selected KMJ Corbin &amp; Company LLP (“KMJ”) to serve as our independent registered public accounting firm for the fiscal year ending December 31, 2015, and has further directed that the selection of our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All Other Fees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Aggregate fees for professional services rendered to the company by KMJ for the years ended December 31, 2014 and 2013,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45,648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122,098</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95,555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“Audit Fees” represent fees for professional services provided in connection with the audit of our annual financial statements, and the review of our financial statements included in our quarterly reports. “Audit-Related Fees” represent fees for professional services provided in connection with the review of our registration statements on Forms S-8, S-3 and S-1, and the acquisition audit of our wholly owned subsidiary. “Other Fees” represent fees for professional services provided in connection with the review of the Company’s accounting for its director compensation program. There were no fees billed by or paid to our principal accountant during the years ended December 31, 2014 and 2013 for tax compliance, tax advice or tax planning services or for financial information systems design and implementation services.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Audit Committee pre-approves all services to be provided by KMJ. All fees paid to KMJ for services performed in 2014 and 2013 were pre-approved by our Audit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a meeting at which a quorum is present. Abstentions will be counted as present for purposes of determining the presence of a quorum, but will have no effect on the outcome of the vote on this proposal. Broker non-votes are not expected to result from the vote on this proposal. The persons named in the enclosed proxy will vote the proxies they receive FOR the ratification of the selection of KMJ as our independent registered public accounting firm, unless a particular proxy card withholds authorization to do so or provides contrary instructions.</w:t>
      </w:r>
    </w:p>
    <w:p>
      <w:pPr>
        <w:spacing w:after="0" w:line="18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KMJ CORBIN &amp; COMPANY LLP AS THE COMPANY’S INDEPENDENT REGISTERED PUBLIC ACCOUNTING FIRM FOR THE FISCAL YEAR ENDING DECEMBER 31, 2015.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of Directors has adopted corporate governance guidelines to assist it in the exercise of its responsibilities and to serve the interests of the Company and our stockholders. The corporate governance guidelines are available for review on our website at http://imprimispharma.investorroom.com.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currently consists of the following five members: Dr. Robert J. Kammer (Chairman); Stephen G. Austin; Dr. Richard L. Lindstrom; Mark L. Baum and William H. Nelson. During part of 2014, Peter C. Kenny and August S. Bassani also served on our Board (Mr. Kenny resigned as of September 1, 2014 and Mr. Bassani resigned as of January 1, 2015). The Board has determined that (i) Mr. Austin, Dr. Lindstrom and Mr. Nelson, comprising a majority of our current Board, are, and (ii) Mr. Bassani and Mr. Kenny were, “independent” directors, as that term is defined by Nasdaq Marketplace Rule 5605(a)(2). Mr. Baum is not independent because he currently serves as our Chief Executive Officer, and Dr. Kammer is not independent because of previous advisory relationships with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Securities and Exchange Commission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9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any member of the Board of Directors up for re-election at an upcoming annual meeting of stockholders does not wish to continue in service, the Nomination and Corporate Governance Committee would identify a new nominee to replace such director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 party search firm to assist in identifying qualified candidates.</w:t>
      </w:r>
    </w:p>
    <w:p>
      <w:pPr>
        <w:spacing w:after="0" w:line="20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Securities Exchange Act of 1934, as amended (the “Exchange Act”). Stockholders may obtain a copy of our Bylaws by writing to our Corporate Secretary at Imprimis Pharmaceuticals, Inc., c/o Corporate Secretary, 12264 El Camino Real, Suite 350, San Diego, California 92130, or by accessing our Bylaws on the Investor Relations section of our website at http://imprimispharma.investorroom.com.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Stockholders may communicate with the Board of Directors by sending a letter to the Corporate Secretary, Imprimis Pharmaceuticals, Inc., 12264 El Camino Real, Suite 350, San Diego, California 92130.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on a periodic basis. Any communications that concern accounting, internal control or auditing matters will be handled in accordance with procedures adopted by the Audit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has adopted a Code of Business Conduct and Ethics, which is available for review on our website at http://imprimispharma.investorroom.com, and is also available in print, without charge, to any stockholder who requests a copy by writing to us at Imprimis Pharmaceuticals, Inc., 12264 El Camino Real, Suite 350, San Diego, California 92130, Attention: Investor Relations. Each of our directors, employees and officers, including our Chief Executive Officer, Chief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generally holds meetings on a quarterly basis, but may hold additional meetings as required. In 2014, the Board held seven meetings. Each of our directors attended 100% of the Board meetings that were held during the periods when he was a director and 100% of the meetings of each committee of the Board on which he served that were held during the periods that he served on such committee. We do not have a policy requiring that directors attend our annual meetings of stockholders. All of our directors attended our 2014 annual meeting of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Audit Committee is currently composed of Messrs. Stephen Austin (Chairman), Richard Lindstrom and William Nelson. Former directors August Bassani and Peter Kenny served on our Audit Committee in 2014 until their resignations from the Board and Messrs. Nelson and Lindstrom were subsequently nominated to replace them on the committee. Our Board has affirmatively determined that each member of the Audit Committee in 2014 was independent under Nasdaq Marketplace Rule 5605(a)(2) and satisfied all other qualifications under Nasdaq Marketplace Rule 5065(c) and the applicable rules of the SEC, and that each current member of the Audit Committee is independent under Nasdaq Marketplace Rule 5605(a)(2) and satisfies all other qualifications under Nasdaq Marketplace Rule 5605(c) and the applicable rules of the SEC. Our Board has also affirmatively determined that Stephen Austin and William Nelson each qualify as an “audit committee financial expert” as such term is defined in Regulation S-K under the Securities Act of 1933. The Audit Committee held six meetings in 2014.</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Audit Committee acts pursuant to a written charter that has been adopted by the Board, which is available for review on our website at http://imprimispharma.investorroom.com.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Compensation Committee is currently composed of Messrs. Richard Lindstrom (Chairman), Stephen Austin and William Nelson. Former directors August Bassani and Peter Kenny served on our Audit Committee in 2014 until their resignations from the Board and Messrs. Nelson and Lindstrom were subsequently nominated to replace them on the committee. Our Board has affirmatively determined that each member of the Compensation Committee during 2014 was independent under Nasdaq Marketplace Rule 5605(a)(2) and satisfied all other qualifications under Nasdaq Marketplace Rule 5065(d) and the applicable rules of the SEC, and that each current member of the Compensation Committee is independent under Nasdaq Marketplace Rule 5605(a)(2) and satisfies all other qualifications under Nasdaq Marketplace Rule 5065(d) and the applicable rules of the SEC. The Compensation Committee held four meetings in 2014.</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acts pursuant to a written charter that has been adopted by the Board, which is available for review on our website at http://imprimispharma.investorroom.com.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and Corporate Governance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Nomination and Corporate Governance Committee is currently composed of Messrs. William Nelson (Chairman), Stephen Austin and Richard Lindstrom. Former directors August Bassani and Peter Kenny served on our Audit Committee in 2014 until their resignations from the Board and Messrs. Nelson and Lindstrom were subsequently nominated to replace them on the committee. Our Board has affirmatively determined that each member of the Nomination and Corporate Governance Committee during 2014 was independent under Nasdaq Marketplace Rule 5605(a)(2), and that each current member of the Nomination and Corporate Governance Committee is independent under Nasdaq Marketplace Rule 5605(a)(2). The Nomination and Corporate Governance Committee held three meetings in 2014.</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Nomination and Corporate Governance Committee acts pursuant to a written charter that has been adopted by the Board, which is available for review on our website at http://imprimispharma.investorroom.com.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separated. Our Board believes that this structure has allowed Mark L. Baum, Chief Executive Officer, to focus on our day-to-day business, while allowing Robert Kammer, our Chairman of the Board, to lead the Board in its fundamental role of providing advice to and independent oversight (including risk oversight) of management.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color w:val="auto"/>
        </w:rPr>
        <w:t>Our separated Chairman of the Board and Chief Executive Officer positions are augmented by our independent directors, who comprise all of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Board committees and meet regularly in executive session without Dr. Kammer, Mr. Baum or other members of our management present to ensure that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maintains an appropriate level of independent oversight of management.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Management</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Board/Committee</w:t>
            </w:r>
          </w:p>
        </w:tc>
        <w:tc>
          <w:tcPr>
            <w:tcW w:w="8020" w:type="dxa"/>
            <w:vAlign w:val="bottom"/>
            <w:gridSpan w:val="2"/>
          </w:tcPr>
          <w:p>
            <w:pPr>
              <w:ind w:left="260"/>
              <w:spacing w:after="0"/>
              <w:rPr>
                <w:sz w:val="20"/>
                <w:szCs w:val="20"/>
                <w:color w:val="auto"/>
              </w:rPr>
            </w:pPr>
            <w:r>
              <w:rPr>
                <w:rFonts w:ascii="Arial" w:cs="Arial" w:eastAsia="Arial" w:hAnsi="Arial"/>
                <w:sz w:val="18"/>
                <w:szCs w:val="18"/>
                <w:b w:val="1"/>
                <w:bCs w:val="1"/>
                <w:color w:val="auto"/>
              </w:rPr>
              <w:t>Primary Areas of Risk Oversight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Full Board</w:t>
            </w:r>
          </w:p>
        </w:tc>
        <w:tc>
          <w:tcPr>
            <w:tcW w:w="80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4"/>
              </w:rPr>
              <w:t>Risks and exposures associated with our business strategy and other current matters that may present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material risk to our financial performance, operations, prospects or reputation.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Audit Committee</w:t>
            </w:r>
          </w:p>
        </w:tc>
        <w:tc>
          <w:tcPr>
            <w:tcW w:w="802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1"/>
              </w:rPr>
              <w:t>Overall policies with respect to risk assessment and risk management, material pending legal proceedings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2"/>
          </w:tcPr>
          <w:p>
            <w:pPr>
              <w:ind w:left="260"/>
              <w:spacing w:after="0"/>
              <w:rPr>
                <w:sz w:val="20"/>
                <w:szCs w:val="20"/>
                <w:color w:val="auto"/>
              </w:rPr>
            </w:pPr>
            <w:r>
              <w:rPr>
                <w:rFonts w:ascii="Arial" w:cs="Arial" w:eastAsia="Arial" w:hAnsi="Arial"/>
                <w:sz w:val="18"/>
                <w:szCs w:val="18"/>
                <w:color w:val="auto"/>
                <w:w w:val="95"/>
              </w:rPr>
              <w:t>involving the Company and other contingent liabilities, any potential related party or conflict of interest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2"/>
          </w:tcPr>
          <w:p>
            <w:pPr>
              <w:ind w:left="260"/>
              <w:spacing w:after="0"/>
              <w:rPr>
                <w:sz w:val="20"/>
                <w:szCs w:val="20"/>
                <w:color w:val="auto"/>
              </w:rPr>
            </w:pPr>
            <w:r>
              <w:rPr>
                <w:rFonts w:ascii="Arial" w:cs="Arial" w:eastAsia="Arial" w:hAnsi="Arial"/>
                <w:sz w:val="18"/>
                <w:szCs w:val="18"/>
                <w:color w:val="auto"/>
                <w:w w:val="98"/>
              </w:rPr>
              <w:t>transactions, as well as other risks and exposures that may have a material impact on our financial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8020" w:type="dxa"/>
            <w:vAlign w:val="bottom"/>
            <w:gridSpan w:val="2"/>
          </w:tcPr>
          <w:p>
            <w:pPr>
              <w:ind w:left="260"/>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Committee</w:t>
            </w:r>
          </w:p>
        </w:tc>
        <w:tc>
          <w:tcPr>
            <w:tcW w:w="80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6"/>
              </w:rPr>
              <w:t>Risks and exposures associated with management succession planning and executive compensation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programs and arrangements, including incentive plans.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Nomination and Corporate Governance</w:t>
            </w:r>
          </w:p>
        </w:tc>
        <w:tc>
          <w:tcPr>
            <w:tcW w:w="802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89"/>
              </w:rPr>
              <w:t>Risks and exposures associated with director succession planning, corporate governance, and overall board</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Committee</w:t>
            </w:r>
          </w:p>
        </w:tc>
        <w:tc>
          <w:tcPr>
            <w:tcW w:w="8020" w:type="dxa"/>
            <w:vAlign w:val="bottom"/>
            <w:gridSpan w:val="2"/>
          </w:tcPr>
          <w:p>
            <w:pPr>
              <w:ind w:left="260"/>
              <w:spacing w:after="0"/>
              <w:rPr>
                <w:sz w:val="20"/>
                <w:szCs w:val="20"/>
                <w:color w:val="auto"/>
              </w:rPr>
            </w:pPr>
            <w:r>
              <w:rPr>
                <w:rFonts w:ascii="Arial" w:cs="Arial" w:eastAsia="Arial" w:hAnsi="Arial"/>
                <w:sz w:val="18"/>
                <w:szCs w:val="18"/>
                <w:color w:val="auto"/>
              </w:rPr>
              <w:t>effectiveness.</w:t>
            </w:r>
          </w:p>
        </w:tc>
        <w:tc>
          <w:tcPr>
            <w:tcW w:w="0" w:type="dxa"/>
            <w:vAlign w:val="bottom"/>
          </w:tcPr>
          <w:p>
            <w:pPr>
              <w:spacing w:after="0"/>
              <w:rPr>
                <w:sz w:val="1"/>
                <w:szCs w:val="1"/>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Related Persons</w:t>
            </w:r>
          </w:p>
        </w:tc>
        <w:tc>
          <w:tcPr>
            <w:tcW w:w="2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the beginning of 2013, there have been no transactions in which the Company was or is a participant, and there are no currently proposed transactions in which the Company is to be a participant, in which the amount involved exceeds the lesser of $120,000 or 1% of the Company’s average assets at year end for the last two completed fiscal years, and in which any director, officer or beneficial holder of more than 5% of any class of our voting securities or member of such person’s immediate family had or will have a direct or indirect material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the Financial Accounting Standards Board (“FASB”) and SEC rules and regulations. Management advises the Audit Committee and the full Board of Directors on a regular basis of any such transaction that is proposed to be entered into or continued and seeks approval.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reports filed by such persons.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solely on our review of the copies of such reports furnished to us, we believe that during the fiscal year ended December 31, 2014, all executive officers, directors and greater than 10% beneficial owners of our common stock complied with the reporting requirements of Section 16(a) of the Exchange Act.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Executive officers are appointed by our Board and serve at its discretion. Set forth below is information regarding our executive officers as of April 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200" w:type="dxa"/>
            <w:vAlign w:val="bottom"/>
          </w:tcPr>
          <w:p>
            <w:pPr>
              <w:ind w:left="1000"/>
              <w:spacing w:after="0"/>
              <w:rPr>
                <w:sz w:val="20"/>
                <w:szCs w:val="20"/>
                <w:color w:val="auto"/>
              </w:rPr>
            </w:pPr>
            <w:r>
              <w:rPr>
                <w:rFonts w:ascii="Arial" w:cs="Arial" w:eastAsia="Arial" w:hAnsi="Arial"/>
                <w:sz w:val="18"/>
                <w:szCs w:val="18"/>
                <w:b w:val="1"/>
                <w:bCs w:val="1"/>
                <w:color w:val="auto"/>
              </w:rPr>
              <w:t>Position</w:t>
            </w:r>
          </w:p>
        </w:tc>
        <w:tc>
          <w:tcPr>
            <w:tcW w:w="3060" w:type="dxa"/>
            <w:vAlign w:val="bottom"/>
          </w:tcPr>
          <w:p>
            <w:pPr>
              <w:jc w:val="center"/>
              <w:ind w:left="2150"/>
              <w:spacing w:after="0"/>
              <w:rPr>
                <w:sz w:val="20"/>
                <w:szCs w:val="20"/>
                <w:color w:val="auto"/>
              </w:rPr>
            </w:pPr>
            <w:r>
              <w:rPr>
                <w:rFonts w:ascii="Arial" w:cs="Arial" w:eastAsia="Arial" w:hAnsi="Arial"/>
                <w:sz w:val="18"/>
                <w:szCs w:val="18"/>
                <w:b w:val="1"/>
                <w:bCs w:val="1"/>
                <w:color w:val="auto"/>
                <w:w w:val="88"/>
              </w:rPr>
              <w:t>Age</w:t>
            </w:r>
          </w:p>
        </w:tc>
      </w:tr>
      <w:tr>
        <w:trPr>
          <w:trHeight w:val="216"/>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62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Chief Executive Officer and Director</w:t>
            </w:r>
          </w:p>
        </w:tc>
        <w:tc>
          <w:tcPr>
            <w:tcW w:w="3060" w:type="dxa"/>
            <w:vAlign w:val="bottom"/>
            <w:tcBorders>
              <w:top w:val="single" w:sz="8" w:color="auto"/>
            </w:tcBorders>
            <w:shd w:val="clear" w:color="auto" w:fill="CCEEFF"/>
          </w:tcPr>
          <w:p>
            <w:pPr>
              <w:jc w:val="center"/>
              <w:ind w:left="2150"/>
              <w:spacing w:after="0"/>
              <w:rPr>
                <w:sz w:val="20"/>
                <w:szCs w:val="20"/>
                <w:color w:val="auto"/>
              </w:rPr>
            </w:pPr>
            <w:r>
              <w:rPr>
                <w:rFonts w:ascii="Arial" w:cs="Arial" w:eastAsia="Arial" w:hAnsi="Arial"/>
                <w:sz w:val="18"/>
                <w:szCs w:val="18"/>
                <w:color w:val="auto"/>
                <w:w w:val="89"/>
              </w:rPr>
              <w:t>42</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Andrew R. Boll</w:t>
            </w:r>
          </w:p>
        </w:tc>
        <w:tc>
          <w:tcPr>
            <w:tcW w:w="6200" w:type="dxa"/>
            <w:vAlign w:val="bottom"/>
          </w:tcPr>
          <w:p>
            <w:pPr>
              <w:ind w:left="1000"/>
              <w:spacing w:after="0"/>
              <w:rPr>
                <w:sz w:val="20"/>
                <w:szCs w:val="20"/>
                <w:color w:val="auto"/>
              </w:rPr>
            </w:pPr>
            <w:r>
              <w:rPr>
                <w:rFonts w:ascii="Arial" w:cs="Arial" w:eastAsia="Arial" w:hAnsi="Arial"/>
                <w:sz w:val="18"/>
                <w:szCs w:val="18"/>
                <w:color w:val="auto"/>
              </w:rPr>
              <w:t>Chief Financial Officer and Secretary</w:t>
            </w:r>
          </w:p>
        </w:tc>
        <w:tc>
          <w:tcPr>
            <w:tcW w:w="3060" w:type="dxa"/>
            <w:vAlign w:val="bottom"/>
          </w:tcPr>
          <w:p>
            <w:pPr>
              <w:jc w:val="center"/>
              <w:ind w:left="2150"/>
              <w:spacing w:after="0"/>
              <w:rPr>
                <w:sz w:val="20"/>
                <w:szCs w:val="20"/>
                <w:color w:val="auto"/>
              </w:rPr>
            </w:pPr>
            <w:r>
              <w:rPr>
                <w:rFonts w:ascii="Arial" w:cs="Arial" w:eastAsia="Arial" w:hAnsi="Arial"/>
                <w:sz w:val="18"/>
                <w:szCs w:val="18"/>
                <w:color w:val="auto"/>
                <w:w w:val="89"/>
              </w:rPr>
              <w:t>32</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62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Chief Commercial Officer</w:t>
            </w:r>
          </w:p>
        </w:tc>
        <w:tc>
          <w:tcPr>
            <w:tcW w:w="3060" w:type="dxa"/>
            <w:vAlign w:val="bottom"/>
            <w:shd w:val="clear" w:color="auto" w:fill="CCEEFF"/>
          </w:tcPr>
          <w:p>
            <w:pPr>
              <w:jc w:val="center"/>
              <w:ind w:left="2150"/>
              <w:spacing w:after="0"/>
              <w:rPr>
                <w:sz w:val="20"/>
                <w:szCs w:val="20"/>
                <w:color w:val="auto"/>
              </w:rPr>
            </w:pPr>
            <w:r>
              <w:rPr>
                <w:rFonts w:ascii="Arial" w:cs="Arial" w:eastAsia="Arial" w:hAnsi="Arial"/>
                <w:sz w:val="18"/>
                <w:szCs w:val="18"/>
                <w:color w:val="auto"/>
                <w:w w:val="89"/>
              </w:rPr>
              <w:t>55</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Baum’s biographical information is included with such information for the other members of our Board.</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Andrew R. Boll, CFA, CMA </w:t>
      </w:r>
      <w:r>
        <w:rPr>
          <w:rFonts w:ascii="Arial" w:cs="Arial" w:eastAsia="Arial" w:hAnsi="Arial"/>
          <w:sz w:val="16"/>
          <w:szCs w:val="16"/>
          <w:color w:val="auto"/>
        </w:rPr>
        <w:t>has been our Chief Financial Officer since February 2015 and previously served as the Company’s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and Financial Reporting since February 2012, overseeing the Company’s accounting and financial reporting, investor relations, human resources and other operational departments. Prior to that, Mr. Boll served as a consultant to the Company from December 2011 to February 2012. Mr. Boll has several years of experience in finance and accounting roles, including significant experience working with small capitalization companies and focusing on restructured and reorganized businesses. From November 2007 to November 2011, Mr. Boll worked for BCGU, LLC, a privately held fund manager specializing in capital venture type investment opportunities, and its related entities. There he provided financial and accounting consulting services to public and private company clients. From 2004 to 2007, Mr. Boll held various accounting roles at Welsh Companies, LLC, a privately held commercial real estate company, its fund and its other subsidiaries. Mr. Boll is a CFA charterholder, Certified Management Accountant and earned his B.S. degree in Corporate and Public Finance. He is a member of the Institute of Management Accountants, the CFA Institute, and the CFA Society of San Diego.</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John Saharek </w:t>
      </w:r>
      <w:r>
        <w:rPr>
          <w:rFonts w:ascii="Arial" w:cs="Arial" w:eastAsia="Arial" w:hAnsi="Arial"/>
          <w:sz w:val="16"/>
          <w:szCs w:val="16"/>
          <w:color w:val="auto"/>
        </w:rPr>
        <w:t>has been our Chief Commercial Officer since February 2015 and previously served as the Company’s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Commercialization, Ophthalmology since November 2012. He is a senior healthcare industry executive with over 30 years of experience developing and commercializing pharmaceutical, biotech, surgical device and diagnostic product portfolios. His experience in these areas includes designing and executing strategic commercial plans, building brands, launching new products and holding leadership roles for a variety of healthcare companies. Over the past 15 years Mr. Saharek has been focused in the ophthalmology industry. Before joining the Company, he was the Head of U.S. Marketing and Strategy (April 2013 to October 2013) and National Director, Sales and Reimbursement (July 2011 to April 2013) for ThromboGenics Inc., a biotherapeutics company, where he worked on developing the commercial strategy and building a team to launch a new biologic into the U.S. market. Prior to that he was Vice President, Business Development at SurModics Inc., a provider of medical device coatings and in vitro diagnostic products, from March 2006 to July 2011, where he worked with large and small pharmaceutical companies on multi-platform drug delivery initiatives in the U.S. and internationally. Earlier in his career, he held positions in marketing and sales at a number of companies, including his tenure with Bausch &amp; Lomb. Mr. Saharek has a Masters of Business Administration degree from the University of Hartford and a Bachelor’s degree from Central Connecticut State University.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ind w:left="4460"/>
        <w:spacing w:after="0"/>
        <w:rPr>
          <w:sz w:val="20"/>
          <w:szCs w:val="20"/>
          <w:color w:val="auto"/>
        </w:rPr>
      </w:pPr>
      <w:r>
        <w:rPr>
          <w:rFonts w:ascii="Arial" w:cs="Arial" w:eastAsia="Arial" w:hAnsi="Arial"/>
          <w:sz w:val="18"/>
          <w:szCs w:val="18"/>
          <w:b w:val="1"/>
          <w:bCs w:val="1"/>
          <w:color w:val="auto"/>
        </w:rPr>
        <w:t>DIRECTOR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 for Fiscal Year Ended December 31,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January to March 2014, non-employee directors were paid in quarterly installments an annual retainer fee of $28,000. In addition to the annual retainer fee, non-employee directors also received fees associated with their roles as Chairman of the Board, committee chairs and committee members ranging from $3,200 to $16,000 annually depending on the role.</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2014, the Board of Directors modified the Board cash compensation program for 2014 to provide for a single annual retainer fee of $50,000 for all non-employee directors, with no additional payments for serving on committees or in leadership positions.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July 2014, the Board of Directors further modified the Board cash compensation program for 2014 to provide for a single annual retainer fee of $40,000 for all non-employee directors, with no additional payments for serving on committees or in leadership positions.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do not have a formal equity compensation program for our non-employee directors. Rather, our Compensation Committee and our Board determine, in their discretion, if and when to grant equity awards to any of our directors and the amount and other terms of any such award.</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2014, the Company granted an aggregate of 26,492 restricted stock unit awards (“RSUs”) (6,623 RSUs per non-employee director) to its non-employee directors, with an aggregate value of approximately $200,000. These RSUs vest in equal quarterly installments over a one-year period subject to the director’s continued service, but the issuance and delivery of the shares subject to the RSUs are deferred until the director resigns or otherwise terminates his service as a director.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compensation earned by or awarded or paid in 2014 to the individuals who served as our non-employee directors during such period. Dr. Richard L. Lindstrom was appointed to the Board effective January 1, 2015 and, as a result, received no compensation from the Company for service in 2014. All compensation received by Mr. Baum, is disclosed in the Summary Compensation Table below. Mr. Baum did not receive any additional compensation for his services as a director.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Fees Earned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or Paid in</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Stock Awards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880" w:type="dxa"/>
            <w:vAlign w:val="bottom"/>
            <w:tcBorders>
              <w:bottom w:val="single" w:sz="8" w:color="auto"/>
            </w:tcBorders>
          </w:tcPr>
          <w:p>
            <w:pPr>
              <w:ind w:left="27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Cash ($)</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Other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Total ($)</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95,004</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Stephen G. Austin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46,800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50,004(3)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96,804</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August S. Bassani (4)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97,204</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Peter C. Kenny (5)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36,500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36,500</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William H. Nelson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63,337</w:t>
            </w:r>
          </w:p>
        </w:tc>
      </w:tr>
    </w:tbl>
    <w:p>
      <w:pPr>
        <w:spacing w:after="0" w:line="229" w:lineRule="exact"/>
        <w:rPr>
          <w:sz w:val="20"/>
          <w:szCs w:val="20"/>
          <w:color w:val="auto"/>
        </w:rPr>
      </w:pPr>
    </w:p>
    <w:p>
      <w:pPr>
        <w:jc w:val="both"/>
        <w:ind w:left="680" w:hanging="672"/>
        <w:spacing w:after="0" w:line="25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dollar amount of the grant date fair value of awards granted in 2014, measured in accordance with FASB Accounting Standards Codification (“ASC”) Topic 718 (“Topic 718”) and without adjustment for estimated forfeitures. For a discussion of the assumptions used to calculate the value of equity awards, refer to Note 11 to our consolidated financial statements for the fiscal year ended December 31, 2014 included in the Annual Report.</w:t>
      </w:r>
    </w:p>
    <w:p>
      <w:pPr>
        <w:spacing w:after="0" w:line="2" w:lineRule="exact"/>
        <w:rPr>
          <w:rFonts w:ascii="Arial" w:cs="Arial" w:eastAsia="Arial" w:hAnsi="Arial"/>
          <w:sz w:val="18"/>
          <w:szCs w:val="18"/>
          <w:color w:val="auto"/>
        </w:rPr>
      </w:pPr>
    </w:p>
    <w:p>
      <w:pPr>
        <w:ind w:left="680" w:hanging="672"/>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number of stock and option awards held as of December 31, 2014 by each non-employee director are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Stock Options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RSUs</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Stephen G. Austin</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17,123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13,488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August S. Bassani</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7,603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William H. Nelson</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Peter C. Kenny</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80" w:hanging="672"/>
        <w:spacing w:after="0" w:line="256"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awards of 6,623 RSUs granted to non-employee directors in September 2014. These RSUs vest in equal quarterly installments over a one-year period subject to the director’s continued service, but the issuance and delivery of the shares subject to the RSUs are deferred until the director resigns or otherwise terminates his service as a director.</w:t>
      </w:r>
    </w:p>
    <w:p>
      <w:pPr>
        <w:ind w:left="680" w:hanging="672"/>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Former director August Bassani resigned from the Board of Directors for personal reasons effective as of January 1, 2015.</w:t>
      </w:r>
    </w:p>
    <w:p>
      <w:pPr>
        <w:spacing w:after="0" w:line="9" w:lineRule="exact"/>
        <w:rPr>
          <w:rFonts w:ascii="Arial" w:cs="Arial" w:eastAsia="Arial" w:hAnsi="Arial"/>
          <w:sz w:val="18"/>
          <w:szCs w:val="18"/>
          <w:color w:val="auto"/>
        </w:rPr>
      </w:pPr>
    </w:p>
    <w:p>
      <w:pPr>
        <w:ind w:left="680" w:hanging="672"/>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Former director Peter Kenny resigned from the Board of Directors for personal reasons effective as of September 1, 2014.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Roles in Determining Executive Officer Compensation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Compensation Committee</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accordance with its charter, the Compensation Committee is responsible for, among other things, reviewing and evaluating our executive officer compensation program, including, among other things: (i) determining the objectives of the executive officer compensation program and reviewing and recommending to the Board the program as a whole and the elements of compensation that comprise the program to be consistent with such objectives;</w:t>
      </w:r>
    </w:p>
    <w:p>
      <w:pPr>
        <w:jc w:val="both"/>
        <w:ind w:firstLine="8"/>
        <w:spacing w:after="0" w:line="253" w:lineRule="auto"/>
        <w:tabs>
          <w:tab w:leader="none" w:pos="2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w:t>
      </w:r>
    </w:p>
    <w:p>
      <w:pPr>
        <w:spacing w:after="0" w:line="21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the executive officer under an employment agreement or severance agreement (if applicable). The Compensation Committee recognizes that its overall goal is to award compensation that is reasonable when all elements of potential compensation are considered.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for the Chief Executive Officer is reviewed, evaluated and approved by the Compensation Committee without the presence or participation of the Chief Executive Officer.</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Chief Executive Officer reviews and makes recommendations to the Compensation Committee with respect to the compensation of our other executive officers and other members of senior management.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Consultants</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the Compensation Committee did not engage a compensation consultant in 2014, the Compensation Committee has the authority to engage the services of independent compensation consultants to assist with executive compensation review and analysis at its discretion. Such a compensation consultant may be engaged to, among other things, provide an independent review of our executive compensation and validate the methods and scope of internal review being conducted. Pursuant to its charter and in accordance with applicable SEC and NASDAQ requirements, the Compensation Committee would assess the independence of any such compensation consultant and the existence of any conflicts of interest prior to any engagement.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summarizes compensation earned by or awarded or paid to our named executive officers for 2014, which consist of all individuals serving as our principal executive officer in 2014 and our next most highly compensated executive officer who was serving as an executive officer at the end of 2014. Mr. Saharek’s compensation information is not included in the table below, as he was not an executive officer of the Company at the end of 2014.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Non-Equity</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Incentive Plan</w:t>
            </w:r>
          </w:p>
        </w:tc>
        <w:tc>
          <w:tcPr>
            <w:tcW w:w="1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All Other</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0"/>
              </w:rPr>
              <w:t>Stock Awards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Compensation</w:t>
            </w: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Compensation</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Salary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Awards (1)</w:t>
            </w: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Mark L. Baum</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327,456</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80"/>
              <w:spacing w:after="0"/>
              <w:rPr>
                <w:sz w:val="20"/>
                <w:szCs w:val="20"/>
                <w:color w:val="auto"/>
              </w:rPr>
            </w:pPr>
            <w:r>
              <w:rPr>
                <w:rFonts w:ascii="Arial" w:cs="Arial" w:eastAsia="Arial" w:hAnsi="Arial"/>
                <w:sz w:val="18"/>
                <w:szCs w:val="18"/>
                <w:color w:val="auto"/>
                <w:w w:val="95"/>
              </w:rPr>
              <w:t>Chief Executive Officer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296,850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3,688,257(4)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1,401,624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8"/>
                <w:szCs w:val="18"/>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5,511,731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Andrew R. Boll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154,125</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45,514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8"/>
              </w:rPr>
              <w:t>Chief Financial Officer</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138,750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467,298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46,500</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652,548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80" w:hanging="672"/>
        <w:spacing w:after="0" w:line="269"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Reflects the dollar amount of the grant date fair value of awards granted during the respective fiscal years, measured in accordance with Topic 718 and without adjustment for estimated forfeitures. For a discussion of the assumptions used to calculate the value of equity awards, refer to Note 11 to our consolidated financial statements for the fiscal year ended December 31, 2014 included in the Annual Report. For information about the material terms of each equity award, see the table entitled “Outstanding Equity Awards at Fiscal Year End” below.</w:t>
      </w:r>
    </w:p>
    <w:p>
      <w:pPr>
        <w:spacing w:after="0" w:line="2" w:lineRule="exact"/>
        <w:rPr>
          <w:rFonts w:ascii="Arial" w:cs="Arial" w:eastAsia="Arial" w:hAnsi="Arial"/>
          <w:sz w:val="17"/>
          <w:szCs w:val="17"/>
          <w:color w:val="auto"/>
        </w:rPr>
      </w:pPr>
    </w:p>
    <w:p>
      <w:pPr>
        <w:jc w:val="both"/>
        <w:ind w:left="680" w:hanging="672"/>
        <w:spacing w:after="0" w:line="281" w:lineRule="auto"/>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fiscal year, but reflect individual and Company performance for the respective fiscal years reflected above. Amounts indicated for 2014 had not been paid to the named executive officers as of April 9, 2015.</w:t>
      </w:r>
    </w:p>
    <w:p>
      <w:pPr>
        <w:spacing w:after="0" w:line="2" w:lineRule="exact"/>
        <w:rPr>
          <w:rFonts w:ascii="Arial" w:cs="Arial" w:eastAsia="Arial" w:hAnsi="Arial"/>
          <w:sz w:val="16"/>
          <w:szCs w:val="16"/>
          <w:color w:val="auto"/>
        </w:rPr>
      </w:pPr>
    </w:p>
    <w:p>
      <w:pPr>
        <w:ind w:left="680" w:hanging="67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represent matching contributions made by us for the named executive officer under our 401(k) retirement savings plan.</w:t>
      </w:r>
    </w:p>
    <w:p>
      <w:pPr>
        <w:spacing w:after="0" w:line="9" w:lineRule="exact"/>
        <w:rPr>
          <w:rFonts w:ascii="Arial" w:cs="Arial" w:eastAsia="Arial" w:hAnsi="Arial"/>
          <w:sz w:val="18"/>
          <w:szCs w:val="18"/>
          <w:color w:val="auto"/>
        </w:rPr>
      </w:pPr>
    </w:p>
    <w:p>
      <w:pPr>
        <w:jc w:val="both"/>
        <w:ind w:left="680" w:hanging="672"/>
        <w:spacing w:after="0" w:line="265"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the fair market value on the date of grant of RSUs awarded to Mr. Baum in 2013 under the 2007 Incentive Stock and Awards Plan (the “Plan”) and pursuant to the terms of his employment agreement with us. Of these RSUs, 200,000 vest on the third anniversary of the date of grant contingent upon continuous service to the Company through such date, and 1,050,000 RSUs vest on the third anniversary of the date of grant contingent upon the satisfaction of certain market-based vesting criteria during the three-year period. For a more detailed description of the terms of this performance-based award, see the discussion under “Compensation Arrangements with Mark L. Baum–Performance Equity Award” below. For a discussion of the material terms of Mr. Baum’s other outstanding equity awards, see the description of Mr. Baum’s employment agreement and the table entitled “Outstanding Equity Awards at Fiscal Year End” below.</w:t>
      </w:r>
    </w:p>
    <w:p>
      <w:pPr>
        <w:spacing w:after="0" w:line="1" w:lineRule="exact"/>
        <w:rPr>
          <w:rFonts w:ascii="Arial" w:cs="Arial" w:eastAsia="Arial" w:hAnsi="Arial"/>
          <w:sz w:val="17"/>
          <w:szCs w:val="17"/>
          <w:color w:val="auto"/>
        </w:rPr>
      </w:pPr>
    </w:p>
    <w:p>
      <w:pPr>
        <w:ind w:left="680" w:right="20" w:hanging="672"/>
        <w:spacing w:after="0" w:line="261"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information for Mr. Boll is related to compensation for his service as our Vice President of Accounting and Public Reporting during the periods presented. Mr. Boll was appointed as the Company’s Chief Financial Officer in February 2015.</w:t>
      </w:r>
    </w:p>
    <w:p>
      <w:pPr>
        <w:sectPr>
          <w:pgSz w:w="11900" w:h="16838" w:orient="portrait"/>
          <w:cols w:equalWidth="0" w:num="1">
            <w:col w:w="11420"/>
          </w:cols>
          <w:pgMar w:left="240" w:top="517"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outstanding equity awards held by our named executive officers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Option Awards</w:t>
            </w:r>
          </w:p>
        </w:tc>
        <w:tc>
          <w:tcPr>
            <w:tcW w:w="4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Stock Awards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center"/>
              <w:ind w:right="250"/>
              <w:spacing w:after="0" w:line="201" w:lineRule="exact"/>
              <w:rPr>
                <w:sz w:val="20"/>
                <w:szCs w:val="20"/>
                <w:color w:val="auto"/>
              </w:rPr>
            </w:pPr>
            <w:r>
              <w:rPr>
                <w:rFonts w:ascii="Arial" w:cs="Arial" w:eastAsia="Arial" w:hAnsi="Arial"/>
                <w:sz w:val="18"/>
                <w:szCs w:val="18"/>
                <w:color w:val="auto"/>
                <w:w w:val="95"/>
              </w:rPr>
              <w:t>Equity</w:t>
            </w: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Incentive Plan</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 Plan</w:t>
            </w:r>
          </w:p>
        </w:tc>
        <w:tc>
          <w:tcPr>
            <w:tcW w:w="30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Awards:</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30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Number of</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Number of</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5"/>
              </w:rPr>
              <w:t>Market Value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0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 of</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Securities</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12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of Shares or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Underlying</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Underlying</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of Shares</w:t>
            </w:r>
          </w:p>
        </w:tc>
        <w:tc>
          <w:tcPr>
            <w:tcW w:w="12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Units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Shares or Units</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Shares or Units</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Unexercised</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Unexercised</w:t>
            </w:r>
          </w:p>
        </w:tc>
        <w:tc>
          <w:tcPr>
            <w:tcW w:w="9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3"/>
              </w:rPr>
              <w:t>Option</w:t>
            </w: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Option</w:t>
            </w: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or Units</w:t>
            </w:r>
          </w:p>
        </w:tc>
        <w:tc>
          <w:tcPr>
            <w:tcW w:w="12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Stock that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6"/>
              </w:rPr>
              <w:t>that</w:t>
            </w:r>
          </w:p>
        </w:tc>
        <w:tc>
          <w:tcPr>
            <w:tcW w:w="30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that</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Options</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Options</w:t>
            </w:r>
          </w:p>
        </w:tc>
        <w:tc>
          <w:tcPr>
            <w:tcW w:w="9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Expiration</w:t>
            </w: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of Stock that</w:t>
            </w:r>
          </w:p>
        </w:tc>
        <w:tc>
          <w:tcPr>
            <w:tcW w:w="12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4"/>
              </w:rPr>
              <w:t>Have Not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Have Not</w:t>
            </w:r>
          </w:p>
        </w:tc>
      </w:tr>
      <w:tr>
        <w:trPr>
          <w:trHeight w:val="241"/>
        </w:trPr>
        <w:tc>
          <w:tcPr>
            <w:tcW w:w="20" w:type="dxa"/>
            <w:vAlign w:val="bottom"/>
          </w:tcPr>
          <w:p>
            <w:pPr>
              <w:spacing w:after="0"/>
              <w:rPr>
                <w:sz w:val="20"/>
                <w:szCs w:val="20"/>
                <w:color w:val="auto"/>
              </w:rPr>
            </w:pPr>
          </w:p>
        </w:tc>
        <w:tc>
          <w:tcPr>
            <w:tcW w:w="1400" w:type="dxa"/>
            <w:vAlign w:val="bottom"/>
          </w:tcPr>
          <w:p>
            <w:pPr>
              <w:ind w:left="540"/>
              <w:spacing w:after="0"/>
              <w:rPr>
                <w:sz w:val="20"/>
                <w:szCs w:val="20"/>
                <w:color w:val="auto"/>
              </w:rPr>
            </w:pPr>
            <w:r>
              <w:rPr>
                <w:rFonts w:ascii="Arial" w:cs="Arial" w:eastAsia="Arial" w:hAnsi="Arial"/>
                <w:sz w:val="18"/>
                <w:szCs w:val="18"/>
                <w:b w:val="1"/>
                <w:bCs w:val="1"/>
                <w:color w:val="auto"/>
              </w:rPr>
              <w:t>Name</w:t>
            </w:r>
          </w:p>
        </w:tc>
        <w:tc>
          <w:tcPr>
            <w:tcW w:w="138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Exercisable</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Unexercisable</w:t>
            </w:r>
          </w:p>
        </w:tc>
        <w:tc>
          <w:tcPr>
            <w:tcW w:w="9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Have Not Vested</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Vested (1)</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Vested</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Vested (1)</w:t>
            </w:r>
          </w:p>
        </w:tc>
      </w:tr>
      <w:tr>
        <w:trPr>
          <w:trHeight w:val="216"/>
        </w:trPr>
        <w:tc>
          <w:tcPr>
            <w:tcW w:w="20" w:type="dxa"/>
            <w:vAlign w:val="bottom"/>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125,000(2)</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60,000(3)</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4.50</w:t>
            </w:r>
          </w:p>
        </w:tc>
        <w:tc>
          <w:tcPr>
            <w:tcW w:w="1040" w:type="dxa"/>
            <w:vAlign w:val="bottom"/>
          </w:tcPr>
          <w:p>
            <w:pPr>
              <w:jc w:val="right"/>
              <w:spacing w:after="0"/>
              <w:rPr>
                <w:sz w:val="20"/>
                <w:szCs w:val="20"/>
                <w:color w:val="auto"/>
              </w:rPr>
            </w:pPr>
            <w:r>
              <w:rPr>
                <w:rFonts w:ascii="Arial" w:cs="Arial" w:eastAsia="Arial" w:hAnsi="Arial"/>
                <w:sz w:val="18"/>
                <w:szCs w:val="18"/>
                <w:color w:val="auto"/>
              </w:rPr>
              <w:t>3/31/2017</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3/31/2017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90,000(5)</w:t>
            </w:r>
          </w:p>
        </w:tc>
        <w:tc>
          <w:tcPr>
            <w:tcW w:w="1320" w:type="dxa"/>
            <w:vAlign w:val="bottom"/>
          </w:tcPr>
          <w:p>
            <w:pPr>
              <w:jc w:val="right"/>
              <w:spacing w:after="0"/>
              <w:rPr>
                <w:sz w:val="20"/>
                <w:szCs w:val="20"/>
                <w:color w:val="auto"/>
              </w:rPr>
            </w:pPr>
            <w:r>
              <w:rPr>
                <w:rFonts w:ascii="Arial" w:cs="Arial" w:eastAsia="Arial" w:hAnsi="Arial"/>
                <w:sz w:val="18"/>
                <w:szCs w:val="18"/>
                <w:color w:val="auto"/>
              </w:rPr>
              <w:t>90,000</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8.99</w:t>
            </w:r>
          </w:p>
        </w:tc>
        <w:tc>
          <w:tcPr>
            <w:tcW w:w="1040" w:type="dxa"/>
            <w:vAlign w:val="bottom"/>
          </w:tcPr>
          <w:p>
            <w:pPr>
              <w:jc w:val="right"/>
              <w:spacing w:after="0"/>
              <w:rPr>
                <w:sz w:val="20"/>
                <w:szCs w:val="20"/>
                <w:color w:val="auto"/>
              </w:rPr>
            </w:pPr>
            <w:r>
              <w:rPr>
                <w:rFonts w:ascii="Arial" w:cs="Arial" w:eastAsia="Arial" w:hAnsi="Arial"/>
                <w:sz w:val="18"/>
                <w:szCs w:val="18"/>
                <w:color w:val="auto"/>
              </w:rPr>
              <w:t>5/2/2023</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2/10/2024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200,000(7)</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1,500,000</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Andrew R. Boll</w:t>
            </w:r>
          </w:p>
        </w:tc>
        <w:tc>
          <w:tcPr>
            <w:tcW w:w="1380" w:type="dxa"/>
            <w:vAlign w:val="bottom"/>
          </w:tcPr>
          <w:p>
            <w:pPr>
              <w:jc w:val="right"/>
              <w:spacing w:after="0"/>
              <w:rPr>
                <w:sz w:val="20"/>
                <w:szCs w:val="20"/>
                <w:color w:val="auto"/>
              </w:rPr>
            </w:pPr>
            <w:r>
              <w:rPr>
                <w:rFonts w:ascii="Arial" w:cs="Arial" w:eastAsia="Arial" w:hAnsi="Arial"/>
                <w:sz w:val="18"/>
                <w:szCs w:val="18"/>
                <w:color w:val="auto"/>
              </w:rPr>
              <w:t>14,167(9)</w:t>
            </w:r>
          </w:p>
        </w:tc>
        <w:tc>
          <w:tcPr>
            <w:tcW w:w="1320" w:type="dxa"/>
            <w:vAlign w:val="bottom"/>
          </w:tcPr>
          <w:p>
            <w:pPr>
              <w:jc w:val="right"/>
              <w:spacing w:after="0"/>
              <w:rPr>
                <w:sz w:val="20"/>
                <w:szCs w:val="20"/>
                <w:color w:val="auto"/>
              </w:rPr>
            </w:pPr>
            <w:r>
              <w:rPr>
                <w:rFonts w:ascii="Arial" w:cs="Arial" w:eastAsia="Arial" w:hAnsi="Arial"/>
                <w:sz w:val="18"/>
                <w:szCs w:val="18"/>
                <w:color w:val="auto"/>
              </w:rPr>
              <w:t>833</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3.68</w:t>
            </w:r>
          </w:p>
        </w:tc>
        <w:tc>
          <w:tcPr>
            <w:tcW w:w="1040" w:type="dxa"/>
            <w:vAlign w:val="bottom"/>
          </w:tcPr>
          <w:p>
            <w:pPr>
              <w:jc w:val="right"/>
              <w:spacing w:after="0"/>
              <w:rPr>
                <w:sz w:val="20"/>
                <w:szCs w:val="20"/>
                <w:color w:val="auto"/>
              </w:rPr>
            </w:pPr>
            <w:r>
              <w:rPr>
                <w:rFonts w:ascii="Arial" w:cs="Arial" w:eastAsia="Arial" w:hAnsi="Arial"/>
                <w:sz w:val="18"/>
                <w:szCs w:val="18"/>
                <w:color w:val="auto"/>
              </w:rPr>
              <w:t>1/25/2016</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45,000(10)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320" w:type="dxa"/>
            <w:vAlign w:val="bottom"/>
          </w:tcPr>
          <w:p>
            <w:pPr>
              <w:jc w:val="right"/>
              <w:spacing w:after="0"/>
              <w:rPr>
                <w:sz w:val="20"/>
                <w:szCs w:val="20"/>
                <w:color w:val="auto"/>
              </w:rPr>
            </w:pPr>
            <w:r>
              <w:rPr>
                <w:rFonts w:ascii="Arial" w:cs="Arial" w:eastAsia="Arial" w:hAnsi="Arial"/>
                <w:sz w:val="18"/>
                <w:szCs w:val="18"/>
                <w:color w:val="auto"/>
              </w:rPr>
              <w:t>7,400</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7.71</w:t>
            </w:r>
          </w:p>
        </w:tc>
        <w:tc>
          <w:tcPr>
            <w:tcW w:w="1040" w:type="dxa"/>
            <w:vAlign w:val="bottom"/>
          </w:tcPr>
          <w:p>
            <w:pPr>
              <w:jc w:val="right"/>
              <w:spacing w:after="0"/>
              <w:rPr>
                <w:sz w:val="20"/>
                <w:szCs w:val="20"/>
                <w:color w:val="auto"/>
              </w:rPr>
            </w:pPr>
            <w:r>
              <w:rPr>
                <w:rFonts w:ascii="Arial" w:cs="Arial" w:eastAsia="Arial" w:hAnsi="Arial"/>
                <w:sz w:val="18"/>
                <w:szCs w:val="18"/>
                <w:color w:val="auto"/>
              </w:rPr>
              <w:t>2/10/2024</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left="680" w:hanging="672"/>
        <w:spacing w:after="0" w:line="258"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by $7.50, the closing price per share of our common stock on The NASDAQ Capital Market on December 31, 2014 (which was the last business day of our 2014 fiscal year).</w:t>
      </w:r>
    </w:p>
    <w:p>
      <w:pPr>
        <w:spacing w:after="0" w:line="1" w:lineRule="exact"/>
        <w:rPr>
          <w:rFonts w:ascii="Arial" w:cs="Arial" w:eastAsia="Arial" w:hAnsi="Arial"/>
          <w:sz w:val="18"/>
          <w:szCs w:val="18"/>
          <w:color w:val="auto"/>
        </w:rPr>
      </w:pPr>
    </w:p>
    <w:p>
      <w:pPr>
        <w:ind w:left="680" w:hanging="672"/>
        <w:spacing w:after="0" w:line="25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Plan as compensation for his services, including his service as Chairman of the Board. The option vested in 12 equal monthly installments of 10,417 shares commencing on January 25, 2012.</w:t>
      </w:r>
    </w:p>
    <w:p>
      <w:pPr>
        <w:jc w:val="both"/>
        <w:ind w:left="680" w:hanging="672"/>
        <w:spacing w:after="0" w:line="25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Plan in connection with his appointment as our Chief Executive Officer. The option vested over a two-year period, with 15,000 shares vesting immediately upon issuance and an additional 1,875 shares vesting monthly for the 24 months thereafter.</w:t>
      </w:r>
    </w:p>
    <w:p>
      <w:pPr>
        <w:spacing w:after="0" w:line="1" w:lineRule="exact"/>
        <w:rPr>
          <w:rFonts w:ascii="Arial" w:cs="Arial" w:eastAsia="Arial" w:hAnsi="Arial"/>
          <w:sz w:val="18"/>
          <w:szCs w:val="18"/>
          <w:color w:val="auto"/>
        </w:rPr>
      </w:pPr>
    </w:p>
    <w:p>
      <w:pPr>
        <w:ind w:left="680" w:hanging="672"/>
        <w:spacing w:after="0" w:line="25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Plan in connection with his services as a director. The option vested in four equal quarterly installments of 6,250 shares commencing on June 30, 2012.</w:t>
      </w:r>
    </w:p>
    <w:p>
      <w:pPr>
        <w:jc w:val="both"/>
        <w:ind w:left="680" w:hanging="672"/>
        <w:spacing w:after="0" w:line="25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Baum on May 2, 2013 under the Plan in connection with his services as our Chief Executive Officer and pursuant to the terms of his employment agreement with us. The option vests in 12 equal quarterly installments of 15,000 shares over three years commencing on the three-month anniversary of the date of grant.</w:t>
      </w:r>
    </w:p>
    <w:p>
      <w:pPr>
        <w:spacing w:after="0" w:line="1" w:lineRule="exact"/>
        <w:rPr>
          <w:rFonts w:ascii="Arial" w:cs="Arial" w:eastAsia="Arial" w:hAnsi="Arial"/>
          <w:sz w:val="18"/>
          <w:szCs w:val="18"/>
          <w:color w:val="auto"/>
        </w:rPr>
      </w:pPr>
    </w:p>
    <w:p>
      <w:pPr>
        <w:ind w:left="680" w:hanging="672"/>
        <w:spacing w:after="0" w:line="281" w:lineRule="auto"/>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Baum on February 10, 2014 under the Plan in connection with his services as our Chief Executive Officer. The option vests in three equal annual installments of 5,133 shares over three years commencing on the one-year anniversary of the date of grant.</w:t>
      </w:r>
    </w:p>
    <w:p>
      <w:pPr>
        <w:spacing w:after="0" w:line="1" w:lineRule="exact"/>
        <w:rPr>
          <w:rFonts w:ascii="Arial" w:cs="Arial" w:eastAsia="Arial" w:hAnsi="Arial"/>
          <w:sz w:val="16"/>
          <w:szCs w:val="16"/>
          <w:color w:val="auto"/>
        </w:rPr>
      </w:pPr>
    </w:p>
    <w:p>
      <w:pPr>
        <w:jc w:val="both"/>
        <w:ind w:left="680" w:hanging="672"/>
        <w:spacing w:after="0" w:line="25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May 2, 2013 under the Plan in connection with his services as our Chief Executive Officer and pursuant to the terms of his employment agreement with us. The RSUs vest in full on May 2, 2016 contingent upon continuous service to the Company through such date.</w:t>
      </w:r>
    </w:p>
    <w:p>
      <w:pPr>
        <w:spacing w:after="0" w:line="1" w:lineRule="exact"/>
        <w:rPr>
          <w:rFonts w:ascii="Arial" w:cs="Arial" w:eastAsia="Arial" w:hAnsi="Arial"/>
          <w:sz w:val="18"/>
          <w:szCs w:val="18"/>
          <w:color w:val="auto"/>
        </w:rPr>
      </w:pPr>
    </w:p>
    <w:p>
      <w:pPr>
        <w:jc w:val="both"/>
        <w:ind w:left="680" w:hanging="672"/>
        <w:spacing w:after="0" w:line="25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May 2, 2013 under the Plan in connection with his services as our Chief Executive Officer and pursuant to the terms of his employment agreement with us. The RSUs vest upon achieving and maintaining certain stock price targets over a three-year period. For a more detailed description of the terms of this award, see the description under “Compensation Arrangements with Mark L. Baum–Performance Equity Award” below.</w:t>
      </w:r>
    </w:p>
    <w:p>
      <w:pPr>
        <w:spacing w:after="0" w:line="1" w:lineRule="exact"/>
        <w:rPr>
          <w:rFonts w:ascii="Arial" w:cs="Arial" w:eastAsia="Arial" w:hAnsi="Arial"/>
          <w:sz w:val="18"/>
          <w:szCs w:val="18"/>
          <w:color w:val="auto"/>
        </w:rPr>
      </w:pPr>
    </w:p>
    <w:p>
      <w:pPr>
        <w:ind w:left="680" w:hanging="672"/>
        <w:spacing w:after="0" w:line="281" w:lineRule="auto"/>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Boll on February 1, 2012 under the Plan in connection with his appointment as our Vice President, Accounting and Public Reporting. The option vests in equal monthly installments of 416 shares over the 36-month period following the date of grant.</w:t>
      </w:r>
    </w:p>
    <w:p>
      <w:pPr>
        <w:spacing w:after="0" w:line="1" w:lineRule="exact"/>
        <w:rPr>
          <w:rFonts w:ascii="Arial" w:cs="Arial" w:eastAsia="Arial" w:hAnsi="Arial"/>
          <w:sz w:val="16"/>
          <w:szCs w:val="16"/>
          <w:color w:val="auto"/>
        </w:rPr>
      </w:pPr>
    </w:p>
    <w:p>
      <w:pPr>
        <w:jc w:val="both"/>
        <w:ind w:left="680" w:hanging="672"/>
        <w:spacing w:after="0" w:line="25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Boll on April 1, 2013 under the Plan in connection with his service as our Vice President, Accounting and Public Reporting (and currently as our Chief Financial Officer). The option vests in 12 equal quarterly installments of 7,500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80" w:hanging="672"/>
        <w:spacing w:after="0" w:line="255"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10, 2014 under the Plan in connection with his services as our Vice President, Accounting and Public Reporting (and currently as our Chief Financial Officer). The option vests in three equal annual installments of 2,467 shares over three years commencing on the one-year anniversary of the date of grant.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Compensation Arrangements with Mark L. Baum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Employment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2, 2013, we entered into an amended and restated employment agreement with Mark L. Baum, our Chief Executive Officer. The employment agreement has an initial term of three years and will automatically renew thereafter for consecutive one-year terms unless earlier terminated by either party. The agreement provides for an initial annual base salary of $329,000 and a target annual incentive bonus of 45% of his annual base salary. In addition, as described more fully below, pursuant to the employment agreement, Mr. Baum received the following equity incentive awards: (i) 180,000 options to purchase our common stock; (ii) 200,000 restricted stock units subject to time-based vesting; and (iii) 1,050,000 restricted stock units subject to performance-based vesting.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Performance Equity Award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his employment agreement, Mr. Baum was granted a performance-based award (the “Performance Equity Award”) of 1,050,000 restricted stock units. The Performance Equity Award vests three years after the date of grant contingent upon the satisfaction of certain performance-based vesting criteria during the three-year period. The performance-based vesting criteria are broken into five equal tranches and require that the Company achieve and maintain certain stock price targets ranging from $10 per share to $30 per share during the three-year period following the grant date. These market-based vesting conditions are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8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26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Number of Shares</w:t>
            </w:r>
          </w:p>
        </w:tc>
        <w:tc>
          <w:tcPr>
            <w:tcW w:w="26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Target Share Price</w:t>
            </w: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60" w:type="dxa"/>
            <w:vAlign w:val="bottom"/>
            <w:shd w:val="clear" w:color="auto" w:fill="CCEEFF"/>
          </w:tcPr>
          <w:p>
            <w:pPr>
              <w:spacing w:after="0"/>
              <w:rPr>
                <w:sz w:val="18"/>
                <w:szCs w:val="18"/>
                <w:color w:val="auto"/>
              </w:rPr>
            </w:pPr>
          </w:p>
        </w:tc>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19.05% of the shares subject to the Performance Equity Award</w:t>
            </w:r>
          </w:p>
        </w:tc>
        <w:tc>
          <w:tcPr>
            <w:tcW w:w="260" w:type="dxa"/>
            <w:vAlign w:val="bottom"/>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$10.00 or greater</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Tranche 2</w:t>
            </w:r>
          </w:p>
        </w:tc>
        <w:tc>
          <w:tcPr>
            <w:tcW w:w="2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19.05% of the shares subject to the Performance Equity Award</w:t>
            </w:r>
          </w:p>
        </w:tc>
        <w:tc>
          <w:tcPr>
            <w:tcW w:w="26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$15.00 or greater</w:t>
            </w: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26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19.05% of the shares subject to the Performance Equity Award</w:t>
            </w: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$20.00 or greater</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Tranche 4</w:t>
            </w:r>
          </w:p>
        </w:tc>
        <w:tc>
          <w:tcPr>
            <w:tcW w:w="2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19.05% of the shares subject to the Performance Equity Award</w:t>
            </w:r>
          </w:p>
        </w:tc>
        <w:tc>
          <w:tcPr>
            <w:tcW w:w="26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$25.00 or greater</w:t>
            </w: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6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23.80% of the shares subject to the Performance Equity Award</w:t>
            </w: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$30.00 or greater</w:t>
            </w:r>
          </w:p>
        </w:tc>
      </w:tr>
    </w:tbl>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closing sale price of our common stock on May 2, 2013, the date the Performance Equity Award was granted, was $8.99 per share. Accordingly, Tranche 1 vesting requires a stock price appreciation of 11%, Tranche 2 vesting requires a stock price appreciation of 67%, Tranche 3 vesting requires a stock price appreciation of 122%, Tranche 4 vesting requires a stock price appreciation of 178% and Tranche 5 vesting requires a stock price appreciation of 234%. 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continuous service with the Company through the third anniversary of the grant date. Any unvested shares under the Performance Equity Award will be forfeited on the third anniversary of the grant date. In addition, the Performance Equity Award contains an incentive recoupment (or “clawback”) provision that provides for Mr. Baum’s forfeiture or repayment of the benefits granted under the Performance Equity Award under certain circumstances.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the date of grant of the Performance Equity Award, (i) insufficient shares were authorized for grant under the Plan to accommodate the full Performance Equity Award and (ii) the per person grant limit under the Plan for grants of performance-based restricted stock units was 600,000 shares. As a result, under the terms of the employment agreement with Mr. Baum, the earning and issuance of any shares under the Performance Equity Award that would exceed the number of shares available for grant and/or the applicable annual per person grant limit for performance-based restricted stock units under the Plan was subject to approval by our stockholders of increases to the number of shares available for grant and the applicable annual per person grant limit for performance-based restricted stock units under the Plan. The Board approved such increases on May 2, 2013, and our stockholders approved such increases on September 27, 2013. As a result, 600,000 RSUs under the Performance Equity Award were granted to Mr. Baum effective May 2, 2013 and the remaining 450,000 RSUs were granted to Mr. Baum effective September 27, 2013.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July 2012, Mr. Baum was granted 160,000 RSUs with certain performance-based vesting features. Of these, 40,000 RSUs vested upon the closing of our public offering in 2013. Concurrent with the issuance in September 2013 of the 450,000 performance-based RSUs under the Performance Equity Award, Mr. Baum agreed to cancel the remaining 120,000 unvested RSUs previously granted to him in July 2012. As a result, the issuance of the 450,000 RSUs has been treated as a modification of the RSU granted to Mr. Baum in July 2012 for accounting purposes.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both"/>
        <w:ind w:right="20" w:firstLine="648"/>
        <w:spacing w:after="0" w:line="308" w:lineRule="auto"/>
        <w:rPr>
          <w:sz w:val="20"/>
          <w:szCs w:val="20"/>
          <w:color w:val="auto"/>
        </w:rPr>
      </w:pPr>
      <w:r>
        <w:rPr>
          <w:rFonts w:ascii="Arial" w:cs="Arial" w:eastAsia="Arial" w:hAnsi="Arial"/>
          <w:sz w:val="17"/>
          <w:szCs w:val="17"/>
          <w:color w:val="auto"/>
        </w:rPr>
        <w:t>Mr. Baum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Qualifying Termination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the Company terminates Mr. Baum’s employment without “Cause” or Mr. Baum terminates his employment for “Good Reason” (as those terms are defined in Mr. Baum’s employment agreement) (a termination without Cause or for Good Reason a “CEO Qualifying Termination”), Mr. Baum would be entitled to receive, subject to the satisfaction of certain conditions: (i) accrued and unpaid base salary through the termination date; (ii) a prorated bonus payment for the year in which the termination occurs; (iii) a severance payment equal to the sum of (A) his annual base salary plus (B) one times his actual bonus payment in the two prior years; and (iv) continued group health plan coverage through COBRA for 18 months after the termination 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in the event of a CEO Qualifying Termination:</w:t>
      </w:r>
    </w:p>
    <w:p>
      <w:pPr>
        <w:spacing w:after="0" w:line="252" w:lineRule="exact"/>
        <w:rPr>
          <w:sz w:val="20"/>
          <w:szCs w:val="20"/>
          <w:color w:val="auto"/>
        </w:rPr>
      </w:pPr>
    </w:p>
    <w:p>
      <w:pPr>
        <w:jc w:val="both"/>
        <w:ind w:left="1300" w:hanging="130"/>
        <w:spacing w:after="0" w:line="290"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portion of the Performance Equity Award for which the associated stock price vesting targets have been satisfied at the time of the CEO Qualifying Termination would vest immediately. In addition, any portion of the Performance Equity Award for which the associated stock price vesting targets are satisfied within 12 months following the CEO Qualifying Termination would vest on the date of the satisfaction of such vesting criteria. Further, in the event of a CEO Qualifying Termination after the first anniversary and before the third anniversary of the grant date of the Performance Equity Award and on or within 12 months following a “Change of Control” (as the term is defined in the Plan), all shares subject to the Performance Equity Award that would have vested prior to the date of the CEO Qualifying Termination based on the achievement of the associated stock price vesting targets and all shares subject to the Performance Equity Award with an associated stock price vesting target at or below the per share consideration in the Change of Control transaction would, in each case, vest in full.</w:t>
      </w:r>
    </w:p>
    <w:p>
      <w:pPr>
        <w:spacing w:after="0" w:line="193" w:lineRule="exact"/>
        <w:rPr>
          <w:rFonts w:ascii="Arial" w:cs="Arial" w:eastAsia="Arial" w:hAnsi="Arial"/>
          <w:sz w:val="16"/>
          <w:szCs w:val="16"/>
          <w:color w:val="auto"/>
        </w:rPr>
      </w:pPr>
    </w:p>
    <w:p>
      <w:pPr>
        <w:jc w:val="both"/>
        <w:ind w:left="1300" w:hanging="130"/>
        <w:spacing w:after="0" w:line="279"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portion of an option to purchase 180,000 shares of our common stock granted pursuant to Mr. Baum’s employment agreement that is scheduled to vest within 12 months after the date of such CEO Qualifying Termination would vest and become exercisable on the date of such CEO Qualifying Termination. In addition, in the event of a CEO Qualifying Termination within two years after a “Change of Control” (as the term is defined in the Plan), the option would vest and become exercisable in full.</w:t>
      </w:r>
    </w:p>
    <w:p>
      <w:pPr>
        <w:spacing w:after="0" w:line="198" w:lineRule="exact"/>
        <w:rPr>
          <w:rFonts w:ascii="Arial" w:cs="Arial" w:eastAsia="Arial" w:hAnsi="Arial"/>
          <w:sz w:val="17"/>
          <w:szCs w:val="17"/>
          <w:color w:val="auto"/>
        </w:rPr>
      </w:pPr>
    </w:p>
    <w:p>
      <w:pPr>
        <w:jc w:val="both"/>
        <w:ind w:left="1300" w:hanging="130"/>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portion of an award of 200,000 RSUs granted pursuant to Mr. Baum’s employment agreement computed based on the length of Mr. Baum’s service for the Company after the grant date of the award would vest in full on the date of the CEO Qualifying Termination. In addition, in the event of a CEO Qualifying Termination within one year after a “Change of Control” (as the term is defined in the Plan), the RSUs would vest in full.</w:t>
      </w:r>
    </w:p>
    <w:p>
      <w:pPr>
        <w:spacing w:after="0" w:line="213" w:lineRule="exact"/>
        <w:rPr>
          <w:rFonts w:ascii="Arial" w:cs="Arial" w:eastAsia="Arial" w:hAnsi="Arial"/>
          <w:sz w:val="18"/>
          <w:szCs w:val="18"/>
          <w:color w:val="auto"/>
        </w:rPr>
      </w:pPr>
    </w:p>
    <w:p>
      <w:pPr>
        <w:ind w:left="1300" w:right="20" w:hanging="13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unvested shares under all other outstanding option awards would vest in full upon a “Change of Control” (as the term is defined in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Andrew R. Boll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January 25, 2012, we entered into an employment agreement with Mr. Boll to serve as our Vice President of Accounting and Public Reporting, which became effective as of February 1, 2012 and had a term of three years. Mr. Boll received an initial annual base salary of $60,000 under the terms of the employment agreement, which was increased to $90,000 on October 1, 2012 and was further increased to $155,000 on April 1, 2013.</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as of February 1, 2015, we entered into an amended and restated employment agreement with Mr. Boll in connection with his appointment as our Chief Financial Officer, which restates and supersedes his prior employment agreement with us. The amended and restated employment agreement provides for the following, among other things: (i) a term of three years, (ii) an annual base salary of $200,000; (iii) eligibility to receive an annual cash bonus in an amount equal to at least 20% of his then-current annual base salary and a target of 50% of his then-current annual base salary, with the precise amount to be determined at the discretion of the Board; and (iv) certain initial equity awards in connection with his appointment as our Chief Financial Officer, as described under “—Equity Incentive Grants” below.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Equity Incentive Grants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connection with Mr. Boll’s appointment as our Chief Financial Officer and pursuant to the terms of his amended and restated employment agreement, the Board granted the following equity awards to Mr. Boll on February 1, 2015, in each case under the Plan: (i) a performance-based restricted stock unit award of up to 157,500 shares of the Company’s common stock, which is similar in design and structure to the Performance Equity Award granted to Mr. Baum and which will vest three years after the date of grant if the Company achieves and maintains certain stock price vesting targets during the three-year period, subject to Mr. Boll’s continued employment with the Company on such date, and (ii) a restricted stock unit award of up to 30,000 shares of the Company’s common stock, which will vest three years after the date of grant, subject to Mr. Boll’s continued employment with the Company on such date.</w:t>
      </w:r>
    </w:p>
    <w:p>
      <w:pPr>
        <w:spacing w:after="0" w:line="19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Boll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CFO Qualifying Termination</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Mr. Boll is terminated without “Cause” or if he terminates his employment with the Company for “Good Reason” (as those terms are defined in Mr. Boll’s employment agreement) (any such termination, a “CFO Qualifying Termination”), then Mr. Boll would be entitled to receive, subject to the satisfaction of certain conditions, continued payments of his then-current annual base salary for six months following the date of his termination and a lump-sum payment equal to the pro-rated portion of his minimum annual cash bonus for the then-current year. In the event of a Qualifying Termination of Mr. Boll on or within 12 months following a “Change of Control” (as such term is defined in Mr. Boll’s employment agreement), Mr. Boll would be entitled to receive, subject to the satisfaction of certain conditions, continued payments of his then-current annual base salary for six months following the date of his termination, a lump-sum payment equal to the pro-rated portion of his minimum annual cash bonus for the then-current year, immediate vesting of all of his outstanding equity awards as of the date of the termination, and, subject to certain conditions, a gross-up payment equal to the amount of any excise tax owed by Mr. Boll as a result of such severance payments.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in the event of a CFO Qualifying Termination:</w:t>
      </w:r>
    </w:p>
    <w:p>
      <w:pPr>
        <w:spacing w:after="0" w:line="252" w:lineRule="exact"/>
        <w:rPr>
          <w:sz w:val="20"/>
          <w:szCs w:val="20"/>
          <w:color w:val="auto"/>
        </w:rPr>
      </w:pPr>
    </w:p>
    <w:p>
      <w:pPr>
        <w:jc w:val="both"/>
        <w:ind w:left="1300" w:hanging="130"/>
        <w:spacing w:after="0" w:line="271"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portion of the performance-based restricted stock unit award for which the associated stock price vesting targets have been satisfied at the time of the CFO Qualifying Termination would vest immediately. In addition, any portion of the award for which the associated stock price vesting targets are satisfied within 12 months following the CFO Qualifying Termination would vest on the date of the satisfaction of such vesting criteria. Further, in the event of a CFO Qualifying Termination after the first anniversary and before the third anniversary of the grant date of the award and on or within 12 months following a “Change of Control” (as the term is defined in the Plan), all shares subject to the award that would have vested prior to the date of the CFO Qualifying Termination based on the achievement of the associated stock price vesting targets and all shares subject to the award with an associated stock price vesting target at or below the per share consideration in the Change of Control transaction would, in each case, vest in full.</w:t>
      </w:r>
    </w:p>
    <w:p>
      <w:pPr>
        <w:spacing w:after="0" w:line="205" w:lineRule="exact"/>
        <w:rPr>
          <w:rFonts w:ascii="Arial" w:cs="Arial" w:eastAsia="Arial" w:hAnsi="Arial"/>
          <w:sz w:val="17"/>
          <w:szCs w:val="17"/>
          <w:color w:val="auto"/>
        </w:rPr>
      </w:pPr>
    </w:p>
    <w:p>
      <w:pPr>
        <w:ind w:left="1300" w:hanging="130"/>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unvested shares under the award of 30,000 RSUs granted pursuant to Mr. Boll’s amended and restated employment agreement would vest in full upon the occurrence of a “Change of Control” (as the term is defined in the Plan).</w:t>
      </w:r>
    </w:p>
    <w:p>
      <w:pPr>
        <w:spacing w:after="0" w:line="197" w:lineRule="exact"/>
        <w:rPr>
          <w:rFonts w:ascii="Arial" w:cs="Arial" w:eastAsia="Arial" w:hAnsi="Arial"/>
          <w:sz w:val="18"/>
          <w:szCs w:val="18"/>
          <w:color w:val="auto"/>
        </w:rPr>
      </w:pPr>
    </w:p>
    <w:p>
      <w:pPr>
        <w:ind w:left="1300" w:hanging="13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unvested shares under all outstanding option awards would vest in full upon a “Change of Control” (as the term is defined in the Plan).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Bonus Incentive Plan</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provide executive officers with performance-based cash bonuses under our annual cash bonus incentive plan. Under this plan, corporate and individual goals are established at the beginning of each fiscal year by the Compensation Committee with input from senior management. For 2014, our Chief Financial Officer was assigned annual incentive bonus targets with 65% of the bonus attributed to corporate performance and 35% based on individual performance. For 2015, executive officers, except for the Chief Executive Officer, are assigned annual incentive bonus targets with 55%-60% of the bonus attributed to corporate performance and 40%-45% based on individual performance. For 2014 and 2015, the annual incentive bonus for our Chief Executive Officer is based 100% on overall corporate performance. An executive officer’s target annual incentive bonus amount relative to his annual base salary is established depending on the executive officer’s accountability, scope of responsibility and potential impact on the Company’s performance. Target annual incentive bonus levels for 2014 were 45% of annual base salary for our Chief Executive Officer and 30% of annual base salary for our Chief Financial Officer, and in 2015, 45% for our Chief Executive Officer and 50% for all other executive officers. At the end of each fiscal year, the Compensation Committee, with input from senior management, evaluates individual and corporate performance compared against the goals established under the plan, which determines the size of the total bonus pool from which cash bonuses are to be paid to executive officers. Based on this evaluation, the Compensation Committee determined to award, for service performed in 2014, our Chief Executive Officer a cash incentive bonus equal to 62% of his annual base salary and our Chief Financial Officer a cash incentive bonus equal to 61.3% of his annual base salary.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The following table summarizes our compensation plans under which our equity securities are authorized for issuance as of December 31, 2014.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to be Issued</w:t>
            </w:r>
          </w:p>
        </w:tc>
        <w:tc>
          <w:tcPr>
            <w:tcW w:w="1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Upon</w:t>
            </w:r>
          </w:p>
        </w:tc>
        <w:tc>
          <w:tcPr>
            <w:tcW w:w="15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Exercise 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Available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of</w:t>
            </w:r>
          </w:p>
        </w:tc>
        <w:tc>
          <w:tcPr>
            <w:tcW w:w="1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2"/>
              </w:rPr>
              <w:t>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Options,</w:t>
            </w:r>
          </w:p>
        </w:tc>
        <w:tc>
          <w:tcPr>
            <w:tcW w:w="1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Warrants and</w:t>
            </w:r>
          </w:p>
        </w:tc>
        <w:tc>
          <w:tcPr>
            <w:tcW w:w="1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3"/>
              </w:rPr>
              <w:t>Warrants and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Rights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Rights</w:t>
            </w:r>
          </w:p>
        </w:tc>
        <w:tc>
          <w:tcPr>
            <w:tcW w:w="3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2,322,652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5.74(2)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690,944</w:t>
            </w:r>
          </w:p>
        </w:tc>
        <w:tc>
          <w:tcPr>
            <w:tcW w:w="120" w:type="dxa"/>
            <w:vAlign w:val="bottom"/>
          </w:tcPr>
          <w:p>
            <w:pPr>
              <w:spacing w:after="0"/>
              <w:rPr>
                <w:sz w:val="18"/>
                <w:szCs w:val="18"/>
                <w:color w:val="auto"/>
              </w:rPr>
            </w:pPr>
          </w:p>
        </w:tc>
        <w:tc>
          <w:tcPr>
            <w:tcW w:w="1380" w:type="dxa"/>
            <w:vAlign w:val="bottom"/>
            <w:gridSpan w:val="2"/>
          </w:tcPr>
          <w:p>
            <w:pPr>
              <w:ind w:left="700"/>
              <w:spacing w:after="0"/>
              <w:rPr>
                <w:sz w:val="20"/>
                <w:szCs w:val="20"/>
                <w:color w:val="auto"/>
              </w:rPr>
            </w:pPr>
            <w:r>
              <w:rPr>
                <w:rFonts w:ascii="Arial" w:cs="Arial" w:eastAsia="Arial" w:hAnsi="Arial"/>
                <w:sz w:val="18"/>
                <w:szCs w:val="18"/>
                <w:color w:val="auto"/>
              </w:rPr>
              <w:t>6.05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3,013,596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5.81(2)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80" w:hanging="672"/>
        <w:spacing w:after="0" w:line="254"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reserved under the Plan. See Note 11 to our consolidated financial statements included in the Annual Report. The Plan was initially adopted on September 17, 2007, and was subsequently amended on November 5, 2008, February 26, 2012, July 18, 2012, May 2, 2013 and September 27, 2013. As of December 31, 2014, the Plan provided for the issuance of a maximum of an aggregate of 5,000,000 shares of the Company’s common stock.</w:t>
      </w:r>
    </w:p>
    <w:p>
      <w:pPr>
        <w:spacing w:after="0" w:line="2" w:lineRule="exact"/>
        <w:rPr>
          <w:rFonts w:ascii="Arial" w:cs="Arial" w:eastAsia="Arial" w:hAnsi="Arial"/>
          <w:sz w:val="18"/>
          <w:szCs w:val="18"/>
          <w:color w:val="auto"/>
        </w:rPr>
      </w:pPr>
    </w:p>
    <w:p>
      <w:pPr>
        <w:ind w:left="680" w:hanging="67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outstanding RSUs, which have no associated exercise price.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Securities and Exchange Commission.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9, 2015. Unless otherwise indicated in the footnotes to the following table, each person named in the table has sole voting and investment power with respect to shares of common stock and the address for such person is c/o Imprimis Pharmaceuticals, Inc. 12264 El Camino Real, Suite 350, San Diego, CA 92130.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tcPr>
          <w:p>
            <w:pPr>
              <w:jc w:val="right"/>
              <w:ind w:right="200"/>
              <w:spacing w:after="0"/>
              <w:rPr>
                <w:sz w:val="20"/>
                <w:szCs w:val="20"/>
                <w:color w:val="auto"/>
              </w:rPr>
            </w:pPr>
            <w:r>
              <w:rPr>
                <w:rFonts w:ascii="Arial" w:cs="Arial" w:eastAsia="Arial" w:hAnsi="Arial"/>
                <w:sz w:val="18"/>
                <w:szCs w:val="18"/>
                <w:color w:val="auto"/>
                <w:w w:val="93"/>
              </w:rPr>
              <w:t>Amount and Nature of Beneficial</w:t>
            </w:r>
          </w:p>
        </w:tc>
        <w:tc>
          <w:tcPr>
            <w:tcW w:w="0" w:type="dxa"/>
            <w:vAlign w:val="bottom"/>
          </w:tcPr>
          <w:p>
            <w:pPr>
              <w:spacing w:after="0"/>
              <w:rPr>
                <w:sz w:val="1"/>
                <w:szCs w:val="1"/>
                <w:color w:val="auto"/>
              </w:rPr>
            </w:pPr>
          </w:p>
        </w:tc>
      </w:tr>
      <w:tr>
        <w:trPr>
          <w:trHeight w:val="237"/>
        </w:trPr>
        <w:tc>
          <w:tcPr>
            <w:tcW w:w="8660" w:type="dxa"/>
            <w:vAlign w:val="bottom"/>
            <w:gridSpan w:val="4"/>
          </w:tcPr>
          <w:p>
            <w:pPr>
              <w:spacing w:after="0"/>
              <w:rPr>
                <w:sz w:val="20"/>
                <w:szCs w:val="20"/>
                <w:color w:val="auto"/>
              </w:rPr>
            </w:pPr>
            <w:r>
              <w:rPr>
                <w:rFonts w:ascii="Arial" w:cs="Arial" w:eastAsia="Arial" w:hAnsi="Arial"/>
                <w:sz w:val="18"/>
                <w:szCs w:val="18"/>
                <w:color w:val="auto"/>
              </w:rPr>
              <w:t>Beneficial Owner</w:t>
            </w:r>
          </w:p>
        </w:tc>
        <w:tc>
          <w:tcPr>
            <w:tcW w:w="120" w:type="dxa"/>
            <w:vAlign w:val="bottom"/>
          </w:tcPr>
          <w:p>
            <w:pPr>
              <w:spacing w:after="0"/>
              <w:rPr>
                <w:sz w:val="20"/>
                <w:szCs w:val="20"/>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8"/>
                <w:szCs w:val="18"/>
                <w:color w:val="auto"/>
              </w:rPr>
              <w:t>Ownership</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rPr>
              <w:t>Number of</w:t>
            </w: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Percentage (1)</w:t>
            </w:r>
          </w:p>
        </w:tc>
        <w:tc>
          <w:tcPr>
            <w:tcW w:w="0" w:type="dxa"/>
            <w:vAlign w:val="bottom"/>
          </w:tcPr>
          <w:p>
            <w:pPr>
              <w:spacing w:after="0"/>
              <w:rPr>
                <w:sz w:val="1"/>
                <w:szCs w:val="1"/>
                <w:color w:val="auto"/>
              </w:rPr>
            </w:pPr>
          </w:p>
        </w:tc>
      </w:tr>
      <w:tr>
        <w:trPr>
          <w:trHeight w:val="176"/>
        </w:trPr>
        <w:tc>
          <w:tcPr>
            <w:tcW w:w="8660" w:type="dxa"/>
            <w:vAlign w:val="bottom"/>
            <w:gridSpan w:val="4"/>
          </w:tcPr>
          <w:p>
            <w:pPr>
              <w:spacing w:after="0" w:line="176" w:lineRule="exact"/>
              <w:rPr>
                <w:sz w:val="20"/>
                <w:szCs w:val="20"/>
                <w:color w:val="auto"/>
              </w:rPr>
            </w:pPr>
            <w:r>
              <w:rPr>
                <w:rFonts w:ascii="Arial" w:cs="Arial" w:eastAsia="Arial" w:hAnsi="Arial"/>
                <w:sz w:val="18"/>
                <w:szCs w:val="18"/>
                <w:i w:val="1"/>
                <w:iCs w:val="1"/>
                <w:color w:val="auto"/>
              </w:rPr>
              <w:t>5% + Stockholders</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W. Fish, Jr. (2)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603,170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Don Miloni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1,243,513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Compounding Centers of America, Inc. (4)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832,682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Manchester Management Company, LLC and James E. Besser (5)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608,360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Opaleye Management Inc. and James Silverman (6)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560,000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1"/>
              </w:rPr>
              <w:t>Directors and Officers</w:t>
            </w:r>
          </w:p>
        </w:tc>
        <w:tc>
          <w:tcPr>
            <w:tcW w:w="7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Mark L. Baum (7)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546,931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R. Boll (8)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77,466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John P. Saharek (9)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10,312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Kammer (10)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986,891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Stephen G. Austin (11)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28,956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H. Nelson (12)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4,968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Richard L. Lindstrom</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(7 persons)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1,655,524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jc w:val="both"/>
        <w:ind w:left="680" w:hanging="672"/>
        <w:spacing w:after="0" w:line="250"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Beneficial ownership percentages are based on 9,353,704 shares of our common stock outstanding as of April 9, 2015. Shares of common stock subject to options or warrants that are currently exercisable or exercisable within 60 days after April 9, 2015 are deemed outstanding for the purpose of computing the percentage ownership of the person holding such options or warrants, but are not deemed outstanding for the purpose of computing the percentage ownership of any other person.</w:t>
      </w:r>
    </w:p>
    <w:p>
      <w:pPr>
        <w:spacing w:after="0" w:line="1" w:lineRule="exact"/>
        <w:rPr>
          <w:rFonts w:ascii="Arial" w:cs="Arial" w:eastAsia="Arial" w:hAnsi="Arial"/>
          <w:sz w:val="18"/>
          <w:szCs w:val="18"/>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10,190 shares of common stock issuable upon the exercise of warrants exercisable within 60 days of April 9, 2015.</w:t>
      </w:r>
    </w:p>
    <w:p>
      <w:pPr>
        <w:spacing w:after="0" w:line="9" w:lineRule="exact"/>
        <w:rPr>
          <w:rFonts w:ascii="Arial" w:cs="Arial" w:eastAsia="Arial" w:hAnsi="Arial"/>
          <w:sz w:val="18"/>
          <w:szCs w:val="18"/>
          <w:color w:val="auto"/>
        </w:rPr>
      </w:pPr>
    </w:p>
    <w:p>
      <w:pPr>
        <w:jc w:val="both"/>
        <w:ind w:left="680" w:hanging="672"/>
        <w:spacing w:after="0" w:line="250"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as of December 31, 2014 and is based on a Schedule 13G filed September 6, 2012 by Donald Miloni. 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after April 9, 2015 (of which Mr. Miloni holds warrants to acquire 15,282 shares, Mr. Miloni’s spouse holds warrants to acquire 6,329 shares, 1425 Greenwood Lane, LLC holds warrants to acquire 37,975 shares, and RCHER Financial, LLC holds warrants to acquire 25,370 shares).</w:t>
      </w:r>
    </w:p>
    <w:p>
      <w:pPr>
        <w:spacing w:after="0" w:line="2" w:lineRule="exact"/>
        <w:rPr>
          <w:rFonts w:ascii="Arial" w:cs="Arial" w:eastAsia="Arial" w:hAnsi="Arial"/>
          <w:sz w:val="18"/>
          <w:szCs w:val="18"/>
          <w:color w:val="auto"/>
        </w:rPr>
      </w:pPr>
    </w:p>
    <w:p>
      <w:pPr>
        <w:ind w:left="680" w:hanging="672"/>
        <w:spacing w:after="0" w:line="281"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information is as of December 31, 2014 and is based on a Schedule 13G filed September 13, 2012 by Professional Compounding Centers of America, Inc. The address for Professional Compounding Centers of America, Inc. is 9901 South Wilcrest Dr., Houston, Texas 77099.</w:t>
      </w:r>
    </w:p>
    <w:p>
      <w:pPr>
        <w:spacing w:after="0" w:line="1" w:lineRule="exact"/>
        <w:rPr>
          <w:rFonts w:ascii="Arial" w:cs="Arial" w:eastAsia="Arial" w:hAnsi="Arial"/>
          <w:sz w:val="16"/>
          <w:szCs w:val="16"/>
          <w:color w:val="auto"/>
        </w:rPr>
      </w:pPr>
    </w:p>
    <w:p>
      <w:pPr>
        <w:jc w:val="both"/>
        <w:ind w:left="680" w:hanging="672"/>
        <w:spacing w:after="0" w:line="276" w:lineRule="auto"/>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information is as of December 31, 2014 and is based on a Schedule 13G/A filed January 22, 2015 by James E. Besser and Manchester Management Company, LLC (“Manchester”). Represents 578,360 shares held of record by advisory clients of Manchester and 30,000 shares held of record by Mr. Besser. Mr. Besser, the managing member of Manchester, may be deemed to beneficially own the shares held of record by Manchester. The address for Mr. Besser and Manchester is 131 Charles Street,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Floor, Boston, Massachusetts 02114.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jc w:val="both"/>
        <w:ind w:left="680" w:hanging="672"/>
        <w:spacing w:after="0" w:line="256"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as of December 31, 2014 and is based on a Schedule 13G/A filed February 13, 2015 by Opaleye Management Inc. (“Opaleye”) and James Silverman. Mr. Silverman, President of Opaleye, may be deemed to beneficially own the shares held of record by Opaleye. The address for Mr. Silverman and Opaleye is 9B Russell Street, Cambridge, Massachusetts 02140.</w:t>
      </w:r>
    </w:p>
    <w:p>
      <w:pPr>
        <w:ind w:left="680" w:hanging="672"/>
        <w:spacing w:after="0" w:line="250"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335,133 shares of common stock issuable upon the exercise of stock options and 2,413 shares of common stock issuable upon the exercise of warrants, in each case exercisable within 60 days after April 9, 2015.</w:t>
      </w:r>
    </w:p>
    <w:p>
      <w:pPr>
        <w:ind w:left="6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77,466 shares of common stock issuable upon the exercise of stock options exercisable within 60 days after April 9, 2015.</w:t>
      </w:r>
    </w:p>
    <w:p>
      <w:pPr>
        <w:spacing w:after="0" w:line="9" w:lineRule="exact"/>
        <w:rPr>
          <w:rFonts w:ascii="Arial" w:cs="Arial" w:eastAsia="Arial" w:hAnsi="Arial"/>
          <w:sz w:val="18"/>
          <w:szCs w:val="18"/>
          <w:color w:val="auto"/>
        </w:rPr>
      </w:pPr>
    </w:p>
    <w:p>
      <w:pPr>
        <w:ind w:left="680" w:hanging="672"/>
        <w:spacing w:after="0" w:line="250"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10,312 shares of common stock issuable upon the exercise of stock options and 2,413 shares of common stock issuable upon the exercise of warrants, in each case exercisable within 60 days after April 9, 2015.</w:t>
      </w:r>
    </w:p>
    <w:p>
      <w:pPr>
        <w:ind w:left="6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11,833 shares of common stock issuable upon Mr. Kammer’s discontinuation of service as a director.</w:t>
      </w:r>
    </w:p>
    <w:p>
      <w:pPr>
        <w:spacing w:after="0" w:line="9" w:lineRule="exact"/>
        <w:rPr>
          <w:rFonts w:ascii="Arial" w:cs="Arial" w:eastAsia="Arial" w:hAnsi="Arial"/>
          <w:sz w:val="18"/>
          <w:szCs w:val="18"/>
          <w:color w:val="auto"/>
        </w:rPr>
      </w:pPr>
    </w:p>
    <w:p>
      <w:pPr>
        <w:ind w:left="680" w:hanging="672"/>
        <w:spacing w:after="0" w:line="250"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17,123 shares of common stock issuable upon the exercise of stock options exercisable within 60 days after April 9, 2015 and 11,833 shares of common stock issuable upon Mr. Austin’s discontinuation of service as a director.</w:t>
      </w:r>
    </w:p>
    <w:p>
      <w:pPr>
        <w:ind w:left="6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4,968 shares of common stock issuable upon Mr. Nelson’s discontinuation of service as a director.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http://imprimispharma.investorroom.com. All members of the Audit Committee currently meet the independence and qualification standards for Audit Committee membership set forth in the rules and listing standards of Nasdaq and the SEC.</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Mr. Austin, 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Committee also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(United States) Auditing Standard No. 16 (as amended), Communication with Audit Committees and Rule 2-07 of SEC Regulation S-X. The Audit Committee has received the written disclosures and the letter from the independent registered public accounting firm required by the Public Company Accounting Oversight Board. The Audit Committee discussed with the independent registered public accounting firm its independence from management and the Company, including the matters required by the applicable rules of the Public Company Accounting Oversight Board.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that the Company’s audited financial statements for the fiscal year ended December 31, 2014 should be included in the Annual Report.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Stephen Austin, Chairman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Richard Lindstrom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William Nelson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we specifically incorporate this information by reference, and shall not otherwise be deemed filed under such acts.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can provide added convenience for stockholders and cost savings for companies.</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our proxy materials. A single copy of this Proxy Statement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from us, please notify your broker, direct your written request to Imprimis Pharmaceuticals, Inc., c/o Corporate Secretary, 12264 El Camino Real, Suite 350, San Diego, California 92130 or call Investor Relations at (858) 704-4587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2016 Annual Meeting</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14a-8 under the Exchange Act, stockholders may present proper proposals for inclusion in our proxy statement and for consideration at our next annual meeting of stockholders. To be eligible for inclusion in our proxy statement for our 2016 annual meeting of stockholders, a stockholder’s proposal must be received by us no later than December 12, 2015, unless the date of our 2016 annual meeting of stockholders is more than 30 days before or after the one-year anniversary date of the Annual Meeting, in which case such proposals must be received by the Company a reasonable time before the Company begins to print and send applicable proxy materials.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for Proposals for Business to be Discussed at the 2016 Annual Meeting of Stockholders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Bylaws require advance notice of business to be brought before a stockholders’ meeting, including nominations of persons for election as directors. To be timely, notice of stockholder proposals must be received by our Corporate Secretary at our principal executive offices not less than 120 days nor more than 180 days prior to the anniversary date of the mailing of the proxy materials for the preceding year’s annual meeting, or between October 13, 2015 and December 12, 2015 for our 2016 annual meeting of stockholders,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and not later than the close of business on the later of (i) the 90th day prior to the scheduled annual meeting or (ii) the 15th day following the day on which public announcement of the date of annual meeting was first made. A copy of our Bylaws may be obtained by written request to the Corporate Secretary at Imprimis Pharmaceuticals, Inc., c/o Corporate Secretary, 12264 El Camino Real, Suite 350, San Diego, California 92130. Our Bylaws are also available on the Investor Relations section of our website at http://imprimispharma.investorroom.com. If we comply and the stockholder does not comply with the requirements of Rule 14a-4(c)(2) under the Exchange Act, we may exercise discretionary voting authority under proxies that we solicit to vote in accordance with our best judgment on any such stockholder proposal or nomination.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Annual Report accompanies the proxy materials being provided to all stockholders. We will provide, without charge, additional copies of the Annual Report upon the receipt of a written or oral request by any stockholder.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20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152400</wp:posOffset>
            </wp:positionV>
            <wp:extent cx="1475105" cy="454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7510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jc w:val="center"/>
        <w:ind w:right="33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MPRIMIS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HARMACEUTICALS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ANNUAL MEETING OF STOCKHOLDERS – MAY 12, 2015 AT 9:00 AM LOCAL TIME</w:t>
      </w:r>
    </w:p>
    <w:p>
      <w:pPr>
        <w:spacing w:after="0" w:line="21"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CONTROL ID:</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REQUEST ID:</w:t>
      </w:r>
    </w:p>
    <w:p>
      <w:pPr>
        <w:spacing w:after="0" w:line="200" w:lineRule="exact"/>
        <w:rPr>
          <w:sz w:val="20"/>
          <w:szCs w:val="20"/>
          <w:color w:val="auto"/>
        </w:rPr>
      </w:pPr>
    </w:p>
    <w:p>
      <w:pPr>
        <w:spacing w:after="0" w:line="227" w:lineRule="exact"/>
        <w:rPr>
          <w:sz w:val="20"/>
          <w:szCs w:val="20"/>
          <w:color w:val="auto"/>
        </w:rPr>
      </w:pPr>
    </w:p>
    <w:p>
      <w:pPr>
        <w:jc w:val="both"/>
        <w:ind w:right="3339"/>
        <w:spacing w:after="0" w:line="269" w:lineRule="auto"/>
        <w:rPr>
          <w:sz w:val="20"/>
          <w:szCs w:val="20"/>
          <w:color w:val="auto"/>
        </w:rPr>
      </w:pPr>
      <w:r>
        <w:rPr>
          <w:rFonts w:ascii="Arial" w:cs="Arial" w:eastAsia="Arial" w:hAnsi="Arial"/>
          <w:sz w:val="17"/>
          <w:szCs w:val="17"/>
          <w:color w:val="auto"/>
        </w:rPr>
        <w:t>The undersigned stockholder(s) of Imprimis Pharmaceuticals, Inc.:, a Delaware corporation (the “Company”), hereby revoking any proxy heretofore given, does hereby appoint Mark L. Baum and Robert J. Kammer, and each of them, with full power to act alone, the true and lawful attorneys-in-fact and proxies of the undersigned, with full powers of substitution, and hereby authorize(s) them and each of them, to represent the undersigned and to vote all shares of common stock of the Company that the undersigned is entitled to vote at the 2015 Annual Meeting of Stockholders of the Company to be held on May 12, 2015 at 9:00 a.m., local time, at the offices of Morrison &amp; Foerster, LLP located at 12531 High Bluff Drive, Suite 100, San Diego, California 92130, and any and all adjournments and postponements thereof, with all powers the undersigned would possess if personally present, on the following proposals, each as described more fully in the accompanying proxy statement, and any other matters coming before said meeting.</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241" w:lineRule="exact"/>
        <w:rPr>
          <w:sz w:val="20"/>
          <w:szCs w:val="20"/>
          <w:color w:val="auto"/>
        </w:rPr>
      </w:pPr>
    </w:p>
    <w:p>
      <w:pPr>
        <w:jc w:val="center"/>
        <w:ind w:right="3339"/>
        <w:spacing w:after="0"/>
        <w:rPr>
          <w:sz w:val="20"/>
          <w:szCs w:val="20"/>
          <w:color w:val="auto"/>
        </w:rPr>
      </w:pPr>
      <w:r>
        <w:rPr>
          <w:rFonts w:ascii="Arial" w:cs="Arial" w:eastAsia="Arial" w:hAnsi="Arial"/>
          <w:sz w:val="18"/>
          <w:szCs w:val="18"/>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649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64990" cy="17145"/>
                    </a:xfrm>
                    <a:prstGeom prst="rect">
                      <a:avLst/>
                    </a:prstGeom>
                    <a:noFill/>
                  </pic:spPr>
                </pic:pic>
              </a:graphicData>
            </a:graphic>
          </wp:anchor>
        </w:drawing>
      </w:r>
    </w:p>
    <w:p>
      <w:pPr>
        <w:spacing w:after="0" w:line="16" w:lineRule="exact"/>
        <w:rPr>
          <w:sz w:val="20"/>
          <w:szCs w:val="20"/>
          <w:color w:val="auto"/>
        </w:rPr>
      </w:pPr>
    </w:p>
    <w:p>
      <w:pPr>
        <w:jc w:val="center"/>
        <w:ind w:right="3339"/>
        <w:spacing w:after="0"/>
        <w:rPr>
          <w:sz w:val="20"/>
          <w:szCs w:val="20"/>
          <w:color w:val="auto"/>
        </w:rPr>
      </w:pPr>
      <w:r>
        <w:rPr>
          <w:rFonts w:ascii="Arial" w:cs="Arial" w:eastAsia="Arial" w:hAnsi="Arial"/>
          <w:sz w:val="18"/>
          <w:szCs w:val="18"/>
          <w:b w:val="1"/>
          <w:bCs w:val="1"/>
          <w:color w:val="auto"/>
        </w:rPr>
        <w:t>If you vote by phone, fax or internet, please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292100</wp:posOffset>
            </wp:positionV>
            <wp:extent cx="565785" cy="351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 cy="351790"/>
                    </a:xfrm>
                    <a:prstGeom prst="rect">
                      <a:avLst/>
                    </a:prstGeom>
                    <a:noFill/>
                  </pic:spPr>
                </pic:pic>
              </a:graphicData>
            </a:graphic>
          </wp:anchor>
        </w:drawing>
      </w:r>
    </w:p>
    <w:p>
      <w:pPr>
        <w:sectPr>
          <w:pgSz w:w="11900" w:h="16838" w:orient="portrait"/>
          <w:cols w:equalWidth="0" w:num="1">
            <w:col w:w="10219"/>
          </w:cols>
          <w:pgMar w:left="240" w:top="7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128905</wp:posOffset>
            </wp:positionV>
            <wp:extent cx="565785" cy="1037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 cy="1037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FAX: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Please mark, sign, date, and return this Proxy Card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promptly using the enclosed envelope.</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Complete the reverse portion of this Proxy Card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Fax to </w:t>
      </w:r>
      <w:r>
        <w:rPr>
          <w:rFonts w:ascii="Arial" w:cs="Arial" w:eastAsia="Arial" w:hAnsi="Arial"/>
          <w:sz w:val="18"/>
          <w:szCs w:val="18"/>
          <w:b w:val="1"/>
          <w:bCs w:val="1"/>
          <w:color w:val="auto"/>
        </w:rPr>
        <w:t>202-521-3464.</w:t>
      </w:r>
    </w:p>
    <w:p>
      <w:pPr>
        <w:spacing w:after="0" w:line="200" w:lineRule="exact"/>
        <w:rPr>
          <w:sz w:val="20"/>
          <w:szCs w:val="20"/>
          <w:color w:val="auto"/>
        </w:rPr>
      </w:pPr>
    </w:p>
    <w:p>
      <w:pPr>
        <w:sectPr>
          <w:pgSz w:w="11900" w:h="16838" w:orient="portrait"/>
          <w:cols w:equalWidth="0" w:num="2">
            <w:col w:w="2160" w:space="720"/>
            <w:col w:w="7339"/>
          </w:cols>
          <w:pgMar w:left="240" w:top="729" w:right="1440" w:bottom="1440" w:gutter="0" w:footer="0" w:header="0"/>
          <w:type w:val="continuous"/>
        </w:sectPr>
      </w:pPr>
    </w:p>
    <w:p>
      <w:pPr>
        <w:spacing w:after="0" w:line="277" w:lineRule="exact"/>
        <w:rPr>
          <w:sz w:val="20"/>
          <w:szCs w:val="20"/>
          <w:color w:val="auto"/>
        </w:rPr>
      </w:pPr>
    </w:p>
    <w:p>
      <w:pPr>
        <w:ind w:left="1620"/>
        <w:spacing w:after="0"/>
        <w:tabs>
          <w:tab w:leader="none" w:pos="2860" w:val="left"/>
        </w:tabs>
        <w:rPr>
          <w:sz w:val="20"/>
          <w:szCs w:val="20"/>
          <w:color w:val="auto"/>
        </w:rPr>
      </w:pPr>
      <w:r>
        <w:rPr>
          <w:rFonts w:ascii="Arial" w:cs="Arial" w:eastAsia="Arial" w:hAnsi="Arial"/>
          <w:sz w:val="17"/>
          <w:szCs w:val="17"/>
          <w:b w:val="1"/>
          <w:bCs w:val="1"/>
          <w:color w:val="auto"/>
        </w:rPr>
        <w:t>INTERNET:</w:t>
      </w:r>
      <w:r>
        <w:rPr>
          <w:sz w:val="20"/>
          <w:szCs w:val="20"/>
          <w:color w:val="auto"/>
        </w:rPr>
        <w:tab/>
      </w:r>
      <w:r>
        <w:rPr>
          <w:rFonts w:ascii="Arial" w:cs="Arial" w:eastAsia="Arial" w:hAnsi="Arial"/>
          <w:sz w:val="17"/>
          <w:szCs w:val="17"/>
          <w:color w:val="auto"/>
        </w:rPr>
        <w:t>https://www.iproxydirect.com/IMMY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196215</wp:posOffset>
            </wp:positionV>
            <wp:extent cx="565785" cy="506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 cy="50609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620"/>
        <w:spacing w:after="0"/>
        <w:tabs>
          <w:tab w:leader="none" w:pos="2860" w:val="left"/>
        </w:tabs>
        <w:rPr>
          <w:sz w:val="20"/>
          <w:szCs w:val="20"/>
          <w:color w:val="auto"/>
        </w:rPr>
      </w:pPr>
      <w:r>
        <w:rPr>
          <w:rFonts w:ascii="Arial" w:cs="Arial" w:eastAsia="Arial" w:hAnsi="Arial"/>
          <w:sz w:val="18"/>
          <w:szCs w:val="18"/>
          <w:b w:val="1"/>
          <w:bCs w:val="1"/>
          <w:color w:val="auto"/>
        </w:rPr>
        <w:t>PHONE:</w:t>
      </w:r>
      <w:r>
        <w:rPr>
          <w:sz w:val="20"/>
          <w:szCs w:val="20"/>
          <w:color w:val="auto"/>
        </w:rPr>
        <w:tab/>
      </w:r>
      <w:r>
        <w:rPr>
          <w:rFonts w:ascii="Arial" w:cs="Arial" w:eastAsia="Arial" w:hAnsi="Arial"/>
          <w:sz w:val="18"/>
          <w:szCs w:val="18"/>
          <w:color w:val="auto"/>
        </w:rPr>
        <w:t>1-866-752-VOTE(8683)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1438910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29" w:right="1440" w:bottom="1440" w:gutter="0" w:footer="0" w:header="0"/>
          <w:type w:val="continuous"/>
        </w:sectPr>
      </w:pPr>
    </w:p>
    <w:bookmarkStart w:id="29" w:name="page30"/>
    <w:bookmarkEnd w:id="29"/>
    <w:p>
      <w:pPr>
        <w:spacing w:after="0" w:line="108"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ANNUAL MEETING OF THE STOCKHOLDERS OF</w:t>
      </w:r>
    </w:p>
    <w:p>
      <w:pPr>
        <w:spacing w:after="0" w:line="2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MPRIMIS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HARMACEUTICALS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PROXY SOLICITED ON BEHALF OF THE BOARD OF DIRECTORS</w:t>
      </w:r>
    </w:p>
    <w:p>
      <w:pPr>
        <w:spacing w:after="0" w:line="20" w:lineRule="exact"/>
        <w:rPr>
          <w:sz w:val="20"/>
          <w:szCs w:val="20"/>
          <w:color w:val="auto"/>
        </w:rPr>
      </w:pPr>
      <w:r>
        <w:rPr>
          <w:sz w:val="20"/>
          <w:szCs w:val="20"/>
          <w:color w:val="auto"/>
        </w:rPr>
        <w:br w:type="column"/>
      </w:r>
    </w:p>
    <w:p>
      <w:pPr>
        <w:jc w:val="right"/>
        <w:spacing w:after="0" w:line="261" w:lineRule="auto"/>
        <w:rPr>
          <w:sz w:val="20"/>
          <w:szCs w:val="20"/>
          <w:color w:val="auto"/>
        </w:rPr>
      </w:pPr>
      <w:r>
        <w:rPr>
          <w:rFonts w:ascii="Arial" w:cs="Arial" w:eastAsia="Arial" w:hAnsi="Arial"/>
          <w:sz w:val="18"/>
          <w:szCs w:val="18"/>
          <w:b w:val="1"/>
          <w:bCs w:val="1"/>
          <w:color w:val="auto"/>
        </w:rPr>
        <w:t>PLEASE COMPLETE, DATE, SIGN AND RETURN PROMPTLY IN THE ENCLOSED ENVELOPE.</w:t>
      </w:r>
    </w:p>
    <w:p>
      <w:pPr>
        <w:jc w:val="right"/>
        <w:ind w:left="300"/>
        <w:spacing w:after="0" w:line="226" w:lineRule="exact"/>
        <w:rPr>
          <w:sz w:val="20"/>
          <w:szCs w:val="20"/>
          <w:color w:val="auto"/>
        </w:rPr>
      </w:pPr>
      <w:r>
        <w:rPr>
          <w:rFonts w:ascii="Arial" w:cs="Arial" w:eastAsia="Arial" w:hAnsi="Arial"/>
          <w:sz w:val="18"/>
          <w:szCs w:val="18"/>
          <w:b w:val="1"/>
          <w:bCs w:val="1"/>
          <w:color w:val="auto"/>
        </w:rPr>
        <w:t xml:space="preserve">PLEASE MARK YOUR VOTE IN BLUE OR BLACK INK AS SHOWN HERE: </w:t>
      </w:r>
      <w:r>
        <w:rPr>
          <w:rFonts w:ascii="MS PGothic" w:cs="MS PGothic" w:eastAsia="MS PGothic" w:hAnsi="MS PGothic"/>
          <w:sz w:val="18"/>
          <w:szCs w:val="18"/>
          <w:color w:val="auto"/>
          <w:highlight w:val="black"/>
        </w:rPr>
        <w:t>☒</w:t>
      </w:r>
    </w:p>
    <w:p>
      <w:pPr>
        <w:spacing w:after="0" w:line="577" w:lineRule="exact"/>
        <w:rPr>
          <w:sz w:val="20"/>
          <w:szCs w:val="20"/>
          <w:color w:val="auto"/>
        </w:rPr>
      </w:pPr>
    </w:p>
    <w:p>
      <w:pPr>
        <w:sectPr>
          <w:pgSz w:w="11900" w:h="16838" w:orient="portrait"/>
          <w:cols w:equalWidth="0" w:num="2">
            <w:col w:w="5520" w:space="720"/>
            <w:col w:w="5180"/>
          </w:cols>
          <w:pgMar w:left="240" w:top="756" w:right="23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2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Proposal 1</w:t>
            </w:r>
          </w:p>
        </w:tc>
        <w:tc>
          <w:tcPr>
            <w:tcW w:w="4400" w:type="dxa"/>
            <w:vAlign w:val="bottom"/>
            <w:tcBorders>
              <w:top w:val="single" w:sz="8" w:color="auto"/>
            </w:tcBorders>
            <w:vMerge w:val="restart"/>
          </w:tcPr>
          <w:p>
            <w:pPr>
              <w:ind w:left="4160"/>
              <w:spacing w:after="0"/>
              <w:rPr>
                <w:sz w:val="20"/>
                <w:szCs w:val="20"/>
                <w:color w:val="auto"/>
              </w:rPr>
            </w:pPr>
            <w:r>
              <w:rPr>
                <w:rFonts w:ascii="Arial" w:cs="Arial" w:eastAsia="Arial" w:hAnsi="Arial"/>
                <w:sz w:val="18"/>
                <w:szCs w:val="18"/>
                <w:color w:val="auto"/>
              </w:rPr>
              <w:t>à</w:t>
            </w:r>
          </w:p>
        </w:tc>
        <w:tc>
          <w:tcPr>
            <w:tcW w:w="8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b w:val="1"/>
                <w:bCs w:val="1"/>
                <w:color w:val="auto"/>
              </w:rPr>
              <w:t>WITHHOLD</w:t>
            </w:r>
          </w:p>
        </w:tc>
        <w:tc>
          <w:tcPr>
            <w:tcW w:w="1320" w:type="dxa"/>
            <w:vAlign w:val="bottom"/>
            <w:tcBorders>
              <w:top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9"/>
              </w:rPr>
              <w:t>FOR ALL</w:t>
            </w: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1820" w:type="dxa"/>
            <w:vAlign w:val="bottom"/>
            <w:vMerge w:val="continue"/>
          </w:tcPr>
          <w:p>
            <w:pPr>
              <w:spacing w:after="0"/>
              <w:rPr>
                <w:sz w:val="10"/>
                <w:szCs w:val="10"/>
                <w:color w:val="auto"/>
              </w:rPr>
            </w:pPr>
          </w:p>
        </w:tc>
        <w:tc>
          <w:tcPr>
            <w:tcW w:w="4400" w:type="dxa"/>
            <w:vAlign w:val="bottom"/>
            <w:vMerge w:val="continue"/>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ALL</w:t>
            </w:r>
          </w:p>
        </w:tc>
        <w:tc>
          <w:tcPr>
            <w:tcW w:w="144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rPr>
              <w:t>ALL</w:t>
            </w:r>
          </w:p>
        </w:tc>
        <w:tc>
          <w:tcPr>
            <w:tcW w:w="1320" w:type="dxa"/>
            <w:vAlign w:val="bottom"/>
            <w:gridSpan w:val="2"/>
            <w:vMerge w:val="restart"/>
          </w:tcPr>
          <w:p>
            <w:pPr>
              <w:jc w:val="center"/>
              <w:ind w:right="130"/>
              <w:spacing w:after="0"/>
              <w:rPr>
                <w:sz w:val="20"/>
                <w:szCs w:val="20"/>
                <w:color w:val="auto"/>
              </w:rPr>
            </w:pPr>
            <w:r>
              <w:rPr>
                <w:rFonts w:ascii="Arial" w:cs="Arial" w:eastAsia="Arial" w:hAnsi="Arial"/>
                <w:sz w:val="18"/>
                <w:szCs w:val="18"/>
                <w:b w:val="1"/>
                <w:bCs w:val="1"/>
                <w:color w:val="auto"/>
              </w:rPr>
              <w:t>EXCEPT</w:t>
            </w: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44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gridSpan w:val="2"/>
            <w:vMerge w:val="continue"/>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6220" w:type="dxa"/>
            <w:vAlign w:val="bottom"/>
            <w:gridSpan w:val="2"/>
          </w:tcPr>
          <w:p>
            <w:pPr>
              <w:ind w:left="960"/>
              <w:spacing w:after="0" w:line="201" w:lineRule="exact"/>
              <w:rPr>
                <w:sz w:val="20"/>
                <w:szCs w:val="20"/>
                <w:color w:val="auto"/>
              </w:rPr>
            </w:pPr>
            <w:r>
              <w:rPr>
                <w:rFonts w:ascii="Arial" w:cs="Arial" w:eastAsia="Arial" w:hAnsi="Arial"/>
                <w:sz w:val="18"/>
                <w:szCs w:val="18"/>
                <w:color w:val="auto"/>
              </w:rPr>
              <w:t>Election of Directors:</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17"/>
                <w:szCs w:val="17"/>
                <w:color w:val="auto"/>
              </w:rPr>
            </w:pPr>
          </w:p>
        </w:tc>
        <w:tc>
          <w:tcPr>
            <w:tcW w:w="76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20" w:type="dxa"/>
            <w:vAlign w:val="bottom"/>
            <w:gridSpan w:val="2"/>
          </w:tcPr>
          <w:p>
            <w:pPr>
              <w:ind w:left="1620"/>
              <w:spacing w:after="0" w:line="183" w:lineRule="exact"/>
              <w:rPr>
                <w:sz w:val="20"/>
                <w:szCs w:val="20"/>
                <w:color w:val="auto"/>
              </w:rPr>
            </w:pPr>
            <w:r>
              <w:rPr>
                <w:rFonts w:ascii="Arial" w:cs="Arial" w:eastAsia="Arial" w:hAnsi="Arial"/>
                <w:sz w:val="18"/>
                <w:szCs w:val="18"/>
                <w:color w:val="auto"/>
              </w:rPr>
              <w:t>01 Mark L. Baum</w:t>
            </w:r>
          </w:p>
        </w:tc>
        <w:tc>
          <w:tcPr>
            <w:tcW w:w="8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8"/>
                <w:szCs w:val="18"/>
                <w:color w:val="auto"/>
              </w:rPr>
              <w:t>01</w:t>
            </w:r>
          </w:p>
        </w:tc>
        <w:tc>
          <w:tcPr>
            <w:tcW w:w="7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1620"/>
              <w:spacing w:after="0"/>
              <w:rPr>
                <w:sz w:val="20"/>
                <w:szCs w:val="20"/>
                <w:color w:val="auto"/>
              </w:rPr>
            </w:pPr>
            <w:r>
              <w:rPr>
                <w:rFonts w:ascii="Arial" w:cs="Arial" w:eastAsia="Arial" w:hAnsi="Arial"/>
                <w:sz w:val="18"/>
                <w:szCs w:val="18"/>
                <w:color w:val="auto"/>
                <w:w w:val="89"/>
              </w:rPr>
              <w:t>02</w:t>
            </w:r>
          </w:p>
        </w:tc>
        <w:tc>
          <w:tcPr>
            <w:tcW w:w="4400" w:type="dxa"/>
            <w:vAlign w:val="bottom"/>
          </w:tcPr>
          <w:p>
            <w:pPr>
              <w:ind w:left="20"/>
              <w:spacing w:after="0"/>
              <w:rPr>
                <w:sz w:val="20"/>
                <w:szCs w:val="20"/>
                <w:color w:val="auto"/>
              </w:rPr>
            </w:pPr>
            <w:r>
              <w:rPr>
                <w:rFonts w:ascii="Arial" w:cs="Arial" w:eastAsia="Arial" w:hAnsi="Arial"/>
                <w:sz w:val="18"/>
                <w:szCs w:val="18"/>
                <w:color w:val="auto"/>
              </w:rPr>
              <w:t>Robert J. Kammer</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7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CONTROL ID:</w:t>
            </w:r>
          </w:p>
        </w:tc>
        <w:tc>
          <w:tcPr>
            <w:tcW w:w="0" w:type="dxa"/>
            <w:vAlign w:val="bottom"/>
          </w:tcPr>
          <w:p>
            <w:pPr>
              <w:spacing w:after="0"/>
              <w:rPr>
                <w:sz w:val="1"/>
                <w:szCs w:val="1"/>
                <w:color w:val="auto"/>
              </w:rPr>
            </w:pPr>
          </w:p>
        </w:tc>
      </w:tr>
      <w:tr>
        <w:trPr>
          <w:trHeight w:val="216"/>
        </w:trPr>
        <w:tc>
          <w:tcPr>
            <w:tcW w:w="1820" w:type="dxa"/>
            <w:vAlign w:val="bottom"/>
          </w:tcPr>
          <w:p>
            <w:pPr>
              <w:ind w:left="1620"/>
              <w:spacing w:after="0"/>
              <w:rPr>
                <w:sz w:val="20"/>
                <w:szCs w:val="20"/>
                <w:color w:val="auto"/>
              </w:rPr>
            </w:pPr>
            <w:r>
              <w:rPr>
                <w:rFonts w:ascii="Arial" w:cs="Arial" w:eastAsia="Arial" w:hAnsi="Arial"/>
                <w:sz w:val="18"/>
                <w:szCs w:val="18"/>
                <w:color w:val="auto"/>
                <w:w w:val="89"/>
              </w:rPr>
              <w:t>03</w:t>
            </w:r>
          </w:p>
        </w:tc>
        <w:tc>
          <w:tcPr>
            <w:tcW w:w="4400" w:type="dxa"/>
            <w:vAlign w:val="bottom"/>
          </w:tcPr>
          <w:p>
            <w:pPr>
              <w:ind w:left="20"/>
              <w:spacing w:after="0"/>
              <w:rPr>
                <w:sz w:val="20"/>
                <w:szCs w:val="20"/>
                <w:color w:val="auto"/>
              </w:rPr>
            </w:pPr>
            <w:r>
              <w:rPr>
                <w:rFonts w:ascii="Arial" w:cs="Arial" w:eastAsia="Arial" w:hAnsi="Arial"/>
                <w:sz w:val="18"/>
                <w:szCs w:val="18"/>
                <w:color w:val="auto"/>
              </w:rPr>
              <w:t>Richard L. Lindstrom</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7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REQUEST ID:</w:t>
            </w:r>
          </w:p>
        </w:tc>
        <w:tc>
          <w:tcPr>
            <w:tcW w:w="0" w:type="dxa"/>
            <w:vAlign w:val="bottom"/>
          </w:tcPr>
          <w:p>
            <w:pPr>
              <w:spacing w:after="0"/>
              <w:rPr>
                <w:sz w:val="1"/>
                <w:szCs w:val="1"/>
                <w:color w:val="auto"/>
              </w:rPr>
            </w:pPr>
          </w:p>
        </w:tc>
      </w:tr>
      <w:tr>
        <w:trPr>
          <w:trHeight w:val="216"/>
        </w:trPr>
        <w:tc>
          <w:tcPr>
            <w:tcW w:w="1820" w:type="dxa"/>
            <w:vAlign w:val="bottom"/>
          </w:tcPr>
          <w:p>
            <w:pPr>
              <w:ind w:left="1620"/>
              <w:spacing w:after="0"/>
              <w:rPr>
                <w:sz w:val="20"/>
                <w:szCs w:val="20"/>
                <w:color w:val="auto"/>
              </w:rPr>
            </w:pPr>
            <w:r>
              <w:rPr>
                <w:rFonts w:ascii="Arial" w:cs="Arial" w:eastAsia="Arial" w:hAnsi="Arial"/>
                <w:sz w:val="18"/>
                <w:szCs w:val="18"/>
                <w:color w:val="auto"/>
                <w:w w:val="89"/>
              </w:rPr>
              <w:t>04</w:t>
            </w:r>
          </w:p>
        </w:tc>
        <w:tc>
          <w:tcPr>
            <w:tcW w:w="4400" w:type="dxa"/>
            <w:vAlign w:val="bottom"/>
          </w:tcPr>
          <w:p>
            <w:pPr>
              <w:ind w:left="20"/>
              <w:spacing w:after="0"/>
              <w:rPr>
                <w:sz w:val="20"/>
                <w:szCs w:val="20"/>
                <w:color w:val="auto"/>
              </w:rPr>
            </w:pPr>
            <w:r>
              <w:rPr>
                <w:rFonts w:ascii="Arial" w:cs="Arial" w:eastAsia="Arial" w:hAnsi="Arial"/>
                <w:sz w:val="18"/>
                <w:szCs w:val="18"/>
                <w:color w:val="auto"/>
              </w:rPr>
              <w:t>William H. Nelson</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7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820" w:type="dxa"/>
            <w:vAlign w:val="bottom"/>
          </w:tcPr>
          <w:p>
            <w:pPr>
              <w:ind w:left="1620"/>
              <w:spacing w:after="0"/>
              <w:rPr>
                <w:sz w:val="20"/>
                <w:szCs w:val="20"/>
                <w:color w:val="auto"/>
              </w:rPr>
            </w:pPr>
            <w:r>
              <w:rPr>
                <w:rFonts w:ascii="Arial" w:cs="Arial" w:eastAsia="Arial" w:hAnsi="Arial"/>
                <w:sz w:val="18"/>
                <w:szCs w:val="18"/>
                <w:color w:val="auto"/>
                <w:w w:val="89"/>
              </w:rPr>
              <w:t>05</w:t>
            </w:r>
          </w:p>
        </w:tc>
        <w:tc>
          <w:tcPr>
            <w:tcW w:w="4400" w:type="dxa"/>
            <w:vAlign w:val="bottom"/>
          </w:tcPr>
          <w:p>
            <w:pPr>
              <w:ind w:left="20"/>
              <w:spacing w:after="0"/>
              <w:rPr>
                <w:sz w:val="20"/>
                <w:szCs w:val="20"/>
                <w:color w:val="auto"/>
              </w:rPr>
            </w:pPr>
            <w:r>
              <w:rPr>
                <w:rFonts w:ascii="Arial" w:cs="Arial" w:eastAsia="Arial" w:hAnsi="Arial"/>
                <w:sz w:val="18"/>
                <w:szCs w:val="18"/>
                <w:color w:val="auto"/>
              </w:rPr>
              <w:t>Stephen G. Austin</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7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Proposal 2</w:t>
            </w:r>
          </w:p>
        </w:tc>
        <w:tc>
          <w:tcPr>
            <w:tcW w:w="4400" w:type="dxa"/>
            <w:vAlign w:val="bottom"/>
            <w:tcBorders>
              <w:bottom w:val="single" w:sz="8" w:color="auto"/>
            </w:tcBorders>
          </w:tcPr>
          <w:p>
            <w:pPr>
              <w:ind w:left="4160"/>
              <w:spacing w:after="0"/>
              <w:rPr>
                <w:sz w:val="20"/>
                <w:szCs w:val="20"/>
                <w:color w:val="auto"/>
              </w:rPr>
            </w:pPr>
            <w:r>
              <w:rPr>
                <w:rFonts w:ascii="Arial" w:cs="Arial" w:eastAsia="Arial" w:hAnsi="Arial"/>
                <w:sz w:val="18"/>
                <w:szCs w:val="18"/>
                <w:color w:val="auto"/>
              </w:rPr>
              <w:t>à</w:t>
            </w: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rPr>
              <w:t>AGAINST</w:t>
            </w:r>
          </w:p>
        </w:tc>
        <w:tc>
          <w:tcPr>
            <w:tcW w:w="13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7"/>
              </w:rPr>
              <w:t>ABSTAIN</w:t>
            </w: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20" w:type="dxa"/>
            <w:vAlign w:val="bottom"/>
            <w:gridSpan w:val="2"/>
          </w:tcPr>
          <w:p>
            <w:pPr>
              <w:ind w:left="960"/>
              <w:spacing w:after="0" w:line="201" w:lineRule="exact"/>
              <w:rPr>
                <w:sz w:val="20"/>
                <w:szCs w:val="20"/>
                <w:color w:val="auto"/>
              </w:rPr>
            </w:pPr>
            <w:r>
              <w:rPr>
                <w:rFonts w:ascii="Arial" w:cs="Arial" w:eastAsia="Arial" w:hAnsi="Arial"/>
                <w:sz w:val="18"/>
                <w:szCs w:val="18"/>
                <w:color w:val="auto"/>
              </w:rPr>
              <w:t>To ratify the selection of KMJ Corbin and Company LLP as the</w:t>
            </w:r>
          </w:p>
        </w:tc>
        <w:tc>
          <w:tcPr>
            <w:tcW w:w="8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vMerge w:val="restart"/>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c>
          <w:tcPr>
            <w:tcW w:w="1320" w:type="dxa"/>
            <w:vAlign w:val="bottom"/>
            <w:gridSpan w:val="2"/>
            <w:vMerge w:val="restart"/>
          </w:tcPr>
          <w:p>
            <w:pPr>
              <w:jc w:val="center"/>
              <w:ind w:right="15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960"/>
              <w:spacing w:after="0"/>
              <w:rPr>
                <w:sz w:val="20"/>
                <w:szCs w:val="20"/>
                <w:color w:val="auto"/>
              </w:rPr>
            </w:pPr>
            <w:r>
              <w:rPr>
                <w:rFonts w:ascii="Arial" w:cs="Arial" w:eastAsia="Arial" w:hAnsi="Arial"/>
                <w:sz w:val="18"/>
                <w:szCs w:val="18"/>
                <w:color w:val="auto"/>
              </w:rPr>
              <w:t>Company’s independent registered public accounting firm for the</w:t>
            </w:r>
          </w:p>
        </w:tc>
        <w:tc>
          <w:tcPr>
            <w:tcW w:w="80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960"/>
              <w:spacing w:after="0"/>
              <w:rPr>
                <w:sz w:val="20"/>
                <w:szCs w:val="20"/>
                <w:color w:val="auto"/>
              </w:rPr>
            </w:pPr>
            <w:r>
              <w:rPr>
                <w:rFonts w:ascii="Arial" w:cs="Arial" w:eastAsia="Arial" w:hAnsi="Arial"/>
                <w:sz w:val="18"/>
                <w:szCs w:val="18"/>
                <w:color w:val="auto"/>
              </w:rPr>
              <w:t>fiscal year ending December 31, 2015.</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To transact such other business properly brought before the meeting</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and any adjournment or postponement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This proxy will be voted in the manner directed herein by the undersigned.</w:t>
      </w:r>
    </w:p>
    <w:p>
      <w:pPr>
        <w:spacing w:after="0" w:line="23" w:lineRule="exact"/>
        <w:rPr>
          <w:sz w:val="20"/>
          <w:szCs w:val="20"/>
          <w:color w:val="auto"/>
        </w:rPr>
      </w:pPr>
    </w:p>
    <w:p>
      <w:pPr>
        <w:jc w:val="both"/>
        <w:ind w:right="600"/>
        <w:spacing w:after="0" w:line="252" w:lineRule="auto"/>
        <w:rPr>
          <w:sz w:val="20"/>
          <w:szCs w:val="20"/>
          <w:color w:val="auto"/>
        </w:rPr>
      </w:pPr>
      <w:r>
        <w:rPr>
          <w:rFonts w:ascii="Arial" w:cs="Arial" w:eastAsia="Arial" w:hAnsi="Arial"/>
          <w:sz w:val="18"/>
          <w:szCs w:val="18"/>
          <w:b w:val="1"/>
          <w:bCs w:val="1"/>
          <w:color w:val="auto"/>
        </w:rPr>
        <w:t>IF NO DIRECTION IS GIVEN, THIS PROXY WILL BE VOTED “FOR” THE ELECTION OF THE NOMINEES FOR DIRECTOR NAMED IN PROPOSAL 1, “FOR” RATIFICATION OF THE AUDITOR APPOINTMENT IN PROPOSAL 2, AND IN THE DISCRETION OF THE PROXIES ON SUCH OTHER MATTERS AS MAY PROPERLY COME BEFORE THE ANNUAL MEETING OR ANY ADJOURNMENTS OR POSTPONEMENTS THEREOF TO THE EXTENT PERMITTED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1560830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“X” HERE IF YOU PLAN TO ATTEND</w:t>
      </w:r>
    </w:p>
    <w:p>
      <w:pPr>
        <w:spacing w:after="0" w:line="22"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THE MEETING: </w:t>
      </w:r>
      <w:r>
        <w:rPr>
          <w:rFonts w:ascii="MS PGothic" w:cs="MS PGothic" w:eastAsia="MS PGothic" w:hAnsi="MS PGothic"/>
          <w:sz w:val="18"/>
          <w:szCs w:val="18"/>
          <w:color w:val="auto"/>
          <w:highlight w:val="black"/>
        </w:rPr>
        <w:t>☐</w:t>
      </w:r>
    </w:p>
    <w:p>
      <w:pPr>
        <w:spacing w:after="0" w:line="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MARK HERE FOR ADDRESS CHANGE  </w:t>
      </w:r>
      <w:r>
        <w:rPr>
          <w:rFonts w:ascii="MS PGothic" w:cs="MS PGothic" w:eastAsia="MS PGothic" w:hAnsi="MS PGothic"/>
          <w:sz w:val="18"/>
          <w:szCs w:val="18"/>
          <w:color w:val="auto"/>
        </w:rPr>
        <w:t>☐</w:t>
      </w:r>
      <w:r>
        <w:rPr>
          <w:rFonts w:ascii="Arial" w:cs="Arial" w:eastAsia="Arial" w:hAnsi="Arial"/>
          <w:sz w:val="18"/>
          <w:szCs w:val="18"/>
          <w:color w:val="auto"/>
        </w:rPr>
        <w:t xml:space="preserve"> New</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(if applicable):</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____________________________</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____________________________</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Please sign exactly as your name or</w:t>
      </w:r>
      <w:r>
        <w:rPr>
          <w:rFonts w:ascii="Arial" w:cs="Arial" w:eastAsia="Arial" w:hAnsi="Arial"/>
          <w:sz w:val="18"/>
          <w:szCs w:val="18"/>
          <w:b w:val="1"/>
          <w:bCs w:val="1"/>
          <w:color w:val="auto"/>
        </w:rPr>
        <w:t xml:space="preserve"> </w:t>
      </w:r>
      <w:r>
        <w:rPr>
          <w:rFonts w:ascii="Arial" w:cs="Arial" w:eastAsia="Arial" w:hAnsi="Arial"/>
          <w:sz w:val="18"/>
          <w:szCs w:val="18"/>
          <w:color w:val="auto"/>
        </w:rPr>
        <w:t>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26327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32710"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Name of Stockholder and/or Joint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26327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32710"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26327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32710" cy="17145"/>
                    </a:xfrm>
                    <a:prstGeom prst="rect">
                      <a:avLst/>
                    </a:prstGeom>
                    <a:noFill/>
                  </pic:spPr>
                </pic:pic>
              </a:graphicData>
            </a:graphic>
          </wp:anchor>
        </w:drawing>
      </w:r>
    </w:p>
    <w:p>
      <w:pPr>
        <w:spacing w:after="0" w:line="2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(Second Signature if held jointly)</w:t>
      </w:r>
    </w:p>
    <w:sectPr>
      <w:pgSz w:w="11900" w:h="16838" w:orient="portrait"/>
      <w:cols w:equalWidth="0" w:num="2">
        <w:col w:w="6560" w:space="720"/>
        <w:col w:w="4140"/>
      </w:cols>
      <w:pgMar w:left="240" w:top="75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o"/>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lowerRoman"/>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lowerRoman"/>
      <w:start w:val="2"/>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2020-01-23T03:08:41Z</dcterms:created>
  <dcterms:modified xsi:type="dcterms:W3CDTF">2020-01-23T03:08:41Z</dcterms:modified>
</cp:coreProperties>
</file>