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102 Woodmont Blvd., Suite 610</w:t>
      </w:r>
    </w:p>
    <w:p>
      <w:pPr>
        <w:spacing w:after="0" w:line="39"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8.625% Senior Notes due 2026</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Harrow Health, Inc. (the “Company”) in the U.S. District Court for the District of Delaware asserting various claims, including breach of contract. The claims stem from an asset purchase agreement between the Company and NDS entered into in 2013. In July 2019, NDS filed a second amended complaint which added claims related to its purported termination of the asset purchase agreement. In October 2019, NDS voluntarily dismissed all but two claims, leaving only claims related to the scope and performance of the post-termination obligations to be litigated. On November 8, 2021, following a jury trial, the Company and NDS entered into a voluntary settlement agreement (the “Settlement Agreement”) to resolve all claims and pending matters related to this lawsuit. The Company estimates the Settlement Agreement will result in a single one-time payment of $1,500,000 to NDS. Except for the one-time payment, the Company does not expect the Settlement Agreement will have any future material impact on the Company’s revenues, cash flows,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2021-11-09T07:04:47Z</dcterms:created>
  <dcterms:modified xsi:type="dcterms:W3CDTF">2021-11-09T07:04:47Z</dcterms:modified>
</cp:coreProperties>
</file>