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BAUM MARK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HARROW 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HROW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44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08/14/2023</w:t>
            </w:r>
          </w:p>
        </w:tc>
        <w:tc>
          <w:tcPr>
            <w:tcW w:w="1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44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08/14/2023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5,800</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17.05</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2,015,461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$17.01 to $17.06, inclusive. The reporting person undertakes to provide to Harrow Health, Inc. ("Harrow"), any security holder of Harrow, or the staff of the Securities and Exchange Commission, upon request, full information regarding the number of shares purchased at each separate price within the range set forth in this footnote.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Mark L. Baum</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08/15/2023</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2023-08-15T06:37:48Z</dcterms:created>
  <dcterms:modified xsi:type="dcterms:W3CDTF">2023-08-15T06:37:48Z</dcterms:modified>
</cp:coreProperties>
</file>