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Title of each class</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26, 2019, Park Compounding, Inc. (“Park”) a wholly owned subsidiary of Harrow Health, Inc. (collectively, the “Company”) entered into an Asset Purchase Agreement (the “Agreement”) with Noice Rx, LLC (the “Buyers”). Under the terms of the Agreement, Park has agreed to sell substantially all its assets associated with its non-ophthalmology pharmaceutical compounding business, including but not limited to, trademarks, copyrights, inventories, equipment, customer lists, databases, permits, licenses, and assignment of the Company’s lease obligation for its Irvine, California based pharmacy (the “Assets”), for a total purchase price of $8,000,000 (the “Purchase Price”).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Related to the Agreement, the Buyers entered into a loan agreement with Park equal to the Purchase Price (the “Sellers Note”). The Sellers Note will bear interest at 9.5% per annum and will be secured by all the assets of the Buyers. The Buyers will make ninety-six (96) monthly cash payments to the Company over the eight years following the closing. The first twenty-four months of the Sellers Note will require interest only payments of $63,333, with a principal payment of $2,000,000 due on September 15, 2021. Beginning on October 15, 2021, monthly payments will include interest and amortization of the principal balance and be equal to $119,287. The Sellers Note included a warrant that becomes exercisable in five years and is equal to 20% of the ownership interests of the Buyers.</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closing of this transaction is dependent on the California State Board of Pharmacy issuing a temporary pharmacy and sterile license permit to the Buyers, which has been applied for. If issued, the closing is expected to occur on or before August 27, 2019, subject to other customary terms and conditions.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is only a brief description of the Agreement and Sellers Note and does not purport to be a complete description of the rights and obligations of the parties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Form 8-K, including the exhibits filed with this Form 8-K, contains certain forward-looking statements regarding the proposed transaction between the Company and the Buyers.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620" w:type="dxa"/>
            <w:vAlign w:val="bottom"/>
          </w:tcPr>
          <w:p>
            <w:pPr>
              <w:spacing w:after="0"/>
              <w:rPr>
                <w:sz w:val="20"/>
                <w:szCs w:val="20"/>
                <w:color w:val="auto"/>
              </w:rPr>
            </w:pPr>
            <w:r>
              <w:rPr>
                <w:rFonts w:ascii="Arial" w:cs="Arial" w:eastAsia="Arial" w:hAnsi="Arial"/>
                <w:sz w:val="18"/>
                <w:szCs w:val="18"/>
                <w:color w:val="auto"/>
              </w:rPr>
              <w:t>Dated: July 30, 2019</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20" w:type="dxa"/>
            <w:vAlign w:val="bottom"/>
          </w:tcPr>
          <w:p>
            <w:pPr>
              <w:spacing w:after="0"/>
              <w:rPr>
                <w:sz w:val="17"/>
                <w:szCs w:val="17"/>
                <w:color w:val="auto"/>
              </w:rPr>
            </w:pPr>
          </w:p>
        </w:tc>
        <w:tc>
          <w:tcPr>
            <w:tcW w:w="2660" w:type="dxa"/>
            <w:vAlign w:val="bottom"/>
          </w:tcPr>
          <w:p>
            <w:pPr>
              <w:ind w:left="210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2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2019-11-30T15:31:38Z</dcterms:created>
  <dcterms:modified xsi:type="dcterms:W3CDTF">2019-11-30T15:31:38Z</dcterms:modified>
</cp:coreProperties>
</file>