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9,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HEALTH,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427" w:lineRule="exact"/>
        <w:rPr>
          <w:sz w:val="24"/>
          <w:szCs w:val="24"/>
          <w:color w:val="auto"/>
        </w:rPr>
      </w:pPr>
    </w:p>
    <w:p>
      <w:pPr>
        <w:sectPr>
          <w:pgSz w:w="11900" w:h="16838" w:orient="portrait"/>
          <w:cols w:equalWidth="0" w:num="3">
            <w:col w:w="4440" w:space="720"/>
            <w:col w:w="2320" w:space="720"/>
            <w:col w:w="304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102 Woodmont Blvd., Suite 610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37205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9"/>
        </w:trPr>
        <w:tc>
          <w:tcPr>
            <w:tcW w:w="4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198"/>
        </w:trPr>
        <w:tc>
          <w:tcPr>
            <w:tcW w:w="4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7"/>
                <w:szCs w:val="17"/>
                <w:color w:val="auto"/>
              </w:rPr>
            </w:pPr>
          </w:p>
        </w:tc>
        <w:tc>
          <w:tcPr>
            <w:tcW w:w="18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HROW</w:t>
            </w:r>
          </w:p>
        </w:tc>
        <w:tc>
          <w:tcPr>
            <w:tcW w:w="220" w:type="dxa"/>
            <w:vAlign w:val="bottom"/>
          </w:tcPr>
          <w:p>
            <w:pPr>
              <w:spacing w:after="0"/>
              <w:rPr>
                <w:sz w:val="17"/>
                <w:szCs w:val="17"/>
                <w:color w:val="auto"/>
              </w:rPr>
            </w:pPr>
          </w:p>
        </w:tc>
        <w:tc>
          <w:tcPr>
            <w:tcW w:w="44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234"/>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HROWL</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9, 2022, the Company held its 2022 Annual Meeting of Stockholders (the “Annual Meeting”). The number of shares of common stock entitled to vote at the Annual Meeting was 27,031,127. The number of shares of common stock present or represented by valid proxy at the Annual Meeting was 19,375,716. All matters submitted to a binding vote of stockholders at the Annual Meeting were approved. The number of votes cast for and against, and the number of abstentions and broker non-votes with respect to the matters voted upon at the Annual Meeting, are set forth below:</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Proposal 1: Election of Directors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Stockholders voted to elect to the Board of Directors the six (6) director nominees named in the Company’s proxy statement to serve until the 2023 annual meeting of stockholders or until their successors are duly elected and qualified. The results of the voting were: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272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For</w:t>
            </w:r>
          </w:p>
        </w:tc>
        <w:tc>
          <w:tcPr>
            <w:tcW w:w="268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4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Broker Non-Vote</w:t>
            </w: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L. Baum</w:t>
            </w:r>
          </w:p>
        </w:tc>
        <w:tc>
          <w:tcPr>
            <w:tcW w:w="22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13,871,325</w:t>
            </w:r>
          </w:p>
        </w:tc>
        <w:tc>
          <w:tcPr>
            <w:tcW w:w="34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23,201</w:t>
            </w:r>
          </w:p>
        </w:tc>
        <w:tc>
          <w:tcPr>
            <w:tcW w:w="3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5,481,190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L. Lindstrom</w:t>
            </w:r>
          </w:p>
        </w:tc>
        <w:tc>
          <w:tcPr>
            <w:tcW w:w="2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13,754,017</w:t>
            </w:r>
          </w:p>
        </w:tc>
        <w:tc>
          <w:tcPr>
            <w:tcW w:w="2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140,509</w:t>
            </w: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5,481,190</w:t>
            </w: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A. Makary</w:t>
            </w:r>
          </w:p>
        </w:tc>
        <w:tc>
          <w:tcPr>
            <w:tcW w:w="2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13,841,394</w:t>
            </w:r>
          </w:p>
        </w:tc>
        <w:tc>
          <w:tcPr>
            <w:tcW w:w="2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53,132</w:t>
            </w: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5,481,190</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Teresa F. Sparks</w:t>
            </w:r>
          </w:p>
        </w:tc>
        <w:tc>
          <w:tcPr>
            <w:tcW w:w="2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13,502,538</w:t>
            </w:r>
          </w:p>
        </w:tc>
        <w:tc>
          <w:tcPr>
            <w:tcW w:w="2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391,988</w:t>
            </w: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5,481,190</w:t>
            </w: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Perry J. Sternberg</w:t>
            </w:r>
          </w:p>
        </w:tc>
        <w:tc>
          <w:tcPr>
            <w:tcW w:w="2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13,836,165</w:t>
            </w:r>
          </w:p>
        </w:tc>
        <w:tc>
          <w:tcPr>
            <w:tcW w:w="2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58,361</w:t>
            </w: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5,481,190</w:t>
            </w: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Lawrence Van Horn</w:t>
            </w:r>
          </w:p>
        </w:tc>
        <w:tc>
          <w:tcPr>
            <w:tcW w:w="2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13,310,958</w:t>
            </w:r>
          </w:p>
        </w:tc>
        <w:tc>
          <w:tcPr>
            <w:tcW w:w="2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583,568</w:t>
            </w: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5,481,190</w:t>
            </w:r>
          </w:p>
        </w:tc>
      </w:tr>
    </w:tbl>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Proposal 2: Ratification of Auditors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Stockholders ratified the selection of KMJ Corbin and Company, LLP as the Company’s independent registered public accounting firm for the fiscal year ending December 31, 2022. The results of the voting were: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4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82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Broker Non-Vote</w:t>
            </w:r>
          </w:p>
        </w:tc>
      </w:tr>
      <w:tr>
        <w:trPr>
          <w:trHeight w:val="216"/>
        </w:trPr>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19,111,223</w:t>
            </w:r>
          </w:p>
        </w:tc>
        <w:tc>
          <w:tcPr>
            <w:tcW w:w="34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w w:val="95"/>
              </w:rPr>
              <w:t>230,446</w:t>
            </w:r>
          </w:p>
        </w:tc>
        <w:tc>
          <w:tcPr>
            <w:tcW w:w="34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34,047</w:t>
            </w:r>
          </w:p>
        </w:tc>
        <w:tc>
          <w:tcPr>
            <w:tcW w:w="3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Proposal 3: To approve on an advisory basis, the compensation of the Company’s named executive officers.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Stockholders approved, on an advisory basis, the compensation of the Company’s named executive officers. The results of the voting were: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4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82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Broker Non-Vote</w:t>
            </w:r>
          </w:p>
        </w:tc>
      </w:tr>
      <w:tr>
        <w:trPr>
          <w:trHeight w:val="216"/>
        </w:trPr>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13,569,789</w:t>
            </w:r>
          </w:p>
        </w:tc>
        <w:tc>
          <w:tcPr>
            <w:tcW w:w="34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w w:val="95"/>
              </w:rPr>
              <w:t>284,580</w:t>
            </w:r>
          </w:p>
        </w:tc>
        <w:tc>
          <w:tcPr>
            <w:tcW w:w="34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40,157</w:t>
            </w:r>
          </w:p>
        </w:tc>
        <w:tc>
          <w:tcPr>
            <w:tcW w:w="3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5,481,190</w:t>
            </w:r>
          </w:p>
        </w:tc>
        <w:tc>
          <w:tcPr>
            <w:tcW w:w="220" w:type="dxa"/>
            <w:vAlign w:val="bottom"/>
            <w:tcBorders>
              <w:top w:val="single" w:sz="8" w:color="CCEEFF"/>
            </w:tcBorders>
            <w:shd w:val="clear" w:color="auto" w:fill="CCEEFF"/>
          </w:tcPr>
          <w:p>
            <w:pPr>
              <w:spacing w:after="0"/>
              <w:rPr>
                <w:sz w:val="18"/>
                <w:szCs w:val="18"/>
                <w:color w:val="auto"/>
              </w:rPr>
            </w:pPr>
          </w:p>
        </w:tc>
      </w:tr>
      <w:tr>
        <w:trPr>
          <w:trHeight w:val="439"/>
        </w:trPr>
        <w:tc>
          <w:tcPr>
            <w:tcW w:w="2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2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June 13, 2022</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Andrew R. Boll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2022-06-13T15:38:02Z</dcterms:created>
  <dcterms:modified xsi:type="dcterms:W3CDTF">2022-06-13T15:38:02Z</dcterms:modified>
</cp:coreProperties>
</file>