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666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66687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Opaleye Management Inc.</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ONE BOSTON PLACE, 26TH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0"/>
          <w:szCs w:val="20"/>
          <w:color w:val="0000EE"/>
        </w:rPr>
      </w:pPr>
      <w:hyperlink r:id="rId14">
        <w:r>
          <w:rPr>
            <w:rFonts w:ascii="Arial" w:cs="Arial" w:eastAsia="Arial" w:hAnsi="Arial"/>
            <w:sz w:val="20"/>
            <w:szCs w:val="20"/>
            <w:u w:val="single" w:color="auto"/>
            <w:color w:val="0000EE"/>
          </w:rPr>
          <w:t>HARROW HEALTH,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HROW</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0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07/07/2020</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p>
      <w:pPr>
        <w:ind w:left="525"/>
        <w:spacing w:after="0"/>
        <w:tabs>
          <w:tab w:leader="none" w:pos="1744" w:val="left"/>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10% Owner</w:t>
      </w:r>
    </w:p>
    <w:p>
      <w:pPr>
        <w:spacing w:after="0" w:line="76"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0" w:lineRule="exact"/>
        <w:rPr>
          <w:sz w:val="24"/>
          <w:szCs w:val="24"/>
          <w:color w:val="auto"/>
        </w:rPr>
      </w:pPr>
    </w:p>
    <w:p>
      <w:pPr>
        <w:sectPr>
          <w:pgSz w:w="11900" w:h="16838" w:orient="portrait"/>
          <w:cols w:equalWidth="0" w:num="3">
            <w:col w:w="3200" w:space="720"/>
            <w:col w:w="3180" w:space="635"/>
            <w:col w:w="3345"/>
          </w:cols>
          <w:pgMar w:left="460" w:top="225" w:right="359" w:bottom="0" w:gutter="0" w:footer="0" w:header="0"/>
          <w:type w:val="continuous"/>
        </w:sectPr>
      </w:pPr>
    </w:p>
    <w:p>
      <w:pPr>
        <w:spacing w:after="0" w:line="24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Arial" w:cs="Arial" w:eastAsia="Arial" w:hAnsi="Arial"/>
                <w:sz w:val="17"/>
                <w:szCs w:val="17"/>
                <w:color w:val="0000FF"/>
              </w:rPr>
              <w:t>BOSTON</w:t>
            </w:r>
          </w:p>
        </w:tc>
        <w:tc>
          <w:tcPr>
            <w:tcW w:w="1080" w:type="dxa"/>
            <w:vAlign w:val="bottom"/>
          </w:tcPr>
          <w:p>
            <w:pPr>
              <w:ind w:left="260"/>
              <w:spacing w:after="0"/>
              <w:rPr>
                <w:sz w:val="20"/>
                <w:szCs w:val="20"/>
                <w:color w:val="auto"/>
              </w:rPr>
            </w:pPr>
            <w:r>
              <w:rPr>
                <w:rFonts w:ascii="Arial" w:cs="Arial" w:eastAsia="Arial" w:hAnsi="Arial"/>
                <w:sz w:val="17"/>
                <w:szCs w:val="17"/>
                <w:color w:val="0000FF"/>
              </w:rPr>
              <w:t>MA</w:t>
            </w:r>
          </w:p>
        </w:tc>
        <w:tc>
          <w:tcPr>
            <w:tcW w:w="1600" w:type="dxa"/>
            <w:vAlign w:val="bottom"/>
          </w:tcPr>
          <w:p>
            <w:pPr>
              <w:ind w:left="400"/>
              <w:spacing w:after="0"/>
              <w:rPr>
                <w:sz w:val="20"/>
                <w:szCs w:val="20"/>
                <w:color w:val="auto"/>
              </w:rPr>
            </w:pPr>
            <w:r>
              <w:rPr>
                <w:rFonts w:ascii="Arial" w:cs="Arial" w:eastAsia="Arial" w:hAnsi="Arial"/>
                <w:sz w:val="17"/>
                <w:szCs w:val="17"/>
                <w:color w:val="0000FF"/>
              </w:rPr>
              <w:t>02108</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-2484120</wp:posOffset>
            </wp:positionH>
            <wp:positionV relativeFrom="paragraph">
              <wp:posOffset>210185</wp:posOffset>
            </wp:positionV>
            <wp:extent cx="6964045" cy="28682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2868295"/>
                    </a:xfrm>
                    <a:prstGeom prst="rect">
                      <a:avLst/>
                    </a:prstGeom>
                    <a:noFill/>
                  </pic:spPr>
                </pic:pic>
              </a:graphicData>
            </a:graphic>
          </wp:anchor>
        </w:drawing>
      </w:r>
    </w:p>
    <w:p>
      <w:pPr>
        <w:spacing w:after="0" w:line="392" w:lineRule="exact"/>
        <w:rPr>
          <w:sz w:val="24"/>
          <w:szCs w:val="24"/>
          <w:color w:val="auto"/>
        </w:rPr>
      </w:pPr>
    </w:p>
    <w:p>
      <w:pPr>
        <w:sectPr>
          <w:pgSz w:w="11900" w:h="16838" w:orient="portrait"/>
          <w:cols w:equalWidth="0" w:num="2">
            <w:col w:w="3760" w:space="160"/>
            <w:col w:w="7160"/>
          </w:cols>
          <w:pgMar w:left="460" w:top="225"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20" w:type="dxa"/>
            <w:vAlign w:val="bottom"/>
          </w:tcPr>
          <w:p>
            <w:pPr>
              <w:spacing w:after="0"/>
              <w:rPr>
                <w:sz w:val="13"/>
                <w:szCs w:val="13"/>
                <w:color w:val="auto"/>
              </w:rPr>
            </w:pPr>
          </w:p>
        </w:tc>
        <w:tc>
          <w:tcPr>
            <w:tcW w:w="940" w:type="dxa"/>
            <w:vAlign w:val="bottom"/>
            <w:gridSpan w:val="2"/>
          </w:tcPr>
          <w:p>
            <w:pPr>
              <w:ind w:left="12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20" w:type="dxa"/>
            <w:vAlign w:val="bottom"/>
          </w:tcPr>
          <w:p>
            <w:pPr>
              <w:ind w:left="20"/>
              <w:spacing w:after="0"/>
              <w:rPr>
                <w:sz w:val="20"/>
                <w:szCs w:val="20"/>
                <w:color w:val="auto"/>
              </w:rPr>
            </w:pPr>
            <w:r>
              <w:rPr>
                <w:rFonts w:ascii="Arial" w:cs="Arial" w:eastAsia="Arial" w:hAnsi="Arial"/>
                <w:sz w:val="12"/>
                <w:szCs w:val="12"/>
                <w:b w:val="1"/>
                <w:bCs w:val="1"/>
                <w:color w:val="auto"/>
                <w:w w:val="79"/>
              </w:rPr>
              <w:t>3.</w:t>
            </w:r>
          </w:p>
        </w:tc>
        <w:tc>
          <w:tcPr>
            <w:tcW w:w="620" w:type="dxa"/>
            <w:vAlign w:val="bottom"/>
          </w:tcPr>
          <w:p>
            <w:pPr>
              <w:spacing w:after="0"/>
              <w:rPr>
                <w:sz w:val="13"/>
                <w:szCs w:val="13"/>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5"/>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gridSpan w:val="2"/>
          </w:tcPr>
          <w:p>
            <w:pPr>
              <w:ind w:left="120"/>
              <w:spacing w:after="0" w:line="131"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1"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jc w:val="center"/>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 w:type="dxa"/>
            <w:vAlign w:val="bottom"/>
          </w:tcPr>
          <w:p>
            <w:pPr>
              <w:spacing w:after="0"/>
              <w:rPr>
                <w:sz w:val="11"/>
                <w:szCs w:val="11"/>
                <w:color w:val="auto"/>
              </w:rPr>
            </w:pPr>
          </w:p>
        </w:tc>
        <w:tc>
          <w:tcPr>
            <w:tcW w:w="118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5"/>
          </w:tcPr>
          <w:p>
            <w:pPr>
              <w:ind w:left="2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7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3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 or</w:t>
            </w:r>
          </w:p>
        </w:tc>
        <w:tc>
          <w:tcPr>
            <w:tcW w:w="560" w:type="dxa"/>
            <w:vAlign w:val="bottom"/>
          </w:tcPr>
          <w:p>
            <w:pPr>
              <w:spacing w:after="0"/>
              <w:rPr>
                <w:sz w:val="11"/>
                <w:szCs w:val="11"/>
                <w:color w:val="auto"/>
              </w:rPr>
            </w:pPr>
          </w:p>
        </w:tc>
        <w:tc>
          <w:tcPr>
            <w:tcW w:w="9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74"/>
              </w:rPr>
              <w:t>8)</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9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90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gridSpan w:val="5"/>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gridSpan w:val="2"/>
            <w:vMerge w:val="continue"/>
          </w:tcPr>
          <w:p>
            <w:pPr>
              <w:spacing w:after="0"/>
              <w:rPr>
                <w:sz w:val="3"/>
                <w:szCs w:val="3"/>
                <w:color w:val="auto"/>
              </w:rPr>
            </w:pPr>
          </w:p>
        </w:tc>
        <w:tc>
          <w:tcPr>
            <w:tcW w:w="92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jc w:val="center"/>
              <w:ind w:right="12"/>
              <w:spacing w:after="0" w:line="133" w:lineRule="exact"/>
              <w:rPr>
                <w:sz w:val="20"/>
                <w:szCs w:val="20"/>
                <w:color w:val="auto"/>
              </w:rPr>
            </w:pPr>
            <w:r>
              <w:rPr>
                <w:rFonts w:ascii="Arial" w:cs="Arial" w:eastAsia="Arial" w:hAnsi="Arial"/>
                <w:sz w:val="12"/>
                <w:szCs w:val="12"/>
                <w:b w:val="1"/>
                <w:bCs w:val="1"/>
                <w:color w:val="auto"/>
                <w:w w:val="99"/>
              </w:rPr>
              <w:t>(A) or</w:t>
            </w:r>
          </w:p>
        </w:tc>
        <w:tc>
          <w:tcPr>
            <w:tcW w:w="7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220" w:type="dxa"/>
            <w:vAlign w:val="bottom"/>
          </w:tcPr>
          <w:p>
            <w:pPr>
              <w:spacing w:after="0"/>
              <w:rPr>
                <w:sz w:val="7"/>
                <w:szCs w:val="7"/>
                <w:color w:val="auto"/>
              </w:rPr>
            </w:pPr>
          </w:p>
        </w:tc>
        <w:tc>
          <w:tcPr>
            <w:tcW w:w="90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90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5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860" w:type="dxa"/>
            <w:vAlign w:val="bottom"/>
            <w:gridSpan w:val="4"/>
            <w:vMerge w:val="restart"/>
          </w:tcPr>
          <w:p>
            <w:pPr>
              <w:ind w:left="60"/>
              <w:spacing w:after="0"/>
              <w:rPr>
                <w:sz w:val="20"/>
                <w:szCs w:val="20"/>
                <w:color w:val="auto"/>
              </w:rPr>
            </w:pPr>
            <w:r>
              <w:rPr>
                <w:rFonts w:ascii="Arial" w:cs="Arial" w:eastAsia="Arial" w:hAnsi="Arial"/>
                <w:sz w:val="17"/>
                <w:szCs w:val="17"/>
                <w:color w:val="0000FF"/>
                <w:w w:val="95"/>
              </w:rPr>
              <w:t>Common Stock, par value $0.0001 per</w:t>
            </w:r>
          </w:p>
        </w:tc>
        <w:tc>
          <w:tcPr>
            <w:tcW w:w="9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20" w:type="dxa"/>
            <w:vAlign w:val="bottom"/>
            <w:gridSpan w:val="5"/>
          </w:tcPr>
          <w:p>
            <w:pPr>
              <w:ind w:left="20"/>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860" w:type="dxa"/>
            <w:vAlign w:val="bottom"/>
            <w:gridSpan w:val="4"/>
            <w:vMerge w:val="continue"/>
          </w:tcPr>
          <w:p>
            <w:pPr>
              <w:spacing w:after="0"/>
              <w:rPr>
                <w:sz w:val="9"/>
                <w:szCs w:val="9"/>
                <w:color w:val="auto"/>
              </w:rPr>
            </w:pPr>
          </w:p>
        </w:tc>
        <w:tc>
          <w:tcPr>
            <w:tcW w:w="1720" w:type="dxa"/>
            <w:vAlign w:val="bottom"/>
            <w:gridSpan w:val="3"/>
            <w:vMerge w:val="restart"/>
          </w:tcPr>
          <w:p>
            <w:pPr>
              <w:jc w:val="right"/>
              <w:ind w:right="660"/>
              <w:spacing w:after="0"/>
              <w:rPr>
                <w:sz w:val="20"/>
                <w:szCs w:val="20"/>
                <w:color w:val="auto"/>
              </w:rPr>
            </w:pPr>
            <w:r>
              <w:rPr>
                <w:rFonts w:ascii="Arial" w:cs="Arial" w:eastAsia="Arial" w:hAnsi="Arial"/>
                <w:sz w:val="17"/>
                <w:szCs w:val="17"/>
                <w:color w:val="0000FF"/>
              </w:rPr>
              <w:t>07/07/2020</w:t>
            </w: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0000FF"/>
              </w:rPr>
              <w:t>P</w:t>
            </w:r>
          </w:p>
        </w:tc>
        <w:tc>
          <w:tcPr>
            <w:tcW w:w="840" w:type="dxa"/>
            <w:vAlign w:val="bottom"/>
            <w:vMerge w:val="restart"/>
          </w:tcPr>
          <w:p>
            <w:pPr>
              <w:jc w:val="center"/>
              <w:spacing w:after="0"/>
              <w:rPr>
                <w:sz w:val="20"/>
                <w:szCs w:val="20"/>
                <w:color w:val="auto"/>
              </w:rPr>
            </w:pPr>
            <w:r>
              <w:rPr>
                <w:rFonts w:ascii="Arial" w:cs="Arial" w:eastAsia="Arial" w:hAnsi="Arial"/>
                <w:sz w:val="17"/>
                <w:szCs w:val="17"/>
                <w:color w:val="0000FF"/>
                <w:w w:val="92"/>
              </w:rPr>
              <w:t>41,300</w:t>
            </w:r>
          </w:p>
        </w:tc>
        <w:tc>
          <w:tcPr>
            <w:tcW w:w="440" w:type="dxa"/>
            <w:vAlign w:val="bottom"/>
            <w:vMerge w:val="restart"/>
          </w:tcPr>
          <w:p>
            <w:pPr>
              <w:jc w:val="center"/>
              <w:spacing w:after="0"/>
              <w:rPr>
                <w:sz w:val="20"/>
                <w:szCs w:val="20"/>
                <w:color w:val="auto"/>
              </w:rPr>
            </w:pPr>
            <w:r>
              <w:rPr>
                <w:rFonts w:ascii="Arial" w:cs="Arial" w:eastAsia="Arial" w:hAnsi="Arial"/>
                <w:sz w:val="17"/>
                <w:szCs w:val="17"/>
                <w:color w:val="0000FF"/>
              </w:rPr>
              <w:t>A</w:t>
            </w:r>
          </w:p>
        </w:tc>
        <w:tc>
          <w:tcPr>
            <w:tcW w:w="820" w:type="dxa"/>
            <w:vAlign w:val="bottom"/>
            <w:gridSpan w:val="3"/>
            <w:vMerge w:val="restart"/>
          </w:tcPr>
          <w:p>
            <w:pPr>
              <w:jc w:val="center"/>
              <w:spacing w:after="0" w:line="213" w:lineRule="exact"/>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5.1815</w:t>
            </w:r>
            <w:r>
              <w:rPr>
                <w:rFonts w:ascii="Arial" w:cs="Arial" w:eastAsia="Arial" w:hAnsi="Arial"/>
                <w:sz w:val="22"/>
                <w:szCs w:val="22"/>
                <w:color w:val="008000"/>
                <w:w w:val="88"/>
                <w:vertAlign w:val="superscript"/>
              </w:rPr>
              <w:t>(1)</w:t>
            </w:r>
          </w:p>
        </w:tc>
        <w:tc>
          <w:tcPr>
            <w:tcW w:w="118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2"/>
              </w:rPr>
              <w:t>2,626,300</w:t>
            </w:r>
          </w:p>
        </w:tc>
        <w:tc>
          <w:tcPr>
            <w:tcW w:w="360" w:type="dxa"/>
            <w:vAlign w:val="bottom"/>
          </w:tcPr>
          <w:p>
            <w:pPr>
              <w:spacing w:after="0"/>
              <w:rPr>
                <w:sz w:val="9"/>
                <w:szCs w:val="9"/>
                <w:color w:val="auto"/>
              </w:rPr>
            </w:pPr>
          </w:p>
        </w:tc>
        <w:tc>
          <w:tcPr>
            <w:tcW w:w="56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920" w:type="dxa"/>
            <w:vAlign w:val="bottom"/>
            <w:gridSpan w:val="5"/>
            <w:vMerge w:val="restart"/>
          </w:tcPr>
          <w:p>
            <w:pPr>
              <w:ind w:left="20"/>
              <w:spacing w:after="0"/>
              <w:rPr>
                <w:sz w:val="20"/>
                <w:szCs w:val="20"/>
                <w:color w:val="auto"/>
              </w:rPr>
            </w:pPr>
            <w:r>
              <w:rPr>
                <w:rFonts w:ascii="Arial" w:cs="Arial" w:eastAsia="Arial" w:hAnsi="Arial"/>
                <w:sz w:val="17"/>
                <w:szCs w:val="17"/>
                <w:color w:val="0000FF"/>
              </w:rPr>
              <w:t>Opaleye,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vMerge w:val="restart"/>
          </w:tcPr>
          <w:p>
            <w:pPr>
              <w:ind w:left="60"/>
              <w:spacing w:after="0"/>
              <w:rPr>
                <w:sz w:val="20"/>
                <w:szCs w:val="20"/>
                <w:color w:val="auto"/>
              </w:rPr>
            </w:pPr>
            <w:r>
              <w:rPr>
                <w:rFonts w:ascii="Arial" w:cs="Arial" w:eastAsia="Arial" w:hAnsi="Arial"/>
                <w:sz w:val="17"/>
                <w:szCs w:val="17"/>
                <w:color w:val="0000FF"/>
              </w:rPr>
              <w:t>share</w:t>
            </w: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720" w:type="dxa"/>
            <w:vAlign w:val="bottom"/>
            <w:gridSpan w:val="3"/>
            <w:vMerge w:val="continue"/>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440" w:type="dxa"/>
            <w:vAlign w:val="bottom"/>
            <w:vMerge w:val="continue"/>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92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60" w:type="dxa"/>
            <w:vAlign w:val="bottom"/>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7"/>
                <w:szCs w:val="17"/>
                <w:color w:val="0000FF"/>
              </w:rPr>
              <w:t>L.P.</w:t>
            </w:r>
            <w:r>
              <w:rPr>
                <w:rFonts w:ascii="Arial" w:cs="Arial" w:eastAsia="Arial" w:hAnsi="Arial"/>
                <w:sz w:val="22"/>
                <w:szCs w:val="22"/>
                <w:color w:val="008000"/>
                <w:vertAlign w:val="superscript"/>
              </w:rPr>
              <w:t>(2)</w:t>
            </w:r>
          </w:p>
        </w:tc>
        <w:tc>
          <w:tcPr>
            <w:tcW w:w="120" w:type="dxa"/>
            <w:vAlign w:val="bottom"/>
            <w:gridSpan w:val="3"/>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90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860" w:type="dxa"/>
            <w:vAlign w:val="bottom"/>
            <w:gridSpan w:val="4"/>
            <w:vMerge w:val="restart"/>
          </w:tcPr>
          <w:p>
            <w:pPr>
              <w:ind w:left="60"/>
              <w:spacing w:after="0"/>
              <w:rPr>
                <w:sz w:val="20"/>
                <w:szCs w:val="20"/>
                <w:color w:val="auto"/>
              </w:rPr>
            </w:pPr>
            <w:r>
              <w:rPr>
                <w:rFonts w:ascii="Arial" w:cs="Arial" w:eastAsia="Arial" w:hAnsi="Arial"/>
                <w:sz w:val="17"/>
                <w:szCs w:val="17"/>
                <w:color w:val="0000FF"/>
                <w:w w:val="95"/>
              </w:rPr>
              <w:t>Common Stock, par value $0.0001 per</w:t>
            </w:r>
          </w:p>
        </w:tc>
        <w:tc>
          <w:tcPr>
            <w:tcW w:w="9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20" w:type="dxa"/>
            <w:vAlign w:val="bottom"/>
            <w:gridSpan w:val="5"/>
          </w:tcPr>
          <w:p>
            <w:pPr>
              <w:ind w:left="20"/>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860" w:type="dxa"/>
            <w:vAlign w:val="bottom"/>
            <w:gridSpan w:val="4"/>
            <w:vMerge w:val="continue"/>
          </w:tcPr>
          <w:p>
            <w:pPr>
              <w:spacing w:after="0"/>
              <w:rPr>
                <w:sz w:val="9"/>
                <w:szCs w:val="9"/>
                <w:color w:val="auto"/>
              </w:rPr>
            </w:pPr>
          </w:p>
        </w:tc>
        <w:tc>
          <w:tcPr>
            <w:tcW w:w="1720" w:type="dxa"/>
            <w:vAlign w:val="bottom"/>
            <w:gridSpan w:val="3"/>
            <w:vMerge w:val="restart"/>
          </w:tcPr>
          <w:p>
            <w:pPr>
              <w:jc w:val="right"/>
              <w:ind w:right="660"/>
              <w:spacing w:after="0"/>
              <w:rPr>
                <w:sz w:val="20"/>
                <w:szCs w:val="20"/>
                <w:color w:val="auto"/>
              </w:rPr>
            </w:pPr>
            <w:r>
              <w:rPr>
                <w:rFonts w:ascii="Arial" w:cs="Arial" w:eastAsia="Arial" w:hAnsi="Arial"/>
                <w:sz w:val="17"/>
                <w:szCs w:val="17"/>
                <w:color w:val="0000FF"/>
              </w:rPr>
              <w:t>07/08/2020</w:t>
            </w: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0000FF"/>
              </w:rPr>
              <w:t>P</w:t>
            </w:r>
          </w:p>
        </w:tc>
        <w:tc>
          <w:tcPr>
            <w:tcW w:w="840" w:type="dxa"/>
            <w:vAlign w:val="bottom"/>
            <w:vMerge w:val="restart"/>
          </w:tcPr>
          <w:p>
            <w:pPr>
              <w:jc w:val="center"/>
              <w:spacing w:after="0"/>
              <w:rPr>
                <w:sz w:val="20"/>
                <w:szCs w:val="20"/>
                <w:color w:val="auto"/>
              </w:rPr>
            </w:pPr>
            <w:r>
              <w:rPr>
                <w:rFonts w:ascii="Arial" w:cs="Arial" w:eastAsia="Arial" w:hAnsi="Arial"/>
                <w:sz w:val="17"/>
                <w:szCs w:val="17"/>
                <w:color w:val="0000FF"/>
                <w:w w:val="92"/>
              </w:rPr>
              <w:t>65,000</w:t>
            </w:r>
          </w:p>
        </w:tc>
        <w:tc>
          <w:tcPr>
            <w:tcW w:w="440" w:type="dxa"/>
            <w:vAlign w:val="bottom"/>
            <w:vMerge w:val="restart"/>
          </w:tcPr>
          <w:p>
            <w:pPr>
              <w:jc w:val="center"/>
              <w:spacing w:after="0"/>
              <w:rPr>
                <w:sz w:val="20"/>
                <w:szCs w:val="20"/>
                <w:color w:val="auto"/>
              </w:rPr>
            </w:pPr>
            <w:r>
              <w:rPr>
                <w:rFonts w:ascii="Arial" w:cs="Arial" w:eastAsia="Arial" w:hAnsi="Arial"/>
                <w:sz w:val="17"/>
                <w:szCs w:val="17"/>
                <w:color w:val="0000FF"/>
              </w:rPr>
              <w:t>A</w:t>
            </w:r>
          </w:p>
        </w:tc>
        <w:tc>
          <w:tcPr>
            <w:tcW w:w="820" w:type="dxa"/>
            <w:vAlign w:val="bottom"/>
            <w:gridSpan w:val="3"/>
            <w:vMerge w:val="restart"/>
          </w:tcPr>
          <w:p>
            <w:pPr>
              <w:jc w:val="center"/>
              <w:spacing w:after="0" w:line="213" w:lineRule="exact"/>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4.9943</w:t>
            </w:r>
            <w:r>
              <w:rPr>
                <w:rFonts w:ascii="Arial" w:cs="Arial" w:eastAsia="Arial" w:hAnsi="Arial"/>
                <w:sz w:val="22"/>
                <w:szCs w:val="22"/>
                <w:color w:val="008000"/>
                <w:w w:val="88"/>
                <w:vertAlign w:val="superscript"/>
              </w:rPr>
              <w:t>(3)</w:t>
            </w:r>
          </w:p>
        </w:tc>
        <w:tc>
          <w:tcPr>
            <w:tcW w:w="118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2"/>
              </w:rPr>
              <w:t>2,691,300</w:t>
            </w:r>
          </w:p>
        </w:tc>
        <w:tc>
          <w:tcPr>
            <w:tcW w:w="360" w:type="dxa"/>
            <w:vAlign w:val="bottom"/>
          </w:tcPr>
          <w:p>
            <w:pPr>
              <w:spacing w:after="0"/>
              <w:rPr>
                <w:sz w:val="9"/>
                <w:szCs w:val="9"/>
                <w:color w:val="auto"/>
              </w:rPr>
            </w:pPr>
          </w:p>
        </w:tc>
        <w:tc>
          <w:tcPr>
            <w:tcW w:w="56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920" w:type="dxa"/>
            <w:vAlign w:val="bottom"/>
            <w:gridSpan w:val="5"/>
            <w:vMerge w:val="restart"/>
          </w:tcPr>
          <w:p>
            <w:pPr>
              <w:ind w:left="20"/>
              <w:spacing w:after="0"/>
              <w:rPr>
                <w:sz w:val="20"/>
                <w:szCs w:val="20"/>
                <w:color w:val="auto"/>
              </w:rPr>
            </w:pPr>
            <w:r>
              <w:rPr>
                <w:rFonts w:ascii="Arial" w:cs="Arial" w:eastAsia="Arial" w:hAnsi="Arial"/>
                <w:sz w:val="17"/>
                <w:szCs w:val="17"/>
                <w:color w:val="0000FF"/>
              </w:rPr>
              <w:t>Opaleye,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vMerge w:val="restart"/>
          </w:tcPr>
          <w:p>
            <w:pPr>
              <w:ind w:left="60"/>
              <w:spacing w:after="0"/>
              <w:rPr>
                <w:sz w:val="20"/>
                <w:szCs w:val="20"/>
                <w:color w:val="auto"/>
              </w:rPr>
            </w:pPr>
            <w:r>
              <w:rPr>
                <w:rFonts w:ascii="Arial" w:cs="Arial" w:eastAsia="Arial" w:hAnsi="Arial"/>
                <w:sz w:val="17"/>
                <w:szCs w:val="17"/>
                <w:color w:val="0000FF"/>
              </w:rPr>
              <w:t>share</w:t>
            </w: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720" w:type="dxa"/>
            <w:vAlign w:val="bottom"/>
            <w:gridSpan w:val="3"/>
            <w:vMerge w:val="continue"/>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440" w:type="dxa"/>
            <w:vAlign w:val="bottom"/>
            <w:vMerge w:val="continue"/>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92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60" w:type="dxa"/>
            <w:vAlign w:val="bottom"/>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7"/>
                <w:szCs w:val="17"/>
                <w:color w:val="0000FF"/>
              </w:rPr>
              <w:t>L.P.</w:t>
            </w:r>
            <w:r>
              <w:rPr>
                <w:rFonts w:ascii="Arial" w:cs="Arial" w:eastAsia="Arial" w:hAnsi="Arial"/>
                <w:sz w:val="22"/>
                <w:szCs w:val="22"/>
                <w:color w:val="008000"/>
                <w:vertAlign w:val="superscript"/>
              </w:rPr>
              <w:t>(2)</w:t>
            </w:r>
          </w:p>
        </w:tc>
        <w:tc>
          <w:tcPr>
            <w:tcW w:w="120" w:type="dxa"/>
            <w:vAlign w:val="bottom"/>
            <w:gridSpan w:val="3"/>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90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860" w:type="dxa"/>
            <w:vAlign w:val="bottom"/>
            <w:gridSpan w:val="4"/>
            <w:vMerge w:val="restart"/>
          </w:tcPr>
          <w:p>
            <w:pPr>
              <w:ind w:left="60"/>
              <w:spacing w:after="0"/>
              <w:rPr>
                <w:sz w:val="20"/>
                <w:szCs w:val="20"/>
                <w:color w:val="auto"/>
              </w:rPr>
            </w:pPr>
            <w:r>
              <w:rPr>
                <w:rFonts w:ascii="Arial" w:cs="Arial" w:eastAsia="Arial" w:hAnsi="Arial"/>
                <w:sz w:val="17"/>
                <w:szCs w:val="17"/>
                <w:color w:val="0000FF"/>
                <w:w w:val="95"/>
              </w:rPr>
              <w:t>Common Stock, par value $0.0001 per</w:t>
            </w:r>
          </w:p>
        </w:tc>
        <w:tc>
          <w:tcPr>
            <w:tcW w:w="9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20" w:type="dxa"/>
            <w:vAlign w:val="bottom"/>
            <w:gridSpan w:val="5"/>
          </w:tcPr>
          <w:p>
            <w:pPr>
              <w:ind w:left="20"/>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860" w:type="dxa"/>
            <w:vAlign w:val="bottom"/>
            <w:gridSpan w:val="4"/>
            <w:vMerge w:val="continue"/>
          </w:tcPr>
          <w:p>
            <w:pPr>
              <w:spacing w:after="0"/>
              <w:rPr>
                <w:sz w:val="9"/>
                <w:szCs w:val="9"/>
                <w:color w:val="auto"/>
              </w:rPr>
            </w:pPr>
          </w:p>
        </w:tc>
        <w:tc>
          <w:tcPr>
            <w:tcW w:w="1720" w:type="dxa"/>
            <w:vAlign w:val="bottom"/>
            <w:gridSpan w:val="3"/>
            <w:vMerge w:val="restart"/>
          </w:tcPr>
          <w:p>
            <w:pPr>
              <w:jc w:val="right"/>
              <w:ind w:right="660"/>
              <w:spacing w:after="0"/>
              <w:rPr>
                <w:sz w:val="20"/>
                <w:szCs w:val="20"/>
                <w:color w:val="auto"/>
              </w:rPr>
            </w:pPr>
            <w:r>
              <w:rPr>
                <w:rFonts w:ascii="Arial" w:cs="Arial" w:eastAsia="Arial" w:hAnsi="Arial"/>
                <w:sz w:val="17"/>
                <w:szCs w:val="17"/>
                <w:color w:val="0000FF"/>
              </w:rPr>
              <w:t>07/09/2020</w:t>
            </w: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0000FF"/>
              </w:rPr>
              <w:t>P</w:t>
            </w:r>
          </w:p>
        </w:tc>
        <w:tc>
          <w:tcPr>
            <w:tcW w:w="840" w:type="dxa"/>
            <w:vAlign w:val="bottom"/>
            <w:vMerge w:val="restart"/>
          </w:tcPr>
          <w:p>
            <w:pPr>
              <w:jc w:val="center"/>
              <w:spacing w:after="0"/>
              <w:rPr>
                <w:sz w:val="20"/>
                <w:szCs w:val="20"/>
                <w:color w:val="auto"/>
              </w:rPr>
            </w:pPr>
            <w:r>
              <w:rPr>
                <w:rFonts w:ascii="Arial" w:cs="Arial" w:eastAsia="Arial" w:hAnsi="Arial"/>
                <w:sz w:val="17"/>
                <w:szCs w:val="17"/>
                <w:color w:val="0000FF"/>
                <w:w w:val="92"/>
              </w:rPr>
              <w:t>25,000</w:t>
            </w:r>
          </w:p>
        </w:tc>
        <w:tc>
          <w:tcPr>
            <w:tcW w:w="440" w:type="dxa"/>
            <w:vAlign w:val="bottom"/>
            <w:vMerge w:val="restart"/>
          </w:tcPr>
          <w:p>
            <w:pPr>
              <w:jc w:val="center"/>
              <w:spacing w:after="0"/>
              <w:rPr>
                <w:sz w:val="20"/>
                <w:szCs w:val="20"/>
                <w:color w:val="auto"/>
              </w:rPr>
            </w:pPr>
            <w:r>
              <w:rPr>
                <w:rFonts w:ascii="Arial" w:cs="Arial" w:eastAsia="Arial" w:hAnsi="Arial"/>
                <w:sz w:val="17"/>
                <w:szCs w:val="17"/>
                <w:color w:val="0000FF"/>
              </w:rPr>
              <w:t>A</w:t>
            </w:r>
          </w:p>
        </w:tc>
        <w:tc>
          <w:tcPr>
            <w:tcW w:w="700" w:type="dxa"/>
            <w:vAlign w:val="bottom"/>
            <w:gridSpan w:val="2"/>
            <w:vMerge w:val="restart"/>
          </w:tcPr>
          <w:p>
            <w:pPr>
              <w:jc w:val="center"/>
              <w:ind w:left="49"/>
              <w:spacing w:after="0" w:line="213" w:lineRule="exact"/>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4.84</w:t>
            </w:r>
            <w:r>
              <w:rPr>
                <w:rFonts w:ascii="Arial" w:cs="Arial" w:eastAsia="Arial" w:hAnsi="Arial"/>
                <w:sz w:val="22"/>
                <w:szCs w:val="22"/>
                <w:color w:val="008000"/>
                <w:w w:val="89"/>
                <w:vertAlign w:val="superscript"/>
              </w:rPr>
              <w:t>(4)</w:t>
            </w:r>
          </w:p>
        </w:tc>
        <w:tc>
          <w:tcPr>
            <w:tcW w:w="120" w:type="dxa"/>
            <w:vAlign w:val="bottom"/>
          </w:tcPr>
          <w:p>
            <w:pPr>
              <w:spacing w:after="0"/>
              <w:rPr>
                <w:sz w:val="9"/>
                <w:szCs w:val="9"/>
                <w:color w:val="auto"/>
              </w:rPr>
            </w:pPr>
          </w:p>
        </w:tc>
        <w:tc>
          <w:tcPr>
            <w:tcW w:w="118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2"/>
              </w:rPr>
              <w:t>2,716,300</w:t>
            </w:r>
          </w:p>
        </w:tc>
        <w:tc>
          <w:tcPr>
            <w:tcW w:w="360" w:type="dxa"/>
            <w:vAlign w:val="bottom"/>
          </w:tcPr>
          <w:p>
            <w:pPr>
              <w:spacing w:after="0"/>
              <w:rPr>
                <w:sz w:val="9"/>
                <w:szCs w:val="9"/>
                <w:color w:val="auto"/>
              </w:rPr>
            </w:pPr>
          </w:p>
        </w:tc>
        <w:tc>
          <w:tcPr>
            <w:tcW w:w="56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920" w:type="dxa"/>
            <w:vAlign w:val="bottom"/>
            <w:gridSpan w:val="5"/>
            <w:vMerge w:val="restart"/>
          </w:tcPr>
          <w:p>
            <w:pPr>
              <w:ind w:left="20"/>
              <w:spacing w:after="0"/>
              <w:rPr>
                <w:sz w:val="20"/>
                <w:szCs w:val="20"/>
                <w:color w:val="auto"/>
              </w:rPr>
            </w:pPr>
            <w:r>
              <w:rPr>
                <w:rFonts w:ascii="Arial" w:cs="Arial" w:eastAsia="Arial" w:hAnsi="Arial"/>
                <w:sz w:val="17"/>
                <w:szCs w:val="17"/>
                <w:color w:val="0000FF"/>
              </w:rPr>
              <w:t>Opaleye,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vMerge w:val="restart"/>
          </w:tcPr>
          <w:p>
            <w:pPr>
              <w:ind w:left="60"/>
              <w:spacing w:after="0"/>
              <w:rPr>
                <w:sz w:val="20"/>
                <w:szCs w:val="20"/>
                <w:color w:val="auto"/>
              </w:rPr>
            </w:pPr>
            <w:r>
              <w:rPr>
                <w:rFonts w:ascii="Arial" w:cs="Arial" w:eastAsia="Arial" w:hAnsi="Arial"/>
                <w:sz w:val="17"/>
                <w:szCs w:val="17"/>
                <w:color w:val="0000FF"/>
              </w:rPr>
              <w:t>share</w:t>
            </w: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720" w:type="dxa"/>
            <w:vAlign w:val="bottom"/>
            <w:gridSpan w:val="3"/>
            <w:vMerge w:val="continue"/>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440" w:type="dxa"/>
            <w:vAlign w:val="bottom"/>
            <w:vMerge w:val="continue"/>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92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60" w:type="dxa"/>
            <w:vAlign w:val="bottom"/>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7"/>
                <w:szCs w:val="17"/>
                <w:color w:val="0000FF"/>
              </w:rPr>
              <w:t>L.P.</w:t>
            </w:r>
            <w:r>
              <w:rPr>
                <w:rFonts w:ascii="Arial" w:cs="Arial" w:eastAsia="Arial" w:hAnsi="Arial"/>
                <w:sz w:val="22"/>
                <w:szCs w:val="22"/>
                <w:color w:val="008000"/>
                <w:vertAlign w:val="superscript"/>
              </w:rPr>
              <w:t>(2)</w:t>
            </w:r>
          </w:p>
        </w:tc>
        <w:tc>
          <w:tcPr>
            <w:tcW w:w="120" w:type="dxa"/>
            <w:vAlign w:val="bottom"/>
            <w:gridSpan w:val="3"/>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90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860" w:type="dxa"/>
            <w:vAlign w:val="bottom"/>
            <w:gridSpan w:val="4"/>
            <w:vMerge w:val="restart"/>
          </w:tcPr>
          <w:p>
            <w:pPr>
              <w:ind w:left="60"/>
              <w:spacing w:after="0"/>
              <w:rPr>
                <w:sz w:val="20"/>
                <w:szCs w:val="20"/>
                <w:color w:val="auto"/>
              </w:rPr>
            </w:pPr>
            <w:r>
              <w:rPr>
                <w:rFonts w:ascii="Arial" w:cs="Arial" w:eastAsia="Arial" w:hAnsi="Arial"/>
                <w:sz w:val="17"/>
                <w:szCs w:val="17"/>
                <w:color w:val="0000FF"/>
                <w:w w:val="95"/>
              </w:rPr>
              <w:t>Common Stock, par value $0.0001 per</w:t>
            </w:r>
          </w:p>
        </w:tc>
        <w:tc>
          <w:tcPr>
            <w:tcW w:w="9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20" w:type="dxa"/>
            <w:vAlign w:val="bottom"/>
            <w:gridSpan w:val="5"/>
          </w:tcPr>
          <w:p>
            <w:pPr>
              <w:ind w:left="20"/>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860" w:type="dxa"/>
            <w:vAlign w:val="bottom"/>
            <w:gridSpan w:val="4"/>
            <w:vMerge w:val="continue"/>
          </w:tcPr>
          <w:p>
            <w:pPr>
              <w:spacing w:after="0"/>
              <w:rPr>
                <w:sz w:val="9"/>
                <w:szCs w:val="9"/>
                <w:color w:val="auto"/>
              </w:rPr>
            </w:pPr>
          </w:p>
        </w:tc>
        <w:tc>
          <w:tcPr>
            <w:tcW w:w="1720" w:type="dxa"/>
            <w:vAlign w:val="bottom"/>
            <w:gridSpan w:val="3"/>
            <w:vMerge w:val="restart"/>
          </w:tcPr>
          <w:p>
            <w:pPr>
              <w:jc w:val="right"/>
              <w:ind w:right="660"/>
              <w:spacing w:after="0"/>
              <w:rPr>
                <w:sz w:val="20"/>
                <w:szCs w:val="20"/>
                <w:color w:val="auto"/>
              </w:rPr>
            </w:pPr>
            <w:r>
              <w:rPr>
                <w:rFonts w:ascii="Arial" w:cs="Arial" w:eastAsia="Arial" w:hAnsi="Arial"/>
                <w:sz w:val="17"/>
                <w:szCs w:val="17"/>
                <w:color w:val="0000FF"/>
              </w:rPr>
              <w:t>07/09/2020</w:t>
            </w: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0000FF"/>
              </w:rPr>
              <w:t>P</w:t>
            </w:r>
          </w:p>
        </w:tc>
        <w:tc>
          <w:tcPr>
            <w:tcW w:w="840" w:type="dxa"/>
            <w:vAlign w:val="bottom"/>
            <w:vMerge w:val="restart"/>
          </w:tcPr>
          <w:p>
            <w:pPr>
              <w:jc w:val="center"/>
              <w:spacing w:after="0"/>
              <w:rPr>
                <w:sz w:val="20"/>
                <w:szCs w:val="20"/>
                <w:color w:val="auto"/>
              </w:rPr>
            </w:pPr>
            <w:r>
              <w:rPr>
                <w:rFonts w:ascii="Arial" w:cs="Arial" w:eastAsia="Arial" w:hAnsi="Arial"/>
                <w:sz w:val="17"/>
                <w:szCs w:val="17"/>
                <w:color w:val="0000FF"/>
                <w:w w:val="93"/>
              </w:rPr>
              <w:t>5,000</w:t>
            </w:r>
          </w:p>
        </w:tc>
        <w:tc>
          <w:tcPr>
            <w:tcW w:w="440" w:type="dxa"/>
            <w:vAlign w:val="bottom"/>
            <w:vMerge w:val="restart"/>
          </w:tcPr>
          <w:p>
            <w:pPr>
              <w:jc w:val="center"/>
              <w:spacing w:after="0"/>
              <w:rPr>
                <w:sz w:val="20"/>
                <w:szCs w:val="20"/>
                <w:color w:val="auto"/>
              </w:rPr>
            </w:pPr>
            <w:r>
              <w:rPr>
                <w:rFonts w:ascii="Arial" w:cs="Arial" w:eastAsia="Arial" w:hAnsi="Arial"/>
                <w:sz w:val="17"/>
                <w:szCs w:val="17"/>
                <w:color w:val="0000FF"/>
              </w:rPr>
              <w:t>A</w:t>
            </w:r>
          </w:p>
        </w:tc>
        <w:tc>
          <w:tcPr>
            <w:tcW w:w="820" w:type="dxa"/>
            <w:vAlign w:val="bottom"/>
            <w:gridSpan w:val="3"/>
            <w:vMerge w:val="restart"/>
          </w:tcPr>
          <w:p>
            <w:pPr>
              <w:jc w:val="center"/>
              <w:spacing w:after="0" w:line="213" w:lineRule="exact"/>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4.8157</w:t>
            </w:r>
            <w:r>
              <w:rPr>
                <w:rFonts w:ascii="Arial" w:cs="Arial" w:eastAsia="Arial" w:hAnsi="Arial"/>
                <w:sz w:val="22"/>
                <w:szCs w:val="22"/>
                <w:color w:val="008000"/>
                <w:w w:val="88"/>
                <w:vertAlign w:val="superscript"/>
              </w:rPr>
              <w:t>(5)</w:t>
            </w:r>
          </w:p>
        </w:tc>
        <w:tc>
          <w:tcPr>
            <w:tcW w:w="118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1"/>
              </w:rPr>
              <w:t>130,000</w:t>
            </w:r>
          </w:p>
        </w:tc>
        <w:tc>
          <w:tcPr>
            <w:tcW w:w="360" w:type="dxa"/>
            <w:vAlign w:val="bottom"/>
          </w:tcPr>
          <w:p>
            <w:pPr>
              <w:spacing w:after="0"/>
              <w:rPr>
                <w:sz w:val="9"/>
                <w:szCs w:val="9"/>
                <w:color w:val="auto"/>
              </w:rPr>
            </w:pPr>
          </w:p>
        </w:tc>
        <w:tc>
          <w:tcPr>
            <w:tcW w:w="56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920" w:type="dxa"/>
            <w:vAlign w:val="bottom"/>
            <w:gridSpan w:val="5"/>
            <w:vMerge w:val="restart"/>
          </w:tcPr>
          <w:p>
            <w:pPr>
              <w:ind w:left="20"/>
              <w:spacing w:after="0"/>
              <w:rPr>
                <w:sz w:val="20"/>
                <w:szCs w:val="20"/>
                <w:color w:val="auto"/>
              </w:rPr>
            </w:pPr>
            <w:r>
              <w:rPr>
                <w:rFonts w:ascii="Arial" w:cs="Arial" w:eastAsia="Arial" w:hAnsi="Arial"/>
                <w:sz w:val="17"/>
                <w:szCs w:val="17"/>
                <w:color w:val="0000FF"/>
              </w:rPr>
              <w:t>Managed</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vMerge w:val="restart"/>
          </w:tcPr>
          <w:p>
            <w:pPr>
              <w:ind w:left="60"/>
              <w:spacing w:after="0"/>
              <w:rPr>
                <w:sz w:val="20"/>
                <w:szCs w:val="20"/>
                <w:color w:val="auto"/>
              </w:rPr>
            </w:pPr>
            <w:r>
              <w:rPr>
                <w:rFonts w:ascii="Arial" w:cs="Arial" w:eastAsia="Arial" w:hAnsi="Arial"/>
                <w:sz w:val="17"/>
                <w:szCs w:val="17"/>
                <w:color w:val="0000FF"/>
              </w:rPr>
              <w:t>share</w:t>
            </w: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720" w:type="dxa"/>
            <w:vAlign w:val="bottom"/>
            <w:gridSpan w:val="3"/>
            <w:vMerge w:val="continue"/>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440" w:type="dxa"/>
            <w:vAlign w:val="bottom"/>
            <w:vMerge w:val="continue"/>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92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60" w:type="dxa"/>
            <w:vAlign w:val="bottom"/>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tcPr>
          <w:p>
            <w:pPr>
              <w:spacing w:after="0"/>
              <w:rPr>
                <w:sz w:val="9"/>
                <w:szCs w:val="9"/>
                <w:color w:val="auto"/>
              </w:rPr>
            </w:pPr>
          </w:p>
        </w:tc>
        <w:tc>
          <w:tcPr>
            <w:tcW w:w="920" w:type="dxa"/>
            <w:vAlign w:val="bottom"/>
            <w:gridSpan w:val="5"/>
            <w:vMerge w:val="restart"/>
          </w:tcPr>
          <w:p>
            <w:pPr>
              <w:ind w:left="20"/>
              <w:spacing w:after="0"/>
              <w:rPr>
                <w:sz w:val="20"/>
                <w:szCs w:val="20"/>
                <w:color w:val="auto"/>
              </w:rPr>
            </w:pPr>
            <w:r>
              <w:rPr>
                <w:rFonts w:ascii="Arial" w:cs="Arial" w:eastAsia="Arial" w:hAnsi="Arial"/>
                <w:sz w:val="17"/>
                <w:szCs w:val="17"/>
                <w:color w:val="0000FF"/>
              </w:rPr>
              <w:t>Account</w:t>
            </w:r>
            <w:r>
              <w:rPr>
                <w:rFonts w:ascii="Arial" w:cs="Arial" w:eastAsia="Arial" w:hAnsi="Arial"/>
                <w:sz w:val="22"/>
                <w:szCs w:val="22"/>
                <w:color w:val="008000"/>
                <w:vertAlign w:val="superscript"/>
              </w:rPr>
              <w:t>(6)</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gridSpan w:val="5"/>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00" w:type="dxa"/>
            <w:vAlign w:val="bottom"/>
            <w:tcBorders>
              <w:top w:val="single" w:sz="8" w:color="2C2C2C"/>
            </w:tcBorders>
            <w:gridSpan w:val="16"/>
          </w:tcPr>
          <w:p>
            <w:pPr>
              <w:jc w:val="center"/>
              <w:ind w:left="23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6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60" w:type="dxa"/>
            <w:vAlign w:val="bottom"/>
            <w:gridSpan w:val="11"/>
          </w:tcPr>
          <w:p>
            <w:pPr>
              <w:jc w:val="center"/>
              <w:ind w:left="203"/>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3"/>
          </w:tcPr>
          <w:p>
            <w:pPr>
              <w:spacing w:after="0"/>
              <w:rPr>
                <w:sz w:val="4"/>
                <w:szCs w:val="4"/>
                <w:color w:val="auto"/>
              </w:rPr>
            </w:pPr>
          </w:p>
        </w:tc>
        <w:tc>
          <w:tcPr>
            <w:tcW w:w="146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3"/>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02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4"/>
                <w:szCs w:val="14"/>
                <w:color w:val="auto"/>
              </w:rPr>
            </w:pPr>
          </w:p>
        </w:tc>
        <w:tc>
          <w:tcPr>
            <w:tcW w:w="780" w:type="dxa"/>
            <w:vAlign w:val="bottom"/>
            <w:gridSpan w:val="4"/>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14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6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10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3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Following</w:t>
            </w:r>
          </w:p>
        </w:tc>
        <w:tc>
          <w:tcPr>
            <w:tcW w:w="3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90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660" w:type="dxa"/>
            <w:vAlign w:val="bottom"/>
          </w:tcPr>
          <w:p>
            <w:pPr>
              <w:spacing w:after="0"/>
              <w:rPr>
                <w:sz w:val="4"/>
                <w:szCs w:val="4"/>
                <w:color w:val="auto"/>
              </w:rPr>
            </w:pPr>
          </w:p>
        </w:tc>
        <w:tc>
          <w:tcPr>
            <w:tcW w:w="3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20" w:type="dxa"/>
            <w:vAlign w:val="bottom"/>
          </w:tcPr>
          <w:p>
            <w:pPr>
              <w:spacing w:after="0"/>
              <w:rPr>
                <w:sz w:val="13"/>
                <w:szCs w:val="13"/>
                <w:color w:val="auto"/>
              </w:rPr>
            </w:pPr>
          </w:p>
        </w:tc>
        <w:tc>
          <w:tcPr>
            <w:tcW w:w="146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-1748155</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7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jc w:val="both"/>
        <w:ind w:left="40" w:right="24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common stock was purchased by the reporting person in open market transactions on the transaction date, with a volume weighted average purchase price of $5.1815. The range of purchase prices on the transaction date was $5.11 to $5.23 per share. The reporting person undertakes to provide, upon request by the SEC staff, the issuer, or a security holder of the issuer, full information regarding the number of shares purchased at each price.</w:t>
      </w:r>
    </w:p>
    <w:p>
      <w:pPr>
        <w:spacing w:after="0" w:line="25" w:lineRule="exact"/>
        <w:rPr>
          <w:rFonts w:ascii="Arial" w:cs="Arial" w:eastAsia="Arial" w:hAnsi="Arial"/>
          <w:sz w:val="13"/>
          <w:szCs w:val="13"/>
          <w:color w:val="008000"/>
        </w:rPr>
      </w:pPr>
    </w:p>
    <w:p>
      <w:pPr>
        <w:ind w:left="40" w:right="20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securities owned directly by Opaleye, L.P. (the "Fund"). As the investment manager of the Fund, Opaleye Management Inc. may be deemed to beneficially own the securities owned directly by the Fund.</w:t>
      </w:r>
    </w:p>
    <w:p>
      <w:pPr>
        <w:spacing w:after="0" w:line="15" w:lineRule="exact"/>
        <w:rPr>
          <w:rFonts w:ascii="Arial" w:cs="Arial" w:eastAsia="Arial" w:hAnsi="Arial"/>
          <w:sz w:val="13"/>
          <w:szCs w:val="13"/>
          <w:color w:val="008000"/>
        </w:rPr>
      </w:pPr>
    </w:p>
    <w:p>
      <w:pPr>
        <w:jc w:val="both"/>
        <w:ind w:left="40" w:right="24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common stock was purchased by the reporting person in open market transactions on the transaction date, with a volume weighted average purchase price of $4.9943. The range of purchase prices on the transaction date was $4.95 to $5.00 per share. The reporting person undertakes to provide, upon request by the SEC staff, the issuer, or a security holder of the issuer, full information regarding the number of shares purchased at each price.</w:t>
      </w:r>
    </w:p>
    <w:p>
      <w:pPr>
        <w:spacing w:after="0" w:line="25" w:lineRule="exact"/>
        <w:rPr>
          <w:rFonts w:ascii="Arial" w:cs="Arial" w:eastAsia="Arial" w:hAnsi="Arial"/>
          <w:sz w:val="13"/>
          <w:szCs w:val="13"/>
          <w:color w:val="008000"/>
        </w:rPr>
      </w:pPr>
    </w:p>
    <w:p>
      <w:pPr>
        <w:ind w:left="40" w:right="20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common stock was purchased by the reporting person in open market transactions on the transaction date, with a volume weighted average purchase price of $4.84. The range of purchase prices on the transaction date was $4.73 to $4.89 per share. The reporting person undertakes to provide, upon request by the SEC staff, the issuer, or a security holder of the issuer, full information regarding the number of shares purchased at each price.</w:t>
      </w:r>
    </w:p>
    <w:p>
      <w:pPr>
        <w:spacing w:after="0" w:line="25" w:lineRule="exact"/>
        <w:rPr>
          <w:rFonts w:ascii="Arial" w:cs="Arial" w:eastAsia="Arial" w:hAnsi="Arial"/>
          <w:sz w:val="13"/>
          <w:szCs w:val="13"/>
          <w:color w:val="008000"/>
        </w:rPr>
      </w:pPr>
    </w:p>
    <w:p>
      <w:pPr>
        <w:jc w:val="both"/>
        <w:ind w:left="40" w:right="24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common stock was purchased by the reporting person in open market transactions on the transaction date, with a volume weighted average purchase price of $4.8157. The range of purchase prices on the transaction date was $4.74 to $4.87 per share. The reporting person undertakes to provide, upon request by the SEC staff, the issuer, or a security holder of the issuer, full information regarding the number of shares purchased at each price.</w:t>
      </w:r>
    </w:p>
    <w:p>
      <w:pPr>
        <w:spacing w:after="0" w:line="25" w:lineRule="exact"/>
        <w:rPr>
          <w:rFonts w:ascii="Arial" w:cs="Arial" w:eastAsia="Arial" w:hAnsi="Arial"/>
          <w:sz w:val="13"/>
          <w:szCs w:val="13"/>
          <w:color w:val="008000"/>
        </w:rPr>
      </w:pPr>
    </w:p>
    <w:p>
      <w:pPr>
        <w:ind w:left="40" w:right="46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Securities owned by a separately managed account (the "Managed Account"). As the portfolio manager of the Managed Account, Opaleye may be deemed to beneficially own the securities owned directly by the Managed Account.</w:t>
      </w:r>
    </w:p>
    <w:p>
      <w:pPr>
        <w:spacing w:after="0" w:line="42"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Opaleye Management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1912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By: /s/ James Silverman,</w:t>
      </w:r>
      <w:r>
        <w:rPr>
          <w:sz w:val="20"/>
          <w:szCs w:val="20"/>
          <w:color w:val="auto"/>
        </w:rPr>
        <w:tab/>
      </w:r>
      <w:r>
        <w:rPr>
          <w:rFonts w:ascii="Arial" w:cs="Arial" w:eastAsia="Arial" w:hAnsi="Arial"/>
          <w:sz w:val="15"/>
          <w:szCs w:val="15"/>
          <w:color w:val="0000FF"/>
        </w:rPr>
        <w:t>07/09/2020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President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40957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409575" cy="8255"/>
                    </a:xfrm>
                    <a:prstGeom prst="rect">
                      <a:avLst/>
                    </a:prstGeom>
                    <a:noFill/>
                  </pic:spPr>
                </pic:pic>
              </a:graphicData>
            </a:graphic>
          </wp:anchor>
        </w:drawing>
      </w:r>
    </w:p>
    <w:p>
      <w:pPr>
        <w:spacing w:after="0" w:line="52"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61"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ectPr>
          <w:pgSz w:w="11900" w:h="16838" w:orient="portrait"/>
          <w:cols w:equalWidth="0" w:num="1">
            <w:col w:w="11080"/>
          </w:cols>
          <w:pgMar w:left="460" w:top="225"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4"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595855" TargetMode="External"/><Relationship Id="rId14" Type="http://schemas.openxmlformats.org/officeDocument/2006/relationships/hyperlink" Target="http://www.sec.gov/cgi-bin/browse-edgar?action=getcompany&amp;CIK=000136021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2020-07-09T20:32:25Z</dcterms:created>
  <dcterms:modified xsi:type="dcterms:W3CDTF">2020-07-09T20:32:25Z</dcterms:modified>
</cp:coreProperties>
</file>