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17, 2021 (June 14,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4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93"/>
              </w:rPr>
              <w:t>Delaware</w:t>
            </w:r>
          </w:p>
        </w:tc>
        <w:tc>
          <w:tcPr>
            <w:tcW w:w="182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001-35814</w:t>
            </w:r>
          </w:p>
        </w:tc>
        <w:tc>
          <w:tcPr>
            <w:tcW w:w="220" w:type="dxa"/>
            <w:vAlign w:val="bottom"/>
          </w:tcPr>
          <w:p>
            <w:pPr>
              <w:spacing w:after="0"/>
              <w:rPr>
                <w:sz w:val="19"/>
                <w:szCs w:val="19"/>
                <w:color w:val="auto"/>
              </w:rPr>
            </w:pPr>
          </w:p>
        </w:tc>
        <w:tc>
          <w:tcPr>
            <w:tcW w:w="426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940" w:type="dxa"/>
            <w:vAlign w:val="bottom"/>
            <w:gridSpan w:val="4"/>
          </w:tcPr>
          <w:p>
            <w:pPr>
              <w:jc w:val="center"/>
              <w:ind w:right="1320"/>
              <w:spacing w:after="0"/>
              <w:rPr>
                <w:sz w:val="20"/>
                <w:szCs w:val="20"/>
                <w:color w:val="auto"/>
              </w:rPr>
            </w:pPr>
            <w:r>
              <w:rPr>
                <w:rFonts w:ascii="Arial" w:cs="Arial" w:eastAsia="Arial" w:hAnsi="Arial"/>
                <w:sz w:val="18"/>
                <w:szCs w:val="18"/>
                <w:color w:val="auto"/>
                <w:w w:val="92"/>
              </w:rPr>
              <w:t>(State or other jurisdiction</w:t>
            </w:r>
          </w:p>
        </w:tc>
        <w:tc>
          <w:tcPr>
            <w:tcW w:w="204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(Commission</w:t>
            </w:r>
          </w:p>
        </w:tc>
        <w:tc>
          <w:tcPr>
            <w:tcW w:w="4260" w:type="dxa"/>
            <w:vAlign w:val="bottom"/>
            <w:gridSpan w:val="2"/>
          </w:tcPr>
          <w:p>
            <w:pPr>
              <w:jc w:val="center"/>
              <w:ind w:left="590"/>
              <w:spacing w:after="0"/>
              <w:rPr>
                <w:sz w:val="20"/>
                <w:szCs w:val="20"/>
                <w:color w:val="auto"/>
              </w:rPr>
            </w:pPr>
            <w:r>
              <w:rPr>
                <w:rFonts w:ascii="Arial" w:cs="Arial" w:eastAsia="Arial" w:hAnsi="Arial"/>
                <w:sz w:val="18"/>
                <w:szCs w:val="18"/>
                <w:color w:val="auto"/>
                <w:w w:val="93"/>
              </w:rPr>
              <w:t>(IRS Employer</w:t>
            </w:r>
          </w:p>
        </w:tc>
      </w:tr>
      <w:tr>
        <w:trPr>
          <w:trHeight w:val="230"/>
        </w:trPr>
        <w:tc>
          <w:tcPr>
            <w:tcW w:w="4940" w:type="dxa"/>
            <w:vAlign w:val="bottom"/>
            <w:gridSpan w:val="4"/>
          </w:tcPr>
          <w:p>
            <w:pPr>
              <w:jc w:val="center"/>
              <w:ind w:right="1320"/>
              <w:spacing w:after="0"/>
              <w:rPr>
                <w:sz w:val="20"/>
                <w:szCs w:val="20"/>
                <w:color w:val="auto"/>
              </w:rPr>
            </w:pPr>
            <w:r>
              <w:rPr>
                <w:rFonts w:ascii="Arial" w:cs="Arial" w:eastAsia="Arial" w:hAnsi="Arial"/>
                <w:sz w:val="18"/>
                <w:szCs w:val="18"/>
                <w:color w:val="auto"/>
                <w:w w:val="93"/>
              </w:rPr>
              <w:t>of incorporation)</w:t>
            </w:r>
          </w:p>
        </w:tc>
        <w:tc>
          <w:tcPr>
            <w:tcW w:w="20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File Number)</w:t>
            </w:r>
          </w:p>
        </w:tc>
        <w:tc>
          <w:tcPr>
            <w:tcW w:w="4260" w:type="dxa"/>
            <w:vAlign w:val="bottom"/>
            <w:gridSpan w:val="2"/>
          </w:tcPr>
          <w:p>
            <w:pPr>
              <w:jc w:val="center"/>
              <w:ind w:lef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260" w:type="dxa"/>
            <w:vAlign w:val="bottom"/>
          </w:tcPr>
          <w:p>
            <w:pPr>
              <w:spacing w:after="0"/>
              <w:rPr>
                <w:sz w:val="24"/>
                <w:szCs w:val="24"/>
                <w:color w:val="auto"/>
              </w:rPr>
            </w:pPr>
          </w:p>
        </w:tc>
        <w:tc>
          <w:tcPr>
            <w:tcW w:w="26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9"/>
              </w:rPr>
              <w:t>102 Woodmont Blvd., Suite 610</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268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5"/>
              </w:rPr>
              <w:t>Nashville, Tennessee</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37205</w:t>
            </w:r>
          </w:p>
        </w:tc>
      </w:tr>
      <w:tr>
        <w:trPr>
          <w:trHeight w:val="230"/>
        </w:trPr>
        <w:tc>
          <w:tcPr>
            <w:tcW w:w="2260" w:type="dxa"/>
            <w:vAlign w:val="bottom"/>
          </w:tcPr>
          <w:p>
            <w:pPr>
              <w:spacing w:after="0"/>
              <w:rPr>
                <w:sz w:val="20"/>
                <w:szCs w:val="20"/>
                <w:color w:val="auto"/>
              </w:rPr>
            </w:pPr>
          </w:p>
        </w:tc>
        <w:tc>
          <w:tcPr>
            <w:tcW w:w="4720" w:type="dxa"/>
            <w:vAlign w:val="bottom"/>
            <w:gridSpan w:val="5"/>
          </w:tcPr>
          <w:p>
            <w:pPr>
              <w:jc w:val="center"/>
              <w:ind w:right="180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spacing w:after="0"/>
              <w:rPr>
                <w:sz w:val="20"/>
                <w:szCs w:val="20"/>
                <w:color w:val="auto"/>
              </w:rPr>
            </w:pPr>
          </w:p>
        </w:tc>
        <w:tc>
          <w:tcPr>
            <w:tcW w:w="2240" w:type="dxa"/>
            <w:vAlign w:val="bottom"/>
          </w:tcPr>
          <w:p>
            <w:pPr>
              <w:jc w:val="center"/>
              <w:ind w:right="1270"/>
              <w:spacing w:after="0"/>
              <w:rPr>
                <w:sz w:val="20"/>
                <w:szCs w:val="20"/>
                <w:color w:val="auto"/>
              </w:rPr>
            </w:pPr>
            <w:r>
              <w:rPr>
                <w:rFonts w:ascii="Arial" w:cs="Arial" w:eastAsia="Arial" w:hAnsi="Arial"/>
                <w:sz w:val="18"/>
                <w:szCs w:val="18"/>
                <w:color w:val="auto"/>
                <w:w w:val="94"/>
              </w:rPr>
              <w:t>(Zip Code)</w:t>
            </w:r>
          </w:p>
        </w:tc>
      </w:tr>
      <w:tr>
        <w:trPr>
          <w:trHeight w:val="432"/>
        </w:trPr>
        <w:tc>
          <w:tcPr>
            <w:tcW w:w="2260" w:type="dxa"/>
            <w:vAlign w:val="bottom"/>
          </w:tcPr>
          <w:p>
            <w:pPr>
              <w:spacing w:after="0"/>
              <w:rPr>
                <w:sz w:val="24"/>
                <w:szCs w:val="24"/>
                <w:color w:val="auto"/>
              </w:rPr>
            </w:pPr>
          </w:p>
        </w:tc>
        <w:tc>
          <w:tcPr>
            <w:tcW w:w="8980" w:type="dxa"/>
            <w:vAlign w:val="bottom"/>
            <w:gridSpan w:val="7"/>
          </w:tcPr>
          <w:p>
            <w:pPr>
              <w:jc w:val="center"/>
              <w:ind w:right="2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(615) 733-4730</w:t>
            </w:r>
          </w:p>
        </w:tc>
      </w:tr>
      <w:tr>
        <w:trPr>
          <w:trHeight w:val="453"/>
        </w:trPr>
        <w:tc>
          <w:tcPr>
            <w:tcW w:w="22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8"/>
                <w:szCs w:val="18"/>
                <w:b w:val="1"/>
                <w:bCs w:val="1"/>
                <w:color w:val="auto"/>
                <w:w w:val="90"/>
              </w:rPr>
              <w:t>Not Applicable</w:t>
            </w:r>
          </w:p>
        </w:tc>
        <w:tc>
          <w:tcPr>
            <w:tcW w:w="202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6740" w:type="dxa"/>
            <w:vAlign w:val="bottom"/>
            <w:gridSpan w:val="6"/>
          </w:tcPr>
          <w:p>
            <w:pPr>
              <w:jc w:val="center"/>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240" w:type="dxa"/>
            <w:vAlign w:val="bottom"/>
          </w:tcPr>
          <w:p>
            <w:pPr>
              <w:spacing w:after="0"/>
              <w:rPr>
                <w:sz w:val="20"/>
                <w:szCs w:val="20"/>
                <w:color w:val="auto"/>
              </w:rPr>
            </w:pPr>
          </w:p>
        </w:tc>
      </w:tr>
      <w:tr>
        <w:trPr>
          <w:trHeight w:val="418"/>
        </w:trPr>
        <w:tc>
          <w:tcPr>
            <w:tcW w:w="494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9"/>
        </w:trPr>
        <w:tc>
          <w:tcPr>
            <w:tcW w:w="4940" w:type="dxa"/>
            <w:vAlign w:val="bottom"/>
            <w:gridSpan w:val="4"/>
          </w:tcPr>
          <w:p>
            <w:pPr>
              <w:jc w:val="center"/>
              <w:ind w:right="640"/>
              <w:spacing w:after="0"/>
              <w:rPr>
                <w:sz w:val="20"/>
                <w:szCs w:val="20"/>
                <w:color w:val="auto"/>
              </w:rPr>
            </w:pPr>
            <w:r>
              <w:rPr>
                <w:rFonts w:ascii="Arial" w:cs="Arial" w:eastAsia="Arial" w:hAnsi="Arial"/>
                <w:sz w:val="18"/>
                <w:szCs w:val="18"/>
                <w:color w:val="auto"/>
                <w:w w:val="90"/>
              </w:rPr>
              <w:t>Title of each class</w:t>
            </w:r>
          </w:p>
        </w:tc>
        <w:tc>
          <w:tcPr>
            <w:tcW w:w="20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Trading Symbol(s)</w:t>
            </w:r>
          </w:p>
        </w:tc>
        <w:tc>
          <w:tcPr>
            <w:tcW w:w="4260" w:type="dxa"/>
            <w:vAlign w:val="bottom"/>
            <w:gridSpan w:val="2"/>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28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2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5"/>
              </w:rPr>
              <w:t>The NASDAQ Global Market</w:t>
            </w:r>
          </w:p>
        </w:tc>
      </w:tr>
      <w:tr>
        <w:trPr>
          <w:trHeight w:val="230"/>
        </w:trPr>
        <w:tc>
          <w:tcPr>
            <w:tcW w:w="4940" w:type="dxa"/>
            <w:vAlign w:val="bottom"/>
            <w:gridSpan w:val="4"/>
          </w:tcPr>
          <w:p>
            <w:pPr>
              <w:jc w:val="center"/>
              <w:ind w:right="660"/>
              <w:spacing w:after="0"/>
              <w:rPr>
                <w:sz w:val="20"/>
                <w:szCs w:val="20"/>
                <w:color w:val="auto"/>
              </w:rPr>
            </w:pPr>
            <w:r>
              <w:rPr>
                <w:rFonts w:ascii="Arial" w:cs="Arial" w:eastAsia="Arial" w:hAnsi="Arial"/>
                <w:sz w:val="18"/>
                <w:szCs w:val="18"/>
                <w:color w:val="auto"/>
                <w:w w:val="89"/>
              </w:rPr>
              <w:t>8.625% Senior Notes due 2026</w:t>
            </w:r>
          </w:p>
        </w:tc>
        <w:tc>
          <w:tcPr>
            <w:tcW w:w="2040" w:type="dxa"/>
            <w:vAlign w:val="bottom"/>
            <w:gridSpan w:val="2"/>
          </w:tcPr>
          <w:p>
            <w:pPr>
              <w:jc w:val="center"/>
              <w:ind w:right="660"/>
              <w:spacing w:after="0"/>
              <w:rPr>
                <w:sz w:val="20"/>
                <w:szCs w:val="20"/>
                <w:color w:val="auto"/>
              </w:rPr>
            </w:pPr>
            <w:r>
              <w:rPr>
                <w:rFonts w:ascii="Arial" w:cs="Arial" w:eastAsia="Arial" w:hAnsi="Arial"/>
                <w:sz w:val="18"/>
                <w:szCs w:val="18"/>
                <w:color w:val="auto"/>
                <w:w w:val="98"/>
              </w:rPr>
              <w:t>HROWL</w:t>
            </w:r>
          </w:p>
        </w:tc>
        <w:tc>
          <w:tcPr>
            <w:tcW w:w="4260" w:type="dxa"/>
            <w:vAlign w:val="bottom"/>
            <w:gridSpan w:val="2"/>
          </w:tcPr>
          <w:p>
            <w:pPr>
              <w:jc w:val="center"/>
              <w:spacing w:after="0"/>
              <w:rPr>
                <w:sz w:val="20"/>
                <w:szCs w:val="20"/>
                <w:color w:val="auto"/>
              </w:rPr>
            </w:pPr>
            <w:r>
              <w:rPr>
                <w:rFonts w:ascii="Arial" w:cs="Arial" w:eastAsia="Arial" w:hAnsi="Arial"/>
                <w:sz w:val="18"/>
                <w:szCs w:val="18"/>
                <w:color w:val="auto"/>
                <w:w w:val="95"/>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June 14, 2021, Harrow Health, Inc.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B. Riley Securities, Inc., as representative of the several underwriters named therein (the “</w:t>
      </w:r>
      <w:r>
        <w:rPr>
          <w:rFonts w:ascii="Arial" w:cs="Arial" w:eastAsia="Arial" w:hAnsi="Arial"/>
          <w:sz w:val="16"/>
          <w:szCs w:val="16"/>
          <w:u w:val="single" w:color="auto"/>
          <w:color w:val="auto"/>
        </w:rPr>
        <w:t>Underwriters</w:t>
      </w:r>
      <w:r>
        <w:rPr>
          <w:rFonts w:ascii="Arial" w:cs="Arial" w:eastAsia="Arial" w:hAnsi="Arial"/>
          <w:sz w:val="16"/>
          <w:szCs w:val="16"/>
          <w:color w:val="auto"/>
        </w:rPr>
        <w:t>”), pursuant to which the Company agreed to sell to the Underwriters $17,500,000 aggregate principal amount of 8.625% Senior Notes due 2026 (the “</w:t>
      </w:r>
      <w:r>
        <w:rPr>
          <w:rFonts w:ascii="Arial" w:cs="Arial" w:eastAsia="Arial" w:hAnsi="Arial"/>
          <w:sz w:val="16"/>
          <w:szCs w:val="16"/>
          <w:u w:val="single" w:color="auto"/>
          <w:color w:val="auto"/>
        </w:rPr>
        <w:t>Firm Notes</w:t>
      </w:r>
      <w:r>
        <w:rPr>
          <w:rFonts w:ascii="Arial" w:cs="Arial" w:eastAsia="Arial" w:hAnsi="Arial"/>
          <w:sz w:val="16"/>
          <w:szCs w:val="16"/>
          <w:color w:val="auto"/>
        </w:rPr>
        <w:t>”) plus up to an additional $2,500,000 aggregate principal amount of 8.625% Senior Notes due 2026 pursuant to an option to purchase additional Notes (the “</w:t>
      </w:r>
      <w:r>
        <w:rPr>
          <w:rFonts w:ascii="Arial" w:cs="Arial" w:eastAsia="Arial" w:hAnsi="Arial"/>
          <w:sz w:val="16"/>
          <w:szCs w:val="16"/>
          <w:u w:val="single" w:color="auto"/>
          <w:color w:val="auto"/>
        </w:rPr>
        <w:t>Additional Notes</w:t>
      </w:r>
      <w:r>
        <w:rPr>
          <w:rFonts w:ascii="Arial" w:cs="Arial" w:eastAsia="Arial" w:hAnsi="Arial"/>
          <w:sz w:val="16"/>
          <w:szCs w:val="16"/>
          <w:color w:val="auto"/>
        </w:rPr>
        <w:t>”, and together with the Firm Notes, the “</w:t>
      </w:r>
      <w:r>
        <w:rPr>
          <w:rFonts w:ascii="Arial" w:cs="Arial" w:eastAsia="Arial" w:hAnsi="Arial"/>
          <w:sz w:val="16"/>
          <w:szCs w:val="16"/>
          <w:u w:val="single" w:color="auto"/>
          <w:color w:val="auto"/>
        </w:rPr>
        <w:t>Notes</w:t>
      </w:r>
      <w:r>
        <w:rPr>
          <w:rFonts w:ascii="Arial" w:cs="Arial" w:eastAsia="Arial" w:hAnsi="Arial"/>
          <w:sz w:val="16"/>
          <w:szCs w:val="16"/>
          <w:color w:val="auto"/>
        </w:rPr>
        <w:t>”). The Notes are a further issuance of 8.625% senior notes due 2026, of which $55,000,000 aggregate principal amount was outstanding prior to the offering (the “</w:t>
      </w:r>
      <w:r>
        <w:rPr>
          <w:rFonts w:ascii="Arial" w:cs="Arial" w:eastAsia="Arial" w:hAnsi="Arial"/>
          <w:sz w:val="16"/>
          <w:szCs w:val="16"/>
          <w:u w:val="single" w:color="auto"/>
          <w:color w:val="auto"/>
        </w:rPr>
        <w:t>Existing Notes</w:t>
      </w:r>
      <w:r>
        <w:rPr>
          <w:rFonts w:ascii="Arial" w:cs="Arial" w:eastAsia="Arial" w:hAnsi="Arial"/>
          <w:sz w:val="16"/>
          <w:szCs w:val="16"/>
          <w:color w:val="auto"/>
        </w:rPr>
        <w:t>”). The Notes are treated as a single series with the Existing Notes under the indenture governing the Existing Notes, dated as of April 20, 2021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as supplemented by the First Supplemental Indenture, dated as of April 20, 2021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Supplemental Indenture</w:t>
      </w:r>
      <w:r>
        <w:rPr>
          <w:rFonts w:ascii="Arial" w:cs="Arial" w:eastAsia="Arial" w:hAnsi="Arial"/>
          <w:sz w:val="16"/>
          <w:szCs w:val="16"/>
          <w:color w:val="auto"/>
        </w:rPr>
        <w:t>”), by and between the Company and U.S. Bank National Association, as trustee, with respect to the Notes (collectively, the “</w:t>
      </w:r>
      <w:r>
        <w:rPr>
          <w:rFonts w:ascii="Arial" w:cs="Arial" w:eastAsia="Arial" w:hAnsi="Arial"/>
          <w:sz w:val="16"/>
          <w:szCs w:val="16"/>
          <w:u w:val="single" w:color="auto"/>
          <w:color w:val="auto"/>
        </w:rPr>
        <w:t>Indenture</w:t>
      </w:r>
      <w:r>
        <w:rPr>
          <w:rFonts w:ascii="Arial" w:cs="Arial" w:eastAsia="Arial" w:hAnsi="Arial"/>
          <w:sz w:val="16"/>
          <w:szCs w:val="16"/>
          <w:color w:val="auto"/>
        </w:rPr>
        <w:t>”) and have the same terms as the Existing Notes (other than the initial offering price and the issue date). The Notes have the same CUSIP number and trade interchangeably with the Existing Notes. The Notes and the Existing Notes are fungible for U.S. federal income tax purposes.</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Notes were offered pursuant to the Company’s shelf registration statement on Form S-3 (Registration No. 333-239669), which was declared effective by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July 13, 2020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On June 14, 2021, the Company priced the offering and on June 16, 2021, the Underwriters exercised their option to purchase the Additional Notes. On June 17, 2021, the offering of the Notes closed. The Notes were sold to investors at a price of $25.75 per Note and the offering resulted in net proceeds to the Company of approximately $19.6 million after deducting underwriting discounts and commissions, but before expenses.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covenants of the Company, customary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foregoing description of the material terms of the Underwriting Agreement is qualified in its entirety by reference to the full text of the Underwriting Agreement, a copy of which is attached hereto as </w:t>
      </w:r>
      <w:r>
        <w:rPr>
          <w:rFonts w:ascii="Arial" w:cs="Arial" w:eastAsia="Arial" w:hAnsi="Arial"/>
          <w:sz w:val="18"/>
          <w:szCs w:val="18"/>
          <w:u w:val="single" w:color="auto"/>
          <w:color w:val="auto"/>
        </w:rPr>
        <w:t>Exhibit 1.1</w:t>
      </w:r>
      <w:r>
        <w:rPr>
          <w:rFonts w:ascii="Arial" w:cs="Arial" w:eastAsia="Arial" w:hAnsi="Arial"/>
          <w:sz w:val="18"/>
          <w:szCs w:val="18"/>
          <w:color w:val="auto"/>
        </w:rPr>
        <w:t xml:space="preserve"> and is incorporated herein by reference.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Notes are senior unsecured obligations of the Company and rank equally in right of payment with all of the Company’s other existing and future senior unsecured and unsubordinated indebtedness. The Notes are effectively subordinated in right of payment to all of the Company’s existing and future secured indebtedness and structurally subordinated to all existing and future indebtedness of the Company’s subsidiaries, including trade payables. The Notes bear interest at the rate of 8.625% per annum. Interest on the Notes is payable quarterly in arrears on January 31, April 30, July 31 and October 31 of each year, commencing on July 31, 2021. The Notes will mature on April 30, 2026.</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that is further described in the First Supplemental Indenture, if any, plus accrued and unpaid interest to, but excluding, the date of redemption.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may redeem the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Notes.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Indenture contains customary events of default and cure provisions. If an uncured default occurs and is continuing, the Trustee or the holders of at least 25% of the principal amount of the Notes may declare the entire amount of the Notes, together with accrued and unpaid interest, if any, to be immediately due and payable. In the case of an event of default involving the Company’s bankruptcy, insolvency or reorganization, the principal of, and accrued and unpaid interest on, the principal amount of the Notes, together with accrued and unpaid interest, if any, will automatically, and without any declaration or other action on the part of the Trustee or the holders of the Notes, become due and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both"/>
        <w:ind w:firstLine="648"/>
        <w:spacing w:after="0" w:line="263" w:lineRule="auto"/>
        <w:rPr>
          <w:sz w:val="20"/>
          <w:szCs w:val="20"/>
          <w:color w:val="auto"/>
        </w:rPr>
      </w:pPr>
      <w:r>
        <w:rPr>
          <w:rFonts w:ascii="Arial" w:cs="Arial" w:eastAsia="Arial" w:hAnsi="Arial"/>
          <w:sz w:val="18"/>
          <w:szCs w:val="18"/>
          <w:color w:val="auto"/>
        </w:rPr>
        <w:t xml:space="preserve">The foregoing description of the Base Indenture, the First Supplemental Indenture and the Notes does not purport to be complete and is qualified in its entirety by reference to the full text of the Base Indenture, the First Supplemental Indenture and the form of Note copies of which are attached hereto as </w:t>
      </w:r>
      <w:r>
        <w:rPr>
          <w:rFonts w:ascii="Arial" w:cs="Arial" w:eastAsia="Arial" w:hAnsi="Arial"/>
          <w:sz w:val="18"/>
          <w:szCs w:val="18"/>
          <w:u w:val="single" w:color="auto"/>
          <w:color w:val="auto"/>
        </w:rPr>
        <w:t>Exhibit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4.3</w:t>
      </w:r>
      <w:r>
        <w:rPr>
          <w:rFonts w:ascii="Arial" w:cs="Arial" w:eastAsia="Arial" w:hAnsi="Arial"/>
          <w:sz w:val="18"/>
          <w:szCs w:val="18"/>
          <w:color w:val="auto"/>
        </w:rPr>
        <w:t xml:space="preserve"> and incorporated by reference herein.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Exhibit 5.1</w:t>
      </w:r>
      <w:r>
        <w:rPr>
          <w:rFonts w:ascii="Arial" w:cs="Arial" w:eastAsia="Arial" w:hAnsi="Arial"/>
          <w:sz w:val="18"/>
          <w:szCs w:val="18"/>
          <w:color w:val="auto"/>
        </w:rPr>
        <w:t xml:space="preserve"> to this Current Report and incorporated herein by reference is a copy of the opinion of Waller Lansden Dortch &amp; Davis, LLP, relating to the validity of the Notes that may be sold in the offering (the “</w:t>
      </w:r>
      <w:r>
        <w:rPr>
          <w:rFonts w:ascii="Arial" w:cs="Arial" w:eastAsia="Arial" w:hAnsi="Arial"/>
          <w:sz w:val="18"/>
          <w:szCs w:val="18"/>
          <w:u w:val="single" w:color="auto"/>
          <w:color w:val="auto"/>
        </w:rPr>
        <w:t>Legal Opinion</w:t>
      </w:r>
      <w:r>
        <w:rPr>
          <w:rFonts w:ascii="Arial" w:cs="Arial" w:eastAsia="Arial" w:hAnsi="Arial"/>
          <w:sz w:val="18"/>
          <w:szCs w:val="18"/>
          <w:color w:val="auto"/>
        </w:rPr>
        <w:t>”). The Legal Opinion is also filed with reference to, and is hereby incorporated by reference into, the Registration Statement.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June 14, 2021, the Company issued a press release announcing the pricing of the offering. A copy of the press release is filed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and is incorporated herein by reference.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June 17, 2021, the Company issued a press release announcing the closing of the offering. A copy of the press release is filed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regarding the Notes and the Indenture set forth in Item 1.01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June 17, 2021, upon closing of the Note offering, the Company used approximately $11.1 million of the net proceeds from the sale of the Notes to redeem all of the outstanding shares of the Company’s Series B Cumulative Preferred Stock, par value $0.001 per share. The redemption price for the 440,000 shares of Series B Cumulative Preferred Stock outstanding was equal to $25.00 per share, plus accrued and unpaid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8"/>
            <w:szCs w:val="18"/>
            <w:u w:val="single" w:color="auto"/>
            <w:color w:val="0000EE"/>
          </w:rPr>
          <w:t>Underwriting Agreement, dated as of June 14, 2021, by and among the Company and B. Riley Securities, Inc., as representative of the several</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underwriters named therein.</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4">
        <w:r>
          <w:rPr>
            <w:rFonts w:ascii="Arial" w:cs="Arial" w:eastAsia="Arial" w:hAnsi="Arial"/>
            <w:sz w:val="18"/>
            <w:szCs w:val="18"/>
            <w:u w:val="single" w:color="auto"/>
            <w:color w:val="0000EE"/>
          </w:rPr>
          <w:t>Indenture, dated as of April 20, 2021, by and between the Company and U.S. Bank National Association, as Trustee (incorporated herein by</w:t>
        </w:r>
      </w:hyperlink>
      <w:r>
        <w:rPr>
          <w:rFonts w:ascii="Arial" w:cs="Arial" w:eastAsia="Arial" w:hAnsi="Arial"/>
          <w:sz w:val="18"/>
          <w:szCs w:val="18"/>
          <w:u w:val="single" w:color="auto"/>
          <w:color w:val="0000EE"/>
        </w:rPr>
        <w:t xml:space="preserve"> </w:t>
      </w:r>
      <w:hyperlink r:id="rId14">
        <w:r>
          <w:rPr>
            <w:rFonts w:ascii="Arial" w:cs="Arial" w:eastAsia="Arial" w:hAnsi="Arial"/>
            <w:sz w:val="18"/>
            <w:szCs w:val="18"/>
            <w:u w:val="single" w:color="auto"/>
            <w:color w:val="0000EE"/>
          </w:rPr>
          <w:t>reference to Exhibit 4.1 to the Current Report on Form 8-K of the Company filed with the SEC on April 20, 2021).</w:t>
        </w:r>
      </w:hyperlink>
    </w:p>
    <w:p>
      <w:pPr>
        <w:spacing w:after="0" w:line="170" w:lineRule="exact"/>
        <w:rPr>
          <w:sz w:val="20"/>
          <w:szCs w:val="20"/>
          <w:color w:val="auto"/>
        </w:rPr>
      </w:pPr>
    </w:p>
    <w:p>
      <w:pPr>
        <w:ind w:left="660" w:hanging="647"/>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15">
        <w:r>
          <w:rPr>
            <w:rFonts w:ascii="Arial" w:cs="Arial" w:eastAsia="Arial" w:hAnsi="Arial"/>
            <w:sz w:val="17"/>
            <w:szCs w:val="17"/>
            <w:u w:val="single" w:color="auto"/>
            <w:color w:val="0000EE"/>
          </w:rPr>
          <w:t>First Supplemental Indenture, dated as of April 20, 2021, by and between the Company and U.S. Bank National Association, as Trustee</w:t>
        </w:r>
      </w:hyperlink>
      <w:r>
        <w:rPr>
          <w:rFonts w:ascii="Arial" w:cs="Arial" w:eastAsia="Arial" w:hAnsi="Arial"/>
          <w:sz w:val="17"/>
          <w:szCs w:val="17"/>
          <w:u w:val="single" w:color="auto"/>
          <w:color w:val="0000EE"/>
        </w:rPr>
        <w:t xml:space="preserve"> </w:t>
      </w:r>
      <w:hyperlink r:id="rId15">
        <w:r>
          <w:rPr>
            <w:rFonts w:ascii="Arial" w:cs="Arial" w:eastAsia="Arial" w:hAnsi="Arial"/>
            <w:sz w:val="17"/>
            <w:szCs w:val="17"/>
            <w:u w:val="single" w:color="auto"/>
            <w:color w:val="0000EE"/>
          </w:rPr>
          <w:t>(incorporated herein by reference to Exhibit 4.2 to the Current Report on Form 8-K of the Company filed with the SEC on April 20, 2021).</w:t>
        </w:r>
      </w:hyperlink>
    </w:p>
    <w:p>
      <w:pPr>
        <w:spacing w:after="0" w:line="14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5">
        <w:r>
          <w:rPr>
            <w:rFonts w:ascii="Arial" w:cs="Arial" w:eastAsia="Arial" w:hAnsi="Arial"/>
            <w:sz w:val="16"/>
            <w:szCs w:val="16"/>
            <w:u w:val="single" w:color="auto"/>
            <w:color w:val="0000EE"/>
          </w:rPr>
          <w:t>Form of 8.625% Senior Notes due 2026 (included in Exhibit 4.2).</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1">
        <w:r>
          <w:rPr>
            <w:rFonts w:ascii="Arial" w:cs="Arial" w:eastAsia="Arial" w:hAnsi="Arial"/>
            <w:sz w:val="16"/>
            <w:szCs w:val="16"/>
            <w:u w:val="single" w:color="auto"/>
            <w:color w:val="0000EE"/>
          </w:rPr>
          <w:t>Opinion of Waller Lansden Dortch &amp; Davis, LLP.</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41">
        <w:r>
          <w:rPr>
            <w:rFonts w:ascii="Arial" w:cs="Arial" w:eastAsia="Arial" w:hAnsi="Arial"/>
            <w:sz w:val="16"/>
            <w:szCs w:val="16"/>
            <w:u w:val="single" w:color="auto"/>
            <w:color w:val="0000EE"/>
          </w:rPr>
          <w:t>Consent of Waller Lansden Dortch &amp; Davis, LLP (included in Exhibit 5.1 hereto).</w:t>
        </w:r>
      </w:hyperlink>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2">
        <w:r>
          <w:rPr>
            <w:rFonts w:ascii="Arial" w:cs="Arial" w:eastAsia="Arial" w:hAnsi="Arial"/>
            <w:sz w:val="15"/>
            <w:szCs w:val="15"/>
            <w:u w:val="single" w:color="auto"/>
            <w:color w:val="0000EE"/>
          </w:rPr>
          <w:t>Pricing Press Release, dated June 14, 2021.</w:t>
        </w:r>
      </w:hyperlink>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44">
        <w:r>
          <w:rPr>
            <w:rFonts w:ascii="Arial" w:cs="Arial" w:eastAsia="Arial" w:hAnsi="Arial"/>
            <w:sz w:val="15"/>
            <w:szCs w:val="15"/>
            <w:u w:val="single" w:color="auto"/>
            <w:color w:val="0000EE"/>
          </w:rPr>
          <w:t>Closing Press Release, dated June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June 17,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8.625% SENIOR NOTES DUE 2026</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11" w:lineRule="exact"/>
        <w:rPr>
          <w:sz w:val="20"/>
          <w:szCs w:val="20"/>
          <w:color w:val="auto"/>
        </w:rPr>
      </w:pPr>
    </w:p>
    <w:p>
      <w:pPr>
        <w:ind w:left="10240"/>
        <w:spacing w:after="0"/>
        <w:rPr>
          <w:sz w:val="20"/>
          <w:szCs w:val="20"/>
          <w:color w:val="auto"/>
        </w:rPr>
      </w:pPr>
      <w:r>
        <w:rPr>
          <w:rFonts w:ascii="Arial" w:cs="Arial" w:eastAsia="Arial" w:hAnsi="Arial"/>
          <w:sz w:val="15"/>
          <w:szCs w:val="15"/>
          <w:color w:val="auto"/>
        </w:rPr>
        <w:t>June 14,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 Riley Securities, Inc.</w:t>
      </w:r>
    </w:p>
    <w:p>
      <w:pPr>
        <w:spacing w:after="0" w:line="202" w:lineRule="auto"/>
        <w:rPr>
          <w:sz w:val="20"/>
          <w:szCs w:val="20"/>
          <w:color w:val="auto"/>
        </w:rPr>
      </w:pPr>
      <w:r>
        <w:rPr>
          <w:rFonts w:ascii="Arial" w:cs="Arial" w:eastAsia="Arial" w:hAnsi="Arial"/>
          <w:sz w:val="18"/>
          <w:szCs w:val="18"/>
          <w:color w:val="auto"/>
        </w:rPr>
        <w:t>299 Park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Harrow Health,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proposes to issue and sell to the several Underwriters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B. Riley Securities, Inc. is acting as representative (in such capacity, the “</w:t>
      </w:r>
      <w:r>
        <w:rPr>
          <w:rFonts w:ascii="Arial" w:cs="Arial" w:eastAsia="Arial" w:hAnsi="Arial"/>
          <w:sz w:val="17"/>
          <w:szCs w:val="17"/>
          <w:b w:val="1"/>
          <w:bCs w:val="1"/>
          <w:color w:val="auto"/>
        </w:rPr>
        <w:t>Representative</w:t>
      </w:r>
      <w:r>
        <w:rPr>
          <w:rFonts w:ascii="Arial" w:cs="Arial" w:eastAsia="Arial" w:hAnsi="Arial"/>
          <w:sz w:val="17"/>
          <w:szCs w:val="17"/>
          <w:color w:val="auto"/>
        </w:rPr>
        <w:t>”), $17,500,000 aggregate principal amount of 8.625% Senior Notes due 2026 (the “</w:t>
      </w:r>
      <w:r>
        <w:rPr>
          <w:rFonts w:ascii="Arial" w:cs="Arial" w:eastAsia="Arial" w:hAnsi="Arial"/>
          <w:sz w:val="17"/>
          <w:szCs w:val="17"/>
          <w:b w:val="1"/>
          <w:bCs w:val="1"/>
          <w:color w:val="auto"/>
        </w:rPr>
        <w:t>Firm Notes</w:t>
      </w:r>
      <w:r>
        <w:rPr>
          <w:rFonts w:ascii="Arial" w:cs="Arial" w:eastAsia="Arial" w:hAnsi="Arial"/>
          <w:sz w:val="17"/>
          <w:szCs w:val="17"/>
          <w:color w:val="auto"/>
        </w:rPr>
        <w:t>”). In addition, the Company proposes to grant to the Underwriters the option to purchase from the Company up to an additional $2,500,000 aggregate principal amount of 8.625% Senior Notes due 2026 (the “</w:t>
      </w:r>
      <w:r>
        <w:rPr>
          <w:rFonts w:ascii="Arial" w:cs="Arial" w:eastAsia="Arial" w:hAnsi="Arial"/>
          <w:sz w:val="17"/>
          <w:szCs w:val="17"/>
          <w:b w:val="1"/>
          <w:bCs w:val="1"/>
          <w:color w:val="auto"/>
        </w:rPr>
        <w:t>Additional Notes</w:t>
      </w:r>
      <w:r>
        <w:rPr>
          <w:rFonts w:ascii="Arial" w:cs="Arial" w:eastAsia="Arial" w:hAnsi="Arial"/>
          <w:sz w:val="17"/>
          <w:szCs w:val="17"/>
          <w:color w:val="auto"/>
        </w:rPr>
        <w:t>”). The Firm Notes and, if and to the extent such option is exercised, the Additional Notes are hereinafter collectively referred to as the “</w:t>
      </w:r>
      <w:r>
        <w:rPr>
          <w:rFonts w:ascii="Arial" w:cs="Arial" w:eastAsia="Arial" w:hAnsi="Arial"/>
          <w:sz w:val="17"/>
          <w:szCs w:val="17"/>
          <w:b w:val="1"/>
          <w:bCs w:val="1"/>
          <w:color w:val="auto"/>
        </w:rPr>
        <w:t>Notes</w:t>
      </w:r>
      <w:r>
        <w:rPr>
          <w:rFonts w:ascii="Arial" w:cs="Arial" w:eastAsia="Arial" w:hAnsi="Arial"/>
          <w:sz w:val="17"/>
          <w:szCs w:val="17"/>
          <w:color w:val="auto"/>
        </w:rPr>
        <w:t>.”</w:t>
      </w:r>
    </w:p>
    <w:p>
      <w:pPr>
        <w:spacing w:after="0" w:line="16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Notes will be issued under an indenture dated as of April 20, 2021 (the “</w:t>
      </w:r>
      <w:r>
        <w:rPr>
          <w:rFonts w:ascii="Arial" w:cs="Arial" w:eastAsia="Arial" w:hAnsi="Arial"/>
          <w:sz w:val="16"/>
          <w:szCs w:val="16"/>
          <w:b w:val="1"/>
          <w:bCs w:val="1"/>
          <w:color w:val="auto"/>
        </w:rPr>
        <w:t>Base Indenture</w:t>
      </w:r>
      <w:r>
        <w:rPr>
          <w:rFonts w:ascii="Arial" w:cs="Arial" w:eastAsia="Arial" w:hAnsi="Arial"/>
          <w:sz w:val="16"/>
          <w:szCs w:val="16"/>
          <w:color w:val="auto"/>
        </w:rPr>
        <w:t>”), as supplemented by the First Supplemental Indenture dated as of April 20, 2021 (the “</w:t>
      </w:r>
      <w:r>
        <w:rPr>
          <w:rFonts w:ascii="Arial" w:cs="Arial" w:eastAsia="Arial" w:hAnsi="Arial"/>
          <w:sz w:val="16"/>
          <w:szCs w:val="16"/>
          <w:b w:val="1"/>
          <w:bCs w:val="1"/>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Notes will be issued to Cede &amp; Co., as nominee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pursuant to a blanket letter of representations (the “</w:t>
      </w:r>
      <w:r>
        <w:rPr>
          <w:rFonts w:ascii="Arial" w:cs="Arial" w:eastAsia="Arial" w:hAnsi="Arial"/>
          <w:sz w:val="16"/>
          <w:szCs w:val="16"/>
          <w:b w:val="1"/>
          <w:bCs w:val="1"/>
          <w:color w:val="auto"/>
        </w:rPr>
        <w:t>DTC Agreement</w:t>
      </w:r>
      <w:r>
        <w:rPr>
          <w:rFonts w:ascii="Arial" w:cs="Arial" w:eastAsia="Arial" w:hAnsi="Arial"/>
          <w:sz w:val="16"/>
          <w:szCs w:val="16"/>
          <w:color w:val="auto"/>
        </w:rPr>
        <w:t>”) to be dated on or prior to the Closing Date (as defined herein), between the Company and DTC. The Indenture will be qualified under the Trust Indenture Act of 1939, as amended (the “</w:t>
      </w:r>
      <w:r>
        <w:rPr>
          <w:rFonts w:ascii="Arial" w:cs="Arial" w:eastAsia="Arial" w:hAnsi="Arial"/>
          <w:sz w:val="16"/>
          <w:szCs w:val="16"/>
          <w:b w:val="1"/>
          <w:bCs w:val="1"/>
          <w:color w:val="auto"/>
        </w:rPr>
        <w:t>Trust Indenture Act</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Underwriters agree as follows:</w:t>
      </w:r>
    </w:p>
    <w:p>
      <w:pPr>
        <w:spacing w:after="0" w:line="221" w:lineRule="exact"/>
        <w:rPr>
          <w:sz w:val="20"/>
          <w:szCs w:val="20"/>
          <w:color w:val="auto"/>
        </w:rPr>
      </w:pPr>
    </w:p>
    <w:p>
      <w:pPr>
        <w:jc w:val="both"/>
        <w:ind w:firstLine="656"/>
        <w:spacing w:after="0" w:line="258" w:lineRule="auto"/>
        <w:tabs>
          <w:tab w:leader="none" w:pos="828" w:val="left"/>
        </w:tabs>
        <w:numPr>
          <w:ilvl w:val="0"/>
          <w:numId w:val="3"/>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Offering</w:t>
      </w:r>
      <w:r>
        <w:rPr>
          <w:rFonts w:ascii="Arial" w:cs="Arial" w:eastAsia="Arial" w:hAnsi="Arial"/>
          <w:sz w:val="18"/>
          <w:szCs w:val="18"/>
          <w:color w:val="auto"/>
        </w:rPr>
        <w:t>. Upon the basis of the representations and warranties and subject to the terms and conditions herein set forth, the Company agrees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issue and sell to the Underwriters, severally and not jointly, the aggregate principal amount of Firm Notes set forth opposite the name of such Underwriter on </w:t>
      </w:r>
      <w:r>
        <w:rPr>
          <w:rFonts w:ascii="Arial" w:cs="Arial" w:eastAsia="Arial" w:hAnsi="Arial"/>
          <w:sz w:val="18"/>
          <w:szCs w:val="18"/>
          <w:u w:val="single" w:color="auto"/>
          <w:color w:val="auto"/>
        </w:rPr>
        <w:t>Schedule A</w:t>
      </w:r>
      <w:r>
        <w:rPr>
          <w:rFonts w:ascii="Arial" w:cs="Arial" w:eastAsia="Arial" w:hAnsi="Arial"/>
          <w:sz w:val="18"/>
          <w:szCs w:val="18"/>
          <w:color w:val="auto"/>
        </w:rPr>
        <w:t>, and each of the Underwriters, severally and not jointly, agrees to purchase from the Company at the price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B</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 aggregate principal amount of Firm Notes set forth opposite the name of such Underwriter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subject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adjustment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648"/>
        <w:spacing w:after="0" w:line="286"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Notes to be purchased by each of them, all or a portion of the Additional Notes, at the same Purchase Price to be paid by the Underwriters for the Firm Notes (without giving effect to any accrued interest from the Closing Date to the Additional Closing Date (as defined below)). This option may be exercised by the Representative on behalf of the several Underwriters at any time and from time to time in whole or in part by written notice from the Representative to the Company, which notice may be given at any time within 30 days from the date of this Agreement. Such notice shall set forth (i) the aggregate principal amount of Additional Notes as to which the option is being exercised and (ii) the date, time and place at which such Additional Notes are to be delivered (such date, the “</w:t>
      </w:r>
      <w:r>
        <w:rPr>
          <w:rFonts w:ascii="Arial" w:cs="Arial" w:eastAsia="Arial" w:hAnsi="Arial"/>
          <w:sz w:val="16"/>
          <w:szCs w:val="16"/>
          <w:b w:val="1"/>
          <w:bCs w:val="1"/>
          <w:color w:val="auto"/>
        </w:rPr>
        <w:t>Additional Closing Date</w:t>
      </w:r>
      <w:r>
        <w:rPr>
          <w:rFonts w:ascii="Arial" w:cs="Arial" w:eastAsia="Arial" w:hAnsi="Arial"/>
          <w:sz w:val="16"/>
          <w:szCs w:val="16"/>
          <w:color w:val="auto"/>
        </w:rPr>
        <w:t>” and such time of such date,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Time of Purchase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Additional Time of Purchase may be simultaneous with, but shall not be earlier than the Time of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defined below) and shall not be earlier than two nor later than five full business days after delivery of such notice of exercise. The aggregate principal amount of Additional Notes to be sold to each Underwriter shall be the aggregate principal amount which bears the same proportion to the total aggregate principal amount of Additional Notes being purchased as the number of Firm Notes set forth opposite the name of such Underwriter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total aggregate principal amount of Firm Notes, subject to adjustment in accordance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The Representative may cancel the option at any time prior to its expiration by giving written notice of such cancellation to the Company.</w:t>
      </w:r>
    </w:p>
    <w:p>
      <w:pPr>
        <w:spacing w:after="0" w:line="167" w:lineRule="exact"/>
        <w:rPr>
          <w:sz w:val="20"/>
          <w:szCs w:val="20"/>
          <w:color w:val="auto"/>
        </w:rPr>
      </w:pPr>
    </w:p>
    <w:p>
      <w:pPr>
        <w:ind w:left="840" w:hanging="184"/>
        <w:spacing w:after="0"/>
        <w:tabs>
          <w:tab w:leader="none" w:pos="840" w:val="left"/>
        </w:tabs>
        <w:numPr>
          <w:ilvl w:val="0"/>
          <w:numId w:val="4"/>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Representations and Warranties of the Company</w:t>
      </w:r>
      <w:r>
        <w:rPr>
          <w:rFonts w:ascii="Arial" w:cs="Arial" w:eastAsia="Arial" w:hAnsi="Arial"/>
          <w:sz w:val="17"/>
          <w:szCs w:val="17"/>
          <w:color w:val="auto"/>
        </w:rPr>
        <w:t>. The Company represents and warrants to, and agrees with, the Underwriters that:</w:t>
      </w:r>
    </w:p>
    <w:p>
      <w:pPr>
        <w:spacing w:after="0" w:line="236" w:lineRule="exact"/>
        <w:rPr>
          <w:rFonts w:ascii="Arial" w:cs="Arial" w:eastAsia="Arial" w:hAnsi="Arial"/>
          <w:sz w:val="17"/>
          <w:szCs w:val="17"/>
          <w:b w:val="1"/>
          <w:bCs w:val="1"/>
          <w:color w:val="010000"/>
        </w:rPr>
      </w:pPr>
    </w:p>
    <w:p>
      <w:pPr>
        <w:jc w:val="both"/>
        <w:ind w:firstLine="1304"/>
        <w:spacing w:after="0" w:line="284" w:lineRule="auto"/>
        <w:tabs>
          <w:tab w:leader="none" w:pos="1540" w:val="left"/>
        </w:tabs>
        <w:numPr>
          <w:ilvl w:val="1"/>
          <w:numId w:val="4"/>
        </w:numPr>
        <w:rPr>
          <w:rFonts w:ascii="Arial" w:cs="Arial" w:eastAsia="Arial" w:hAnsi="Arial"/>
          <w:sz w:val="16"/>
          <w:szCs w:val="16"/>
          <w:color w:val="010000"/>
        </w:rPr>
      </w:pPr>
      <w:r>
        <w:rPr>
          <w:rFonts w:ascii="Arial" w:cs="Arial" w:eastAsia="Arial" w:hAnsi="Arial"/>
          <w:sz w:val="16"/>
          <w:szCs w:val="16"/>
          <w:color w:val="auto"/>
        </w:rPr>
        <w:t>The Company has prepared and filed in conformity with the requirements of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and published rules and regulations thereunder (the “</w:t>
      </w:r>
      <w:r>
        <w:rPr>
          <w:rFonts w:ascii="Arial" w:cs="Arial" w:eastAsia="Arial" w:hAnsi="Arial"/>
          <w:sz w:val="16"/>
          <w:szCs w:val="16"/>
          <w:b w:val="1"/>
          <w:bCs w:val="1"/>
          <w:color w:val="auto"/>
        </w:rPr>
        <w:t>Rules and Regulations</w:t>
      </w:r>
      <w:r>
        <w:rPr>
          <w:rFonts w:ascii="Arial" w:cs="Arial" w:eastAsia="Arial" w:hAnsi="Arial"/>
          <w:sz w:val="16"/>
          <w:szCs w:val="16"/>
          <w:color w:val="auto"/>
        </w:rPr>
        <w:t>”) adopted by the Securities and Exchange Commission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(as hereinafter defined) on Form S-3 (File No. 333-239669), which was declared effective by the Commission as of July 13, 2020 (the “</w:t>
      </w:r>
      <w:r>
        <w:rPr>
          <w:rFonts w:ascii="Arial" w:cs="Arial" w:eastAsia="Arial" w:hAnsi="Arial"/>
          <w:sz w:val="16"/>
          <w:szCs w:val="16"/>
          <w:b w:val="1"/>
          <w:bCs w:val="1"/>
          <w:color w:val="auto"/>
        </w:rPr>
        <w:t>Effective Date</w:t>
      </w:r>
      <w:r>
        <w:rPr>
          <w:rFonts w:ascii="Arial" w:cs="Arial" w:eastAsia="Arial" w:hAnsi="Arial"/>
          <w:sz w:val="16"/>
          <w:szCs w:val="16"/>
          <w:color w:val="auto"/>
        </w:rPr>
        <w:t>”), including a base prospectus relating to the securities registered pursuant to such Registration Statement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and such amendments and supplements thereto as may have been required to the date of this Agreement.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used in this Agreement means the registration statement (including all exhibits, financial schedules and all documents and information deemed to be a part of the Registration Statement pursuant to Rule 430B of the Rules and Regulations), as amended and/or supplemented to the date of this Agreement, including the Base Prospectus. The Registration Statement is effective under the Securities Act, and no stop order preventing or suspending the effectiveness of the Registration Statement or suspending or preventing the use of the Prospectus (as defined below) has been issued by the Commission, and to the knowledge of the Company, no proceedings for that purpose have been instituted or are threatened by the Commission. The Company has prepared a prospectus supplement to the Base Prospectus included as part of such registration statement specifically relating to the Notes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and has or will file such Prospectus Supplement with the Commission pursuant to Rule 424(b) of the Rules and Regulations. The term “</w:t>
      </w:r>
      <w:r>
        <w:rPr>
          <w:rFonts w:ascii="Arial" w:cs="Arial" w:eastAsia="Arial" w:hAnsi="Arial"/>
          <w:sz w:val="16"/>
          <w:szCs w:val="16"/>
          <w:b w:val="1"/>
          <w:bCs w:val="1"/>
          <w:color w:val="auto"/>
        </w:rPr>
        <w:t>Prospectus</w:t>
      </w:r>
      <w:r>
        <w:rPr>
          <w:rFonts w:ascii="Arial" w:cs="Arial" w:eastAsia="Arial" w:hAnsi="Arial"/>
          <w:sz w:val="16"/>
          <w:szCs w:val="16"/>
          <w:color w:val="auto"/>
        </w:rPr>
        <w:t>” as used in this Agreement means the Base Prospectus, as it may be supplemented by the Prospectus Supplement, in the forms in which such Base Prospectus or Prospectus Supplement has been or is to be filed with the Commission pursuant to Rule 424(b) of the Rules and Regulations, except that if any revised prospectus or prospectus supplement shall be provided to the Underwriters by the Company for use in connection with the offering and sale of the Notes (the “</w:t>
      </w:r>
      <w:r>
        <w:rPr>
          <w:rFonts w:ascii="Arial" w:cs="Arial" w:eastAsia="Arial" w:hAnsi="Arial"/>
          <w:sz w:val="16"/>
          <w:szCs w:val="16"/>
          <w:b w:val="1"/>
          <w:bCs w:val="1"/>
          <w:color w:val="auto"/>
        </w:rPr>
        <w:t>Offering</w:t>
      </w:r>
      <w:r>
        <w:rPr>
          <w:rFonts w:ascii="Arial" w:cs="Arial" w:eastAsia="Arial" w:hAnsi="Arial"/>
          <w:sz w:val="16"/>
          <w:szCs w:val="16"/>
          <w:color w:val="auto"/>
        </w:rPr>
        <w:t>”) which differs from the Prospectus (whether or not such revised prospectus or prospectus supplement is required to be filed by the Company pursuant to Rule 424(b) of the Rules and Regulations),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or prospectus supplement, as the case may be, from and after the time it is first provided to the Underwriters for such use. Any reference herein to the Registration Statement or the Prospectus shall be deemed to refer to and include the documents incorporated by reference therein pursuant to Item 12 of Form S-3 which were filed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on or before the last to occur of the Effective Date, or the date of the Prospectus, and any reference herein to the terms “amend,” “amendment,” or “supplement” with respect to the Registration Statement or the Prospectus shall be deemed to refer to and include (i) the filing of any document under the Exchange Act after the Effective Date or the date of the Prospectus, as the case may be, which is incorporated by reference and (ii) any such document so filed. If needed to complete the Offering, the Company will file an abbreviated registration statement to register additional securities pursuant to Rule 462(b) under the Rules and Regulations (the “</w:t>
      </w:r>
      <w:r>
        <w:rPr>
          <w:rFonts w:ascii="Arial" w:cs="Arial" w:eastAsia="Arial" w:hAnsi="Arial"/>
          <w:sz w:val="16"/>
          <w:szCs w:val="16"/>
          <w:b w:val="1"/>
          <w:bCs w:val="1"/>
          <w:color w:val="auto"/>
        </w:rPr>
        <w:t>462</w:t>
      </w:r>
      <w:r>
        <w:rPr>
          <w:rFonts w:ascii="Arial" w:cs="Arial" w:eastAsia="Arial" w:hAnsi="Arial"/>
          <w:sz w:val="16"/>
          <w:szCs w:val="16"/>
          <w:color w:val="auto"/>
        </w:rPr>
        <w:t>(</w:t>
      </w: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reference herein to the Registration Statement shall also be deemed to include such 462(b) Registration Statement.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ind w:firstLine="1304"/>
        <w:spacing w:after="0" w:line="283" w:lineRule="auto"/>
        <w:tabs>
          <w:tab w:leader="none" w:pos="1551" w:val="left"/>
        </w:tabs>
        <w:numPr>
          <w:ilvl w:val="0"/>
          <w:numId w:val="5"/>
        </w:numPr>
        <w:rPr>
          <w:rFonts w:ascii="Arial" w:cs="Arial" w:eastAsia="Arial" w:hAnsi="Arial"/>
          <w:sz w:val="16"/>
          <w:szCs w:val="16"/>
          <w:color w:val="010000"/>
        </w:rPr>
      </w:pPr>
      <w:r>
        <w:rPr>
          <w:rFonts w:ascii="Arial" w:cs="Arial" w:eastAsia="Arial" w:hAnsi="Arial"/>
          <w:sz w:val="16"/>
          <w:szCs w:val="16"/>
          <w:color w:val="auto"/>
        </w:rPr>
        <w:t>As of the Applicable Time (as defined below) and as of the Time of Purchase and any Additional Time of Purchase, as the case may be, none of (i) any General Use Free Writing Prospectus (as defined below) issued at or prior to the Applicable Time, and the Pricing Prospectus (as defined below), all considered together (collectively, the “</w:t>
      </w:r>
      <w:r>
        <w:rPr>
          <w:rFonts w:ascii="Arial" w:cs="Arial" w:eastAsia="Arial" w:hAnsi="Arial"/>
          <w:sz w:val="16"/>
          <w:szCs w:val="16"/>
          <w:b w:val="1"/>
          <w:bCs w:val="1"/>
          <w:color w:val="auto"/>
        </w:rPr>
        <w:t>General Disclosure Package</w:t>
      </w:r>
      <w:r>
        <w:rPr>
          <w:rFonts w:ascii="Arial" w:cs="Arial" w:eastAsia="Arial" w:hAnsi="Arial"/>
          <w:sz w:val="16"/>
          <w:szCs w:val="16"/>
          <w:color w:val="auto"/>
        </w:rPr>
        <w:t xml:space="preserve">”), (ii) any individual Limited Use Free Writing Prospectus (as defined below) issued at or prior to the Time of Purchase and any Additional Time of Purchase, as the case may be, or (iii) the bona fide electronic road show, if any (as defined in Rule 433(h)(5) of the Rules and Regulations), that has been made available without restriction to any person, when considered together with the General Disclosure Package, included or will include any untrue statement of a material fact or omitted, or as of the Time of Purchase and any Additional Time of Purchase, as the case may be, will omit to state a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makes no representations or warranties as to information contained in or omitted from the General Disclosure Package, any individual Limited Use Free Writing Prospectus or the bona fide electronic road show, if any, in reliance upon, and in conformity with, written information furnished to the Company by or on behalf of the Underwriters specifically for inclusion therein, which information the parties hereto agree is limited to the “</w:t>
      </w:r>
      <w:r>
        <w:rPr>
          <w:rFonts w:ascii="Arial" w:cs="Arial" w:eastAsia="Arial" w:hAnsi="Arial"/>
          <w:sz w:val="16"/>
          <w:szCs w:val="16"/>
          <w:b w:val="1"/>
          <w:bCs w:val="1"/>
          <w:color w:val="auto"/>
        </w:rPr>
        <w:t>Underwriter’s Information</w:t>
      </w:r>
      <w:r>
        <w:rPr>
          <w:rFonts w:ascii="Arial" w:cs="Arial" w:eastAsia="Arial" w:hAnsi="Arial"/>
          <w:sz w:val="16"/>
          <w:szCs w:val="16"/>
          <w:color w:val="auto"/>
        </w:rPr>
        <w:t xml:space="preserve">” which is defined as the information set forth in </w:t>
      </w:r>
      <w:r>
        <w:rPr>
          <w:rFonts w:ascii="Arial" w:cs="Arial" w:eastAsia="Arial" w:hAnsi="Arial"/>
          <w:sz w:val="16"/>
          <w:szCs w:val="16"/>
          <w:u w:val="single" w:color="auto"/>
          <w:color w:val="auto"/>
        </w:rPr>
        <w:t>Section</w:t>
      </w:r>
    </w:p>
    <w:p>
      <w:pPr>
        <w:spacing w:after="0" w:line="3"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u w:val="single" w:color="auto"/>
          <w:color w:val="auto"/>
        </w:rPr>
        <w:t>15</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and elsewhere in this Agreement: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4:30 P.M., Eastern Standard Time, on the date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Free Writing Prospectus</w:t>
      </w:r>
      <w:r>
        <w:rPr>
          <w:rFonts w:ascii="Arial" w:cs="Arial" w:eastAsia="Arial" w:hAnsi="Arial"/>
          <w:sz w:val="18"/>
          <w:szCs w:val="18"/>
          <w:color w:val="auto"/>
        </w:rPr>
        <w:t xml:space="preserve">” means any Issuer Free Writing Prospectus identified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any “</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as defined in Rule 433 of the Rules and Regulations relating to the Notes in the form filed or required to be filed with the Commission or, if not required to be filed, in the form retained in the Company’s records pursuant to Rule 433(g) of the Rules and Regulations.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Use Free Writing Prospectuses</w:t>
      </w:r>
      <w:r>
        <w:rPr>
          <w:rFonts w:ascii="Arial" w:cs="Arial" w:eastAsia="Arial" w:hAnsi="Arial"/>
          <w:sz w:val="17"/>
          <w:szCs w:val="17"/>
          <w:color w:val="auto"/>
        </w:rPr>
        <w:t>” means any Issuer Free Writing Prospectus that is not a General Use Free Writing Prospectus.</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Prospectus</w:t>
      </w:r>
      <w:r>
        <w:rPr>
          <w:rFonts w:ascii="Arial" w:cs="Arial" w:eastAsia="Arial" w:hAnsi="Arial"/>
          <w:sz w:val="18"/>
          <w:szCs w:val="18"/>
          <w:color w:val="auto"/>
        </w:rPr>
        <w:t>” means the Base Prospectus as amended and supplemented immediately prior to the Applicable Time, including any document incorporated by reference therein and any prospectus supplement deemed to be a part thereof.</w:t>
      </w:r>
    </w:p>
    <w:p>
      <w:pPr>
        <w:spacing w:after="0" w:line="166" w:lineRule="exact"/>
        <w:rPr>
          <w:sz w:val="20"/>
          <w:szCs w:val="20"/>
          <w:color w:val="auto"/>
        </w:rPr>
      </w:pPr>
    </w:p>
    <w:p>
      <w:pPr>
        <w:jc w:val="both"/>
        <w:ind w:firstLine="1304"/>
        <w:spacing w:after="0" w:line="263" w:lineRule="auto"/>
        <w:tabs>
          <w:tab w:leader="none" w:pos="154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No order preventing or suspending the use of any Issuer Free Writing Prospectus or the Prospectus relating to the Offering has been issued by the Commission, and no proceeding for that purpose or pursuant to Section 8A of the Securities Act has been instituted or, to the knowledge of the Company, is threatened by the Commission.</w:t>
      </w:r>
    </w:p>
    <w:p>
      <w:pPr>
        <w:spacing w:after="0" w:line="183" w:lineRule="exact"/>
        <w:rPr>
          <w:rFonts w:ascii="Arial" w:cs="Arial" w:eastAsia="Arial" w:hAnsi="Arial"/>
          <w:sz w:val="18"/>
          <w:szCs w:val="18"/>
          <w:color w:val="010000"/>
        </w:rPr>
      </w:pPr>
    </w:p>
    <w:p>
      <w:pPr>
        <w:jc w:val="both"/>
        <w:ind w:firstLine="1304"/>
        <w:spacing w:after="0" w:line="270" w:lineRule="auto"/>
        <w:tabs>
          <w:tab w:leader="none" w:pos="1551" w:val="left"/>
        </w:tabs>
        <w:numPr>
          <w:ilvl w:val="0"/>
          <w:numId w:val="6"/>
        </w:numPr>
        <w:rPr>
          <w:rFonts w:ascii="Arial" w:cs="Arial" w:eastAsia="Arial" w:hAnsi="Arial"/>
          <w:sz w:val="17"/>
          <w:szCs w:val="17"/>
          <w:color w:val="010000"/>
        </w:rPr>
      </w:pPr>
      <w:r>
        <w:rPr>
          <w:rFonts w:ascii="Arial" w:cs="Arial" w:eastAsia="Arial" w:hAnsi="Arial"/>
          <w:sz w:val="17"/>
          <w:szCs w:val="17"/>
          <w:color w:val="auto"/>
        </w:rPr>
        <w:t xml:space="preserve">At the time the Registration Statement became effective, at the Applicable Time and at the Time of Purchase and any Additional Time of Purchase, as the case may be, the Registration Statement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the Prospectus, at the time the Prospectus became effective and at the Time of Purchase and any Additional Time of Purchase, as the case may be,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foregoing representations and warranties in this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shall not apply to information contained in or omitted from the Registration Statement or the Prospectus in reliance upon, and in conformity with, the Underwriter’s Information.</w:t>
      </w:r>
    </w:p>
    <w:p>
      <w:pPr>
        <w:spacing w:after="0" w:line="180" w:lineRule="exact"/>
        <w:rPr>
          <w:rFonts w:ascii="Arial" w:cs="Arial" w:eastAsia="Arial" w:hAnsi="Arial"/>
          <w:sz w:val="17"/>
          <w:szCs w:val="17"/>
          <w:color w:val="010000"/>
        </w:rPr>
      </w:pPr>
    </w:p>
    <w:p>
      <w:pPr>
        <w:jc w:val="both"/>
        <w:ind w:firstLine="1304"/>
        <w:spacing w:after="0" w:line="254" w:lineRule="auto"/>
        <w:tabs>
          <w:tab w:leader="none" w:pos="1540" w:val="left"/>
        </w:tabs>
        <w:numPr>
          <w:ilvl w:val="0"/>
          <w:numId w:val="6"/>
        </w:numPr>
        <w:rPr>
          <w:rFonts w:ascii="Arial" w:cs="Arial" w:eastAsia="Arial" w:hAnsi="Arial"/>
          <w:sz w:val="18"/>
          <w:szCs w:val="18"/>
          <w:color w:val="010000"/>
        </w:rPr>
      </w:pPr>
      <w:r>
        <w:rPr>
          <w:rFonts w:ascii="Arial" w:cs="Arial" w:eastAsia="Arial" w:hAnsi="Arial"/>
          <w:sz w:val="18"/>
          <w:szCs w:val="18"/>
          <w:color w:val="auto"/>
        </w:rPr>
        <w:t xml:space="preserve">Each Issuer Free Writing Prospectus, if any, as of its issue date and at all subsequent times through the completion of the public offer and sale of the Notes or until any earlier date that the Company notified or notifies the Representative as described in </w:t>
      </w:r>
      <w:r>
        <w:rPr>
          <w:rFonts w:ascii="Arial" w:cs="Arial" w:eastAsia="Arial" w:hAnsi="Arial"/>
          <w:sz w:val="18"/>
          <w:szCs w:val="18"/>
          <w:u w:val="single" w:color="auto"/>
          <w:color w:val="auto"/>
        </w:rPr>
        <w:t>Section 4(c)</w:t>
      </w:r>
      <w:r>
        <w:rPr>
          <w:rFonts w:ascii="Arial" w:cs="Arial" w:eastAsia="Arial" w:hAnsi="Arial"/>
          <w:sz w:val="18"/>
          <w:szCs w:val="18"/>
          <w:color w:val="auto"/>
        </w:rPr>
        <w:t>, did not, does not and will not include any information that conflicted, conflicts or will conflict with the information contained in the Registration Statement, Pricing Prospectus or the Prospectus, including any document incorporated by reference therein and any prospectus supplement deemed to be a part thereof that has not been superseded or modified, or includes an untrue statement of a material fact or omitted or would omit to state a material fact required to be stated therein or necessary in order to make the statements therein, in the light of the circumstances under which they were made, not misleading. The foregoing sentence does not apply to statements in or omissions from any Issuer Free Writing Prospectus in reliance upon, and in conformity with, the Underwriter’s Information.</w:t>
      </w:r>
    </w:p>
    <w:p>
      <w:pPr>
        <w:spacing w:after="0" w:line="191" w:lineRule="exact"/>
        <w:rPr>
          <w:rFonts w:ascii="Arial" w:cs="Arial" w:eastAsia="Arial" w:hAnsi="Arial"/>
          <w:sz w:val="18"/>
          <w:szCs w:val="18"/>
          <w:color w:val="010000"/>
        </w:rPr>
      </w:pPr>
    </w:p>
    <w:p>
      <w:pPr>
        <w:jc w:val="both"/>
        <w:ind w:firstLine="1304"/>
        <w:spacing w:after="0" w:line="270" w:lineRule="auto"/>
        <w:tabs>
          <w:tab w:leader="none" w:pos="1534" w:val="left"/>
        </w:tabs>
        <w:numPr>
          <w:ilvl w:val="0"/>
          <w:numId w:val="6"/>
        </w:numPr>
        <w:rPr>
          <w:rFonts w:ascii="Arial" w:cs="Arial" w:eastAsia="Arial" w:hAnsi="Arial"/>
          <w:sz w:val="17"/>
          <w:szCs w:val="17"/>
          <w:color w:val="010000"/>
        </w:rPr>
      </w:pPr>
      <w:r>
        <w:rPr>
          <w:rFonts w:ascii="Arial" w:cs="Arial" w:eastAsia="Arial" w:hAnsi="Arial"/>
          <w:sz w:val="17"/>
          <w:szCs w:val="17"/>
          <w:color w:val="auto"/>
        </w:rPr>
        <w:t>The documents incorporated by reference in the Prospectus, when they became effective or were filed with the Commission, as the case may be, conformed in all material respects to the requirements of the Securities Act or the Exchange Act, as applicable, the Rules and Regulations and the rules and regulations of the Commission under the Exchange Act, and none of such documents contained any untrue statement of a material fact or omitted to state any material fact required to be stated therein or necessary to make the statements therein, in light of the circumstances under which they were made, not misleading; and any further documents so filed and incorporated by reference in the Prospectus, when such documents become effective or are filed with the Commission, as the case may be, will conform in all material respects to the requirements of the Securities Act or the Exchange Act, as applicable, the Rules and Regulations and the rules and regulations of the Commission under the Exchange Act and will not contain any untrue statement of a material fact or omit to state any material fact required to be stated therein or necessary to make the statements therein, in light of the circumstances under which they were made, not misleading.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firstLine="1304"/>
        <w:spacing w:after="0" w:line="273" w:lineRule="auto"/>
        <w:tabs>
          <w:tab w:leader="none" w:pos="1551" w:val="left"/>
        </w:tabs>
        <w:numPr>
          <w:ilvl w:val="0"/>
          <w:numId w:val="7"/>
        </w:numPr>
        <w:rPr>
          <w:rFonts w:ascii="Arial" w:cs="Arial" w:eastAsia="Arial" w:hAnsi="Arial"/>
          <w:sz w:val="17"/>
          <w:szCs w:val="17"/>
          <w:color w:val="010000"/>
        </w:rPr>
      </w:pPr>
      <w:r>
        <w:rPr>
          <w:rFonts w:ascii="Arial" w:cs="Arial" w:eastAsia="Arial" w:hAnsi="Arial"/>
          <w:sz w:val="17"/>
          <w:szCs w:val="17"/>
          <w:color w:val="auto"/>
        </w:rPr>
        <w:t>The Company is not an “ineligible issuer” in connection with the Offering pursuant to Rules 164, 405 and 433 under the Securities Act. The Company has not, directly or indirectly, distributed and will not distribute any offering material in connection with the Offering other than the Registration Statement, the Pricing Prospectus, the Prospectus, any General Use Free Writing Prospectuses and any Limited Use Free Writing Prospectuses reviewed and consented to by the Representative (which consent shall not be unreasonably withheld). The Company will file with the Commission all Issuer Free Writing Prospectuses (other than a “road show,” as defined in Rule 433(d)(8) of the Rules and Regulations), if any, in the time and manner required under Rules 163(b)(2) and 433(d) of the Rules and Regulations.</w:t>
      </w:r>
    </w:p>
    <w:p>
      <w:pPr>
        <w:spacing w:after="0" w:line="177" w:lineRule="exact"/>
        <w:rPr>
          <w:rFonts w:ascii="Arial" w:cs="Arial" w:eastAsia="Arial" w:hAnsi="Arial"/>
          <w:sz w:val="17"/>
          <w:szCs w:val="17"/>
          <w:color w:val="010000"/>
        </w:rPr>
      </w:pPr>
    </w:p>
    <w:p>
      <w:pPr>
        <w:jc w:val="both"/>
        <w:ind w:firstLine="1304"/>
        <w:spacing w:after="0" w:line="253" w:lineRule="auto"/>
        <w:tabs>
          <w:tab w:leader="none" w:pos="1551" w:val="left"/>
        </w:tabs>
        <w:numPr>
          <w:ilvl w:val="0"/>
          <w:numId w:val="7"/>
        </w:numPr>
        <w:rPr>
          <w:rFonts w:ascii="Arial" w:cs="Arial" w:eastAsia="Arial" w:hAnsi="Arial"/>
          <w:sz w:val="18"/>
          <w:szCs w:val="18"/>
          <w:color w:val="010000"/>
        </w:rPr>
      </w:pPr>
      <w:r>
        <w:rPr>
          <w:rFonts w:ascii="Arial" w:cs="Arial" w:eastAsia="Arial" w:hAnsi="Arial"/>
          <w:sz w:val="18"/>
          <w:szCs w:val="18"/>
          <w:color w:val="auto"/>
        </w:rPr>
        <w:t>Each of the Company and its Subsidiaries has been duly organized and is validly existing as a corporation or other legal entity in good standing (or the foreign equivalent thereof) under the laws of its jurisdiction of incorporation or organization. Each of the Company and its Subsidiaries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of the Company as defined in Rule 405 under the Securities Act.</w:t>
      </w:r>
    </w:p>
    <w:p>
      <w:pPr>
        <w:spacing w:after="0" w:line="194" w:lineRule="exact"/>
        <w:rPr>
          <w:rFonts w:ascii="Arial" w:cs="Arial" w:eastAsia="Arial" w:hAnsi="Arial"/>
          <w:sz w:val="18"/>
          <w:szCs w:val="18"/>
          <w:color w:val="010000"/>
        </w:rPr>
      </w:pPr>
    </w:p>
    <w:p>
      <w:pPr>
        <w:ind w:right="20" w:firstLine="1304"/>
        <w:spacing w:after="0" w:line="277" w:lineRule="auto"/>
        <w:tabs>
          <w:tab w:leader="none" w:pos="1524"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Company has the full right, power and authority to execute and deliver, and perform its obligations under, this Agreement, the Indenture, the Notes and the DTC Agreement.</w:t>
      </w:r>
    </w:p>
    <w:p>
      <w:pPr>
        <w:spacing w:after="0" w:line="170" w:lineRule="exact"/>
        <w:rPr>
          <w:rFonts w:ascii="Arial" w:cs="Arial" w:eastAsia="Arial" w:hAnsi="Arial"/>
          <w:sz w:val="18"/>
          <w:szCs w:val="18"/>
          <w:color w:val="010000"/>
        </w:rPr>
      </w:pPr>
    </w:p>
    <w:p>
      <w:pPr>
        <w:ind w:left="1520" w:hanging="216"/>
        <w:spacing w:after="0"/>
        <w:tabs>
          <w:tab w:leader="none" w:pos="1520"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010000"/>
        </w:rPr>
      </w:pPr>
    </w:p>
    <w:p>
      <w:pPr>
        <w:jc w:val="both"/>
        <w:ind w:firstLine="1304"/>
        <w:spacing w:after="0" w:line="257" w:lineRule="auto"/>
        <w:tabs>
          <w:tab w:leader="none" w:pos="1564" w:val="left"/>
        </w:tabs>
        <w:numPr>
          <w:ilvl w:val="0"/>
          <w:numId w:val="7"/>
        </w:numPr>
        <w:rPr>
          <w:rFonts w:ascii="Arial" w:cs="Arial" w:eastAsia="Arial" w:hAnsi="Arial"/>
          <w:sz w:val="18"/>
          <w:szCs w:val="18"/>
          <w:color w:val="010000"/>
        </w:rPr>
      </w:pPr>
      <w:r>
        <w:rPr>
          <w:rFonts w:ascii="Arial" w:cs="Arial" w:eastAsia="Arial" w:hAnsi="Arial"/>
          <w:sz w:val="18"/>
          <w:szCs w:val="18"/>
          <w:color w:val="auto"/>
        </w:rPr>
        <w:t>The Indenture has been duly authorized by the Company and, as of the Closing Date, will be duly executed and delivered by the Company and, assuming it has been executed and delivered by the Trustee, will constitute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ind w:firstLine="1304"/>
        <w:spacing w:after="0" w:line="279" w:lineRule="auto"/>
        <w:tabs>
          <w:tab w:leader="none" w:pos="1511" w:val="left"/>
        </w:tabs>
        <w:numPr>
          <w:ilvl w:val="0"/>
          <w:numId w:val="8"/>
        </w:numPr>
        <w:rPr>
          <w:rFonts w:ascii="Arial" w:cs="Arial" w:eastAsia="Arial" w:hAnsi="Arial"/>
          <w:sz w:val="17"/>
          <w:szCs w:val="17"/>
          <w:color w:val="010000"/>
        </w:rPr>
      </w:pPr>
      <w:r>
        <w:rPr>
          <w:rFonts w:ascii="Arial" w:cs="Arial" w:eastAsia="Arial" w:hAnsi="Arial"/>
          <w:sz w:val="17"/>
          <w:szCs w:val="17"/>
          <w:color w:val="auto"/>
        </w:rPr>
        <w:t>The DTC Agreement has been duly authorized, executed and delivered by the Company and is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w:t>
      </w:r>
    </w:p>
    <w:p>
      <w:pPr>
        <w:spacing w:after="0" w:line="171" w:lineRule="exact"/>
        <w:rPr>
          <w:rFonts w:ascii="Arial" w:cs="Arial" w:eastAsia="Arial" w:hAnsi="Arial"/>
          <w:sz w:val="17"/>
          <w:szCs w:val="17"/>
          <w:color w:val="010000"/>
        </w:rPr>
      </w:pPr>
    </w:p>
    <w:p>
      <w:pPr>
        <w:jc w:val="both"/>
        <w:ind w:firstLine="1304"/>
        <w:spacing w:after="0" w:line="255" w:lineRule="auto"/>
        <w:tabs>
          <w:tab w:leader="none" w:pos="160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Notes have been duly authorized for sale to the Underwriters pursuant to this Agreement and, when executed and delivered by the Company and authenticated by the Trustee pursuant to the provisions of this Agreement and of the Indenture relating thereto, against payment of the consideration set forth in this Agreement, will be valid and legally binding obligations of the Company enforceable in accordance with their terms, subject to (i) applicable bankruptcy, insolvency, reorganization, moratorium or other similar laws now or thereafter in effect relating to creditors’ rights generally and (ii) general principles of equity (regardless of whether enforcement is considered in a proceeding in equity or law), and will be entitled to the benefits of the Indenture relating thereto.</w:t>
      </w:r>
    </w:p>
    <w:p>
      <w:pPr>
        <w:spacing w:after="0" w:line="192" w:lineRule="exact"/>
        <w:rPr>
          <w:rFonts w:ascii="Arial" w:cs="Arial" w:eastAsia="Arial" w:hAnsi="Arial"/>
          <w:sz w:val="18"/>
          <w:szCs w:val="18"/>
          <w:color w:val="010000"/>
        </w:rPr>
      </w:pPr>
    </w:p>
    <w:p>
      <w:pPr>
        <w:jc w:val="both"/>
        <w:ind w:firstLine="1304"/>
        <w:spacing w:after="0" w:line="311" w:lineRule="auto"/>
        <w:tabs>
          <w:tab w:leader="none" w:pos="1564" w:val="left"/>
        </w:tabs>
        <w:numPr>
          <w:ilvl w:val="0"/>
          <w:numId w:val="8"/>
        </w:numPr>
        <w:rPr>
          <w:rFonts w:ascii="Arial" w:cs="Arial" w:eastAsia="Arial" w:hAnsi="Arial"/>
          <w:sz w:val="16"/>
          <w:szCs w:val="16"/>
          <w:color w:val="010000"/>
        </w:rPr>
      </w:pPr>
      <w:r>
        <w:rPr>
          <w:rFonts w:ascii="Arial" w:cs="Arial" w:eastAsia="Arial" w:hAnsi="Arial"/>
          <w:sz w:val="16"/>
          <w:szCs w:val="16"/>
          <w:color w:val="auto"/>
        </w:rPr>
        <w:t>The Notes and the Indenture conform in all material respects to the statements relating thereto contained in the General Disclosure Package and the Prospectus; and other than as contemplated in the General Disclosure Package and the Prospectus, none of the Company or any of its Subsidiaries has issued any debt securities or entered into any agreement or arrangement relating to the issuance of any debt securities.</w:t>
      </w:r>
    </w:p>
    <w:p>
      <w:pPr>
        <w:spacing w:after="0" w:line="148" w:lineRule="exact"/>
        <w:rPr>
          <w:rFonts w:ascii="Arial" w:cs="Arial" w:eastAsia="Arial" w:hAnsi="Arial"/>
          <w:sz w:val="16"/>
          <w:szCs w:val="16"/>
          <w:color w:val="010000"/>
        </w:rPr>
      </w:pPr>
    </w:p>
    <w:p>
      <w:pPr>
        <w:jc w:val="both"/>
        <w:ind w:firstLine="1304"/>
        <w:spacing w:after="0" w:line="255" w:lineRule="auto"/>
        <w:tabs>
          <w:tab w:leader="none" w:pos="155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All issued and outstanding shares of capital stock of the Company outstanding prior to the issuance of the Firm Notes have been duly authorized and are validly issued, fully paid and non-assessable and were issued in compliance in all material respects with United States federal and applicable state securities laws. All of the Company’s options, warrants and other rights to purchase or exchange any securities for shares of the Company’s capital stock have been duly authorized and validly issued and were issued in compliance in all material respects with United States federal and applicable state securities laws. None of the outstanding shares of capital stock was issued in violation of any preemptive rights, rights of first refusal or other similar rights to subscribe for or purchase securities of the Company.</w:t>
      </w:r>
    </w:p>
    <w:p>
      <w:pPr>
        <w:spacing w:after="0" w:line="192" w:lineRule="exact"/>
        <w:rPr>
          <w:rFonts w:ascii="Arial" w:cs="Arial" w:eastAsia="Arial" w:hAnsi="Arial"/>
          <w:sz w:val="18"/>
          <w:szCs w:val="18"/>
          <w:color w:val="010000"/>
        </w:rPr>
      </w:pPr>
    </w:p>
    <w:p>
      <w:pPr>
        <w:jc w:val="both"/>
        <w:ind w:firstLine="1304"/>
        <w:spacing w:after="0" w:line="259" w:lineRule="auto"/>
        <w:tabs>
          <w:tab w:leader="none" w:pos="1551" w:val="left"/>
        </w:tabs>
        <w:numPr>
          <w:ilvl w:val="0"/>
          <w:numId w:val="8"/>
        </w:numPr>
        <w:rPr>
          <w:rFonts w:ascii="Arial" w:cs="Arial" w:eastAsia="Arial" w:hAnsi="Arial"/>
          <w:sz w:val="18"/>
          <w:szCs w:val="18"/>
          <w:color w:val="010000"/>
        </w:rPr>
      </w:pPr>
      <w:r>
        <w:rPr>
          <w:rFonts w:ascii="Arial" w:cs="Arial" w:eastAsia="Arial" w:hAnsi="Arial"/>
          <w:sz w:val="18"/>
          <w:szCs w:val="18"/>
          <w:color w:val="auto"/>
        </w:rPr>
        <w:t>The membership interests, capital stock, partnership interests or other similar equity interests, as applicable, of each Subsidiary, have been duly authorized and validly issued, are fully paid and nonassessable and, except to the extent set forth in the General Disclosure Package, are owned by the Company directly, free and clear of any claim, lien, encumbrance, security interest, restriction upon voting or transfer or any other claim of any third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jc w:val="both"/>
        <w:ind w:firstLine="1304"/>
        <w:spacing w:after="0" w:line="253" w:lineRule="auto"/>
        <w:tabs>
          <w:tab w:leader="none" w:pos="155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None of (1) the execution, delivery and performance of this Agreement and the Indenture by the Company and (2) the issuance and sale of the Notes by the Company (with or without notice or lapse of time or both) (x) conflicts with or results in a breach or violation of any of the terms or provisions of, constitutes a default under, gives rise to any right of termination or other right or the cancellation or acceleration of any right or obligation or loss of a benefit under or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(y) results in any violation of the provisions of the certificate of incorporation or bylaws (or analogous governing instruments, as applicable) of the Company or any of its Subsidiaries, or (z) results in any violation of provisions of any law, statute, rule, regulation, judgment, order or decree of any court or governmental agency or body, domestic or foreign, having jurisdiction over the Company or any of its Subsidiaries or any of their properties or assets; except, with respect to clauses (x) or (z), any contravention which would not have a Material Adverse Effect.</w:t>
      </w:r>
    </w:p>
    <w:p>
      <w:pPr>
        <w:spacing w:after="0" w:line="194" w:lineRule="exact"/>
        <w:rPr>
          <w:rFonts w:ascii="Arial" w:cs="Arial" w:eastAsia="Arial" w:hAnsi="Arial"/>
          <w:sz w:val="18"/>
          <w:szCs w:val="18"/>
          <w:color w:val="010000"/>
        </w:rPr>
      </w:pPr>
    </w:p>
    <w:p>
      <w:pPr>
        <w:jc w:val="both"/>
        <w:ind w:firstLine="1304"/>
        <w:spacing w:after="0" w:line="301" w:lineRule="auto"/>
        <w:tabs>
          <w:tab w:leader="none" w:pos="1521" w:val="left"/>
        </w:tabs>
        <w:numPr>
          <w:ilvl w:val="0"/>
          <w:numId w:val="9"/>
        </w:numPr>
        <w:rPr>
          <w:rFonts w:ascii="Arial" w:cs="Arial" w:eastAsia="Arial" w:hAnsi="Arial"/>
          <w:sz w:val="16"/>
          <w:szCs w:val="16"/>
          <w:color w:val="010000"/>
        </w:rPr>
      </w:pPr>
      <w:r>
        <w:rPr>
          <w:rFonts w:ascii="Arial" w:cs="Arial" w:eastAsia="Arial" w:hAnsi="Arial"/>
          <w:sz w:val="16"/>
          <w:szCs w:val="16"/>
          <w:color w:val="auto"/>
        </w:rPr>
        <w:t>No consent, approval, authorization or order of, or qualification with, any governmental body or agency or self-regulatory authority is required for the performance by the Company of its obligations under this Agreement, the Indenture, the DTC Agreement and the Notes, except as have been obtained or as may be required by (1) the securities or Blue Sky laws of the various states, (2) the bylaws, rules and regulations of FINRA or the Nasdaq Global Market (“</w:t>
      </w:r>
      <w:r>
        <w:rPr>
          <w:rFonts w:ascii="Arial" w:cs="Arial" w:eastAsia="Arial" w:hAnsi="Arial"/>
          <w:sz w:val="16"/>
          <w:szCs w:val="16"/>
          <w:b w:val="1"/>
          <w:bCs w:val="1"/>
          <w:color w:val="auto"/>
        </w:rPr>
        <w:t>Nasdaq</w:t>
      </w:r>
      <w:r>
        <w:rPr>
          <w:rFonts w:ascii="Arial" w:cs="Arial" w:eastAsia="Arial" w:hAnsi="Arial"/>
          <w:sz w:val="16"/>
          <w:szCs w:val="16"/>
          <w:color w:val="auto"/>
        </w:rPr>
        <w:t>”) or (3) any necessary qualification under the Trust Indenture Act, in connection with the offer and sale of the Notes.</w:t>
      </w:r>
    </w:p>
    <w:p>
      <w:pPr>
        <w:spacing w:after="0" w:line="157" w:lineRule="exact"/>
        <w:rPr>
          <w:rFonts w:ascii="Arial" w:cs="Arial" w:eastAsia="Arial" w:hAnsi="Arial"/>
          <w:sz w:val="16"/>
          <w:szCs w:val="16"/>
          <w:color w:val="010000"/>
        </w:rPr>
      </w:pPr>
    </w:p>
    <w:p>
      <w:pPr>
        <w:jc w:val="both"/>
        <w:ind w:firstLine="1304"/>
        <w:spacing w:after="0" w:line="273" w:lineRule="auto"/>
        <w:tabs>
          <w:tab w:leader="none" w:pos="1558" w:val="left"/>
        </w:tabs>
        <w:numPr>
          <w:ilvl w:val="0"/>
          <w:numId w:val="9"/>
        </w:numPr>
        <w:rPr>
          <w:rFonts w:ascii="Arial" w:cs="Arial" w:eastAsia="Arial" w:hAnsi="Arial"/>
          <w:sz w:val="17"/>
          <w:szCs w:val="17"/>
          <w:color w:val="010000"/>
        </w:rPr>
      </w:pPr>
      <w:r>
        <w:rPr>
          <w:rFonts w:ascii="Arial" w:cs="Arial" w:eastAsia="Arial" w:hAnsi="Arial"/>
          <w:sz w:val="17"/>
          <w:szCs w:val="17"/>
          <w:color w:val="auto"/>
        </w:rPr>
        <w:t>KMJ Corbin &amp; Company LLP, who has audited certain financial statements of the Company and related schedules included or incorporated by reference in the Registration Statement, the General Disclosure Package and the Prospectus, is an independent registered public accounting firm with respect to the Company as required by the Securities Act and the Rules and Regulations and the Public Company Accounting Oversight Board (United States). To the knowledge of the Company, except as pre-approved in accordance with the requirements set forth in Section 10A of the Exchange Act, the applicable independent registered public accounting firms above have not been engaged by the Company or any of its Subsidiaries, as applicable, to perform any “prohibited activities” (as defined in Section 10A of the Exchange Act).</w:t>
      </w:r>
    </w:p>
    <w:p>
      <w:pPr>
        <w:spacing w:after="0" w:line="177" w:lineRule="exact"/>
        <w:rPr>
          <w:rFonts w:ascii="Arial" w:cs="Arial" w:eastAsia="Arial" w:hAnsi="Arial"/>
          <w:sz w:val="17"/>
          <w:szCs w:val="17"/>
          <w:color w:val="010000"/>
        </w:rPr>
      </w:pPr>
    </w:p>
    <w:p>
      <w:pPr>
        <w:jc w:val="both"/>
        <w:ind w:firstLine="1304"/>
        <w:spacing w:after="0" w:line="286" w:lineRule="auto"/>
        <w:tabs>
          <w:tab w:leader="none" w:pos="1511" w:val="left"/>
        </w:tabs>
        <w:numPr>
          <w:ilvl w:val="0"/>
          <w:numId w:val="9"/>
        </w:numPr>
        <w:rPr>
          <w:rFonts w:ascii="Arial" w:cs="Arial" w:eastAsia="Arial" w:hAnsi="Arial"/>
          <w:sz w:val="17"/>
          <w:szCs w:val="17"/>
          <w:color w:val="010000"/>
        </w:rPr>
      </w:pPr>
      <w:r>
        <w:rPr>
          <w:rFonts w:ascii="Arial" w:cs="Arial" w:eastAsia="Arial" w:hAnsi="Arial"/>
          <w:sz w:val="17"/>
          <w:szCs w:val="17"/>
          <w:color w:val="auto"/>
        </w:rPr>
        <w:t>The Company and its Subsidiaries do not have any material liabilities or obligations, direct or contingent (including any off-balance sheet obligations or any “variable interest entities” within the meaning of the Financial Accounting Standards Board’s Accounting Standards Codification Topic 810), which are not disclosed in the General Disclosure Package, the Prospectus and the Registration Statement.</w:t>
      </w:r>
    </w:p>
    <w:p>
      <w:pPr>
        <w:spacing w:after="0" w:line="165" w:lineRule="exact"/>
        <w:rPr>
          <w:rFonts w:ascii="Arial" w:cs="Arial" w:eastAsia="Arial" w:hAnsi="Arial"/>
          <w:sz w:val="17"/>
          <w:szCs w:val="17"/>
          <w:color w:val="010000"/>
        </w:rPr>
      </w:pPr>
    </w:p>
    <w:p>
      <w:pPr>
        <w:jc w:val="both"/>
        <w:ind w:firstLine="1304"/>
        <w:spacing w:after="0" w:line="296" w:lineRule="auto"/>
        <w:tabs>
          <w:tab w:leader="none" w:pos="1564" w:val="left"/>
        </w:tabs>
        <w:numPr>
          <w:ilvl w:val="0"/>
          <w:numId w:val="9"/>
        </w:numPr>
        <w:rPr>
          <w:rFonts w:ascii="Arial" w:cs="Arial" w:eastAsia="Arial" w:hAnsi="Arial"/>
          <w:sz w:val="16"/>
          <w:szCs w:val="16"/>
          <w:color w:val="010000"/>
        </w:rPr>
      </w:pPr>
      <w:r>
        <w:rPr>
          <w:rFonts w:ascii="Arial" w:cs="Arial" w:eastAsia="Arial" w:hAnsi="Arial"/>
          <w:sz w:val="16"/>
          <w:szCs w:val="16"/>
          <w:color w:val="auto"/>
        </w:rPr>
        <w:t>Since the date of the most recent financial statements of the Company included or incorporated by reference in the Registration Statement, the General Disclosure Package or the Prospectus,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ind w:firstLine="1304"/>
        <w:spacing w:after="0" w:line="272" w:lineRule="auto"/>
        <w:tabs>
          <w:tab w:leader="none" w:pos="1551"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There is no legal or governmental proceeding, action, suit or claim pending or, to the Company’s knowledge, threatened, to which the Company or any of its Subsidiaries is a party, or to which any of the properties or assets of the Company or any of its Subsidiaries is subject, (i) other than proceedings accurately described in all material respects in the General Disclosure Package or proceedings that would not have a Material Adverse Effect, or (ii) that are required to be described in the Registration Statement, the General Disclosure Package or the Prospectus and are not so described; and there are no statutes, regulations, contracts or other documents to which the Company or any of its Subsidiaries is subject or by which the Company or any of its Subsidiaries is bound that are required to be described in the Registration Statement, the General Disclosure Package or the Prospectus or to be filed as exhibits to the Registration Statement that are not described or filed as required.</w:t>
      </w:r>
    </w:p>
    <w:p>
      <w:pPr>
        <w:spacing w:after="0" w:line="177" w:lineRule="exact"/>
        <w:rPr>
          <w:rFonts w:ascii="Arial" w:cs="Arial" w:eastAsia="Arial" w:hAnsi="Arial"/>
          <w:sz w:val="17"/>
          <w:szCs w:val="17"/>
          <w:color w:val="010000"/>
        </w:rPr>
      </w:pPr>
    </w:p>
    <w:p>
      <w:pPr>
        <w:jc w:val="both"/>
        <w:ind w:firstLine="1304"/>
        <w:spacing w:after="0" w:line="263" w:lineRule="auto"/>
        <w:tabs>
          <w:tab w:leader="none" w:pos="1591"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or, after giving effect to the Offering and the application of the proceeds thereof as described in the General Disclosure Package and the Prospectus, will become an “investment company” within the meaning of the Investment Company Act of 1940, as amended, and the rules and regulations of the Commission thereunder.</w:t>
      </w:r>
    </w:p>
    <w:p>
      <w:pPr>
        <w:spacing w:after="0" w:line="183" w:lineRule="exact"/>
        <w:rPr>
          <w:rFonts w:ascii="Arial" w:cs="Arial" w:eastAsia="Arial" w:hAnsi="Arial"/>
          <w:sz w:val="18"/>
          <w:szCs w:val="18"/>
          <w:color w:val="010000"/>
        </w:rPr>
      </w:pPr>
    </w:p>
    <w:p>
      <w:pPr>
        <w:jc w:val="both"/>
        <w:ind w:firstLine="1304"/>
        <w:spacing w:after="0" w:line="257" w:lineRule="auto"/>
        <w:tabs>
          <w:tab w:leader="none" w:pos="1564"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Except to the extent expressly set forth in the General Disclosure Package as part of the offering contemplated hereby, neither the Company, its Subsidiaries nor any of the Company’s or its Subsidiaries’ officers, directors or affiliates has bid for or purchased, for any account in which it or any of its affiliated purchasers has a beneficial interest, any Notes, or attempted to induce any person to purchase any Notes; and has not, and has not caused its affiliated purchasers to, make bids or purchase for the purpose of creating actual, or apparent, active trading in or of raising the price of the Notes.</w:t>
      </w:r>
    </w:p>
    <w:p>
      <w:pPr>
        <w:spacing w:after="0" w:line="187" w:lineRule="exact"/>
        <w:rPr>
          <w:rFonts w:ascii="Arial" w:cs="Arial" w:eastAsia="Arial" w:hAnsi="Arial"/>
          <w:sz w:val="18"/>
          <w:szCs w:val="18"/>
          <w:color w:val="010000"/>
        </w:rPr>
      </w:pPr>
    </w:p>
    <w:p>
      <w:pPr>
        <w:jc w:val="both"/>
        <w:ind w:firstLine="1304"/>
        <w:spacing w:after="0" w:line="275" w:lineRule="auto"/>
        <w:tabs>
          <w:tab w:leader="none" w:pos="1551"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The Company and its Subsidiaries have good and marketable title to all real and personal property owned by them which is material to the business of the Company and its Subsidiaries, taken as a whole, in each case free and clear of all liens, encumbrances and defects of title except such as are described in the General Disclosure Package or would not individually or in the aggregate have a Material Adverse Effect; and any real property and buildings held under lease by the Company and its Subsidiaries are held by them under valid, subsisting and enforceable leases except such as are described in the General Disclosure Package or would not have a Material Adverse Effect.</w:t>
      </w:r>
    </w:p>
    <w:p>
      <w:pPr>
        <w:spacing w:after="0" w:line="176" w:lineRule="exact"/>
        <w:rPr>
          <w:rFonts w:ascii="Arial" w:cs="Arial" w:eastAsia="Arial" w:hAnsi="Arial"/>
          <w:sz w:val="17"/>
          <w:szCs w:val="17"/>
          <w:color w:val="010000"/>
        </w:rPr>
      </w:pPr>
    </w:p>
    <w:p>
      <w:pPr>
        <w:jc w:val="both"/>
        <w:ind w:firstLine="1304"/>
        <w:spacing w:after="0" w:line="254" w:lineRule="auto"/>
        <w:tabs>
          <w:tab w:leader="none" w:pos="154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Except as disclosed in the General Disclosure Package, neither the Company nor any of its Subsidiaries is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1304"/>
        <w:spacing w:after="0" w:line="285" w:lineRule="auto"/>
        <w:tabs>
          <w:tab w:leader="none" w:pos="1647" w:val="left"/>
        </w:tabs>
        <w:numPr>
          <w:ilvl w:val="0"/>
          <w:numId w:val="11"/>
        </w:numPr>
        <w:rPr>
          <w:rFonts w:ascii="Arial" w:cs="Arial" w:eastAsia="Arial" w:hAnsi="Arial"/>
          <w:sz w:val="16"/>
          <w:szCs w:val="16"/>
          <w:color w:val="010000"/>
        </w:rPr>
      </w:pPr>
      <w:r>
        <w:rPr>
          <w:rFonts w:ascii="Arial" w:cs="Arial" w:eastAsia="Arial" w:hAnsi="Arial"/>
          <w:sz w:val="16"/>
          <w:szCs w:val="16"/>
          <w:color w:val="auto"/>
        </w:rPr>
        <w:t>Except as disclosed in the General Disclosure Package, the Company and the Subsidiaries own or possess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for the conduct of their respective businesses as conducted as of the date hereof, except to the extent that the failure to own or possess or acquire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any of its Subsidiary’s rights in or to or the validity of the scope of any of the Company’s or any Subsidiary’s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the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ind w:firstLine="1304"/>
        <w:spacing w:after="0" w:line="283" w:lineRule="auto"/>
        <w:tabs>
          <w:tab w:leader="none" w:pos="1641" w:val="left"/>
        </w:tabs>
        <w:numPr>
          <w:ilvl w:val="0"/>
          <w:numId w:val="12"/>
        </w:numPr>
        <w:rPr>
          <w:rFonts w:ascii="Arial" w:cs="Arial" w:eastAsia="Arial" w:hAnsi="Arial"/>
          <w:sz w:val="16"/>
          <w:szCs w:val="16"/>
          <w:color w:val="010000"/>
        </w:rPr>
      </w:pPr>
      <w:r>
        <w:rPr>
          <w:rFonts w:ascii="Arial" w:cs="Arial" w:eastAsia="Arial" w:hAnsi="Arial"/>
          <w:sz w:val="16"/>
          <w:szCs w:val="16"/>
          <w:color w:val="auto"/>
        </w:rPr>
        <w:t>The Company and the Subsidiaries: (A) are and at all times have been in material compliance with all applicable Health Care Laws (as defined below) relating to the ownership, testing, development, manufacture, packaging, processing, use, distribution, marketing, labeling, promotion, sale, offer for sale, storage, import, export or disposal of any product under development, manufactured, marketed, sold or distributed by the Company or the Subsidiaries, (B) have not received any Form 483 from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written notice of adverse finding, warning letter, or other written correspondence or notice from the FDA, the European Medicines Agency (the “</w:t>
      </w:r>
      <w:r>
        <w:rPr>
          <w:rFonts w:ascii="Arial" w:cs="Arial" w:eastAsia="Arial" w:hAnsi="Arial"/>
          <w:sz w:val="16"/>
          <w:szCs w:val="16"/>
          <w:b w:val="1"/>
          <w:bCs w:val="1"/>
          <w:color w:val="auto"/>
        </w:rPr>
        <w:t>EMA</w:t>
      </w:r>
      <w:r>
        <w:rPr>
          <w:rFonts w:ascii="Arial" w:cs="Arial" w:eastAsia="Arial" w:hAnsi="Arial"/>
          <w:sz w:val="16"/>
          <w:szCs w:val="16"/>
          <w:color w:val="auto"/>
        </w:rPr>
        <w:t>”), or any other federal, state, local or foreign governmental or regulatory authority (each, a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alleging or asserting noncompliance with any Health Care Laws or any licenses, certificates, approvals, clearances, authorizations, permits and supplements or amendments thereto required by any such Applicable Laws (“</w:t>
      </w:r>
      <w:r>
        <w:rPr>
          <w:rFonts w:ascii="Arial" w:cs="Arial" w:eastAsia="Arial" w:hAnsi="Arial"/>
          <w:sz w:val="16"/>
          <w:szCs w:val="16"/>
          <w:b w:val="1"/>
          <w:bCs w:val="1"/>
          <w:color w:val="auto"/>
        </w:rPr>
        <w:t>Authorizations</w:t>
      </w:r>
      <w:r>
        <w:rPr>
          <w:rFonts w:ascii="Arial" w:cs="Arial" w:eastAsia="Arial" w:hAnsi="Arial"/>
          <w:sz w:val="16"/>
          <w:szCs w:val="16"/>
          <w:color w:val="auto"/>
        </w:rPr>
        <w:t>”), which would, individually or in the aggregate, result in a Material Adverse Effect, (C) possess all Authorizations material to the Company and such Authorizations are valid and in full force and effect and neither the Company nor the Subsidiaries is in violation of any term of any such Authorizations; (D) have not received written notice of any material claim, action, suit, proceeding, hearing, enforcement, investigation, arbitration or other action from any Regulatory Authority or third party alleging that any Company product, operation or activity is in violation of any applicable Health Care Laws or Authorizations and has no knowledge that any Regulatory Authority or third party is considering any such claim, litigation, arbitration, action, suit, investigation or proceeding against the Company; (E) have not received written notice that any Regulatory Authority has taken, is taking or, to the knowledge of the Company,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Medicare (Title XVIII of the Social Security Act); (v) Medicaid (Title XIX of the Social Security Act); and (vi) any and all other applicable health care laws and regulations.</w:t>
      </w:r>
    </w:p>
    <w:p>
      <w:pPr>
        <w:spacing w:after="0" w:line="200" w:lineRule="exact"/>
        <w:rPr>
          <w:rFonts w:ascii="Arial" w:cs="Arial" w:eastAsia="Arial" w:hAnsi="Arial"/>
          <w:sz w:val="16"/>
          <w:szCs w:val="16"/>
          <w:color w:val="010000"/>
        </w:rPr>
      </w:pPr>
    </w:p>
    <w:p>
      <w:pPr>
        <w:spacing w:after="0" w:line="202" w:lineRule="exact"/>
        <w:rPr>
          <w:rFonts w:ascii="Arial" w:cs="Arial" w:eastAsia="Arial" w:hAnsi="Arial"/>
          <w:sz w:val="16"/>
          <w:szCs w:val="16"/>
          <w:color w:val="010000"/>
        </w:rPr>
      </w:pPr>
    </w:p>
    <w:p>
      <w:pPr>
        <w:jc w:val="both"/>
        <w:ind w:firstLine="1304"/>
        <w:spacing w:after="0" w:line="269" w:lineRule="auto"/>
        <w:tabs>
          <w:tab w:leader="none" w:pos="1620" w:val="left"/>
        </w:tabs>
        <w:numPr>
          <w:ilvl w:val="0"/>
          <w:numId w:val="12"/>
        </w:numPr>
        <w:rPr>
          <w:rFonts w:ascii="Arial" w:cs="Arial" w:eastAsia="Arial" w:hAnsi="Arial"/>
          <w:sz w:val="17"/>
          <w:szCs w:val="17"/>
          <w:color w:val="010000"/>
        </w:rPr>
      </w:pPr>
      <w:r>
        <w:rPr>
          <w:rFonts w:ascii="Arial" w:cs="Arial" w:eastAsia="Arial" w:hAnsi="Arial"/>
          <w:sz w:val="17"/>
          <w:szCs w:val="17"/>
          <w:color w:val="auto"/>
        </w:rPr>
        <w:t>All animal and other preclinical studies and clinical trials conducted by the Company or on behalf of the Company were, and, if still pending are, to the Company’s knowledge, being conducted in all material respects in compliance with all applicable Health Care Laws and in accordance with experimental protocols, procedures and controls generally used by qualified experts in the preclinical study and clinical trials of new drugs and biologics as applied to comparable products to those being developed by the Company applicable, except where such noncompliance would not reasonably be expected to have a Material Adverse Effect; the descriptions of the results of such preclinical studies and clinical trials contained in the Registration Statement, the General Disclosure Package and the Prospectus are accurate in all material respects, and the Company has no knowledge of any other clinical trials or preclinical studies, the results of which reasonably call into question the clinical trial or preclinical study results described or referred to in the Registration Statement, the General Disclosure Package and the Prospectus when viewed in the context in which such results are described; and the Company has not received any written notices or correspondence from the FDA, the EMA, or any other domestic or foreign governmental agency requiring the termination or suspension of any preclinical studies or clinical trials conducted by or on behalf of the Company that are described in the Registration Statement, the General Disclosure Package and the Prospectus or the results of which are referred to in the Registration Statement, the General Disclosure Package and the Prospectus.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ind w:firstLine="1304"/>
        <w:spacing w:after="0" w:line="257" w:lineRule="auto"/>
        <w:tabs>
          <w:tab w:leader="none" w:pos="1654"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The Company has established and administers a compliance program applicable to the Company, to assist the Company and the directors, officers and employees of the Company in complying with applicable regulatory guidelines (including, without limitation, those administered by the FDA, the EMA, and any other foreign, federal, state or local governmental or regulatory authority having jurisdiction over the Company and performing functions similar to those performed by the FDA or EMA); except where such noncompliance would not reasonably be expected to have a Material Adverse Effect.</w:t>
      </w:r>
    </w:p>
    <w:p>
      <w:pPr>
        <w:spacing w:after="0" w:line="187" w:lineRule="exact"/>
        <w:rPr>
          <w:rFonts w:ascii="Arial" w:cs="Arial" w:eastAsia="Arial" w:hAnsi="Arial"/>
          <w:sz w:val="18"/>
          <w:szCs w:val="18"/>
          <w:color w:val="010000"/>
        </w:rPr>
      </w:pPr>
    </w:p>
    <w:p>
      <w:pPr>
        <w:jc w:val="both"/>
        <w:ind w:firstLine="1304"/>
        <w:spacing w:after="0" w:line="269" w:lineRule="auto"/>
        <w:tabs>
          <w:tab w:leader="none" w:pos="1634"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Each of the Company and its Subsidiaries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Except as described in the General Disclosure Package,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w:t>
      </w:r>
    </w:p>
    <w:p>
      <w:pPr>
        <w:spacing w:after="0" w:line="185" w:lineRule="exact"/>
        <w:rPr>
          <w:rFonts w:ascii="Arial" w:cs="Arial" w:eastAsia="Arial" w:hAnsi="Arial"/>
          <w:sz w:val="17"/>
          <w:szCs w:val="17"/>
          <w:color w:val="010000"/>
        </w:rPr>
      </w:pPr>
    </w:p>
    <w:p>
      <w:pPr>
        <w:jc w:val="both"/>
        <w:ind w:firstLine="1304"/>
        <w:spacing w:after="0" w:line="259" w:lineRule="auto"/>
        <w:tabs>
          <w:tab w:leader="none" w:pos="1591" w:val="left"/>
        </w:tabs>
        <w:numPr>
          <w:ilvl w:val="0"/>
          <w:numId w:val="13"/>
        </w:numPr>
        <w:rPr>
          <w:rFonts w:ascii="Arial" w:cs="Arial" w:eastAsia="Arial" w:hAnsi="Arial"/>
          <w:sz w:val="18"/>
          <w:szCs w:val="18"/>
          <w:color w:val="010000"/>
        </w:rPr>
      </w:pPr>
      <w:r>
        <w:rPr>
          <w:rFonts w:ascii="Arial" w:cs="Arial" w:eastAsia="Arial" w:hAnsi="Arial"/>
          <w:sz w:val="18"/>
          <w:szCs w:val="18"/>
          <w:color w:val="auto"/>
        </w:rPr>
        <w:t>No relationship, direct or indirect, exists between or among the Company and any of its Subsidiaries, on the one hand, and the directors, officers, stockholders (or analogous interest holders), customers or suppliers of the Company or any of its Subsidiaries or any of their affiliates, on the other hand, which is required to be described in the General Disclosure Package or the Prospectus or a document incorporated by reference therein and which is not so described.</w:t>
      </w:r>
    </w:p>
    <w:p>
      <w:pPr>
        <w:spacing w:after="0" w:line="186" w:lineRule="exact"/>
        <w:rPr>
          <w:rFonts w:ascii="Arial" w:cs="Arial" w:eastAsia="Arial" w:hAnsi="Arial"/>
          <w:sz w:val="18"/>
          <w:szCs w:val="18"/>
          <w:color w:val="010000"/>
        </w:rPr>
      </w:pPr>
    </w:p>
    <w:p>
      <w:pPr>
        <w:jc w:val="both"/>
        <w:ind w:firstLine="1304"/>
        <w:spacing w:after="0" w:line="271" w:lineRule="auto"/>
        <w:tabs>
          <w:tab w:leader="none" w:pos="1668" w:val="left"/>
        </w:tabs>
        <w:numPr>
          <w:ilvl w:val="0"/>
          <w:numId w:val="13"/>
        </w:numPr>
        <w:rPr>
          <w:rFonts w:ascii="Arial" w:cs="Arial" w:eastAsia="Arial" w:hAnsi="Arial"/>
          <w:sz w:val="17"/>
          <w:szCs w:val="17"/>
          <w:color w:val="010000"/>
        </w:rPr>
      </w:pPr>
      <w:r>
        <w:rPr>
          <w:rFonts w:ascii="Arial" w:cs="Arial" w:eastAsia="Arial" w:hAnsi="Arial"/>
          <w:sz w:val="17"/>
          <w:szCs w:val="17"/>
          <w:color w:val="auto"/>
        </w:rPr>
        <w:t>Neither the Company nor any of its Subsidiaries, nor, to the knowledge of the Company, any of its directors, officers, 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Arial" w:cs="Arial" w:eastAsia="Arial" w:hAnsi="Arial"/>
          <w:sz w:val="17"/>
          <w:szCs w:val="17"/>
          <w:b w:val="1"/>
          <w:bCs w:val="1"/>
          <w:color w:val="auto"/>
        </w:rPr>
        <w:t>FCPA</w:t>
      </w:r>
      <w:r>
        <w:rPr>
          <w:rFonts w:ascii="Arial" w:cs="Arial" w:eastAsia="Arial" w:hAnsi="Arial"/>
          <w:sz w:val="17"/>
          <w:szCs w:val="17"/>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policies and procedures designed to ensure, and which are reasonably expected to continue to ensure, continued compliance therewith.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ind w:firstLine="1304"/>
        <w:spacing w:after="0" w:line="255" w:lineRule="auto"/>
        <w:tabs>
          <w:tab w:leader="none" w:pos="1668"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92" w:lineRule="exact"/>
        <w:rPr>
          <w:rFonts w:ascii="Arial" w:cs="Arial" w:eastAsia="Arial" w:hAnsi="Arial"/>
          <w:sz w:val="18"/>
          <w:szCs w:val="18"/>
          <w:color w:val="010000"/>
        </w:rPr>
      </w:pPr>
    </w:p>
    <w:p>
      <w:pPr>
        <w:jc w:val="both"/>
        <w:ind w:firstLine="1304"/>
        <w:spacing w:after="0" w:line="259" w:lineRule="auto"/>
        <w:tabs>
          <w:tab w:leader="none" w:pos="1574"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6" w:lineRule="exact"/>
        <w:rPr>
          <w:rFonts w:ascii="Arial" w:cs="Arial" w:eastAsia="Arial" w:hAnsi="Arial"/>
          <w:sz w:val="18"/>
          <w:szCs w:val="18"/>
          <w:color w:val="010000"/>
        </w:rPr>
      </w:pPr>
    </w:p>
    <w:p>
      <w:pPr>
        <w:ind w:firstLine="1304"/>
        <w:spacing w:after="0" w:line="308" w:lineRule="auto"/>
        <w:tabs>
          <w:tab w:leader="none" w:pos="1561" w:val="left"/>
        </w:tabs>
        <w:numPr>
          <w:ilvl w:val="1"/>
          <w:numId w:val="14"/>
        </w:numPr>
        <w:rPr>
          <w:rFonts w:ascii="Arial" w:cs="Arial" w:eastAsia="Arial" w:hAnsi="Arial"/>
          <w:sz w:val="17"/>
          <w:szCs w:val="17"/>
          <w:color w:val="010000"/>
        </w:rPr>
      </w:pPr>
      <w:r>
        <w:rPr>
          <w:rFonts w:ascii="Arial" w:cs="Arial" w:eastAsia="Arial" w:hAnsi="Arial"/>
          <w:sz w:val="17"/>
          <w:szCs w:val="17"/>
          <w:color w:val="auto"/>
        </w:rPr>
        <w:t>No person or entity has the right to require registration of any securities of the Company or any of its Subsidiaries under the Securities Act because of the filing or effectiveness of the Registration Statement, except as set forth therein or in the General Disclosure Package.</w:t>
      </w:r>
    </w:p>
    <w:p>
      <w:pPr>
        <w:spacing w:after="0" w:line="146" w:lineRule="exact"/>
        <w:rPr>
          <w:rFonts w:ascii="Arial" w:cs="Arial" w:eastAsia="Arial" w:hAnsi="Arial"/>
          <w:sz w:val="17"/>
          <w:szCs w:val="17"/>
          <w:color w:val="010000"/>
        </w:rPr>
      </w:pPr>
    </w:p>
    <w:p>
      <w:pPr>
        <w:jc w:val="both"/>
        <w:ind w:firstLine="1304"/>
        <w:spacing w:after="0" w:line="259" w:lineRule="auto"/>
        <w:tabs>
          <w:tab w:leader="none" w:pos="1641"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a party to any contract, agreement or understanding with any person (other than this Agreement) that would give rise to a valid claim against the Company or the Underwriters for a brokerage commission, finder’s fee or like payment in connection with the Offering or any transaction contemplated by this Agreement, the Registration Statement, the General Disclosure Package or the Prospectus.</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1588" w:val="left"/>
        </w:tabs>
        <w:numPr>
          <w:ilvl w:val="1"/>
          <w:numId w:val="14"/>
        </w:numPr>
        <w:rPr>
          <w:rFonts w:ascii="Arial" w:cs="Arial" w:eastAsia="Arial" w:hAnsi="Arial"/>
          <w:sz w:val="18"/>
          <w:szCs w:val="18"/>
          <w:color w:val="010000"/>
        </w:rPr>
      </w:pPr>
      <w:r>
        <w:rPr>
          <w:rFonts w:ascii="Arial" w:cs="Arial" w:eastAsia="Arial" w:hAnsi="Arial"/>
          <w:sz w:val="18"/>
          <w:szCs w:val="18"/>
          <w:color w:val="auto"/>
        </w:rPr>
        <w:t>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183" w:lineRule="exact"/>
        <w:rPr>
          <w:rFonts w:ascii="Arial" w:cs="Arial" w:eastAsia="Arial" w:hAnsi="Arial"/>
          <w:sz w:val="18"/>
          <w:szCs w:val="18"/>
          <w:color w:val="010000"/>
        </w:rPr>
      </w:pPr>
    </w:p>
    <w:p>
      <w:pPr>
        <w:jc w:val="both"/>
        <w:ind w:firstLine="1304"/>
        <w:spacing w:after="0" w:line="291" w:lineRule="auto"/>
        <w:tabs>
          <w:tab w:leader="none" w:pos="1754" w:val="left"/>
        </w:tabs>
        <w:numPr>
          <w:ilvl w:val="1"/>
          <w:numId w:val="14"/>
        </w:numPr>
        <w:rPr>
          <w:rFonts w:ascii="Arial" w:cs="Arial" w:eastAsia="Arial" w:hAnsi="Arial"/>
          <w:sz w:val="16"/>
          <w:szCs w:val="16"/>
          <w:color w:val="010000"/>
        </w:rPr>
      </w:pPr>
      <w:r>
        <w:rPr>
          <w:rFonts w:ascii="Arial" w:cs="Arial" w:eastAsia="Arial" w:hAnsi="Arial"/>
          <w:sz w:val="16"/>
          <w:szCs w:val="16"/>
          <w:color w:val="auto"/>
        </w:rPr>
        <w:t>The Company is subject to, and in compliance in all material respects with, the reporting requirements of Section 13 or Section 15(d) of the Exchange Act. As of the filing date of the Registration Statement and as of any update of the Registration Statement pursuant to Section 10(a)</w:t>
      </w:r>
    </w:p>
    <w:p>
      <w:pPr>
        <w:ind w:firstLine="8"/>
        <w:spacing w:after="0" w:line="260"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 the Securities Act (including the filing of any Annual Report on Form 10-K), the Company was eligible to file a “shelf” Registration Statement on Form S-3 with the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right="20" w:firstLine="1304"/>
        <w:spacing w:after="0" w:line="277" w:lineRule="auto"/>
        <w:tabs>
          <w:tab w:leader="none" w:pos="165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Company is in compliance in all material respects with all applicable provisions of the Sarbanes-Oxley Act of 2002 and all applicable rules and regulations promulgated thereunder or is implementing the provisions thereof that are currently in effect.</w:t>
      </w:r>
    </w:p>
    <w:p>
      <w:pPr>
        <w:spacing w:after="0" w:line="170" w:lineRule="exact"/>
        <w:rPr>
          <w:rFonts w:ascii="Arial" w:cs="Arial" w:eastAsia="Arial" w:hAnsi="Arial"/>
          <w:sz w:val="18"/>
          <w:szCs w:val="18"/>
          <w:color w:val="010000"/>
        </w:rPr>
      </w:pPr>
    </w:p>
    <w:p>
      <w:pPr>
        <w:ind w:firstLine="1304"/>
        <w:spacing w:after="0" w:line="277" w:lineRule="auto"/>
        <w:tabs>
          <w:tab w:leader="none" w:pos="165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The statistical and market-related data included in the General Disclosure Package are based on or derived from sources that the Company believes to be reliable and accurate, and such data agree with the sources from which they are derived.</w:t>
      </w:r>
    </w:p>
    <w:p>
      <w:pPr>
        <w:spacing w:after="0" w:line="170" w:lineRule="exact"/>
        <w:rPr>
          <w:rFonts w:ascii="Arial" w:cs="Arial" w:eastAsia="Arial" w:hAnsi="Arial"/>
          <w:sz w:val="18"/>
          <w:szCs w:val="18"/>
          <w:color w:val="010000"/>
        </w:rPr>
      </w:pPr>
    </w:p>
    <w:p>
      <w:pPr>
        <w:jc w:val="both"/>
        <w:ind w:firstLine="1304"/>
        <w:spacing w:after="0" w:line="255" w:lineRule="auto"/>
        <w:tabs>
          <w:tab w:leader="none" w:pos="1641"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otherwise disclosed in the General Disclosure Package, each of the Company and its Subsidiaries possesses such valid and current material certificates, authorizations or permits issued by the appropriate state, federal or foreign regulatory agencies or bodies necessary to conduct their respective businesses, and neither the Company nor any Subsidiary of the Company has received, or has any reason to believe that it will receive, any notice of proceedings relating to the revocation or modification of, or non-compliance with, any such certificate, authorization or permit which, individually or in the aggregate, if the subject of an unfavorable decision, ruling or finding, would reasonably be expected to result in a Material Adverse Effect.</w:t>
      </w:r>
    </w:p>
    <w:p>
      <w:pPr>
        <w:spacing w:after="0" w:line="192" w:lineRule="exact"/>
        <w:rPr>
          <w:rFonts w:ascii="Arial" w:cs="Arial" w:eastAsia="Arial" w:hAnsi="Arial"/>
          <w:sz w:val="18"/>
          <w:szCs w:val="18"/>
          <w:color w:val="010000"/>
        </w:rPr>
      </w:pPr>
    </w:p>
    <w:p>
      <w:pPr>
        <w:jc w:val="both"/>
        <w:ind w:firstLine="1304"/>
        <w:spacing w:after="0" w:line="286" w:lineRule="auto"/>
        <w:tabs>
          <w:tab w:leader="none" w:pos="1641"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Each of the Company and its Subsidiaries has filed all material federal, state and foreign income and franchise tax returns or have 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65" w:lineRule="exact"/>
        <w:rPr>
          <w:rFonts w:ascii="Arial" w:cs="Arial" w:eastAsia="Arial" w:hAnsi="Arial"/>
          <w:sz w:val="17"/>
          <w:szCs w:val="17"/>
          <w:color w:val="010000"/>
        </w:rPr>
      </w:pPr>
    </w:p>
    <w:p>
      <w:pPr>
        <w:jc w:val="both"/>
        <w:ind w:firstLine="1304"/>
        <w:spacing w:after="0" w:line="263" w:lineRule="auto"/>
        <w:tabs>
          <w:tab w:leader="none" w:pos="159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set forth in the General Disclosure Package, neither the Company nor any Subsidiary directly or indirectly controls, is controlled by, or is under common control with, or is an associated person (within the meaning of Article I, Section 1(ee) of the By-laws of FINRA) of, any member firm of FINRA.</w:t>
      </w:r>
    </w:p>
    <w:p>
      <w:pPr>
        <w:spacing w:after="0" w:line="183" w:lineRule="exact"/>
        <w:rPr>
          <w:rFonts w:ascii="Arial" w:cs="Arial" w:eastAsia="Arial" w:hAnsi="Arial"/>
          <w:sz w:val="18"/>
          <w:szCs w:val="18"/>
          <w:color w:val="010000"/>
        </w:rPr>
      </w:pPr>
    </w:p>
    <w:p>
      <w:pPr>
        <w:ind w:firstLine="1304"/>
        <w:spacing w:after="0" w:line="308" w:lineRule="auto"/>
        <w:tabs>
          <w:tab w:leader="none" w:pos="1601" w:val="left"/>
        </w:tabs>
        <w:numPr>
          <w:ilvl w:val="0"/>
          <w:numId w:val="16"/>
        </w:numPr>
        <w:rPr>
          <w:rFonts w:ascii="Arial" w:cs="Arial" w:eastAsia="Arial" w:hAnsi="Arial"/>
          <w:sz w:val="17"/>
          <w:szCs w:val="17"/>
          <w:color w:val="010000"/>
        </w:rPr>
      </w:pPr>
      <w:r>
        <w:rPr>
          <w:rFonts w:ascii="Arial" w:cs="Arial" w:eastAsia="Arial" w:hAnsi="Arial"/>
          <w:sz w:val="17"/>
          <w:szCs w:val="17"/>
          <w:color w:val="auto"/>
        </w:rPr>
        <w:t>No approval of the stockholders of the Company under the rules and regulations of Nasdaq (including Nasdaq Listing Rule 5635) is required for the Company to issue and deliver the Notes.</w:t>
      </w:r>
    </w:p>
    <w:p>
      <w:pPr>
        <w:spacing w:after="0" w:line="146" w:lineRule="exact"/>
        <w:rPr>
          <w:rFonts w:ascii="Arial" w:cs="Arial" w:eastAsia="Arial" w:hAnsi="Arial"/>
          <w:sz w:val="17"/>
          <w:szCs w:val="17"/>
          <w:color w:val="010000"/>
        </w:rPr>
      </w:pPr>
    </w:p>
    <w:p>
      <w:pPr>
        <w:jc w:val="both"/>
        <w:ind w:firstLine="1304"/>
        <w:spacing w:after="0" w:line="259" w:lineRule="auto"/>
        <w:tabs>
          <w:tab w:leader="none" w:pos="1588"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described in the General Disclosure Package, the Company has not sold, issued or distributed any securities of the Company during the six-month period preceding the date hereof, including any sales pursuant to Rule 144A under, or Regulation D or S of, the Securities Act, other than shares of Common Stock issued pursuant to employee benefit plans, qualified equity compensation plans or other employee compensation plans or pursuant to outstanding options, rights or warrants.</w:t>
      </w:r>
    </w:p>
    <w:p>
      <w:pPr>
        <w:spacing w:after="0" w:line="186" w:lineRule="exact"/>
        <w:rPr>
          <w:rFonts w:ascii="Arial" w:cs="Arial" w:eastAsia="Arial" w:hAnsi="Arial"/>
          <w:sz w:val="18"/>
          <w:szCs w:val="18"/>
          <w:color w:val="010000"/>
        </w:rPr>
      </w:pPr>
    </w:p>
    <w:p>
      <w:pPr>
        <w:jc w:val="both"/>
        <w:ind w:firstLine="1304"/>
        <w:spacing w:after="0" w:line="255" w:lineRule="auto"/>
        <w:tabs>
          <w:tab w:leader="none" w:pos="1654"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Except as otherwise disclosed in the General Disclosure Package, each of the Company and its 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ind w:firstLine="1304"/>
        <w:spacing w:after="0" w:line="259" w:lineRule="auto"/>
        <w:tabs>
          <w:tab w:leader="none" w:pos="1641"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The Company nor, to the Company’s knowledge, any of its directors, officers or affiliates has not taken, directly or indirectly, any action designed to or that might be reasonably expected to cause or result in stabilization or manipulation of the price of any “reference security” (as defined in Rule 100 of Regulation M under the 1934 Act (“</w:t>
      </w:r>
      <w:r>
        <w:rPr>
          <w:rFonts w:ascii="Arial" w:cs="Arial" w:eastAsia="Arial" w:hAnsi="Arial"/>
          <w:sz w:val="18"/>
          <w:szCs w:val="18"/>
          <w:b w:val="1"/>
          <w:bCs w:val="1"/>
          <w:color w:val="auto"/>
        </w:rPr>
        <w:t>Regulation M</w:t>
      </w:r>
      <w:r>
        <w:rPr>
          <w:rFonts w:ascii="Arial" w:cs="Arial" w:eastAsia="Arial" w:hAnsi="Arial"/>
          <w:sz w:val="18"/>
          <w:szCs w:val="18"/>
          <w:color w:val="auto"/>
        </w:rPr>
        <w:t>”)), whether to facilitate the sale or resale of the Notes or otherwise, and has taken no action which would directly or indirectly violate Regulation M.</w:t>
      </w:r>
    </w:p>
    <w:p>
      <w:pPr>
        <w:spacing w:after="0" w:line="186" w:lineRule="exact"/>
        <w:rPr>
          <w:rFonts w:ascii="Arial" w:cs="Arial" w:eastAsia="Arial" w:hAnsi="Arial"/>
          <w:sz w:val="18"/>
          <w:szCs w:val="18"/>
          <w:color w:val="010000"/>
        </w:rPr>
      </w:pPr>
    </w:p>
    <w:p>
      <w:pPr>
        <w:jc w:val="both"/>
        <w:ind w:firstLine="1304"/>
        <w:spacing w:after="0" w:line="259" w:lineRule="auto"/>
        <w:tabs>
          <w:tab w:leader="none" w:pos="1721"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 xml:space="preserve">The Company has not distributed and will not distribute, prior to the later of (i) the expiration or termination of the option granted to the Underwriters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(ii) the completion of distribution of the Notes, any offering material in connection with the offering and sale of the Notes other than a preliminary prospectus, the Pricing Prospectus, the Prospectus, any free writing prospectus reviewed and consented to by the Representative, or the Registration Statement.</w:t>
      </w:r>
    </w:p>
    <w:p>
      <w:pPr>
        <w:spacing w:after="0" w:line="186" w:lineRule="exact"/>
        <w:rPr>
          <w:rFonts w:ascii="Arial" w:cs="Arial" w:eastAsia="Arial" w:hAnsi="Arial"/>
          <w:sz w:val="18"/>
          <w:szCs w:val="18"/>
          <w:color w:val="010000"/>
        </w:rPr>
      </w:pPr>
    </w:p>
    <w:p>
      <w:pPr>
        <w:ind w:firstLine="1304"/>
        <w:spacing w:after="0" w:line="277" w:lineRule="auto"/>
        <w:tabs>
          <w:tab w:leader="none" w:pos="1641" w:val="left"/>
        </w:tabs>
        <w:numPr>
          <w:ilvl w:val="1"/>
          <w:numId w:val="17"/>
        </w:numPr>
        <w:rPr>
          <w:rFonts w:ascii="Arial" w:cs="Arial" w:eastAsia="Arial" w:hAnsi="Arial"/>
          <w:sz w:val="18"/>
          <w:szCs w:val="18"/>
          <w:color w:val="010000"/>
        </w:rPr>
      </w:pPr>
      <w:r>
        <w:rPr>
          <w:rFonts w:ascii="Arial" w:cs="Arial" w:eastAsia="Arial" w:hAnsi="Arial"/>
          <w:sz w:val="18"/>
          <w:szCs w:val="18"/>
          <w:color w:val="auto"/>
        </w:rPr>
        <w:t>Any certificate signed by or on behalf of the Company and delivered to the Representative or to counsel for the Underwriters shall be deemed to be a representation and warranty by the Company to the Underwriters as to the matters covered thereby.</w:t>
      </w:r>
    </w:p>
    <w:p>
      <w:pPr>
        <w:spacing w:after="0" w:line="166" w:lineRule="exact"/>
        <w:rPr>
          <w:rFonts w:ascii="Arial" w:cs="Arial" w:eastAsia="Arial" w:hAnsi="Arial"/>
          <w:sz w:val="18"/>
          <w:szCs w:val="18"/>
          <w:color w:val="010000"/>
        </w:rPr>
      </w:pPr>
    </w:p>
    <w:p>
      <w:pPr>
        <w:ind w:left="840" w:hanging="184"/>
        <w:spacing w:after="0"/>
        <w:tabs>
          <w:tab w:leader="none" w:pos="840" w:val="left"/>
        </w:tabs>
        <w:numPr>
          <w:ilvl w:val="0"/>
          <w:numId w:val="18"/>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The Closing</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firstLine="1304"/>
        <w:spacing w:after="0" w:line="275" w:lineRule="auto"/>
        <w:tabs>
          <w:tab w:leader="none" w:pos="1540" w:val="left"/>
        </w:tabs>
        <w:numPr>
          <w:ilvl w:val="1"/>
          <w:numId w:val="18"/>
        </w:numPr>
        <w:rPr>
          <w:rFonts w:ascii="Arial" w:cs="Arial" w:eastAsia="Arial" w:hAnsi="Arial"/>
          <w:sz w:val="17"/>
          <w:szCs w:val="17"/>
          <w:color w:val="010000"/>
        </w:rPr>
      </w:pPr>
      <w:r>
        <w:rPr>
          <w:rFonts w:ascii="Arial" w:cs="Arial" w:eastAsia="Arial" w:hAnsi="Arial"/>
          <w:sz w:val="17"/>
          <w:szCs w:val="17"/>
          <w:color w:val="auto"/>
        </w:rPr>
        <w:t>Payment of the purchase price for the Firm Notes shall be made to the Company by Federal Funds wire transfer against delivery of such Firm Notes to or as designated by the Representative through the facilities of DTC for the respective accounts of the Underwriters. Such payment and delivery shall be made at 10:00 A.M., Eastern Standard Time, on June 17, 2021 (such date, the “</w:t>
      </w:r>
      <w:r>
        <w:rPr>
          <w:rFonts w:ascii="Arial" w:cs="Arial" w:eastAsia="Arial" w:hAnsi="Arial"/>
          <w:sz w:val="17"/>
          <w:szCs w:val="17"/>
          <w:b w:val="1"/>
          <w:bCs w:val="1"/>
          <w:color w:val="auto"/>
        </w:rPr>
        <w:t>Closing Date</w:t>
      </w:r>
      <w:r>
        <w:rPr>
          <w:rFonts w:ascii="Arial" w:cs="Arial" w:eastAsia="Arial" w:hAnsi="Arial"/>
          <w:sz w:val="17"/>
          <w:szCs w:val="17"/>
          <w:color w:val="auto"/>
        </w:rPr>
        <w:t>”). The time at which such payment and delivery are to be made is hereinafter sometimes called the “</w:t>
      </w:r>
      <w:r>
        <w:rPr>
          <w:rFonts w:ascii="Arial" w:cs="Arial" w:eastAsia="Arial" w:hAnsi="Arial"/>
          <w:sz w:val="17"/>
          <w:szCs w:val="17"/>
          <w:b w:val="1"/>
          <w:bCs w:val="1"/>
          <w:color w:val="auto"/>
        </w:rPr>
        <w:t>Time of Purchase</w:t>
      </w:r>
      <w:r>
        <w:rPr>
          <w:rFonts w:ascii="Arial" w:cs="Arial" w:eastAsia="Arial" w:hAnsi="Arial"/>
          <w:sz w:val="17"/>
          <w:szCs w:val="17"/>
          <w:color w:val="auto"/>
        </w:rPr>
        <w:t>.” Electronic transfer of the Firm Notes shall be made at the Time of Purchase in such names and in such denominations as the Representative shall specify.</w:t>
      </w:r>
    </w:p>
    <w:p>
      <w:pPr>
        <w:spacing w:after="0" w:line="176" w:lineRule="exact"/>
        <w:rPr>
          <w:rFonts w:ascii="Arial" w:cs="Arial" w:eastAsia="Arial" w:hAnsi="Arial"/>
          <w:sz w:val="17"/>
          <w:szCs w:val="17"/>
          <w:color w:val="010000"/>
        </w:rPr>
      </w:pPr>
    </w:p>
    <w:p>
      <w:pPr>
        <w:jc w:val="both"/>
        <w:ind w:firstLine="1304"/>
        <w:spacing w:after="0" w:line="263" w:lineRule="auto"/>
        <w:tabs>
          <w:tab w:leader="none" w:pos="1551"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Payment of the purchase price for the Additional Notes shall be made at the Additional Time of Purchase in the same manner and at the same office and time of day as the payment for the Firm Notes. Electronic transfer of the Additional Notes shall be made at the Additional Time of Purchase in such names and in such denominations as the Representative shall specify.</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1540" w:val="left"/>
        </w:tabs>
        <w:numPr>
          <w:ilvl w:val="1"/>
          <w:numId w:val="18"/>
        </w:numPr>
        <w:rPr>
          <w:rFonts w:ascii="Arial" w:cs="Arial" w:eastAsia="Arial" w:hAnsi="Arial"/>
          <w:sz w:val="18"/>
          <w:szCs w:val="18"/>
          <w:color w:val="010000"/>
        </w:rPr>
      </w:pPr>
      <w:r>
        <w:rPr>
          <w:rFonts w:ascii="Arial" w:cs="Arial" w:eastAsia="Arial" w:hAnsi="Arial"/>
          <w:sz w:val="18"/>
          <w:szCs w:val="18"/>
          <w:color w:val="auto"/>
        </w:rPr>
        <w:t xml:space="preserve">Delivery of the documents required to be delivered to the Underwriters pursuant to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xml:space="preserve"> hereof shall be at 10:00 A.M., Eastern Standard Time, on June 17, 2021, on the Closing Date or the Additional Closing Date, as the case may be, at the offices of Duane Morris LLP, 1540 Broadway, New York, New York 10036.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left="840" w:hanging="184"/>
        <w:spacing w:after="0"/>
        <w:tabs>
          <w:tab w:leader="none" w:pos="840" w:val="left"/>
        </w:tabs>
        <w:numPr>
          <w:ilvl w:val="0"/>
          <w:numId w:val="1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Further Covenants and Agreements of the Company</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and agrees with the Underwriters as follows:</w:t>
      </w:r>
    </w:p>
    <w:p>
      <w:pPr>
        <w:spacing w:after="0" w:line="225" w:lineRule="exact"/>
        <w:rPr>
          <w:sz w:val="20"/>
          <w:szCs w:val="20"/>
          <w:color w:val="auto"/>
        </w:rPr>
      </w:pPr>
    </w:p>
    <w:p>
      <w:pPr>
        <w:jc w:val="both"/>
        <w:ind w:firstLine="1304"/>
        <w:spacing w:after="0" w:line="285" w:lineRule="auto"/>
        <w:tabs>
          <w:tab w:leader="none" w:pos="1540" w:val="left"/>
        </w:tabs>
        <w:numPr>
          <w:ilvl w:val="0"/>
          <w:numId w:val="20"/>
        </w:numPr>
        <w:rPr>
          <w:rFonts w:ascii="Arial" w:cs="Arial" w:eastAsia="Arial" w:hAnsi="Arial"/>
          <w:sz w:val="16"/>
          <w:szCs w:val="16"/>
          <w:color w:val="010000"/>
        </w:rPr>
      </w:pPr>
      <w:r>
        <w:rPr>
          <w:rFonts w:ascii="Arial" w:cs="Arial" w:eastAsia="Arial" w:hAnsi="Arial"/>
          <w:sz w:val="16"/>
          <w:szCs w:val="16"/>
          <w:color w:val="auto"/>
        </w:rPr>
        <w:t>To prepare the Rule 462(b) Registration Statement, if necessary, in a form approved by the Representative, and file such Rule 462(b) Registration Statement with the Commission on the date hereof; to prepare the Prospectus in a form approved by the Representative, containing information previously omitted at the time of effectiveness of the Registration Statement in reliance on rules 430A, 430B and 430C and to file such Prospectus pursuant to Rule 424(b) of the Rules and Regulations not later than the second business day following the execution and delivery of this Agreement or, if applicable, such earlier time as may be required by Rule 430A of the Rules and Regulations; to notify the Representative promptly of the Company’s intention to file or prepare any supplement or amendment to any Registration Statement or to the Prospectus in connection with this Offering and to provide a draft of any such amendment or supplement to the Registration Statement, the General Disclosure Package or the Prospectus to the Representative, for review within an amount of time that is reasonably practical under the circumstances and prior to filing, and to file no such amendment or supplement to which the Representative shall have reasonably objected in writing; to advise the Representative, promptly after it receives notice thereof, of the time when any amendment to any Registration Statement has been filed in connection with the Offering or becomes effective or any supplement to the General Disclosure Package or the Prospectus or any amended Prospectus has been filed and to furnish the Representative with copies thereof; to file within the time periods prescribed by the Exchange Act, including any extension thereof, all material required to be filed by the Company with the Commission pursuant to Rule 433(d) or 163(b)(2), as the case may be; to advise the Representative, promptly after it receives notice thereof, of the issuance by the Commission of any stop order or of any order preventing or suspending the use of any Issuer Free Writing Prospectus or the Prospectus, of the suspension of the qualification of the Notes for offering or sale in any jurisdiction, of the initiation or threatening of any proceeding for any such purpose, or of any request by the Commission for the amending or supplementing of the Registration Statement, the General Disclosure Package or the Prospectus or for additional information; and, in the event of the issuance of any stop order or of any order preventing or suspending the use of any Issuer Free Writing Prospectus or the Prospectus or suspending any such qualification, and promptly to use its best efforts to obtain the withdrawal of such order.</w:t>
      </w:r>
    </w:p>
    <w:p>
      <w:pPr>
        <w:spacing w:after="0" w:line="171" w:lineRule="exact"/>
        <w:rPr>
          <w:rFonts w:ascii="Arial" w:cs="Arial" w:eastAsia="Arial" w:hAnsi="Arial"/>
          <w:sz w:val="16"/>
          <w:szCs w:val="16"/>
          <w:color w:val="010000"/>
        </w:rPr>
      </w:pPr>
    </w:p>
    <w:p>
      <w:pPr>
        <w:ind w:firstLine="1304"/>
        <w:spacing w:after="0" w:line="308" w:lineRule="auto"/>
        <w:tabs>
          <w:tab w:leader="none" w:pos="1551"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 xml:space="preserve">To prepare a final term sheet for the Notes, containing solely a description of final terms of the Notes and the offering thereof, in the form approved by you and attached as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hereto and to file such term sheet pursuant to, and within the time required by, Rule 433(d).</w:t>
      </w:r>
    </w:p>
    <w:p>
      <w:pPr>
        <w:spacing w:after="0" w:line="146" w:lineRule="exact"/>
        <w:rPr>
          <w:rFonts w:ascii="Arial" w:cs="Arial" w:eastAsia="Arial" w:hAnsi="Arial"/>
          <w:sz w:val="17"/>
          <w:szCs w:val="17"/>
          <w:color w:val="010000"/>
        </w:rPr>
      </w:pPr>
    </w:p>
    <w:p>
      <w:pPr>
        <w:jc w:val="both"/>
        <w:ind w:firstLine="1304"/>
        <w:spacing w:after="0" w:line="269" w:lineRule="auto"/>
        <w:tabs>
          <w:tab w:leader="none" w:pos="1540" w:val="left"/>
        </w:tabs>
        <w:numPr>
          <w:ilvl w:val="0"/>
          <w:numId w:val="20"/>
        </w:numPr>
        <w:rPr>
          <w:rFonts w:ascii="Arial" w:cs="Arial" w:eastAsia="Arial" w:hAnsi="Arial"/>
          <w:sz w:val="17"/>
          <w:szCs w:val="17"/>
          <w:color w:val="010000"/>
        </w:rPr>
      </w:pPr>
      <w:r>
        <w:rPr>
          <w:rFonts w:ascii="Arial" w:cs="Arial" w:eastAsia="Arial" w:hAnsi="Arial"/>
          <w:sz w:val="17"/>
          <w:szCs w:val="17"/>
          <w:color w:val="auto"/>
        </w:rPr>
        <w:t>That, unless it obtains the prior consent of the Representative, it has not made and will not make any offer relating to the Notes that would constitute a “free writing prospectus” as defined in Rule 405 of the Rules and Regulations unless the prior written consent of the Representative has been received (each, a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xml:space="preserve">”), other than a free writing prospectus containing the information contained in the final term sheet prepared and filed pursuant to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hereof; provided that the prior written consent of the Representative shall be deemed to have been given in respect of the Free Writing Prospectuses included in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and any electronic road show, if any. The Company shall furnish to the Representative, a reasonable amount of time prior to the proposed time of filing or use thereof, a copy of each proposed free writing prospectus or any amendment or supplement thereto to be prepared by or on behalf of, used by, or referred to by the Company. The Company represents that it has treated and agrees that it will treat each Permitted Free Writing Prospectus as an Issuer Free Writing Prospectus, and that it has and will comply with the requirements of Rules 164 and 433 of the Rules and Regulations applicable to any Issuer Free Writing Prospectus, including the requirements relating to timely filing with the Commission, legending and record keeping.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1304"/>
        <w:spacing w:after="0" w:line="270" w:lineRule="auto"/>
        <w:tabs>
          <w:tab w:leader="none" w:pos="1564"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If at any time when a Prospectus relating to the Notes is required to be delivered under the Securities Act, any event occurs or condition exists as a result of which the Prospectus, as then amended or supplemented, would include any untrue statement of a material fact or omit to state a material fact necessary in order to make the statements therein, in light of the circumstances under which they were made, not misleading, or the Registration Statement, as then amended or supplemented, would include any untrue statement of a material fact or omit to state a material fact necessary to make the statements therein not misleading, or if for any other reason it is necessary at any time to amend or supplement any Registration Statement or the Prospectus to comply with the Securities Act or the Exchange Act, the Company will promptly notify the Representative, and upon the Representative’s request, the Company will promptly prepare and file with the Commission, at the Company’s expense, an amendment to the Registration Statement or an amendment or supplement to the Prospectus that corrects such statement or omission or effects such compliance. The Company consents to the use of the Prospectus or any amendment or supplement thereto by the Underwriters.</w:t>
      </w:r>
    </w:p>
    <w:p>
      <w:pPr>
        <w:spacing w:after="0" w:line="180" w:lineRule="exact"/>
        <w:rPr>
          <w:rFonts w:ascii="Arial" w:cs="Arial" w:eastAsia="Arial" w:hAnsi="Arial"/>
          <w:sz w:val="17"/>
          <w:szCs w:val="17"/>
          <w:color w:val="010000"/>
        </w:rPr>
      </w:pPr>
    </w:p>
    <w:p>
      <w:pPr>
        <w:jc w:val="both"/>
        <w:ind w:firstLine="1304"/>
        <w:spacing w:after="0" w:line="279" w:lineRule="auto"/>
        <w:tabs>
          <w:tab w:leader="none" w:pos="1567" w:val="left"/>
        </w:tabs>
        <w:numPr>
          <w:ilvl w:val="0"/>
          <w:numId w:val="21"/>
        </w:numPr>
        <w:rPr>
          <w:rFonts w:ascii="Arial" w:cs="Arial" w:eastAsia="Arial" w:hAnsi="Arial"/>
          <w:sz w:val="17"/>
          <w:szCs w:val="17"/>
          <w:color w:val="010000"/>
        </w:rPr>
      </w:pPr>
      <w:r>
        <w:rPr>
          <w:rFonts w:ascii="Arial" w:cs="Arial" w:eastAsia="Arial" w:hAnsi="Arial"/>
          <w:sz w:val="17"/>
          <w:szCs w:val="17"/>
          <w:color w:val="auto"/>
        </w:rPr>
        <w:t>To the extent not available on the Commission’s EDGAR system, to make generally available to its security holders as soon as practicable, but in any event not later than eighteen (18) months after the effective date of each Registration Statement (as defined in Rule 158(c) of the Rules and Regulations), an earnings statement of the Company and its consolidated Subsidiaries (which need not be audited) complying with Section 11(a) of the Securities Act and the Rules and Regulations (including, at the option of the Company, Rule 158).</w:t>
      </w:r>
    </w:p>
    <w:p>
      <w:pPr>
        <w:spacing w:after="0" w:line="171" w:lineRule="exact"/>
        <w:rPr>
          <w:rFonts w:ascii="Arial" w:cs="Arial" w:eastAsia="Arial" w:hAnsi="Arial"/>
          <w:sz w:val="17"/>
          <w:szCs w:val="17"/>
          <w:color w:val="010000"/>
        </w:rPr>
      </w:pPr>
    </w:p>
    <w:p>
      <w:pPr>
        <w:jc w:val="both"/>
        <w:ind w:right="20" w:firstLine="1304"/>
        <w:spacing w:after="0" w:line="257" w:lineRule="auto"/>
        <w:tabs>
          <w:tab w:leader="none" w:pos="1521"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 xml:space="preserve">To take promptly from time to time such actions as the Representative may reasonably request to qualify the Notes for offering and sale under the securities or Blue Sky laws of such jurisdictions (domestic or foreign) as the Representative may designate and to continue such qualifications in effect, and to comply with such laws, for so long as required to permit the offer and sale of Notes in such jurisdictions;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and its Subsidiaries shall not be obligated to qualify as foreign corporations in any jurisdiction in which they are not so qualified or to file a general consent to service of process in any jurisdiction.</w:t>
      </w:r>
    </w:p>
    <w:p>
      <w:pPr>
        <w:spacing w:after="0" w:line="187" w:lineRule="exact"/>
        <w:rPr>
          <w:rFonts w:ascii="Arial" w:cs="Arial" w:eastAsia="Arial" w:hAnsi="Arial"/>
          <w:sz w:val="18"/>
          <w:szCs w:val="18"/>
          <w:color w:val="010000"/>
        </w:rPr>
      </w:pPr>
    </w:p>
    <w:p>
      <w:pPr>
        <w:jc w:val="both"/>
        <w:ind w:firstLine="1304"/>
        <w:spacing w:after="0" w:line="263" w:lineRule="auto"/>
        <w:tabs>
          <w:tab w:leader="none" w:pos="1564"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To supply the Underwriters with copies of all correspondence to and from, and all documents issued to and by, the Commission in connection with the registration of the Notes under the Securities Act or the Registration Statement or the Prospectus, or any amendment or supplement thereto or document incorporated by reference therein.</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1564"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Prior to the Time of Purchase and the Additional Time of Purchase, if any, not to issue any press release or other communication directly or indirectly or hold any press conference (other than the Company’s customary quarterly press release and conference call) without the prior written consent of the Representative (which consent shall not be unreasonably withheld).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ind w:firstLine="1304"/>
        <w:spacing w:after="0" w:line="296" w:lineRule="auto"/>
        <w:tabs>
          <w:tab w:leader="none" w:pos="1511"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Until the Representative shall have notified the Company of the completion of the Offering, that the Company will not, and will cause its affiliated purchasers (as defined in Regulation M under the Exchange Act) not to, either alone or with one or more other persons, and except to the extent expressly set forth in the General Disclosure Package as part of the offering contemplated hereby, bid for or purchase, for any account in which it or any of its affiliated purchasers has a beneficial interest, any Notes, or attempt to induce any person to purchase any Notes; and not to, and to cause its affiliated purchasers not to, make bids or purchase for the purpose of creating actual, or apparent, active trading in or of raising the price of the Notes.</w:t>
      </w:r>
    </w:p>
    <w:p>
      <w:pPr>
        <w:spacing w:after="0" w:line="161" w:lineRule="exact"/>
        <w:rPr>
          <w:rFonts w:ascii="Arial" w:cs="Arial" w:eastAsia="Arial" w:hAnsi="Arial"/>
          <w:sz w:val="16"/>
          <w:szCs w:val="16"/>
          <w:color w:val="010000"/>
        </w:rPr>
      </w:pPr>
    </w:p>
    <w:p>
      <w:pPr>
        <w:ind w:firstLine="1304"/>
        <w:spacing w:after="0" w:line="277" w:lineRule="auto"/>
        <w:tabs>
          <w:tab w:leader="none" w:pos="1511"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To apply the net proceeds from the sale of the Notes as set forth in the Registration Statement, the General Disclosure Package and the Prospectus under the heading “Use of Proceeds.”</w:t>
      </w:r>
    </w:p>
    <w:p>
      <w:pPr>
        <w:spacing w:after="0" w:line="170" w:lineRule="exact"/>
        <w:rPr>
          <w:rFonts w:ascii="Arial" w:cs="Arial" w:eastAsia="Arial" w:hAnsi="Arial"/>
          <w:sz w:val="18"/>
          <w:szCs w:val="18"/>
          <w:color w:val="010000"/>
        </w:rPr>
      </w:pPr>
    </w:p>
    <w:p>
      <w:pPr>
        <w:jc w:val="both"/>
        <w:ind w:firstLine="1304"/>
        <w:spacing w:after="0" w:line="296" w:lineRule="auto"/>
        <w:tabs>
          <w:tab w:leader="none" w:pos="1551" w:val="left"/>
        </w:tabs>
        <w:numPr>
          <w:ilvl w:val="0"/>
          <w:numId w:val="22"/>
        </w:numPr>
        <w:rPr>
          <w:rFonts w:ascii="Arial" w:cs="Arial" w:eastAsia="Arial" w:hAnsi="Arial"/>
          <w:sz w:val="16"/>
          <w:szCs w:val="16"/>
          <w:color w:val="010000"/>
        </w:rPr>
      </w:pPr>
      <w:r>
        <w:rPr>
          <w:rFonts w:ascii="Arial" w:cs="Arial" w:eastAsia="Arial" w:hAnsi="Arial"/>
          <w:sz w:val="16"/>
          <w:szCs w:val="16"/>
          <w:color w:val="auto"/>
        </w:rPr>
        <w:t>Not to sell, offer to sell, contract or agree to sell, hypothecate, pledge, grant any option to purchase or otherwise dispose of or agree to dispose of, directly or indirectly, any debt securities issued or guaranteed by the Company or any securities convertible into or exchangeable or exercisable for debt securities issued or guaranteed by the Company or file or cause to be declared effective a registration statement under the Securities Act with respect to any of the foregoing for a period of 30 days after the date hereof without the prior written consent of the Representative, which may not be unreasonably withheld. The foregoing sentence shall not apply to the registration of the Notes and the sales to the Underwriters pursuant to this Agreement.</w:t>
      </w:r>
    </w:p>
    <w:p>
      <w:pPr>
        <w:spacing w:after="0" w:line="161" w:lineRule="exact"/>
        <w:rPr>
          <w:rFonts w:ascii="Arial" w:cs="Arial" w:eastAsia="Arial" w:hAnsi="Arial"/>
          <w:sz w:val="16"/>
          <w:szCs w:val="16"/>
          <w:color w:val="010000"/>
        </w:rPr>
      </w:pPr>
    </w:p>
    <w:p>
      <w:pPr>
        <w:ind w:right="20" w:firstLine="1304"/>
        <w:spacing w:after="0" w:line="277" w:lineRule="auto"/>
        <w:tabs>
          <w:tab w:leader="none" w:pos="1524"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To cooperate with the Representative and use its commercially reasonable efforts to permit the offered Securities to be eligible for clearance and settlement through the facilities of DTC.</w:t>
      </w:r>
    </w:p>
    <w:p>
      <w:pPr>
        <w:spacing w:after="0" w:line="170" w:lineRule="exact"/>
        <w:rPr>
          <w:rFonts w:ascii="Arial" w:cs="Arial" w:eastAsia="Arial" w:hAnsi="Arial"/>
          <w:sz w:val="18"/>
          <w:szCs w:val="18"/>
          <w:color w:val="010000"/>
        </w:rPr>
      </w:pPr>
    </w:p>
    <w:p>
      <w:pPr>
        <w:ind w:left="1600" w:hanging="296"/>
        <w:spacing w:after="0"/>
        <w:tabs>
          <w:tab w:leader="none" w:pos="1600"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To use its reasonable best efforts to list, effect and maintain, subject to notice of issuance, the Notes on Nasdaq.</w:t>
      </w:r>
    </w:p>
    <w:p>
      <w:pPr>
        <w:spacing w:after="0" w:line="225" w:lineRule="exact"/>
        <w:rPr>
          <w:rFonts w:ascii="Arial" w:cs="Arial" w:eastAsia="Arial" w:hAnsi="Arial"/>
          <w:sz w:val="18"/>
          <w:szCs w:val="18"/>
          <w:color w:val="010000"/>
        </w:rPr>
      </w:pPr>
    </w:p>
    <w:p>
      <w:pPr>
        <w:jc w:val="both"/>
        <w:ind w:firstLine="1304"/>
        <w:spacing w:after="0" w:line="263" w:lineRule="auto"/>
        <w:tabs>
          <w:tab w:leader="none" w:pos="1551"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Until the Representative shall have notified the Company of the completion of the offering of the Notes, the Company will not take directly or indirectly any action designed, or that might reasonably be expected to cause or result in, or that will constitute, stabilization or manipulation of the price of any security of the Company to facilitate the sale or resale of any of the Notes.</w:t>
      </w:r>
    </w:p>
    <w:p>
      <w:pPr>
        <w:spacing w:after="0" w:line="183" w:lineRule="exact"/>
        <w:rPr>
          <w:rFonts w:ascii="Arial" w:cs="Arial" w:eastAsia="Arial" w:hAnsi="Arial"/>
          <w:sz w:val="18"/>
          <w:szCs w:val="18"/>
          <w:color w:val="010000"/>
        </w:rPr>
      </w:pPr>
    </w:p>
    <w:p>
      <w:pPr>
        <w:jc w:val="both"/>
        <w:ind w:firstLine="1304"/>
        <w:spacing w:after="0" w:line="263" w:lineRule="auto"/>
        <w:tabs>
          <w:tab w:leader="none" w:pos="1551"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To use its reasonable best efforts to do and perform all things required to be done or performed under this Agreement by the Company prior to the Time of Purchase or the Additional Time of Purchase, as applicable and to satisfy all conditions precedent to the delivery of the Notes to be delivered at such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left="840" w:hanging="184"/>
        <w:spacing w:after="0"/>
        <w:tabs>
          <w:tab w:leader="none" w:pos="840" w:val="left"/>
        </w:tabs>
        <w:numPr>
          <w:ilvl w:val="0"/>
          <w:numId w:val="23"/>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Payment of Expenses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agrees to pay, or reimburse if paid by the Underwriters, whether or not the transactions contemplated hereby are consummated or this Agreement is terminated: (a) the costs incident to the authorization, issuance, sale and delivery of the Notes to the Underwriters and any taxes payable in that connection; (b) the costs incident to the registration of the Notes under the Securities Act; (c) the costs incident to the preparation, printing and distribution of the Registration Statement, the Base Prospectus, any Issuer Free Writing Prospectus, the General Disclosure Package, the Prospectus, any amendments, supplements and exhibits thereto or any document incorporated by reference therein; (d) the reasonable and documented fees and expenses of counsel to the Underwriters incurred in connection with securing any required review by FINRA and any filings made with FINRA; (e) all costs and expenses incident to listing the Notes on Nasdaq; (f) the fees and expenses of counsel for the Underwriters incurred in connection with qualifying the Notes under the securities laws of the several jurisdictions as provided in </w:t>
      </w:r>
      <w:r>
        <w:rPr>
          <w:rFonts w:ascii="Arial" w:cs="Arial" w:eastAsia="Arial" w:hAnsi="Arial"/>
          <w:sz w:val="17"/>
          <w:szCs w:val="17"/>
          <w:u w:val="single" w:color="auto"/>
          <w:color w:val="auto"/>
        </w:rPr>
        <w:t>Section 4(e)</w:t>
      </w:r>
      <w:r>
        <w:rPr>
          <w:rFonts w:ascii="Arial" w:cs="Arial" w:eastAsia="Arial" w:hAnsi="Arial"/>
          <w:sz w:val="17"/>
          <w:szCs w:val="17"/>
          <w:color w:val="auto"/>
        </w:rPr>
        <w:t xml:space="preserve"> and of preparing, printing and distributing wrappers and blue sky memoranda; (g) the fees and expenses of the Trustee and any transfer agent, registrar or depository with respect to the Notes; (h) the expenses and application fees incurred in connection with the approval of the Notes for book-entry transfer by DTC; (i) the reasonable fees and disbursements of counsel to the Underwriters in an aggregate amount not to exceed $50,000 and (j) all other costs and expenses of the Company incident to the offering of the Notes by, or the performance of the obligations of, the Company under this Agreement (including, without limitation, the fees and expenses of the Company’s counsel and the Company’s independent accountants and the travel and other reasonable expenses incurred by Company personnel in connection with any “road show”).</w:t>
      </w:r>
    </w:p>
    <w:p>
      <w:pPr>
        <w:spacing w:after="0" w:line="180" w:lineRule="exact"/>
        <w:rPr>
          <w:sz w:val="20"/>
          <w:szCs w:val="20"/>
          <w:color w:val="auto"/>
        </w:rPr>
      </w:pPr>
    </w:p>
    <w:p>
      <w:pPr>
        <w:jc w:val="both"/>
        <w:ind w:firstLine="656"/>
        <w:spacing w:after="0" w:line="277" w:lineRule="auto"/>
        <w:tabs>
          <w:tab w:leader="none" w:pos="841" w:val="left"/>
        </w:tabs>
        <w:numPr>
          <w:ilvl w:val="0"/>
          <w:numId w:val="24"/>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Conditions to the Obligations of the Underwriters, and the Sale of the Notes</w:t>
      </w:r>
      <w:r>
        <w:rPr>
          <w:rFonts w:ascii="Arial" w:cs="Arial" w:eastAsia="Arial" w:hAnsi="Arial"/>
          <w:sz w:val="17"/>
          <w:szCs w:val="17"/>
          <w:color w:val="auto"/>
        </w:rPr>
        <w:t>. The obligations of the Underwriters hereunder,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of the sale of the Notes, are subject to the accuracy, when made and as of the Applicable Time and at the Time of Purchase or the Additional Time of Purchase, as the case may be, of the representations and warranties of the Company contained herein (except for inaccuracies that would not result in a Material Adverse Effect), to the accuracy of the statements of the Company made in any certificates pursuant to the provisions hereof, to the performance by the Company, in all material respects, of its obligations hereunder, and to each of the following additional terms and conditions:</w:t>
      </w:r>
    </w:p>
    <w:p>
      <w:pPr>
        <w:spacing w:after="0" w:line="171" w:lineRule="exact"/>
        <w:rPr>
          <w:rFonts w:ascii="Arial" w:cs="Arial" w:eastAsia="Arial" w:hAnsi="Arial"/>
          <w:sz w:val="17"/>
          <w:szCs w:val="17"/>
          <w:b w:val="1"/>
          <w:bCs w:val="1"/>
          <w:color w:val="010000"/>
        </w:rPr>
      </w:pPr>
    </w:p>
    <w:p>
      <w:pPr>
        <w:jc w:val="both"/>
        <w:ind w:firstLine="1304"/>
        <w:spacing w:after="0" w:line="290" w:lineRule="auto"/>
        <w:tabs>
          <w:tab w:leader="none" w:pos="1540" w:val="left"/>
        </w:tabs>
        <w:numPr>
          <w:ilvl w:val="1"/>
          <w:numId w:val="24"/>
        </w:numPr>
        <w:rPr>
          <w:rFonts w:ascii="Arial" w:cs="Arial" w:eastAsia="Arial" w:hAnsi="Arial"/>
          <w:sz w:val="16"/>
          <w:szCs w:val="16"/>
          <w:color w:val="010000"/>
        </w:rPr>
      </w:pPr>
      <w:r>
        <w:rPr>
          <w:rFonts w:ascii="Arial" w:cs="Arial" w:eastAsia="Arial" w:hAnsi="Arial"/>
          <w:sz w:val="16"/>
          <w:szCs w:val="16"/>
          <w:color w:val="auto"/>
        </w:rPr>
        <w:t xml:space="preserve">No stop order suspending the effectiveness of the Registration Statement or any part thereof, preventing or suspending the use of the Base Prospectus, the Prospectus or any Permitted Free Writing Prospectus or any part thereof shall have been issued and no proceedings for that purpose or pursuant to Section 8A under the Securities Act shall have been initiated by the Commission, and all requests for additional information on the part of the Commission (to be included or incorporated by reference in the Registration Statement or the Prospectus or otherwise) shall have been complied with; the Rule 462(b) Registration Statement, if any, each Issuer Free Writing Prospectus, if any, and the Prospectus shall have been filed with the Commission within the applicable time period prescribed for such filing by, and in compliance with, the Rules and Regulations and in accordance with </w:t>
      </w:r>
      <w:r>
        <w:rPr>
          <w:rFonts w:ascii="Arial" w:cs="Arial" w:eastAsia="Arial" w:hAnsi="Arial"/>
          <w:sz w:val="16"/>
          <w:szCs w:val="16"/>
          <w:u w:val="single" w:color="auto"/>
          <w:color w:val="auto"/>
        </w:rPr>
        <w:t>Section 4(a)</w:t>
      </w:r>
      <w:r>
        <w:rPr>
          <w:rFonts w:ascii="Arial" w:cs="Arial" w:eastAsia="Arial" w:hAnsi="Arial"/>
          <w:sz w:val="16"/>
          <w:szCs w:val="16"/>
          <w:color w:val="auto"/>
        </w:rPr>
        <w:t>, and the Rule 462(b) Registration Statement, if any, shall have become effective immediately upon its filing with the Commission; and FINRA shall have raised no objection to the fairness and reasonableness of the terms of this Agreement or the transactions contemplated 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firstLine="1304"/>
        <w:spacing w:after="0" w:line="301" w:lineRule="auto"/>
        <w:tabs>
          <w:tab w:leader="none" w:pos="1551" w:val="left"/>
        </w:tabs>
        <w:numPr>
          <w:ilvl w:val="1"/>
          <w:numId w:val="25"/>
        </w:numPr>
        <w:rPr>
          <w:rFonts w:ascii="Arial" w:cs="Arial" w:eastAsia="Arial" w:hAnsi="Arial"/>
          <w:sz w:val="16"/>
          <w:szCs w:val="16"/>
          <w:color w:val="010000"/>
        </w:rPr>
      </w:pPr>
      <w:r>
        <w:rPr>
          <w:rFonts w:ascii="Arial" w:cs="Arial" w:eastAsia="Arial" w:hAnsi="Arial"/>
          <w:sz w:val="16"/>
          <w:szCs w:val="16"/>
          <w:color w:val="auto"/>
        </w:rPr>
        <w:t>The Registration Statement or any amendment or supplement thereto shall not contain an untrue statement of a material fact or omit to state a material fact required to be stated therein or necessary to make the statements therein not misleading, and none of the General Disclosure Package, any Issuer Free Writing Prospectus or the Prospectus, or any amendment or supplement thereto, shall contain an untrue statement of a material fact or omit to state a material fact necessary in order to make the statements therein, in the light of the circumstances in which they were made, not misleading.</w:t>
      </w:r>
    </w:p>
    <w:p>
      <w:pPr>
        <w:spacing w:after="0" w:line="157" w:lineRule="exact"/>
        <w:rPr>
          <w:rFonts w:ascii="Arial" w:cs="Arial" w:eastAsia="Arial" w:hAnsi="Arial"/>
          <w:sz w:val="16"/>
          <w:szCs w:val="16"/>
          <w:color w:val="010000"/>
        </w:rPr>
      </w:pPr>
    </w:p>
    <w:p>
      <w:pPr>
        <w:jc w:val="both"/>
        <w:ind w:firstLine="1304"/>
        <w:spacing w:after="0" w:line="287" w:lineRule="auto"/>
        <w:tabs>
          <w:tab w:leader="none" w:pos="1540" w:val="left"/>
        </w:tabs>
        <w:numPr>
          <w:ilvl w:val="1"/>
          <w:numId w:val="25"/>
        </w:numPr>
        <w:rPr>
          <w:rFonts w:ascii="Arial" w:cs="Arial" w:eastAsia="Arial" w:hAnsi="Arial"/>
          <w:sz w:val="16"/>
          <w:szCs w:val="16"/>
          <w:color w:val="010000"/>
        </w:rPr>
      </w:pPr>
      <w:r>
        <w:rPr>
          <w:rFonts w:ascii="Arial" w:cs="Arial" w:eastAsia="Arial" w:hAnsi="Arial"/>
          <w:sz w:val="16"/>
          <w:szCs w:val="16"/>
          <w:color w:val="auto"/>
        </w:rPr>
        <w:t>The Company shall have furnished to the Representative a certificate, dated the Closing Date or the Additional Closing Date, as the case may be, of its Chief Executive Officer and its Chief Financial Officer stating that (i) since the effective date of the Registration Statement, no event has occurred which should have been set forth in a supplement or amendment to the Registration Statement, the General Disclosure Package or the Prospectus,</w:t>
      </w:r>
    </w:p>
    <w:p>
      <w:pPr>
        <w:spacing w:after="0" w:line="2" w:lineRule="exact"/>
        <w:rPr>
          <w:rFonts w:ascii="Arial" w:cs="Arial" w:eastAsia="Arial" w:hAnsi="Arial"/>
          <w:sz w:val="16"/>
          <w:szCs w:val="16"/>
          <w:color w:val="010000"/>
        </w:rPr>
      </w:pPr>
    </w:p>
    <w:p>
      <w:pPr>
        <w:jc w:val="both"/>
        <w:ind w:firstLine="8"/>
        <w:spacing w:after="0" w:line="288" w:lineRule="auto"/>
        <w:tabs>
          <w:tab w:leader="none" w:pos="2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or incorporated by reference in the General Disclosure Package, any material adverse change in the financial position or results of operations of the Company and its Subsidiaries, taken as a whole, or any change or development that, individually or in the aggregate, would reasonably be expected to involve a material adverse change in or affecting the condition (financial or otherwise), results of operations, business or assets of the Company and its Subsidiaries, taken as a whole, except as set forth in the Prospectus.</w:t>
      </w:r>
    </w:p>
    <w:p>
      <w:pPr>
        <w:spacing w:after="0" w:line="168" w:lineRule="exact"/>
        <w:rPr>
          <w:rFonts w:ascii="Arial" w:cs="Arial" w:eastAsia="Arial" w:hAnsi="Arial"/>
          <w:sz w:val="16"/>
          <w:szCs w:val="16"/>
          <w:color w:val="auto"/>
        </w:rPr>
      </w:pPr>
    </w:p>
    <w:p>
      <w:pPr>
        <w:jc w:val="both"/>
        <w:ind w:firstLine="1304"/>
        <w:spacing w:after="0" w:line="271" w:lineRule="auto"/>
        <w:tabs>
          <w:tab w:leader="none" w:pos="1564" w:val="left"/>
        </w:tabs>
        <w:numPr>
          <w:ilvl w:val="1"/>
          <w:numId w:val="26"/>
        </w:numPr>
        <w:rPr>
          <w:rFonts w:ascii="Arial" w:cs="Arial" w:eastAsia="Arial" w:hAnsi="Arial"/>
          <w:sz w:val="17"/>
          <w:szCs w:val="17"/>
          <w:color w:val="010000"/>
        </w:rPr>
      </w:pPr>
      <w:r>
        <w:rPr>
          <w:rFonts w:ascii="Arial" w:cs="Arial" w:eastAsia="Arial" w:hAnsi="Arial"/>
          <w:sz w:val="17"/>
          <w:szCs w:val="17"/>
          <w:color w:val="auto"/>
        </w:rPr>
        <w:t xml:space="preserve">Since the date of the latest audited financial statements with respect to the Company and its Subsidiaries included in the General Disclosure Package or incorporated by reference in the General Disclosure Package as of the date hereof,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of the Company or any change in the long-term debt of the Company and its Subsidiaries, taken as a whole, or any change or any development in or affecting the business, general affairs, management, financial position, stockholders’ equity or results of operations of the Company and its Subsidiaries, taken as a whole, otherwise than as set forth in the General Disclosure Package, the effect of which, in any such case described in clause (i) or (ii) of this </w:t>
      </w:r>
      <w:r>
        <w:rPr>
          <w:rFonts w:ascii="Arial" w:cs="Arial" w:eastAsia="Arial" w:hAnsi="Arial"/>
          <w:sz w:val="17"/>
          <w:szCs w:val="17"/>
          <w:u w:val="single" w:color="auto"/>
          <w:color w:val="auto"/>
        </w:rPr>
        <w:t>Section 6(e)</w:t>
      </w:r>
      <w:r>
        <w:rPr>
          <w:rFonts w:ascii="Arial" w:cs="Arial" w:eastAsia="Arial" w:hAnsi="Arial"/>
          <w:sz w:val="17"/>
          <w:szCs w:val="17"/>
          <w:color w:val="auto"/>
        </w:rPr>
        <w:t>, would result in a Material Adverse Effect.</w:t>
      </w:r>
    </w:p>
    <w:p>
      <w:pPr>
        <w:spacing w:after="0" w:line="178" w:lineRule="exact"/>
        <w:rPr>
          <w:rFonts w:ascii="Arial" w:cs="Arial" w:eastAsia="Arial" w:hAnsi="Arial"/>
          <w:sz w:val="17"/>
          <w:szCs w:val="17"/>
          <w:color w:val="010000"/>
        </w:rPr>
      </w:pPr>
    </w:p>
    <w:p>
      <w:pPr>
        <w:jc w:val="both"/>
        <w:ind w:firstLine="1304"/>
        <w:spacing w:after="0" w:line="259" w:lineRule="auto"/>
        <w:tabs>
          <w:tab w:leader="none" w:pos="1554" w:val="left"/>
        </w:tabs>
        <w:numPr>
          <w:ilvl w:val="1"/>
          <w:numId w:val="26"/>
        </w:numPr>
        <w:rPr>
          <w:rFonts w:ascii="Arial" w:cs="Arial" w:eastAsia="Arial" w:hAnsi="Arial"/>
          <w:sz w:val="18"/>
          <w:szCs w:val="18"/>
          <w:color w:val="010000"/>
        </w:rPr>
      </w:pPr>
      <w:r>
        <w:rPr>
          <w:rFonts w:ascii="Arial" w:cs="Arial" w:eastAsia="Arial" w:hAnsi="Arial"/>
          <w:sz w:val="18"/>
          <w:szCs w:val="18"/>
          <w:color w:val="auto"/>
        </w:rPr>
        <w:t>No action shall have been taken and no law, statute, rule, regulation or order shall have been enacted, adopted or issued by any governmental agency or body which would prevent the issuance or sale of the Notes or result in a Material Adverse Effect; and no injunction, restraining order or order of any other nature by any United States federal or state court of competent jurisdiction shall have been issued which would prevent the issuance or sale of the Notes or result in a Material Adverse Effect.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firstLine="1304"/>
        <w:spacing w:after="0" w:line="286" w:lineRule="auto"/>
        <w:tabs>
          <w:tab w:leader="none" w:pos="1521" w:val="left"/>
        </w:tabs>
        <w:numPr>
          <w:ilvl w:val="0"/>
          <w:numId w:val="27"/>
        </w:numPr>
        <w:rPr>
          <w:rFonts w:ascii="Arial" w:cs="Arial" w:eastAsia="Arial" w:hAnsi="Arial"/>
          <w:sz w:val="16"/>
          <w:szCs w:val="16"/>
          <w:color w:val="010000"/>
        </w:rPr>
      </w:pPr>
      <w:r>
        <w:rPr>
          <w:rFonts w:ascii="Arial" w:cs="Arial" w:eastAsia="Arial" w:hAnsi="Arial"/>
          <w:sz w:val="16"/>
          <w:szCs w:val="16"/>
          <w:color w:val="auto"/>
        </w:rPr>
        <w:t>Subsequent to the execution and delivery of this Agreement there shall not have occurred any of the following: (i) trading 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subsidiaries, considered as one enterprise, whether or not arising in the ordinary course of business, or (iv) there shall have occurred such a material adverse change in general economic, political or financial conditions (or the effect of international conditions on the financial markets in the United States shall be such) as to make it, in the reasonable judgment of the Underwriter, impracticable or inadvisable to proceed with the sale or delivery of the Notes on the terms and in the manner contemplated in the General Disclosure Package and the Prospectus.</w:t>
      </w:r>
    </w:p>
    <w:p>
      <w:pPr>
        <w:spacing w:after="0" w:line="170" w:lineRule="exact"/>
        <w:rPr>
          <w:rFonts w:ascii="Arial" w:cs="Arial" w:eastAsia="Arial" w:hAnsi="Arial"/>
          <w:sz w:val="16"/>
          <w:szCs w:val="16"/>
          <w:color w:val="010000"/>
        </w:rPr>
      </w:pPr>
    </w:p>
    <w:p>
      <w:pPr>
        <w:jc w:val="both"/>
        <w:ind w:firstLine="1304"/>
        <w:spacing w:after="0" w:line="263" w:lineRule="auto"/>
        <w:tabs>
          <w:tab w:leader="none" w:pos="1551"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(i) an opinion and negative assurance letter of Waller Lansden Dortch &amp; Davis, LLP, counsel for the Company, and (ii) Polsinelli PC, intellectual property counsel for the Company, each dated the Closing Date or the Additional Closing Date, as the case may be, covering such matters as the Underwriters shall reasonably request.</w:t>
      </w:r>
    </w:p>
    <w:p>
      <w:pPr>
        <w:spacing w:after="0" w:line="183" w:lineRule="exact"/>
        <w:rPr>
          <w:rFonts w:ascii="Arial" w:cs="Arial" w:eastAsia="Arial" w:hAnsi="Arial"/>
          <w:sz w:val="18"/>
          <w:szCs w:val="18"/>
          <w:color w:val="010000"/>
        </w:rPr>
      </w:pPr>
    </w:p>
    <w:p>
      <w:pPr>
        <w:ind w:right="20" w:firstLine="1304"/>
        <w:spacing w:after="0" w:line="277" w:lineRule="auto"/>
        <w:tabs>
          <w:tab w:leader="none" w:pos="1564"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the favorable opinion of Duane Morris LLP, counsel for the Underwriters, dated the Closing Date or the Additional Closing Date, as the case may be, and covering such matters as the Underwriters shall reasonably request.</w:t>
      </w:r>
    </w:p>
    <w:p>
      <w:pPr>
        <w:spacing w:after="0" w:line="170" w:lineRule="exact"/>
        <w:rPr>
          <w:rFonts w:ascii="Arial" w:cs="Arial" w:eastAsia="Arial" w:hAnsi="Arial"/>
          <w:sz w:val="18"/>
          <w:szCs w:val="18"/>
          <w:color w:val="010000"/>
        </w:rPr>
      </w:pPr>
    </w:p>
    <w:p>
      <w:pPr>
        <w:jc w:val="both"/>
        <w:ind w:firstLine="1304"/>
        <w:spacing w:after="0" w:line="259" w:lineRule="auto"/>
        <w:tabs>
          <w:tab w:leader="none" w:pos="1511" w:val="left"/>
        </w:tabs>
        <w:numPr>
          <w:ilvl w:val="0"/>
          <w:numId w:val="27"/>
        </w:numPr>
        <w:rPr>
          <w:rFonts w:ascii="Arial" w:cs="Arial" w:eastAsia="Arial" w:hAnsi="Arial"/>
          <w:sz w:val="18"/>
          <w:szCs w:val="18"/>
          <w:color w:val="010000"/>
        </w:rPr>
      </w:pPr>
      <w:r>
        <w:rPr>
          <w:rFonts w:ascii="Arial" w:cs="Arial" w:eastAsia="Arial" w:hAnsi="Arial"/>
          <w:sz w:val="18"/>
          <w:szCs w:val="18"/>
          <w:color w:val="auto"/>
        </w:rPr>
        <w:t>The Underwriters shall have received from KMJ Corbin &amp; Company LLP letters dated, respectively, the date hereof, the Closing Date and, if applicable, the Additional Closing Date, in form and substance satisfactory to the Representative containing statements and information of the type ordinarily included in accountants’ “comfort letters” to underwriters with respect to the financial statements and certain financial information contained in the General Disclosure Package, the Prospectus and the Registration Statement.</w:t>
      </w:r>
    </w:p>
    <w:p>
      <w:pPr>
        <w:spacing w:after="0" w:line="186" w:lineRule="exact"/>
        <w:rPr>
          <w:rFonts w:ascii="Arial" w:cs="Arial" w:eastAsia="Arial" w:hAnsi="Arial"/>
          <w:sz w:val="18"/>
          <w:szCs w:val="18"/>
          <w:color w:val="010000"/>
        </w:rPr>
      </w:pPr>
    </w:p>
    <w:p>
      <w:pPr>
        <w:ind w:firstLine="1304"/>
        <w:spacing w:after="0" w:line="308" w:lineRule="auto"/>
        <w:tabs>
          <w:tab w:leader="none" w:pos="1511" w:val="left"/>
        </w:tabs>
        <w:numPr>
          <w:ilvl w:val="0"/>
          <w:numId w:val="27"/>
        </w:numPr>
        <w:rPr>
          <w:rFonts w:ascii="Arial" w:cs="Arial" w:eastAsia="Arial" w:hAnsi="Arial"/>
          <w:sz w:val="17"/>
          <w:szCs w:val="17"/>
          <w:color w:val="010000"/>
        </w:rPr>
      </w:pPr>
      <w:r>
        <w:rPr>
          <w:rFonts w:ascii="Arial" w:cs="Arial" w:eastAsia="Arial" w:hAnsi="Arial"/>
          <w:sz w:val="17"/>
          <w:szCs w:val="17"/>
          <w:color w:val="auto"/>
        </w:rPr>
        <w:t>The Company shall have furnished to the Representative such further certificates and documents as the Representative may reasonably require for the purpose of enabling the Underwriters to pass upon the issuance and sale of the Notes as herein contemplated.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ind w:left="1560" w:hanging="256"/>
        <w:spacing w:after="0"/>
        <w:tabs>
          <w:tab w:leader="none" w:pos="1560" w:val="left"/>
        </w:tabs>
        <w:numPr>
          <w:ilvl w:val="0"/>
          <w:numId w:val="28"/>
        </w:numPr>
        <w:rPr>
          <w:rFonts w:ascii="Arial" w:cs="Arial" w:eastAsia="Arial" w:hAnsi="Arial"/>
          <w:sz w:val="18"/>
          <w:szCs w:val="18"/>
          <w:color w:val="010000"/>
        </w:rPr>
      </w:pPr>
      <w:r>
        <w:rPr>
          <w:rFonts w:ascii="Arial" w:cs="Arial" w:eastAsia="Arial" w:hAnsi="Arial"/>
          <w:sz w:val="18"/>
          <w:szCs w:val="18"/>
          <w:color w:val="auto"/>
        </w:rPr>
        <w:t>The Company and the Trustee shall have executed and delivered the First Supplemental Indenture and the Notes.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If any condition specified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not satisfied when and as required to be satisfied, this Agreement may be terminated in the absolute discretion of the Representative by notice to the Company at any time on or prior to the Closing Date and, with respect to the Additional Notes, at any time on or prior to the applicable Additional Closing Date, which termination shall be without liability on the part of any party to any other party (except to the extent provided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except that </w:t>
      </w:r>
      <w:r>
        <w:rPr>
          <w:rFonts w:ascii="Arial" w:cs="Arial" w:eastAsia="Arial" w:hAnsi="Arial"/>
          <w:sz w:val="16"/>
          <w:szCs w:val="16"/>
          <w:u w:val="single" w:color="auto"/>
          <w:color w:val="auto"/>
        </w:rPr>
        <w:t>Sections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shall at all times be effective and shall survive such termination.</w:t>
      </w:r>
    </w:p>
    <w:p>
      <w:pPr>
        <w:spacing w:after="0" w:line="153" w:lineRule="exact"/>
        <w:rPr>
          <w:sz w:val="20"/>
          <w:szCs w:val="20"/>
          <w:color w:val="auto"/>
        </w:rPr>
      </w:pPr>
    </w:p>
    <w:p>
      <w:pPr>
        <w:ind w:left="840" w:hanging="184"/>
        <w:spacing w:after="0"/>
        <w:tabs>
          <w:tab w:leader="none" w:pos="840" w:val="left"/>
        </w:tabs>
        <w:numPr>
          <w:ilvl w:val="0"/>
          <w:numId w:val="29"/>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Increase in Underwriters’ Commitments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if any Underwriter shall default in its obligation to take up and pay for the Firm Notes to be purchased by it hereunder (otherwise than for a failure of a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 and if the aggregate principal amount of Firm Notes which all Underwriters so defaulting shall have agreed but failed to take up and pay for does not exceed 10% of the total aggregate principal amount of Firm Notes, the non-defaulting Underwriters shall take up and pay for (in addition to the aggregate principal amount of Firm Notes they are obligated to purchase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the aggregate principal amount of Firm Notes agreed to be purchased by all such defaulting Underwriters, as hereinafter provided. Such Notes shall be taken up and paid for by such non-defaulting Underwriters in such amount or amounts as the Representative may designate with the consent of each Underwriter so designated or, in the event no such designation is made, such Notes shall be taken up and paid for by all non-defaulting Underwriters pro rata in proportion to the aggregate principal amount of Firm Notes set opposite the names of such non-defaulting Underwriters in </w:t>
      </w:r>
      <w:r>
        <w:rPr>
          <w:rFonts w:ascii="Arial" w:cs="Arial" w:eastAsia="Arial" w:hAnsi="Arial"/>
          <w:sz w:val="18"/>
          <w:szCs w:val="18"/>
          <w:u w:val="single" w:color="auto"/>
          <w:color w:val="auto"/>
        </w:rPr>
        <w:t>Schedule A.</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Without relieving any defaulting Underwriter from its obligations hereunder, the Company agrees with the non-defaulting Underwriters that it will not sell any Firm Notes hereunder unless all of the Firm Notes are purchased by the Underwriters (or by substituted Underwriters selected by the Representative with the approval of the Company or selected by the Company with the Representative’s approval).</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 new Underwriter is or Underwriters are substituted by the Representative or by the Company for a defaulting Underwriter or Underwriters in accordance with the foregoing provision, the Company or the Representative shall have the right to postpone the time of purchase for a period not exceeding five business days in order that any necessary changes in the General Disclosure Package and other documents that may be effected.</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The term Underwriter as used in this Agreement shall refer to and include any Underwriter substituted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like effect as if such substituted Underwriter had originally been named in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ind w:firstLine="648"/>
        <w:spacing w:after="0" w:line="254" w:lineRule="auto"/>
        <w:rPr>
          <w:sz w:val="20"/>
          <w:szCs w:val="20"/>
          <w:color w:val="auto"/>
        </w:rPr>
      </w:pPr>
      <w:r>
        <w:rPr>
          <w:rFonts w:ascii="Arial" w:cs="Arial" w:eastAsia="Arial" w:hAnsi="Arial"/>
          <w:sz w:val="18"/>
          <w:szCs w:val="18"/>
          <w:color w:val="auto"/>
        </w:rPr>
        <w:t xml:space="preserve">If the aggregate principal amount of Firm Notes which the defaulting Underwriter or Underwriters agreed to purchase exceeds 10% of the total aggregate principal amount of Firm Notes which all Underwriters agreed to purchase hereunder, and if neither the non-defaulting Underwriters nor the Company shall make arrangements within the five business day-period stated above for the purchase of all the Firm Notes which the defaulting Underwriter or Underwriters agreed to purchase hereunder, then this Agreement shall terminate without further act or deed and without any liability on the part of the Company to any non-defaulting Underwriter (except as provided in </w:t>
      </w:r>
      <w:r>
        <w:rPr>
          <w:rFonts w:ascii="Arial" w:cs="Arial" w:eastAsia="Arial" w:hAnsi="Arial"/>
          <w:sz w:val="18"/>
          <w:szCs w:val="18"/>
          <w:u w:val="single" w:color="auto"/>
          <w:color w:val="auto"/>
        </w:rPr>
        <w:t>Section 8</w:t>
      </w:r>
      <w:r>
        <w:rPr>
          <w:rFonts w:ascii="Arial" w:cs="Arial" w:eastAsia="Arial" w:hAnsi="Arial"/>
          <w:sz w:val="18"/>
          <w:szCs w:val="18"/>
          <w:color w:val="auto"/>
        </w:rPr>
        <w:t>)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91" w:lineRule="exact"/>
        <w:rPr>
          <w:sz w:val="20"/>
          <w:szCs w:val="20"/>
          <w:color w:val="auto"/>
        </w:rPr>
      </w:pPr>
    </w:p>
    <w:p>
      <w:pPr>
        <w:ind w:left="840" w:hanging="184"/>
        <w:spacing w:after="0"/>
        <w:tabs>
          <w:tab w:leader="none" w:pos="840" w:val="left"/>
        </w:tabs>
        <w:numPr>
          <w:ilvl w:val="1"/>
          <w:numId w:val="30"/>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010000"/>
        </w:rPr>
      </w:pPr>
    </w:p>
    <w:p>
      <w:pPr>
        <w:jc w:val="both"/>
        <w:ind w:firstLine="1304"/>
        <w:spacing w:after="0" w:line="284" w:lineRule="auto"/>
        <w:tabs>
          <w:tab w:leader="none" w:pos="1540" w:val="left"/>
        </w:tabs>
        <w:numPr>
          <w:ilvl w:val="2"/>
          <w:numId w:val="30"/>
        </w:numPr>
        <w:rPr>
          <w:rFonts w:ascii="Arial" w:cs="Arial" w:eastAsia="Arial" w:hAnsi="Arial"/>
          <w:sz w:val="16"/>
          <w:szCs w:val="16"/>
          <w:color w:val="010000"/>
        </w:rPr>
      </w:pPr>
      <w:r>
        <w:rPr>
          <w:rFonts w:ascii="Arial" w:cs="Arial" w:eastAsia="Arial" w:hAnsi="Arial"/>
          <w:sz w:val="16"/>
          <w:szCs w:val="16"/>
          <w:color w:val="auto"/>
        </w:rPr>
        <w:t>The Company agrees to indemnify and hold harmless each Underwriter, its respective affiliates and each of their respective directors, officers, members, employees, representatives and agents and their respective affiliates, and each person, if any, who controls such Underwriter within the meaning of Section 15 of the Securities Act or Section 20 of the Exchange Act (collectively the “</w:t>
      </w:r>
      <w:r>
        <w:rPr>
          <w:rFonts w:ascii="Arial" w:cs="Arial" w:eastAsia="Arial" w:hAnsi="Arial"/>
          <w:sz w:val="16"/>
          <w:szCs w:val="16"/>
          <w:b w:val="1"/>
          <w:bCs w:val="1"/>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document incorporated by reference therein,</w:t>
      </w:r>
    </w:p>
    <w:p>
      <w:pPr>
        <w:jc w:val="both"/>
        <w:ind w:firstLine="8"/>
        <w:spacing w:after="0" w:line="267" w:lineRule="auto"/>
        <w:tabs>
          <w:tab w:leader="none" w:pos="2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omission or alleged omission to state in any Issuer Free Writing Prospectus, any “issuer information” filed or required to be filed pursuant to Rule 433(d) of the Rules and Regulations, any Registration Statement or the Prospectus, or in any amendment or supplement thereto or document incorporated by reference therein, a material fact required to be stated therein or necessary to make the statements therein not misleading, or (C) any breach of the representations and warranties of the Company contained herein or failure of the Company to perform its obligations hereunder or pursuant to any law, and shall reimburse the Underwriter Indemnified Party promptly upon demand for any legal fees or other expenses reasonably incurred by such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expense or liability arises out of or is based upon an untrue statement or alleged untrue statement in, or omission or alleged omission from, any Registration Statement or the Prospectus, or any such amendment or supplement thereto, or any Issuer Free Writing Prospectus made in reliance upon and in conformity with written information concerning the Underwriters furnished to the Company by or on behalf of the Underwriters specifically for use therein, which information the parties hereto agree is limited to the Underwriter’s Information. This indemnity agreement is not exclusive and will be in addition to any liability, which the Company may otherwise have and shall not limit any rights or remedies which may otherwise be available at law or in equity to each Underwriter Indemnified Party.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ind w:firstLine="1304"/>
        <w:spacing w:after="0" w:line="285" w:lineRule="auto"/>
        <w:tabs>
          <w:tab w:leader="none" w:pos="1564" w:val="left"/>
        </w:tabs>
        <w:numPr>
          <w:ilvl w:val="0"/>
          <w:numId w:val="32"/>
        </w:numPr>
        <w:rPr>
          <w:rFonts w:ascii="Arial" w:cs="Arial" w:eastAsia="Arial" w:hAnsi="Arial"/>
          <w:sz w:val="16"/>
          <w:szCs w:val="16"/>
          <w:color w:val="010000"/>
        </w:rPr>
      </w:pPr>
      <w:r>
        <w:rPr>
          <w:rFonts w:ascii="Arial" w:cs="Arial" w:eastAsia="Arial" w:hAnsi="Arial"/>
          <w:sz w:val="16"/>
          <w:szCs w:val="16"/>
          <w:color w:val="auto"/>
        </w:rPr>
        <w:t>Each Underwriter severally and not jointly agrees to indemnify and hold harmless the Company and its directors,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6"/>
          <w:szCs w:val="16"/>
          <w:b w:val="1"/>
          <w:bCs w:val="1"/>
          <w:color w:val="auto"/>
        </w:rPr>
        <w:t>Company Indemnified Parties</w:t>
      </w:r>
      <w:r>
        <w:rPr>
          <w:rFonts w:ascii="Arial" w:cs="Arial" w:eastAsia="Arial" w:hAnsi="Arial"/>
          <w:sz w:val="16"/>
          <w:szCs w:val="16"/>
          <w:color w:val="auto"/>
        </w:rPr>
        <w:t>” and each a “</w:t>
      </w:r>
      <w:r>
        <w:rPr>
          <w:rFonts w:ascii="Arial" w:cs="Arial" w:eastAsia="Arial" w:hAnsi="Arial"/>
          <w:sz w:val="16"/>
          <w:szCs w:val="16"/>
          <w:b w:val="1"/>
          <w:bCs w:val="1"/>
          <w:color w:val="auto"/>
        </w:rPr>
        <w:t>Company Indemnified Party</w:t>
      </w:r>
      <w:r>
        <w:rPr>
          <w:rFonts w:ascii="Arial" w:cs="Arial" w:eastAsia="Arial" w:hAnsi="Arial"/>
          <w:sz w:val="16"/>
          <w:szCs w:val="16"/>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Issuer Free Writing Prospectus, any “issuer information” filed or required to be filed pursuant to Rule 433(d) of the Rules and Regulations, any Registration Statement or the Prospectus, or in any amendment or supplement thereto, or (ii) the omission or alleged omission to state in any Issuer Free Writing Prospectus, any “issuer information” filed or required to be filed pursuant to Rule 433(d) of the Rules and Regulations, any Registration Statement or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Underwriter might otherwise have and shall not limit any rights or remedies which may otherwise be available under this Agreement, at law or in equity to the Company Indemnified Parties.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1304"/>
        <w:spacing w:after="0" w:line="283" w:lineRule="auto"/>
        <w:tabs>
          <w:tab w:leader="none" w:pos="1554" w:val="left"/>
        </w:tabs>
        <w:numPr>
          <w:ilvl w:val="0"/>
          <w:numId w:val="33"/>
        </w:numPr>
        <w:rPr>
          <w:rFonts w:ascii="Arial" w:cs="Arial" w:eastAsia="Arial" w:hAnsi="Arial"/>
          <w:sz w:val="16"/>
          <w:szCs w:val="16"/>
          <w:color w:val="010000"/>
        </w:rPr>
      </w:pPr>
      <w:r>
        <w:rPr>
          <w:rFonts w:ascii="Arial" w:cs="Arial" w:eastAsia="Arial" w:hAnsi="Arial"/>
          <w:sz w:val="16"/>
          <w:szCs w:val="16"/>
          <w:color w:val="auto"/>
        </w:rPr>
        <w:t xml:space="preserve">Promptly after receipt by an indemnified party under this Section 8 of notice of the commencement of any action, the indemnified party shall, if a claim in respect thereof is to be made against an indemnifying party under this Section 8, notify such indemnifying party in writing of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8 except to the extent it has been materially prejudiced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an indemnifying party shall not relieve it from any liability which it may have to an indemnified party otherwise than under this Section 8.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and approval by the indemnified party of counsel as set forth herein, except as provided herein, the indemnifying party shall not be liable to the indemnified party under Section 8 for any legal or other expenses subsequently incurred by the indemnified party in connection with the defense of such action other than reasonable costs of investigation;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indemnified party shall have the right to employ separate counsel in any such action and to participate in the defense of such action but the fees and expenses of such counsel (other than reasonable costs of investigation which shall remain the expense of the Company) shall be at the expense of such indemnified party unless (i) in the case of an Underwriter Indemnified Party, the employment thereof has been specifically authorized in writing by the Company in the case of a claim for indemnification under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or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Underwriter if the indemnified parties under this Section 8 consist of any Underwriter Indemnified Party or by the Company if the indemnified parties under this Section 8 consist of any Company Indemnified Parties. Subject to this Section 8(d), the amount payable by an indemnifying party under Section 8 shall include, but not be limited to, (x) reasonable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8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 any time an indemnified party shall have requested that an indemnifying party reimburse the indemnified party for reasonable fees and expenses of counsel, such indemnifying party agrees that it shall be liable for any settlement of the nature contemplated herein effected without its written consent if (i) such settlement is entered into more than forty-five (45) days after receipt by such indemnifying party of the request for reimbursement, (ii) such indemnifying party shall have received notice of the terms of such settlement at least thirty (30) days prior to such settlement being entered into and (iii) such indemnifying party shall not have reimbursed such indemnified party in accordance with such request prior to the date of such settlement.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firstLine="1304"/>
        <w:spacing w:after="0" w:line="286" w:lineRule="auto"/>
        <w:tabs>
          <w:tab w:leader="none" w:pos="1551" w:val="left"/>
        </w:tabs>
        <w:numPr>
          <w:ilvl w:val="0"/>
          <w:numId w:val="34"/>
        </w:numPr>
        <w:rPr>
          <w:rFonts w:ascii="Arial" w:cs="Arial" w:eastAsia="Arial" w:hAnsi="Arial"/>
          <w:sz w:val="16"/>
          <w:szCs w:val="16"/>
          <w:color w:val="010000"/>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is unavailable or insufficient to hold harmless an indemnified party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8(b)</w:t>
      </w:r>
      <w:r>
        <w:rPr>
          <w:rFonts w:ascii="Arial" w:cs="Arial" w:eastAsia="Arial" w:hAnsi="Arial"/>
          <w:sz w:val="16"/>
          <w:szCs w:val="16"/>
          <w:color w:val="auto"/>
        </w:rPr>
        <w:t xml:space="preserve">, then each applicable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hand from the Offering, or (ii) if the allocation provided by clause (i) of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is not permitted by applicable law, in such proportion as is appropriate to reflect not only the relative benefits referred to in clause (i) of this </w:t>
      </w:r>
      <w:r>
        <w:rPr>
          <w:rFonts w:ascii="Arial" w:cs="Arial" w:eastAsia="Arial" w:hAnsi="Arial"/>
          <w:sz w:val="16"/>
          <w:szCs w:val="16"/>
          <w:u w:val="single" w:color="auto"/>
          <w:color w:val="auto"/>
        </w:rPr>
        <w:t>Section 8(d)</w:t>
      </w:r>
      <w:r>
        <w:rPr>
          <w:rFonts w:ascii="Arial" w:cs="Arial" w:eastAsia="Arial" w:hAnsi="Arial"/>
          <w:sz w:val="16"/>
          <w:szCs w:val="16"/>
          <w:color w:val="auto"/>
        </w:rPr>
        <w:t xml:space="preserve"> but also the relative fault of the Company on the one hand and each of the respective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hand with respect to such Offering shall be deemed to be in the same proportion as the total net proceeds from the Offering pursuant to this Agreement (before deducting expenses) received by the Company bear to the total compensation received by the Underwriter in connection with the Offering, in each case as set forth in the table on the cover page of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on the one hand or the Underwriters on the other hand, the intent of the parties and their relative knowledge, access to information and opportunity to correct or prevent such untrue statement, omission, act or failure to act.</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Company and the Underwriters agree that it would not be just and equitable if contributions pursuant to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shall be deemed to include, for purposes of this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w:t>
      </w:r>
      <w:r>
        <w:rPr>
          <w:rFonts w:ascii="Arial" w:cs="Arial" w:eastAsia="Arial" w:hAnsi="Arial"/>
          <w:sz w:val="17"/>
          <w:szCs w:val="17"/>
          <w:u w:val="single" w:color="auto"/>
          <w:color w:val="auto"/>
        </w:rPr>
        <w:t>Section 8(d)</w:t>
      </w:r>
      <w:r>
        <w:rPr>
          <w:rFonts w:ascii="Arial" w:cs="Arial" w:eastAsia="Arial" w:hAnsi="Arial"/>
          <w:sz w:val="17"/>
          <w:szCs w:val="17"/>
          <w:color w:val="auto"/>
        </w:rPr>
        <w:t>, no Underwriter shall be required to contribute any amount in excess of the total compensation received by such Underwriter hereunder less the amount of any damages which such Underwriter has otherwise paid or become liable to pay by reason of any untrue or alleged untrue statement, omission or alleged omission, act or alleged act or failure to act or alleged failure to act.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10(f) of the Securities Act) shall be entitled to contribution from any person who was not guilty of such fraudulent misrepresentation.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ind w:left="840" w:hanging="184"/>
        <w:spacing w:after="0"/>
        <w:tabs>
          <w:tab w:leader="none" w:pos="840"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Absence of Fiduciary Relationship</w:t>
      </w:r>
      <w:r>
        <w:rPr>
          <w:rFonts w:ascii="Arial" w:cs="Arial" w:eastAsia="Arial" w:hAnsi="Arial"/>
          <w:sz w:val="18"/>
          <w:szCs w:val="18"/>
          <w:color w:val="auto"/>
        </w:rPr>
        <w:t>. The Company acknowledges and agrees that:</w:t>
      </w:r>
    </w:p>
    <w:p>
      <w:pPr>
        <w:spacing w:after="0" w:line="229" w:lineRule="exact"/>
        <w:rPr>
          <w:rFonts w:ascii="Arial" w:cs="Arial" w:eastAsia="Arial" w:hAnsi="Arial"/>
          <w:sz w:val="18"/>
          <w:szCs w:val="18"/>
          <w:b w:val="1"/>
          <w:bCs w:val="1"/>
          <w:color w:val="010000"/>
        </w:rPr>
      </w:pPr>
    </w:p>
    <w:p>
      <w:pPr>
        <w:jc w:val="both"/>
        <w:ind w:firstLine="1304"/>
        <w:spacing w:after="0" w:line="259" w:lineRule="auto"/>
        <w:tabs>
          <w:tab w:leader="none" w:pos="1540"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Underwriters’ responsibility to the Company is solely contractual in nature, the Underwriters have been retained solely to act as underwriters in connection with the Offering and no fiduciary, advisory or agency relationship between the Company and any Underwriter has been created in respect of any of the transactions contemplated by this Agreement, irrespective of whether such Underwriter has advised or is advising the Company on other matters;</w:t>
      </w:r>
    </w:p>
    <w:p>
      <w:pPr>
        <w:spacing w:after="0" w:line="186" w:lineRule="exact"/>
        <w:rPr>
          <w:rFonts w:ascii="Arial" w:cs="Arial" w:eastAsia="Arial" w:hAnsi="Arial"/>
          <w:sz w:val="18"/>
          <w:szCs w:val="18"/>
          <w:color w:val="010000"/>
        </w:rPr>
      </w:pPr>
    </w:p>
    <w:p>
      <w:pPr>
        <w:jc w:val="both"/>
        <w:ind w:firstLine="1304"/>
        <w:spacing w:after="0" w:line="263" w:lineRule="auto"/>
        <w:tabs>
          <w:tab w:leader="none" w:pos="1551"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price of the Notes set forth in this Agreement was established by the Company following discussions and arms-length negotiations with the Underwriters, and the Company is capable of evaluating and understanding, and understands and accepts, the terms, risks and conditions of the transactions contemplated by this Agreement;</w:t>
      </w:r>
    </w:p>
    <w:p>
      <w:pPr>
        <w:spacing w:after="0" w:line="183" w:lineRule="exact"/>
        <w:rPr>
          <w:rFonts w:ascii="Arial" w:cs="Arial" w:eastAsia="Arial" w:hAnsi="Arial"/>
          <w:sz w:val="18"/>
          <w:szCs w:val="18"/>
          <w:color w:val="010000"/>
        </w:rPr>
      </w:pPr>
    </w:p>
    <w:p>
      <w:pPr>
        <w:ind w:firstLine="1304"/>
        <w:spacing w:after="0" w:line="277" w:lineRule="auto"/>
        <w:tabs>
          <w:tab w:leader="none" w:pos="1567"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no Underwriter has advised, and no Underwriter is advising, the Company or any other person as to any legal, tax, investment, accounting or regulatory matters in any jurisdiction with respect to the transactions contemplated hereby;</w:t>
      </w:r>
    </w:p>
    <w:p>
      <w:pPr>
        <w:spacing w:after="0" w:line="170" w:lineRule="exact"/>
        <w:rPr>
          <w:rFonts w:ascii="Arial" w:cs="Arial" w:eastAsia="Arial" w:hAnsi="Arial"/>
          <w:sz w:val="18"/>
          <w:szCs w:val="18"/>
          <w:color w:val="010000"/>
        </w:rPr>
      </w:pPr>
    </w:p>
    <w:p>
      <w:pPr>
        <w:jc w:val="both"/>
        <w:ind w:firstLine="1304"/>
        <w:spacing w:after="0" w:line="263" w:lineRule="auto"/>
        <w:tabs>
          <w:tab w:leader="none" w:pos="1564"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the Company shall consult with its own advisors concerning such matters and shall be responsible for making its own independent investigation and appraisal of the transactions contemplated hereby, and no Underwriter shall have any responsibility or liability to the Company with respect thereto;</w:t>
      </w:r>
    </w:p>
    <w:p>
      <w:pPr>
        <w:spacing w:after="0" w:line="183" w:lineRule="exact"/>
        <w:rPr>
          <w:rFonts w:ascii="Arial" w:cs="Arial" w:eastAsia="Arial" w:hAnsi="Arial"/>
          <w:sz w:val="18"/>
          <w:szCs w:val="18"/>
          <w:color w:val="010000"/>
        </w:rPr>
      </w:pPr>
    </w:p>
    <w:p>
      <w:pPr>
        <w:ind w:left="1540" w:hanging="236"/>
        <w:spacing w:after="0"/>
        <w:tabs>
          <w:tab w:leader="none" w:pos="1540" w:val="left"/>
        </w:tabs>
        <w:numPr>
          <w:ilvl w:val="1"/>
          <w:numId w:val="35"/>
        </w:numPr>
        <w:rPr>
          <w:rFonts w:ascii="Arial" w:cs="Arial" w:eastAsia="Arial" w:hAnsi="Arial"/>
          <w:sz w:val="17"/>
          <w:szCs w:val="17"/>
          <w:color w:val="010000"/>
        </w:rPr>
      </w:pPr>
      <w:r>
        <w:rPr>
          <w:rFonts w:ascii="Arial" w:cs="Arial" w:eastAsia="Arial" w:hAnsi="Arial"/>
          <w:sz w:val="17"/>
          <w:szCs w:val="17"/>
          <w:color w:val="auto"/>
        </w:rPr>
        <w:t>no Underwriter has or will be rendering an opinion to the Company as to the fairness of the terms of the offering of the Notes;</w:t>
      </w:r>
    </w:p>
    <w:p>
      <w:pPr>
        <w:spacing w:after="0" w:line="236" w:lineRule="exact"/>
        <w:rPr>
          <w:rFonts w:ascii="Arial" w:cs="Arial" w:eastAsia="Arial" w:hAnsi="Arial"/>
          <w:sz w:val="17"/>
          <w:szCs w:val="17"/>
          <w:color w:val="010000"/>
        </w:rPr>
      </w:pPr>
    </w:p>
    <w:p>
      <w:pPr>
        <w:jc w:val="both"/>
        <w:ind w:firstLine="1304"/>
        <w:spacing w:after="0" w:line="263" w:lineRule="auto"/>
        <w:tabs>
          <w:tab w:leader="none" w:pos="1521"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it has been advised that each Underwriter, and its respective affiliates, is engaged in a broad range of transactions which may involve interests that differ from those of the Company and no Underwriter has an obligation to disclose such interests and transactions to the Company by virtue of any fiduciary, advisory or agency relationship; and</w:t>
      </w:r>
    </w:p>
    <w:p>
      <w:pPr>
        <w:spacing w:after="0" w:line="183" w:lineRule="exact"/>
        <w:rPr>
          <w:rFonts w:ascii="Arial" w:cs="Arial" w:eastAsia="Arial" w:hAnsi="Arial"/>
          <w:sz w:val="18"/>
          <w:szCs w:val="18"/>
          <w:color w:val="010000"/>
        </w:rPr>
      </w:pPr>
    </w:p>
    <w:p>
      <w:pPr>
        <w:jc w:val="both"/>
        <w:ind w:firstLine="1304"/>
        <w:spacing w:after="0" w:line="259" w:lineRule="auto"/>
        <w:tabs>
          <w:tab w:leader="none" w:pos="1564" w:val="left"/>
        </w:tabs>
        <w:numPr>
          <w:ilvl w:val="1"/>
          <w:numId w:val="35"/>
        </w:numPr>
        <w:rPr>
          <w:rFonts w:ascii="Arial" w:cs="Arial" w:eastAsia="Arial" w:hAnsi="Arial"/>
          <w:sz w:val="18"/>
          <w:szCs w:val="18"/>
          <w:color w:val="010000"/>
        </w:rPr>
      </w:pPr>
      <w:r>
        <w:rPr>
          <w:rFonts w:ascii="Arial" w:cs="Arial" w:eastAsia="Arial" w:hAnsi="Arial"/>
          <w:sz w:val="18"/>
          <w:szCs w:val="18"/>
          <w:color w:val="auto"/>
        </w:rPr>
        <w:t>it waives, to the fullest extent permitted by law, any claims it may have against any Underwriter for breach of fiduciary duty or alleged breach of fiduciary duty and agrees that each Underwriter shall not have any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182" w:lineRule="exact"/>
        <w:rPr>
          <w:rFonts w:ascii="Arial" w:cs="Arial" w:eastAsia="Arial" w:hAnsi="Arial"/>
          <w:sz w:val="18"/>
          <w:szCs w:val="18"/>
          <w:color w:val="010000"/>
        </w:rPr>
      </w:pPr>
    </w:p>
    <w:p>
      <w:pPr>
        <w:jc w:val="both"/>
        <w:ind w:firstLine="656"/>
        <w:spacing w:after="0" w:line="255" w:lineRule="auto"/>
        <w:tabs>
          <w:tab w:leader="none" w:pos="918" w:val="left"/>
        </w:tabs>
        <w:numPr>
          <w:ilvl w:val="0"/>
          <w:numId w:val="3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Successors; Persons Entitled to Benefit of Agreement</w:t>
      </w:r>
      <w:r>
        <w:rPr>
          <w:rFonts w:ascii="Arial" w:cs="Arial" w:eastAsia="Arial" w:hAnsi="Arial"/>
          <w:sz w:val="18"/>
          <w:szCs w:val="18"/>
          <w:color w:val="auto"/>
        </w:rPr>
        <w:t>. This Agreement shall inure to the benefit of and be binding upon the Underwriters,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indemnity of the Underwriters shall be for benefit of the Company Indemnified Parties.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656"/>
        <w:spacing w:after="0" w:line="256" w:lineRule="auto"/>
        <w:tabs>
          <w:tab w:leader="none" w:pos="908"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Survival of Indemnities, Representations, Warranties, Etc</w:t>
      </w:r>
      <w:r>
        <w:rPr>
          <w:rFonts w:ascii="Arial" w:cs="Arial" w:eastAsia="Arial" w:hAnsi="Arial"/>
          <w:sz w:val="18"/>
          <w:szCs w:val="18"/>
          <w:color w:val="auto"/>
        </w:rPr>
        <w:t>. The respective indemnities, covenants, agreements,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statements of the Company and the Underwriters, as set forth in this Agreement or made by them respectively, pursuant to this Agreement, shall remain in full force and effect, regardless of any investigation made by or on behalf of the Underwriters, the Company or any person controlling any of them and shall survive delivery of and payment for the Notes. Notwithstanding any termination of this Agreement, the indemnity and contribution agreements contained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the covenants, representations, warranties set forth in this Agreement shall not terminate and shall remain in full force and effect at all times.</w:t>
      </w:r>
    </w:p>
    <w:p>
      <w:pPr>
        <w:spacing w:after="0" w:line="187" w:lineRule="exact"/>
        <w:rPr>
          <w:rFonts w:ascii="Arial" w:cs="Arial" w:eastAsia="Arial" w:hAnsi="Arial"/>
          <w:sz w:val="18"/>
          <w:szCs w:val="18"/>
          <w:b w:val="1"/>
          <w:bCs w:val="1"/>
          <w:color w:val="010000"/>
        </w:rPr>
      </w:pPr>
    </w:p>
    <w:p>
      <w:pPr>
        <w:ind w:left="920" w:hanging="264"/>
        <w:spacing w:after="0"/>
        <w:tabs>
          <w:tab w:leader="none" w:pos="920"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statements, requests, notices and agreements hereunder shall be in writing, and:</w:t>
      </w:r>
    </w:p>
    <w:p>
      <w:pPr>
        <w:spacing w:after="0" w:line="232" w:lineRule="exact"/>
        <w:rPr>
          <w:rFonts w:ascii="Arial" w:cs="Arial" w:eastAsia="Arial" w:hAnsi="Arial"/>
          <w:sz w:val="18"/>
          <w:szCs w:val="18"/>
          <w:b w:val="1"/>
          <w:bCs w:val="1"/>
          <w:color w:val="010000"/>
        </w:rPr>
      </w:pPr>
    </w:p>
    <w:p>
      <w:pPr>
        <w:jc w:val="both"/>
        <w:ind w:firstLine="1304"/>
        <w:spacing w:after="0" w:line="224" w:lineRule="auto"/>
        <w:tabs>
          <w:tab w:leader="none" w:pos="1540"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if to the Underwriters, shall be delivered or sent by mail, overnight courier or email to B. Riley Securities, Inc., 299 Park Avenue,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New York 10171, Attention: Syndicate Department, with a copy to Duane Morris LLP Attn: James T. Seery, 1540 Broadway, New York, New York 10036.</w:t>
      </w:r>
    </w:p>
    <w:p>
      <w:pPr>
        <w:spacing w:after="0" w:line="203" w:lineRule="exact"/>
        <w:rPr>
          <w:rFonts w:ascii="Arial" w:cs="Arial" w:eastAsia="Arial" w:hAnsi="Arial"/>
          <w:sz w:val="18"/>
          <w:szCs w:val="18"/>
          <w:color w:val="010000"/>
        </w:rPr>
      </w:pPr>
    </w:p>
    <w:p>
      <w:pPr>
        <w:jc w:val="both"/>
        <w:ind w:right="20" w:firstLine="1304"/>
        <w:spacing w:after="0" w:line="263" w:lineRule="auto"/>
        <w:tabs>
          <w:tab w:leader="none" w:pos="1551" w:val="left"/>
        </w:tabs>
        <w:numPr>
          <w:ilvl w:val="1"/>
          <w:numId w:val="36"/>
        </w:numPr>
        <w:rPr>
          <w:rFonts w:ascii="Arial" w:cs="Arial" w:eastAsia="Arial" w:hAnsi="Arial"/>
          <w:sz w:val="18"/>
          <w:szCs w:val="18"/>
          <w:color w:val="010000"/>
        </w:rPr>
      </w:pPr>
      <w:r>
        <w:rPr>
          <w:rFonts w:ascii="Arial" w:cs="Arial" w:eastAsia="Arial" w:hAnsi="Arial"/>
          <w:sz w:val="18"/>
          <w:szCs w:val="18"/>
          <w:color w:val="auto"/>
        </w:rPr>
        <w:t>if to the Company, shall be delivered or sent by mail, overnight courier or email to Harrow Health, Inc., Attention: Mark L. Baum, 102 Woodmont Blvd., Suite 610, Nashville, Tennessee 37205, with a copy to Waller Lansden Dortch &amp; Davis, LLP Attn: James H. Nixon III, Nashville City Center, 511 Union Street, Suite 2700, Nashville, Tennessee 37219.</w:t>
      </w:r>
    </w:p>
    <w:p>
      <w:pPr>
        <w:spacing w:after="0" w:line="179" w:lineRule="exact"/>
        <w:rPr>
          <w:rFonts w:ascii="Arial" w:cs="Arial" w:eastAsia="Arial" w:hAnsi="Arial"/>
          <w:sz w:val="18"/>
          <w:szCs w:val="18"/>
          <w:color w:val="010000"/>
        </w:rPr>
      </w:pPr>
    </w:p>
    <w:p>
      <w:pPr>
        <w:ind w:left="920" w:hanging="264"/>
        <w:spacing w:after="0"/>
        <w:tabs>
          <w:tab w:leader="none" w:pos="920" w:val="left"/>
        </w:tabs>
        <w:numPr>
          <w:ilvl w:val="0"/>
          <w:numId w:val="36"/>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Definition of Certain Terms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on which the Nasdaq Stock Market is open for</w:t>
      </w:r>
    </w:p>
    <w:p>
      <w:pPr>
        <w:spacing w:after="0" w:line="50" w:lineRule="exact"/>
        <w:rPr>
          <w:rFonts w:ascii="Arial" w:cs="Arial" w:eastAsia="Arial" w:hAnsi="Arial"/>
          <w:sz w:val="16"/>
          <w:szCs w:val="16"/>
          <w:b w:val="1"/>
          <w:bCs w:val="1"/>
          <w:color w:val="010000"/>
        </w:rPr>
      </w:pPr>
    </w:p>
    <w:p>
      <w:pPr>
        <w:spacing w:after="0"/>
        <w:rPr>
          <w:rFonts w:ascii="Arial" w:cs="Arial" w:eastAsia="Arial" w:hAnsi="Arial"/>
          <w:sz w:val="16"/>
          <w:szCs w:val="16"/>
          <w:b w:val="1"/>
          <w:bCs w:val="1"/>
          <w:color w:val="010000"/>
        </w:rPr>
      </w:pPr>
      <w:r>
        <w:rPr>
          <w:rFonts w:ascii="Arial" w:cs="Arial" w:eastAsia="Arial" w:hAnsi="Arial"/>
          <w:sz w:val="18"/>
          <w:szCs w:val="18"/>
          <w:color w:val="auto"/>
        </w:rPr>
        <w:t>trading.</w:t>
      </w:r>
    </w:p>
    <w:p>
      <w:pPr>
        <w:spacing w:after="0" w:line="206" w:lineRule="exact"/>
        <w:rPr>
          <w:rFonts w:ascii="Arial" w:cs="Arial" w:eastAsia="Arial" w:hAnsi="Arial"/>
          <w:sz w:val="16"/>
          <w:szCs w:val="16"/>
          <w:b w:val="1"/>
          <w:bCs w:val="1"/>
          <w:color w:val="010000"/>
        </w:rPr>
      </w:pPr>
    </w:p>
    <w:p>
      <w:pPr>
        <w:ind w:left="920" w:hanging="264"/>
        <w:spacing w:after="0"/>
        <w:tabs>
          <w:tab w:leader="none" w:pos="920" w:val="left"/>
        </w:tabs>
        <w:numPr>
          <w:ilvl w:val="0"/>
          <w:numId w:val="36"/>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This Agreement shall be governed by and construed in accordance with the laws of the State of New York.</w:t>
      </w:r>
    </w:p>
    <w:p>
      <w:pPr>
        <w:spacing w:after="0" w:line="236" w:lineRule="exact"/>
        <w:rPr>
          <w:rFonts w:ascii="Arial" w:cs="Arial" w:eastAsia="Arial" w:hAnsi="Arial"/>
          <w:sz w:val="17"/>
          <w:szCs w:val="17"/>
          <w:b w:val="1"/>
          <w:bCs w:val="1"/>
          <w:color w:val="010000"/>
        </w:rPr>
      </w:pPr>
    </w:p>
    <w:p>
      <w:pPr>
        <w:jc w:val="both"/>
        <w:ind w:firstLine="656"/>
        <w:spacing w:after="0" w:line="303" w:lineRule="auto"/>
        <w:tabs>
          <w:tab w:leader="none" w:pos="958" w:val="left"/>
        </w:tabs>
        <w:numPr>
          <w:ilvl w:val="0"/>
          <w:numId w:val="36"/>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Underwriter’s Information</w:t>
      </w:r>
      <w:r>
        <w:rPr>
          <w:rFonts w:ascii="Arial" w:cs="Arial" w:eastAsia="Arial" w:hAnsi="Arial"/>
          <w:sz w:val="16"/>
          <w:szCs w:val="16"/>
          <w:color w:val="auto"/>
        </w:rPr>
        <w:t>. The parties hereto acknowledge and agree that, for all purposes of this Agreement, the Underwriter’s</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consists solely of the following information in the General Disclosure Package, the Prospectus and in the Registration Statement: the concession figure appearing in the first paragraph under the section entitled “Underwriting – Discounts and Expenses” and the information contained in the second and fourth paragraphs relating to stabilization transactions under the section entitled “Underwriting – Price Stabilization, Short Positions.”</w:t>
      </w:r>
    </w:p>
    <w:p>
      <w:pPr>
        <w:spacing w:after="0" w:line="150" w:lineRule="exact"/>
        <w:rPr>
          <w:rFonts w:ascii="Arial" w:cs="Arial" w:eastAsia="Arial" w:hAnsi="Arial"/>
          <w:sz w:val="16"/>
          <w:szCs w:val="16"/>
          <w:b w:val="1"/>
          <w:bCs w:val="1"/>
          <w:color w:val="010000"/>
        </w:rPr>
      </w:pPr>
    </w:p>
    <w:p>
      <w:pPr>
        <w:jc w:val="both"/>
        <w:ind w:firstLine="656"/>
        <w:spacing w:after="0" w:line="261" w:lineRule="auto"/>
        <w:tabs>
          <w:tab w:leader="none" w:pos="918" w:val="left"/>
        </w:tabs>
        <w:numPr>
          <w:ilvl w:val="0"/>
          <w:numId w:val="36"/>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Partial Unenforceability</w:t>
      </w:r>
      <w:r>
        <w:rPr>
          <w:rFonts w:ascii="Arial" w:cs="Arial" w:eastAsia="Arial" w:hAnsi="Arial"/>
          <w:sz w:val="18"/>
          <w:szCs w:val="18"/>
          <w:color w:val="auto"/>
        </w:rPr>
        <w:t>. The invalidity or unenforceability of any section, paragraph, clause or provision of this Agreement shall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56"/>
        <w:spacing w:after="0" w:line="277" w:lineRule="auto"/>
        <w:tabs>
          <w:tab w:leader="none" w:pos="931" w:val="left"/>
        </w:tabs>
        <w:numPr>
          <w:ilvl w:val="0"/>
          <w:numId w:val="37"/>
        </w:numPr>
        <w:rPr>
          <w:rFonts w:ascii="Arial" w:cs="Arial" w:eastAsia="Arial" w:hAnsi="Arial"/>
          <w:sz w:val="17"/>
          <w:szCs w:val="17"/>
          <w:b w:val="1"/>
          <w:bCs w:val="1"/>
          <w:color w:val="010000"/>
        </w:rPr>
      </w:pPr>
      <w:r>
        <w:rPr>
          <w:rFonts w:ascii="Arial" w:cs="Arial" w:eastAsia="Arial" w:hAnsi="Arial"/>
          <w:sz w:val="17"/>
          <w:szCs w:val="17"/>
          <w:b w:val="1"/>
          <w:bCs w:val="1"/>
          <w:u w:val="single" w:color="auto"/>
          <w:color w:val="auto"/>
        </w:rPr>
        <w:t>General</w:t>
      </w:r>
      <w:r>
        <w:rPr>
          <w:rFonts w:ascii="Arial" w:cs="Arial" w:eastAsia="Arial" w:hAnsi="Arial"/>
          <w:sz w:val="17"/>
          <w:szCs w:val="17"/>
          <w:color w:val="auto"/>
        </w:rPr>
        <w:t>. This Agreement constitutes the entire agreement of the parties to this Agreement and supersedes all prior written or oral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w:t>
      </w:r>
    </w:p>
    <w:p>
      <w:pPr>
        <w:spacing w:after="0" w:line="167" w:lineRule="exact"/>
        <w:rPr>
          <w:rFonts w:ascii="Arial" w:cs="Arial" w:eastAsia="Arial" w:hAnsi="Arial"/>
          <w:sz w:val="17"/>
          <w:szCs w:val="17"/>
          <w:b w:val="1"/>
          <w:bCs w:val="1"/>
          <w:color w:val="010000"/>
        </w:rPr>
      </w:pPr>
    </w:p>
    <w:p>
      <w:pPr>
        <w:ind w:right="20" w:firstLine="656"/>
        <w:spacing w:after="0" w:line="282" w:lineRule="auto"/>
        <w:tabs>
          <w:tab w:leader="none" w:pos="918" w:val="left"/>
        </w:tabs>
        <w:numPr>
          <w:ilvl w:val="0"/>
          <w:numId w:val="3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signatures thereto and hereto were upon the same instrument and such signatures may be delivered by facsimile.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both"/>
        <w:ind w:firstLine="648"/>
        <w:spacing w:after="0" w:line="263" w:lineRule="auto"/>
        <w:rPr>
          <w:sz w:val="20"/>
          <w:szCs w:val="20"/>
          <w:color w:val="auto"/>
        </w:rPr>
      </w:pPr>
      <w:r>
        <w:rPr>
          <w:rFonts w:ascii="Arial" w:cs="Arial" w:eastAsia="Arial" w:hAnsi="Arial"/>
          <w:sz w:val="18"/>
          <w:szCs w:val="18"/>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Patrice McNicoll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Co-Head of Investment Banking</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6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9"/>
              </w:rPr>
              <w:t>SCHEDULE A</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Underwriters</w:t>
            </w:r>
          </w:p>
        </w:tc>
        <w:tc>
          <w:tcPr>
            <w:tcW w:w="330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3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Securities to</w:t>
            </w:r>
          </w:p>
        </w:tc>
      </w:tr>
      <w:tr>
        <w:trPr>
          <w:trHeight w:val="241"/>
        </w:trPr>
        <w:tc>
          <w:tcPr>
            <w:tcW w:w="370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 Purchased</w:t>
            </w:r>
          </w:p>
        </w:tc>
      </w:tr>
      <w:tr>
        <w:trPr>
          <w:trHeight w:val="216"/>
        </w:trPr>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 Riley Securities, Inc.</w:t>
            </w:r>
          </w:p>
        </w:tc>
        <w:tc>
          <w:tcPr>
            <w:tcW w:w="1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Ladenburg Thalmann &amp; Co. Inc.</w:t>
            </w:r>
          </w:p>
        </w:tc>
        <w:tc>
          <w:tcPr>
            <w:tcW w:w="1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3,500,000</w:t>
            </w:r>
          </w:p>
        </w:tc>
      </w:tr>
      <w:tr>
        <w:trPr>
          <w:trHeight w:val="216"/>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9"/>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center"/>
              <w:ind w:left="1270"/>
              <w:spacing w:after="0"/>
              <w:rPr>
                <w:sz w:val="20"/>
                <w:szCs w:val="20"/>
                <w:color w:val="auto"/>
              </w:rPr>
            </w:pPr>
            <w:r>
              <w:rPr>
                <w:rFonts w:ascii="Arial" w:cs="Arial" w:eastAsia="Arial" w:hAnsi="Arial"/>
                <w:sz w:val="18"/>
                <w:szCs w:val="18"/>
                <w:color w:val="auto"/>
                <w:w w:val="89"/>
              </w:rPr>
              <w:t>31</w:t>
            </w:r>
          </w:p>
        </w:tc>
        <w:tc>
          <w:tcPr>
            <w:tcW w:w="2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Pricing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principal amount of the Firm Notes is $17,500,000 (representing 700,000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public offering price for the Notes shall be $25.75.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proceeds for the Notes shall be $18,025,000.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for the Notes to be paid by the several Underwriters shall be 96.0% of the 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is 8.625%.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for the Notes shall be April 30, 2026.</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February 1, 2026, the Company may, at its option, redeem the Notes, in whole at any time or in part from time to time, at a redemption price equal to 100% of the principal amount of the Notes to be redeemed, plus a Make-Whole Amount (as defined in the Prospectus Supplement), if any, plus accrued and unpaid interest to, but excluding, the date of redemption.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redeem the Notes for cash in whole or in part at any time at its option on or after February 1, 2026 and prior to maturity, at a price equal to 100% of their principal amount, plus accrued and unpaid interest to, but excluding, the date of redemption.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u w:val="single" w:color="auto"/>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Free Writing Prospectuses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Final term sheet as prepared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hereto and filed as an Issuer Free Writing Prospectus by the Company with the Commission on June 14,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SCHEDULE D</w:t>
      </w:r>
    </w:p>
    <w:p>
      <w:pPr>
        <w:spacing w:after="0" w:line="225" w:lineRule="exact"/>
        <w:rPr>
          <w:sz w:val="20"/>
          <w:szCs w:val="20"/>
          <w:color w:val="auto"/>
        </w:rPr>
      </w:pPr>
    </w:p>
    <w:p>
      <w:pPr>
        <w:jc w:val="center"/>
        <w:ind w:left="9180"/>
        <w:spacing w:after="0"/>
        <w:rPr>
          <w:sz w:val="20"/>
          <w:szCs w:val="20"/>
          <w:color w:val="auto"/>
        </w:rPr>
      </w:pPr>
      <w:r>
        <w:rPr>
          <w:rFonts w:ascii="Arial" w:cs="Arial" w:eastAsia="Arial" w:hAnsi="Arial"/>
          <w:sz w:val="16"/>
          <w:szCs w:val="16"/>
          <w:b w:val="1"/>
          <w:bCs w:val="1"/>
          <w:color w:val="auto"/>
        </w:rPr>
        <w:t>Filed pursuant to Rule 433</w:t>
      </w:r>
    </w:p>
    <w:p>
      <w:pPr>
        <w:spacing w:after="0" w:line="50"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Registration No. 333- 239669</w:t>
      </w:r>
    </w:p>
    <w:p>
      <w:pPr>
        <w:spacing w:after="0" w:line="3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Issuer Free Writing Prospectus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Supplementing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June 14, 2021</w:t>
      </w:r>
    </w:p>
    <w:p>
      <w:pPr>
        <w:spacing w:after="0" w:line="20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US $18,025,000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8.625% Senior Notes Due 2026</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Final Term Sheet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June 14, 2021</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pricing term sheet is qualified in its entirety by reference to the Preliminary Prospectus Supplement, dated June 14, 2021 (the “Preliminary Prospectus Supplement”). The information in this pricing term sheet supplements the Preliminary Prospectus Supplement and updates and supersedes the information in the Preliminary Prospectus Supplement to the extent it is inconsistent with the information in the Preliminary Prospectus Supplement. Terms used and not defined herein have the meanings assigned in the Preliminary Prospectus Supplement.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Issuer:</w:t>
            </w:r>
          </w:p>
        </w:tc>
        <w:tc>
          <w:tcPr>
            <w:tcW w:w="8220" w:type="dxa"/>
            <w:vAlign w:val="bottom"/>
          </w:tcPr>
          <w:p>
            <w:pPr>
              <w:ind w:left="1720"/>
              <w:spacing w:after="0"/>
              <w:rPr>
                <w:sz w:val="20"/>
                <w:szCs w:val="20"/>
                <w:color w:val="auto"/>
              </w:rPr>
            </w:pPr>
            <w:r>
              <w:rPr>
                <w:rFonts w:ascii="Arial" w:cs="Arial" w:eastAsia="Arial" w:hAnsi="Arial"/>
                <w:sz w:val="18"/>
                <w:szCs w:val="18"/>
                <w:color w:val="auto"/>
              </w:rPr>
              <w:t>Harrow Health, Inc.</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Securities:</w:t>
            </w:r>
          </w:p>
        </w:tc>
        <w:tc>
          <w:tcPr>
            <w:tcW w:w="8220" w:type="dxa"/>
            <w:vAlign w:val="bottom"/>
          </w:tcPr>
          <w:p>
            <w:pPr>
              <w:ind w:left="1720"/>
              <w:spacing w:after="0"/>
              <w:rPr>
                <w:sz w:val="20"/>
                <w:szCs w:val="20"/>
                <w:color w:val="auto"/>
              </w:rPr>
            </w:pPr>
            <w:r>
              <w:rPr>
                <w:rFonts w:ascii="Arial" w:cs="Arial" w:eastAsia="Arial" w:hAnsi="Arial"/>
                <w:sz w:val="18"/>
                <w:szCs w:val="18"/>
                <w:color w:val="auto"/>
              </w:rPr>
              <w:t>8.625% Senior Notes Due 2026 (the “Notes”)</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Type:</w:t>
            </w:r>
          </w:p>
        </w:tc>
        <w:tc>
          <w:tcPr>
            <w:tcW w:w="8220" w:type="dxa"/>
            <w:vAlign w:val="bottom"/>
          </w:tcPr>
          <w:p>
            <w:pPr>
              <w:ind w:left="1720"/>
              <w:spacing w:after="0"/>
              <w:rPr>
                <w:sz w:val="20"/>
                <w:szCs w:val="20"/>
                <w:color w:val="auto"/>
              </w:rPr>
            </w:pPr>
            <w:r>
              <w:rPr>
                <w:rFonts w:ascii="Arial" w:cs="Arial" w:eastAsia="Arial" w:hAnsi="Arial"/>
                <w:sz w:val="18"/>
                <w:szCs w:val="18"/>
                <w:color w:val="auto"/>
              </w:rPr>
              <w:t>SEC Registered</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Trade Date:</w:t>
            </w:r>
          </w:p>
        </w:tc>
        <w:tc>
          <w:tcPr>
            <w:tcW w:w="8220" w:type="dxa"/>
            <w:vAlign w:val="bottom"/>
          </w:tcPr>
          <w:p>
            <w:pPr>
              <w:ind w:left="1720"/>
              <w:spacing w:after="0"/>
              <w:rPr>
                <w:sz w:val="20"/>
                <w:szCs w:val="20"/>
                <w:color w:val="auto"/>
              </w:rPr>
            </w:pPr>
            <w:r>
              <w:rPr>
                <w:rFonts w:ascii="Arial" w:cs="Arial" w:eastAsia="Arial" w:hAnsi="Arial"/>
                <w:sz w:val="18"/>
                <w:szCs w:val="18"/>
                <w:color w:val="auto"/>
              </w:rPr>
              <w:t>June 15, 2021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Settlement Date:</w:t>
            </w:r>
          </w:p>
        </w:tc>
        <w:tc>
          <w:tcPr>
            <w:tcW w:w="8220" w:type="dxa"/>
            <w:vAlign w:val="bottom"/>
          </w:tcPr>
          <w:p>
            <w:pPr>
              <w:ind w:left="1720"/>
              <w:spacing w:after="0"/>
              <w:rPr>
                <w:sz w:val="20"/>
                <w:szCs w:val="20"/>
                <w:color w:val="auto"/>
              </w:rPr>
            </w:pPr>
            <w:r>
              <w:rPr>
                <w:rFonts w:ascii="Arial" w:cs="Arial" w:eastAsia="Arial" w:hAnsi="Arial"/>
                <w:sz w:val="18"/>
                <w:szCs w:val="18"/>
                <w:color w:val="auto"/>
              </w:rPr>
              <w:t>June 17, 2021</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Listing:</w:t>
            </w:r>
          </w:p>
        </w:tc>
        <w:tc>
          <w:tcPr>
            <w:tcW w:w="8220" w:type="dxa"/>
            <w:vAlign w:val="bottom"/>
          </w:tcPr>
          <w:p>
            <w:pPr>
              <w:ind w:left="1720"/>
              <w:spacing w:after="0"/>
              <w:rPr>
                <w:sz w:val="20"/>
                <w:szCs w:val="20"/>
                <w:color w:val="auto"/>
              </w:rPr>
            </w:pPr>
            <w:r>
              <w:rPr>
                <w:rFonts w:ascii="Arial" w:cs="Arial" w:eastAsia="Arial" w:hAnsi="Arial"/>
                <w:sz w:val="18"/>
                <w:szCs w:val="18"/>
                <w:color w:val="auto"/>
              </w:rPr>
              <w:t>Nasdaq “HROWL”</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Gross Proceeds:</w:t>
            </w:r>
          </w:p>
        </w:tc>
        <w:tc>
          <w:tcPr>
            <w:tcW w:w="8220" w:type="dxa"/>
            <w:vAlign w:val="bottom"/>
          </w:tcPr>
          <w:p>
            <w:pPr>
              <w:ind w:left="1720"/>
              <w:spacing w:after="0"/>
              <w:rPr>
                <w:sz w:val="20"/>
                <w:szCs w:val="20"/>
                <w:color w:val="auto"/>
              </w:rPr>
            </w:pPr>
            <w:r>
              <w:rPr>
                <w:rFonts w:ascii="Arial" w:cs="Arial" w:eastAsia="Arial" w:hAnsi="Arial"/>
                <w:sz w:val="18"/>
                <w:szCs w:val="18"/>
                <w:color w:val="auto"/>
              </w:rPr>
              <w:t>$18,025,000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Number of Notes:</w:t>
            </w:r>
          </w:p>
        </w:tc>
        <w:tc>
          <w:tcPr>
            <w:tcW w:w="8220" w:type="dxa"/>
            <w:vAlign w:val="bottom"/>
          </w:tcPr>
          <w:p>
            <w:pPr>
              <w:ind w:left="1720"/>
              <w:spacing w:after="0"/>
              <w:rPr>
                <w:sz w:val="20"/>
                <w:szCs w:val="20"/>
                <w:color w:val="auto"/>
              </w:rPr>
            </w:pPr>
            <w:r>
              <w:rPr>
                <w:rFonts w:ascii="Arial" w:cs="Arial" w:eastAsia="Arial" w:hAnsi="Arial"/>
                <w:sz w:val="18"/>
                <w:szCs w:val="18"/>
                <w:color w:val="auto"/>
              </w:rPr>
              <w:t>700,000 (equal to $17,500,000 principal amount)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Option Notes:</w:t>
            </w:r>
          </w:p>
        </w:tc>
        <w:tc>
          <w:tcPr>
            <w:tcW w:w="8220" w:type="dxa"/>
            <w:vAlign w:val="bottom"/>
          </w:tcPr>
          <w:p>
            <w:pPr>
              <w:ind w:left="1720"/>
              <w:spacing w:after="0"/>
              <w:rPr>
                <w:sz w:val="20"/>
                <w:szCs w:val="20"/>
                <w:color w:val="auto"/>
              </w:rPr>
            </w:pPr>
            <w:r>
              <w:rPr>
                <w:rFonts w:ascii="Arial" w:cs="Arial" w:eastAsia="Arial" w:hAnsi="Arial"/>
                <w:sz w:val="18"/>
                <w:szCs w:val="18"/>
                <w:color w:val="auto"/>
              </w:rPr>
              <w:t>Up to 100,000 (up to $2,500,000 of additional principal amount)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Maturity Date:</w:t>
            </w:r>
          </w:p>
        </w:tc>
        <w:tc>
          <w:tcPr>
            <w:tcW w:w="8220" w:type="dxa"/>
            <w:vAlign w:val="bottom"/>
          </w:tcPr>
          <w:p>
            <w:pPr>
              <w:ind w:left="1720"/>
              <w:spacing w:after="0"/>
              <w:rPr>
                <w:sz w:val="20"/>
                <w:szCs w:val="20"/>
                <w:color w:val="auto"/>
              </w:rPr>
            </w:pPr>
            <w:r>
              <w:rPr>
                <w:rFonts w:ascii="Arial" w:cs="Arial" w:eastAsia="Arial" w:hAnsi="Arial"/>
                <w:sz w:val="18"/>
                <w:szCs w:val="18"/>
                <w:color w:val="auto"/>
              </w:rPr>
              <w:t>April 30, 2026</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Rating:</w:t>
            </w:r>
          </w:p>
        </w:tc>
        <w:tc>
          <w:tcPr>
            <w:tcW w:w="8220" w:type="dxa"/>
            <w:vAlign w:val="bottom"/>
          </w:tcPr>
          <w:p>
            <w:pPr>
              <w:ind w:left="1720"/>
              <w:spacing w:after="0"/>
              <w:rPr>
                <w:sz w:val="20"/>
                <w:szCs w:val="20"/>
                <w:color w:val="auto"/>
              </w:rPr>
            </w:pPr>
            <w:r>
              <w:rPr>
                <w:rFonts w:ascii="Arial" w:cs="Arial" w:eastAsia="Arial" w:hAnsi="Arial"/>
                <w:sz w:val="18"/>
                <w:szCs w:val="18"/>
                <w:color w:val="auto"/>
                <w:w w:val="94"/>
              </w:rPr>
              <w:t>The Notes have received a “BB” rating from Egan-Jones Ratings Co., an independent,</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4"/>
              </w:rPr>
              <w:t>unaffiliated rating agency. Ratings are not a recommendation to purchase, hold or sell</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7"/>
              </w:rPr>
              <w:t>notes, inasmuch as the ratings do not comment as to market price or suitability for a</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1"/>
              </w:rPr>
              <w:t>particular investor. The ratings are based upon current information furnished to the rating</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3"/>
              </w:rPr>
              <w:t>agency by the Issuer and information obtained by the rating agency from other sources.</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1"/>
              </w:rPr>
              <w:t>The ratings are only accurate as of the date thereof and may be changed, superseded or</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1"/>
              </w:rPr>
              <w:t>withdrawn as a result of changes in, or unavailability of, such information, and therefore a</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w w:val="90"/>
              </w:rPr>
              <w:t>prospective purchaser should check the current ratings before purchasing the Notes. Each</w:t>
            </w:r>
          </w:p>
        </w:tc>
      </w:tr>
      <w:tr>
        <w:trPr>
          <w:trHeight w:val="216"/>
        </w:trPr>
        <w:tc>
          <w:tcPr>
            <w:tcW w:w="3020" w:type="dxa"/>
            <w:vAlign w:val="bottom"/>
          </w:tcPr>
          <w:p>
            <w:pPr>
              <w:spacing w:after="0"/>
              <w:rPr>
                <w:sz w:val="18"/>
                <w:szCs w:val="18"/>
                <w:color w:val="auto"/>
              </w:rPr>
            </w:pPr>
          </w:p>
        </w:tc>
        <w:tc>
          <w:tcPr>
            <w:tcW w:w="8220" w:type="dxa"/>
            <w:vAlign w:val="bottom"/>
          </w:tcPr>
          <w:p>
            <w:pPr>
              <w:ind w:left="1720"/>
              <w:spacing w:after="0"/>
              <w:rPr>
                <w:sz w:val="20"/>
                <w:szCs w:val="20"/>
                <w:color w:val="auto"/>
              </w:rPr>
            </w:pPr>
            <w:r>
              <w:rPr>
                <w:rFonts w:ascii="Arial" w:cs="Arial" w:eastAsia="Arial" w:hAnsi="Arial"/>
                <w:sz w:val="18"/>
                <w:szCs w:val="18"/>
                <w:color w:val="auto"/>
              </w:rPr>
              <w:t>rating should be evaluated independently of any other rating.</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Annual Coupon:</w:t>
            </w:r>
          </w:p>
        </w:tc>
        <w:tc>
          <w:tcPr>
            <w:tcW w:w="8220" w:type="dxa"/>
            <w:vAlign w:val="bottom"/>
          </w:tcPr>
          <w:p>
            <w:pPr>
              <w:ind w:left="1720"/>
              <w:spacing w:after="0"/>
              <w:rPr>
                <w:sz w:val="20"/>
                <w:szCs w:val="20"/>
                <w:color w:val="auto"/>
              </w:rPr>
            </w:pPr>
            <w:r>
              <w:rPr>
                <w:rFonts w:ascii="Arial" w:cs="Arial" w:eastAsia="Arial" w:hAnsi="Arial"/>
                <w:sz w:val="18"/>
                <w:szCs w:val="18"/>
                <w:color w:val="auto"/>
              </w:rPr>
              <w:t>8.625%, paid quarterly in arrears</w:t>
            </w:r>
          </w:p>
        </w:tc>
      </w:tr>
      <w:tr>
        <w:trPr>
          <w:trHeight w:val="466"/>
        </w:trPr>
        <w:tc>
          <w:tcPr>
            <w:tcW w:w="30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Interest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 to the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Day Count: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January 31, April 30, July 31 and October 31, commencing July 31, 2021, and at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Prior to February 1, 2026, the Issuer may, at its option, redeem the Notes, in whole at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or in part from time to time, at a redemption price equal to 100% of the principal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of the Notes to be redeemed, plus a Make-Whole Amount, if any, plus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unpaid interest to, but excluding, the date of redemption.</w:t>
      </w:r>
    </w:p>
    <w:p>
      <w:pPr>
        <w:spacing w:after="0" w:line="200" w:lineRule="exact"/>
        <w:rPr>
          <w:sz w:val="20"/>
          <w:szCs w:val="20"/>
          <w:color w:val="auto"/>
        </w:rPr>
      </w:pPr>
    </w:p>
    <w:p>
      <w:pPr>
        <w:sectPr>
          <w:pgSz w:w="11900" w:h="16838" w:orient="portrait"/>
          <w:cols w:equalWidth="0" w:num="2">
            <w:col w:w="4020" w:space="720"/>
            <w:col w:w="650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Minimum Denomination / Multiples: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Book-Running Managers: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Conflict of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Issuer may redeem the Notes for cash in whole or in part at any time at our option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or after February 1, 2026 and prior to maturity, at a price equal to 100% of their principal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plus accrued and unpaid interest to, but excluding, the date of redemption.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$25.00/$25.00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415858 208/US4158582084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 Ladenburg Thalmann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 will participate in the offering of the Notes as a joint book-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running manager.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 Riley Securities, Inc. has a “conflict of interest” in this offering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Rule 5121 of the Financial Industry Regulatory Authority (“FINRA”). Accordingly,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will be made in compliance with the applicable provisions of FINRA Rule 5121.</w:t>
      </w:r>
    </w:p>
    <w:p>
      <w:pPr>
        <w:spacing w:after="0" w:line="200" w:lineRule="exact"/>
        <w:rPr>
          <w:sz w:val="20"/>
          <w:szCs w:val="20"/>
          <w:color w:val="auto"/>
        </w:rPr>
      </w:pPr>
    </w:p>
    <w:p>
      <w:pPr>
        <w:sectPr>
          <w:pgSz w:w="11900" w:h="16838" w:orient="portrait"/>
          <w:cols w:equalWidth="0" w:num="2">
            <w:col w:w="4020" w:space="720"/>
            <w:col w:w="6500"/>
          </w:cols>
          <w:pgMar w:left="320" w:top="665"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communication is intended for the sole use of the person to whom it is provided by the issuer.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issuer has filed a shelf registration statement (including a base prospectus dated July 13, 2020) and Preliminary Prospectus Supplement with the Securities and Exchange Commission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You may get these documents for free by visiting EDGAR on the SEC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Alternatively, the issuer, any underwriter or any dealer</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 in the offering will arrange to send you the prospectus and related preliminary prospectus supplement if you request them from B. Riley Securities, Inc. by calling (703) 312-9580 or by emailing prospectuses@brileysecurities.com.</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tbl>
      <w:tblPr>
        <w:tblLayout w:type="fixed"/>
        <w:tblInd w:w="540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620" w:type="dxa"/>
            <w:vAlign w:val="bottom"/>
          </w:tcPr>
          <w:p>
            <w:pPr>
              <w:spacing w:after="0"/>
              <w:rPr>
                <w:sz w:val="20"/>
                <w:szCs w:val="20"/>
                <w:color w:val="auto"/>
              </w:rPr>
            </w:pPr>
            <w:r>
              <w:rPr>
                <w:rFonts w:ascii="Arial" w:cs="Arial" w:eastAsia="Arial" w:hAnsi="Arial"/>
                <w:sz w:val="18"/>
                <w:szCs w:val="18"/>
                <w:color w:val="auto"/>
              </w:rPr>
              <w:t>511 Union Street, Suite 2700</w:t>
            </w:r>
          </w:p>
        </w:tc>
        <w:tc>
          <w:tcPr>
            <w:tcW w:w="1960" w:type="dxa"/>
            <w:vAlign w:val="bottom"/>
          </w:tcPr>
          <w:p>
            <w:pPr>
              <w:ind w:left="540"/>
              <w:spacing w:after="0"/>
              <w:rPr>
                <w:sz w:val="20"/>
                <w:szCs w:val="20"/>
                <w:color w:val="auto"/>
              </w:rPr>
            </w:pPr>
            <w:r>
              <w:rPr>
                <w:rFonts w:ascii="Arial" w:cs="Arial" w:eastAsia="Arial" w:hAnsi="Arial"/>
                <w:sz w:val="18"/>
                <w:szCs w:val="18"/>
                <w:color w:val="auto"/>
              </w:rPr>
              <w:t>615.244.6380</w:t>
            </w:r>
          </w:p>
        </w:tc>
        <w:tc>
          <w:tcPr>
            <w:tcW w:w="1260" w:type="dxa"/>
            <w:vAlign w:val="bottom"/>
          </w:tcPr>
          <w:p>
            <w:pPr>
              <w:ind w:left="360"/>
              <w:spacing w:after="0"/>
              <w:rPr>
                <w:sz w:val="20"/>
                <w:szCs w:val="20"/>
                <w:color w:val="auto"/>
              </w:rPr>
            </w:pPr>
            <w:r>
              <w:rPr>
                <w:rFonts w:ascii="Arial" w:cs="Arial" w:eastAsia="Arial" w:hAnsi="Arial"/>
                <w:sz w:val="18"/>
                <w:szCs w:val="18"/>
                <w:color w:val="auto"/>
              </w:rPr>
              <w:t>main</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P.O. Box 198966</w:t>
            </w:r>
          </w:p>
        </w:tc>
        <w:tc>
          <w:tcPr>
            <w:tcW w:w="1960" w:type="dxa"/>
            <w:vAlign w:val="bottom"/>
          </w:tcPr>
          <w:p>
            <w:pPr>
              <w:ind w:left="540"/>
              <w:spacing w:after="0"/>
              <w:rPr>
                <w:sz w:val="20"/>
                <w:szCs w:val="20"/>
                <w:color w:val="auto"/>
              </w:rPr>
            </w:pPr>
            <w:r>
              <w:rPr>
                <w:rFonts w:ascii="Arial" w:cs="Arial" w:eastAsia="Arial" w:hAnsi="Arial"/>
                <w:sz w:val="18"/>
                <w:szCs w:val="18"/>
                <w:color w:val="auto"/>
              </w:rPr>
              <w:t>615.244.6804</w:t>
            </w:r>
          </w:p>
        </w:tc>
        <w:tc>
          <w:tcPr>
            <w:tcW w:w="1260" w:type="dxa"/>
            <w:vAlign w:val="bottom"/>
          </w:tcPr>
          <w:p>
            <w:pPr>
              <w:ind w:left="360"/>
              <w:spacing w:after="0"/>
              <w:rPr>
                <w:sz w:val="20"/>
                <w:szCs w:val="20"/>
                <w:color w:val="auto"/>
              </w:rPr>
            </w:pPr>
            <w:r>
              <w:rPr>
                <w:rFonts w:ascii="Arial" w:cs="Arial" w:eastAsia="Arial" w:hAnsi="Arial"/>
                <w:sz w:val="18"/>
                <w:szCs w:val="18"/>
                <w:color w:val="auto"/>
              </w:rPr>
              <w:t>fax</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Nashville, TN 37219-8966</w:t>
            </w:r>
          </w:p>
        </w:tc>
        <w:tc>
          <w:tcPr>
            <w:tcW w:w="1960" w:type="dxa"/>
            <w:vAlign w:val="bottom"/>
          </w:tcPr>
          <w:p>
            <w:pPr>
              <w:ind w:left="540"/>
              <w:spacing w:after="0"/>
              <w:rPr>
                <w:sz w:val="20"/>
                <w:szCs w:val="20"/>
                <w:color w:val="auto"/>
              </w:rPr>
            </w:pPr>
            <w:r>
              <w:rPr>
                <w:rFonts w:ascii="Arial" w:cs="Arial" w:eastAsia="Arial" w:hAnsi="Arial"/>
                <w:sz w:val="18"/>
                <w:szCs w:val="18"/>
                <w:color w:val="auto"/>
              </w:rPr>
              <w:t>wallerlaw.com</w:t>
            </w:r>
          </w:p>
        </w:tc>
        <w:tc>
          <w:tcPr>
            <w:tcW w:w="1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128587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capacity as special securities counsel to Harrow Health, Inc., a Delaware corporation (the “Company”), in connection with the issuance of $20,000,000 aggregate principal amount of the Company’s 8.625% Senior Notes due 2026 (the “Notes”), we have examined (i) the Registration Statement on Form S-3 (Registration No. 333-239669) filed by the Company under the Securities Act of 1933, as amended, (ii) the related Prospectus, dated July 13, 2020 (the “Prospectus”), as supplemented by the Prospectus Supplement, dated June 14, 2021 (the “Prospectus Supplement”), and (iii) the base Indenture, dated as of April 20, 2021, between the Company and U.S. Bank National Association (the “Trustee”), as supplemented by the First Supplemental Indenture dated as of April 20, 2021 (collectively, the “Indenture”). In this regard,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assume for purposes of this opinion that the Trustee is duly organized, validly existing and in good standing under the laws of its jurisdiction of organization; that the Trustee is duly qualified to engage in activities contemplated by the Indenture; that the Indenture has been duly authorized, executed and delivered by the Trustee and constitutes the legally valid and binding obligation of the Trustee enforceable against the Trustee in accordance with its terms; that the Trustee is in compliance, with respect to acting as a trustee under the Indenture, with all applicable laws and regulations; and that the Trustee has the requisite organizational and legal power and authority to perform its obligations under the Indenture.</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Based upon the foregoing, we are of the opinion that the Notes have been duly authorized by all necessary corporate action on the part of the Company and, when authenticated and delivered by the Trustee and issued by the Company in accordance with the terms of the Indenture and the Underwriting Agreement, dated June 14, 2021 (the “Underwriting Agreement”), by and between the Company and B. Riley Securities, Inc., as representative of the several underwriters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to the Underwriting Agreement, and in the manner and on the terms described in the Prospectus and the Prospectus Supplement, the Notes will be valid and binding obligations of the Company enforceable in accordance with their terms, except as enforceability may be limited by bankruptcy, insolvency, reorganization or other similar laws relating to creditors’ rights or by general principles of equity.</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foregoing opinion is limited to matters arising under the laws of the State of New York and the General Corporation Law of the State of Delaware as in effect on the date hereof. We hereby consent to the filing of this opinion as an exhibit to the Company’s current report on Form 8-K and further consent to the reference to us under the caption “Legal Matters” in the Prospectus and the Prospectus Supplement. This consent is not to be construed as an admission that we are a party whose consent is required to be filed with the Prospectus or the Prospectus Supplement under the provisions of the Securities Act of 1933, as amended, or the rules and regulations of the Securities and Exchange Commission promulgated thereunder.</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702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Pricing of $17.5 Million Aggregate Principal Amount Offering of 8.625% Senior Notes Due 2026</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NASHVILLE, Tenn., June 14, 2021 – Harrow Health, Inc. (NASDAQ: HROW) (“Harrow Health” or the “Company”), an ophthalmic-focused healthcare company, today announced the pricing of its underwritten registered public offering of $17.5 million aggregate principal amount of 8.625% senior notes due 2026 (the “Notes”). The Company has granted the underwriters a 30-day option to purchase an additional $2.5 million aggregate principal amount of Notes in connection with the offering. The Notes will be treated as a single series with the Company’s outstanding 8.625% senior notes due 2026 and will trade interchangeably with the existing notes. The Notes will be sold to investors at a price of $25.75 per Note, for aggregate gross proceeds of $18,025,000. The offering is expected to close on June 17, 2021, subject to customary closing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Harrow Health and this issuance of Notes both received a rating of “BB” from Egan-Jones Ratings Company, an independent, unaffiliated rating agency.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Notes are listed, and the new Notes to be issued are expected to be listed, on the Nasdaq Global Market under the symbol “HROWL”.</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use the net proceeds of the offering to redeem all outstanding shares of its Series B Cumulative Preferred Stock, with the remaining net proceeds available for general corporate purposes, including funding future strategic product acquisitions and related investments, making capital expenditures and funding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 and Ladenburg Thalmann &amp; Co. Inc. are acting as joint book-running managers for this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will be offered under the Company’s shelf registration statement on Form S-3, which was declared effective by the Securities and Exchange Commission (“SEC”) on July 13, 2020. The offering of these Notes will be made only by means of a prospectus supplement and accompanying base prospectus, which will be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r>
        <w:rPr>
          <w:rFonts w:ascii="Arial" w:cs="Arial" w:eastAsia="Arial" w:hAnsi="Arial"/>
          <w:sz w:val="18"/>
          <w:szCs w:val="18"/>
          <w:color w:val="auto"/>
        </w:rPr>
        <w: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is an ophthalmic-focused healthcare company. The Company owns and operates ImprimisRx, one of the nation’s leading ophthalmology outsourcing and pharmaceutical compounding businesses, and Visionology, a direct-to-consumer eye care subsidiary focused on chronic eye disease. Harrow Health also holds non-controlling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our corporate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notes offering will not be consummated at the expected time, on the expected terms, or at all. Additional risks and uncertainties are more fully described in Harrow Health’s filings with the Securities and Exchange Commission, including its Annual Report on Form 10-K for the year ended December 31, 2020 and Quarterly Report on Form 10-Q for the three months ended March 31, 2021.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 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226060</wp:posOffset>
            </wp:positionV>
            <wp:extent cx="1774190" cy="702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Closing of $20 Million Aggregate Principal Amount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8.625% Senior Notes Due 2026</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NASHVILLE, Tenn., June 17, 2021 – Harrow Health, Inc. (NASDAQ: HROW) (“Harrow Health” or the “Company”), an ophthalmic-focused healthcare company, today announced the closing of its underwritten registered public offering of $20 million aggregate principal amount of 8.625% senior notes due 2026 (the “Notes”), which includes the full exercise of the over-allotment option of $2.5 million aggregate principal amount granted to the underwriters. The Notes will be treated as a single series with the Company’s outstanding 8.625% senior notes due 2026 and will trade interchangeably with the existing notes.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Harrow Health and this issuance of Notes both received a rating of “BB” from Egan-Jones Ratings Company, an independent, unaffiliated rating agency.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trade on Nasdaq under the symbol “HROWL” following the closing date of this offering.</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resulted in net proceeds of approximately $19.6 million after deducting underwriting discounts and commission, but before expenses. The Company expects to use the net proceeds of the offering to redeem all outstanding shares of its Series B Cumulative Preferred Stock, with the remaining net proceeds available for general corporate purposes, including funding future strategic product acquisitions and related investments, making capital expenditures and funding working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 Riley Securities, Inc. and Ladenburg Thalmann &amp; Co. Inc. acted as joint book-running managers for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Waller Lansden Dortch &amp; Davis, LLP acted as legal counsel to the Company. Duane Morris LLP acted as legal counsel to the underwriters.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were offered under the Company’s shelf registration statement on Form S-3, which was declared effective by the Securities and Exchange Commission (“SEC”) on July 13, 2020. The offering of these Notes was made only by means of a prospectus supplement and accompanying base prospectus, each of which was previously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r>
        <w:rPr>
          <w:rFonts w:ascii="Arial" w:cs="Arial" w:eastAsia="Arial" w:hAnsi="Arial"/>
          <w:sz w:val="18"/>
          <w:szCs w:val="18"/>
          <w:color w:val="auto"/>
        </w:rPr>
        <w: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is an ophthalmic-focused healthcare company. The Company owns and operates ImprimisRx, one of the nation’s leading ophthalmology outsourcing and pharmaceutical compounding businesses, and Visionology, a direct-to-consumer eye care subsidiary focused on chronic eye disease. Harrow Health also holds non-controlling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our corporate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Additional risks and uncertainties are more fully described in Harrow Health’s filings with the Securities and Exchange Commission, including its Annual Report on Form 10-K for the year ended December 31, 2020 and Quarterly Report on Form 10-Q for the three months ended March 31, 2021. Such documents may be read free of charge on the SEC’s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lvl w:ilvl="1">
      <w:lvlJc w:val="left"/>
      <w:lvlText w:val="(%2)"/>
      <w:numFmt w:val="lowerLetter"/>
      <w:start w:val="1"/>
    </w:lvl>
  </w:abstractNum>
  <w:abstractNum w:abstractNumId="4">
    <w:nsid w:val="628C895D"/>
    <w:multiLevelType w:val="hybridMultilevel"/>
    <w:lvl w:ilvl="0">
      <w:lvlJc w:val="left"/>
      <w:lvlText w:val="(%1)"/>
      <w:numFmt w:val="lowerLetter"/>
      <w:start w:val="2"/>
    </w:lvl>
  </w:abstractNum>
  <w:abstractNum w:abstractNumId="5">
    <w:nsid w:val="333AB105"/>
    <w:multiLevelType w:val="hybridMultilevel"/>
    <w:lvl w:ilvl="0">
      <w:lvlJc w:val="left"/>
      <w:lvlText w:val="(%1)"/>
      <w:numFmt w:val="lowerLetter"/>
      <w:start w:val="3"/>
    </w:lvl>
  </w:abstractNum>
  <w:abstractNum w:abstractNumId="6">
    <w:nsid w:val="721DA317"/>
    <w:multiLevelType w:val="hybridMultilevel"/>
    <w:lvl w:ilvl="0">
      <w:lvlJc w:val="left"/>
      <w:lvlText w:val="(%1)"/>
      <w:numFmt w:val="lowerLetter"/>
      <w:start w:val="7"/>
    </w:lvl>
  </w:abstractNum>
  <w:abstractNum w:abstractNumId="7">
    <w:nsid w:val="2443A858"/>
    <w:multiLevelType w:val="hybridMultilevel"/>
    <w:lvl w:ilvl="0">
      <w:lvlJc w:val="left"/>
      <w:lvlText w:val="(%1)"/>
      <w:numFmt w:val="lowerLetter"/>
      <w:start w:val="12"/>
    </w:lvl>
  </w:abstractNum>
  <w:abstractNum w:abstractNumId="8">
    <w:nsid w:val="2D1D5AE9"/>
    <w:multiLevelType w:val="hybridMultilevel"/>
    <w:lvl w:ilvl="0">
      <w:lvlJc w:val="left"/>
      <w:lvlText w:val="(%1)"/>
      <w:numFmt w:val="lowerLetter"/>
      <w:start w:val="17"/>
    </w:lvl>
  </w:abstractNum>
  <w:abstractNum w:abstractNumId="9">
    <w:nsid w:val="6763845E"/>
    <w:multiLevelType w:val="hybridMultilevel"/>
    <w:lvl w:ilvl="0">
      <w:lvlJc w:val="left"/>
      <w:lvlText w:val="(%1)"/>
      <w:numFmt w:val="lowerLetter"/>
      <w:start w:val="22"/>
    </w:lvl>
  </w:abstractNum>
  <w:abstractNum w:abstractNumId="10">
    <w:nsid w:val="75A2A8D4"/>
    <w:multiLevelType w:val="hybridMultilevel"/>
    <w:lvl w:ilvl="0">
      <w:lvlJc w:val="left"/>
      <w:lvlText w:val="(%1)"/>
      <w:numFmt w:val="lowerLetter"/>
      <w:start w:val="27"/>
    </w:lvl>
  </w:abstractNum>
  <w:abstractNum w:abstractNumId="11">
    <w:nsid w:val="8EDBDAB"/>
    <w:multiLevelType w:val="hybridMultilevel"/>
    <w:lvl w:ilvl="0">
      <w:lvlJc w:val="left"/>
      <w:lvlText w:val="(%1)"/>
      <w:numFmt w:val="lowerLetter"/>
      <w:start w:val="28"/>
    </w:lvl>
  </w:abstractNum>
  <w:abstractNum w:abstractNumId="12">
    <w:nsid w:val="79838CB2"/>
    <w:multiLevelType w:val="hybridMultilevel"/>
    <w:lvl w:ilvl="0">
      <w:lvlJc w:val="left"/>
      <w:lvlText w:val="(%1)"/>
      <w:numFmt w:val="lowerLetter"/>
      <w:start w:val="30"/>
    </w:lvl>
  </w:abstractNum>
  <w:abstractNum w:abstractNumId="13">
    <w:nsid w:val="4353D0CD"/>
    <w:multiLevelType w:val="hybridMultilevel"/>
    <w:lvl w:ilvl="0">
      <w:lvlJc w:val="left"/>
      <w:lvlText w:val="%1"/>
      <w:numFmt w:val="decimal"/>
      <w:start w:val="1"/>
    </w:lvl>
    <w:lvl w:ilvl="1">
      <w:lvlJc w:val="left"/>
      <w:lvlText w:val="(%2)"/>
      <w:numFmt w:val="lowerLetter"/>
      <w:start w:val="34"/>
    </w:lvl>
  </w:abstractNum>
  <w:abstractNum w:abstractNumId="14">
    <w:nsid w:val="B03E0C6"/>
    <w:multiLevelType w:val="hybridMultilevel"/>
    <w:lvl w:ilvl="0">
      <w:lvlJc w:val="left"/>
      <w:lvlText w:val="(%1)"/>
      <w:numFmt w:val="decimal"/>
      <w:start w:val="3"/>
    </w:lvl>
    <w:lvl w:ilvl="1">
      <w:lvlJc w:val="left"/>
      <w:lvlText w:val="%2"/>
      <w:numFmt w:val="lowerLetter"/>
      <w:start w:val="1"/>
    </w:lvl>
  </w:abstractNum>
  <w:abstractNum w:abstractNumId="15">
    <w:nsid w:val="189A769B"/>
    <w:multiLevelType w:val="hybridMultilevel"/>
    <w:lvl w:ilvl="0">
      <w:lvlJc w:val="left"/>
      <w:lvlText w:val="(%1)"/>
      <w:numFmt w:val="lowerLetter"/>
      <w:start w:val="40"/>
    </w:lvl>
  </w:abstractNum>
  <w:abstractNum w:abstractNumId="16">
    <w:nsid w:val="54E49EB4"/>
    <w:multiLevelType w:val="hybridMultilevel"/>
    <w:lvl w:ilvl="0">
      <w:lvlJc w:val="left"/>
      <w:lvlText w:val="%1"/>
      <w:numFmt w:val="decimal"/>
      <w:start w:val="1"/>
    </w:lvl>
    <w:lvl w:ilvl="1">
      <w:lvlJc w:val="left"/>
      <w:lvlText w:val="(%2)"/>
      <w:numFmt w:val="lowerLetter"/>
      <w:start w:val="48"/>
    </w:lvl>
  </w:abstractNum>
  <w:abstractNum w:abstractNumId="17">
    <w:nsid w:val="71F32454"/>
    <w:multiLevelType w:val="hybridMultilevel"/>
    <w:lvl w:ilvl="0">
      <w:lvlJc w:val="left"/>
      <w:lvlText w:val="%1."/>
      <w:numFmt w:val="decimal"/>
      <w:start w:val="3"/>
    </w:lvl>
    <w:lvl w:ilvl="1">
      <w:lvlJc w:val="left"/>
      <w:lvlText w:val="(%2)"/>
      <w:numFmt w:val="lowerLetter"/>
      <w:start w:val="1"/>
    </w:lvl>
  </w:abstractNum>
  <w:abstractNum w:abstractNumId="18">
    <w:nsid w:val="2CA88611"/>
    <w:multiLevelType w:val="hybridMultilevel"/>
    <w:lvl w:ilvl="0">
      <w:lvlJc w:val="left"/>
      <w:lvlText w:val="%1."/>
      <w:numFmt w:val="decimal"/>
      <w:start w:val="4"/>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4"/>
    </w:lvl>
  </w:abstractNum>
  <w:abstractNum w:abstractNumId="21">
    <w:nsid w:val="3A95F874"/>
    <w:multiLevelType w:val="hybridMultilevel"/>
    <w:lvl w:ilvl="0">
      <w:lvlJc w:val="left"/>
      <w:lvlText w:val="(%1)"/>
      <w:numFmt w:val="lowerLetter"/>
      <w:start w:val="9"/>
    </w:lvl>
  </w:abstractNum>
  <w:abstractNum w:abstractNumId="22">
    <w:nsid w:val="8138641"/>
    <w:multiLevelType w:val="hybridMultilevel"/>
    <w:lvl w:ilvl="0">
      <w:lvlJc w:val="left"/>
      <w:lvlText w:val="%1."/>
      <w:numFmt w:val="decimal"/>
      <w:start w:val="5"/>
    </w:lvl>
  </w:abstractNum>
  <w:abstractNum w:abstractNumId="23">
    <w:nsid w:val="1E7FF521"/>
    <w:multiLevelType w:val="hybridMultilevel"/>
    <w:lvl w:ilvl="0">
      <w:lvlJc w:val="left"/>
      <w:lvlText w:val="%1."/>
      <w:numFmt w:val="decimal"/>
      <w:start w:val="6"/>
    </w:lvl>
    <w:lvl w:ilvl="1">
      <w:lvlJc w:val="left"/>
      <w:lvlText w:val="(%2)"/>
      <w:numFmt w:val="lowerLetter"/>
      <w:start w:val="1"/>
    </w:lvl>
  </w:abstractNum>
  <w:abstractNum w:abstractNumId="24">
    <w:nsid w:val="7C3DBD3D"/>
    <w:multiLevelType w:val="hybridMultilevel"/>
    <w:lvl w:ilvl="0">
      <w:lvlJc w:val="left"/>
      <w:lvlText w:val="%1"/>
      <w:numFmt w:val="lowerLetter"/>
      <w:start w:val="1"/>
    </w:lvl>
    <w:lvl w:ilvl="1">
      <w:lvlJc w:val="left"/>
      <w:lvlText w:val="(%2)"/>
      <w:numFmt w:val="lowerLetter"/>
      <w:start w:val="2"/>
    </w:lvl>
  </w:abstractNum>
  <w:abstractNum w:abstractNumId="25">
    <w:nsid w:val="737B8DDC"/>
    <w:multiLevelType w:val="hybridMultilevel"/>
    <w:lvl w:ilvl="0">
      <w:lvlJc w:val="left"/>
      <w:lvlText w:val="(%1)"/>
      <w:numFmt w:val="lowerLetter"/>
      <w:start w:val="35"/>
    </w:lvl>
    <w:lvl w:ilvl="1">
      <w:lvlJc w:val="left"/>
      <w:lvlText w:val="(%2)"/>
      <w:numFmt w:val="lowerLetter"/>
      <w:start w:val="4"/>
    </w:lvl>
  </w:abstractNum>
  <w:abstractNum w:abstractNumId="26">
    <w:nsid w:val="6CEAF087"/>
    <w:multiLevelType w:val="hybridMultilevel"/>
    <w:lvl w:ilvl="0">
      <w:lvlJc w:val="left"/>
      <w:lvlText w:val="(%1)"/>
      <w:numFmt w:val="lowerLetter"/>
      <w:start w:val="6"/>
    </w:lvl>
  </w:abstractNum>
  <w:abstractNum w:abstractNumId="27">
    <w:nsid w:val="22221A70"/>
    <w:multiLevelType w:val="hybridMultilevel"/>
    <w:lvl w:ilvl="0">
      <w:lvlJc w:val="left"/>
      <w:lvlText w:val="(%1)"/>
      <w:numFmt w:val="lowerLetter"/>
      <w:start w:val="11"/>
    </w:lvl>
  </w:abstractNum>
  <w:abstractNum w:abstractNumId="28">
    <w:nsid w:val="4516DDE9"/>
    <w:multiLevelType w:val="hybridMultilevel"/>
    <w:lvl w:ilvl="0">
      <w:lvlJc w:val="left"/>
      <w:lvlText w:val="%1."/>
      <w:numFmt w:val="decimal"/>
      <w:start w:val="7"/>
    </w:lvl>
  </w:abstractNum>
  <w:abstractNum w:abstractNumId="29">
    <w:nsid w:val="3006C83E"/>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30">
    <w:nsid w:val="614FD4A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1">
    <w:nsid w:val="419AC241"/>
    <w:multiLevelType w:val="hybridMultilevel"/>
    <w:lvl w:ilvl="0">
      <w:lvlJc w:val="left"/>
      <w:lvlText w:val="(%1)"/>
      <w:numFmt w:val="lowerLetter"/>
      <w:start w:val="2"/>
    </w:lvl>
  </w:abstractNum>
  <w:abstractNum w:abstractNumId="32">
    <w:nsid w:val="5577F8E1"/>
    <w:multiLevelType w:val="hybridMultilevel"/>
    <w:lvl w:ilvl="0">
      <w:lvlJc w:val="left"/>
      <w:lvlText w:val="(%1)"/>
      <w:numFmt w:val="lowerLetter"/>
      <w:start w:val="3"/>
    </w:lvl>
  </w:abstractNum>
  <w:abstractNum w:abstractNumId="33">
    <w:nsid w:val="440BADFC"/>
    <w:multiLevelType w:val="hybridMultilevel"/>
    <w:lvl w:ilvl="0">
      <w:lvlJc w:val="left"/>
      <w:lvlText w:val="(%1)"/>
      <w:numFmt w:val="lowerLetter"/>
      <w:start w:val="4"/>
    </w:lvl>
  </w:abstractNum>
  <w:abstractNum w:abstractNumId="34">
    <w:nsid w:val="5072367"/>
    <w:multiLevelType w:val="hybridMultilevel"/>
    <w:lvl w:ilvl="0">
      <w:lvlJc w:val="left"/>
      <w:lvlText w:val="%1."/>
      <w:numFmt w:val="decimal"/>
      <w:start w:val="9"/>
    </w:lvl>
    <w:lvl w:ilvl="1">
      <w:lvlJc w:val="left"/>
      <w:lvlText w:val="(%2)"/>
      <w:numFmt w:val="lowerLetter"/>
      <w:start w:val="1"/>
    </w:lvl>
  </w:abstractNum>
  <w:abstractNum w:abstractNumId="35">
    <w:nsid w:val="3804823E"/>
    <w:multiLevelType w:val="hybridMultilevel"/>
    <w:lvl w:ilvl="0">
      <w:lvlJc w:val="left"/>
      <w:lvlText w:val="%1."/>
      <w:numFmt w:val="decimal"/>
      <w:start w:val="11"/>
    </w:lvl>
    <w:lvl w:ilvl="1">
      <w:lvlJc w:val="left"/>
      <w:lvlText w:val="(%2)"/>
      <w:numFmt w:val="lowerLetter"/>
      <w:start w:val="1"/>
    </w:lvl>
  </w:abstractNum>
  <w:abstractNum w:abstractNumId="36">
    <w:nsid w:val="77465F01"/>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jpeg"/><Relationship Id="rId55" Type="http://schemas.openxmlformats.org/officeDocument/2006/relationships/image" Target="media/image46.png"/><Relationship Id="rId56" Type="http://schemas.openxmlformats.org/officeDocument/2006/relationships/image" Target="media/image47.jpe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14" Type="http://schemas.openxmlformats.org/officeDocument/2006/relationships/hyperlink" Target="https://www.sec.gov/Archives/edgar/data/1360214/000149315221009249/ex4-1.htm" TargetMode="External"/><Relationship Id="rId15" Type="http://schemas.openxmlformats.org/officeDocument/2006/relationships/hyperlink" Target="https://www.sec.gov/Archives/edgar/data/1360214/000149315221009249/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2021-06-17T15:27:41Z</dcterms:created>
  <dcterms:modified xsi:type="dcterms:W3CDTF">2021-06-17T15:27:41Z</dcterms:modified>
</cp:coreProperties>
</file>