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13,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2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001-35814</w:t>
            </w:r>
          </w:p>
        </w:tc>
        <w:tc>
          <w:tcPr>
            <w:tcW w:w="24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center"/>
              <w:ind w:right="1230"/>
              <w:spacing w:after="0" w:line="201" w:lineRule="exact"/>
              <w:rPr>
                <w:sz w:val="20"/>
                <w:szCs w:val="20"/>
                <w:color w:val="auto"/>
              </w:rPr>
            </w:pPr>
            <w:r>
              <w:rPr>
                <w:rFonts w:ascii="Arial" w:cs="Arial" w:eastAsia="Arial" w:hAnsi="Arial"/>
                <w:sz w:val="18"/>
                <w:szCs w:val="18"/>
                <w:color w:val="auto"/>
                <w:w w:val="93"/>
              </w:rPr>
              <w:t>(Commission</w:t>
            </w:r>
          </w:p>
        </w:tc>
        <w:tc>
          <w:tcPr>
            <w:tcW w:w="24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200" w:type="dxa"/>
            <w:vAlign w:val="bottom"/>
            <w:gridSpan w:val="3"/>
          </w:tcPr>
          <w:p>
            <w:pPr>
              <w:jc w:val="center"/>
              <w:ind w:right="1540"/>
              <w:spacing w:after="0"/>
              <w:rPr>
                <w:sz w:val="20"/>
                <w:szCs w:val="20"/>
                <w:color w:val="auto"/>
              </w:rPr>
            </w:pPr>
            <w:r>
              <w:rPr>
                <w:rFonts w:ascii="Arial" w:cs="Arial" w:eastAsia="Arial" w:hAnsi="Arial"/>
                <w:sz w:val="18"/>
                <w:szCs w:val="18"/>
                <w:color w:val="auto"/>
                <w:w w:val="93"/>
              </w:rPr>
              <w:t>of incorporation)</w:t>
            </w:r>
          </w:p>
        </w:tc>
        <w:tc>
          <w:tcPr>
            <w:tcW w:w="2580" w:type="dxa"/>
            <w:vAlign w:val="bottom"/>
            <w:gridSpan w:val="2"/>
          </w:tcPr>
          <w:p>
            <w:pPr>
              <w:jc w:val="center"/>
              <w:ind w:right="15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20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0"/>
              </w:rPr>
              <w:t>12264 El Camino Real, Suite 350</w:t>
            </w: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5"/>
        </w:trPr>
        <w:tc>
          <w:tcPr>
            <w:tcW w:w="5200" w:type="dxa"/>
            <w:vAlign w:val="bottom"/>
            <w:tcBorders>
              <w:bottom w:val="single" w:sz="8" w:color="auto"/>
            </w:tcBorders>
            <w:gridSpan w:val="3"/>
          </w:tcPr>
          <w:p>
            <w:pPr>
              <w:jc w:val="center"/>
              <w:ind w:left="2250"/>
              <w:spacing w:after="0"/>
              <w:rPr>
                <w:sz w:val="20"/>
                <w:szCs w:val="20"/>
                <w:color w:val="auto"/>
              </w:rPr>
            </w:pPr>
            <w:r>
              <w:rPr>
                <w:rFonts w:ascii="Arial" w:cs="Arial" w:eastAsia="Arial" w:hAnsi="Arial"/>
                <w:sz w:val="18"/>
                <w:szCs w:val="18"/>
                <w:b w:val="1"/>
                <w:bCs w:val="1"/>
                <w:color w:val="auto"/>
                <w:w w:val="91"/>
              </w:rPr>
              <w:t>San Diego, CA</w:t>
            </w:r>
          </w:p>
        </w:tc>
        <w:tc>
          <w:tcPr>
            <w:tcW w:w="23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6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92130</w:t>
            </w:r>
          </w:p>
        </w:tc>
      </w:tr>
      <w:tr>
        <w:trPr>
          <w:trHeight w:val="230"/>
        </w:trPr>
        <w:tc>
          <w:tcPr>
            <w:tcW w:w="520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(Address of principal executive offices)</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13, 2015, Imprimis Pharmaceuticals, Inc. (the “Company”) issued a press release announcing its financial results for the first quarter ended March 31, 2015.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Dated: May 13, 2015</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20" w:type="dxa"/>
            <w:vAlign w:val="bottom"/>
          </w:tcPr>
          <w:p>
            <w:pPr>
              <w:spacing w:after="0"/>
              <w:rPr>
                <w:sz w:val="17"/>
                <w:szCs w:val="17"/>
                <w:color w:val="auto"/>
              </w:rPr>
            </w:pPr>
          </w:p>
        </w:tc>
        <w:tc>
          <w:tcPr>
            <w:tcW w:w="2660" w:type="dxa"/>
            <w:vAlign w:val="bottom"/>
          </w:tcPr>
          <w:p>
            <w:pPr>
              <w:ind w:left="210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2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226060</wp:posOffset>
            </wp:positionV>
            <wp:extent cx="2143760" cy="960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43760" cy="9607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First Quarter 2015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will host conference call today at 4:30 p.m. EDT (1:30 p.m. PDT)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San Diego, CA – May 13, 2015 -- Imprimis Pharmaceuticals, Inc. (NASDAQ: IMMY), a pharmaceutical company focused on the development and commercialization of proprietary compounded drug formulations, today announced its financial results for the first quarter 2015 ended March 31, 2015. Management will discuss the financial results and recent business developments on a conference call this afternoon.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First Quarter 2015 Accomplishments and Recent Developments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approximately $1.6 million during the first quarter of 2015, compared to $2,000 during the first quarter of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of approximately $(2.3) million during the first quarter of 2015, compared to $(1.6) million during the first quarter of 2014;</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acquisition of Park Compounding, a compounding pharmacy based in Irvine, California. The acquisition expanded Imprimis’ distribution capabilities, which now includes an aggregate of 42 states, including California;</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construction efforts of an 8,600 square foot leased facility in Roxbury, New Jersey. Once completed, this facility is expected to serve as a new location for the company’s New Jersey-based pharmacy and include a separate outsourcing facility intended to comply with cGMP manufacturing standards and Section 503B of the U.S. Food, Drug, and Cosmetic Act;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the company’s combination drop therapy topical eye drop formulations and corresponding LessDrops™ education campaign at the American Society of Cataract and Refractive Surgery annual meeting in San Diego, California in April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300 physicians have started prescribing the company’s Dropless Therapy™ injectables;</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the company’s urology business and began dispensing prescriptions for its Hep-Lido-A (HLA) compounded formulation for interstitial cystitis (IC), the cornerstone of its urology business. Also introduced the company’s new Tri-Mix lyophilized compounded formulations for the treatment of erectile dysfunction (ED). The company is exhibiting its proprietary compounded formulations and introducing both the Defeat IC™ and ED Free™ educational campaigns at the upcoming American Urological Association Annual Meeting, the largest meeting of urologists in the world, May 16-18, 2015, in New Orleans;</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term loan agreement with an affiliate of Life Sciences Alternative Funding LLC (LSAF) for up to a $15 million in proceeds. LSAF has provided the company with $10 million to date and may provide up to an additional $5 million on or before May 11, 2016, at the company’s option and subject to the company’s satisfaction of certain revenue milestones prior to May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7"/>
          <w:szCs w:val="17"/>
          <w:color w:val="auto"/>
        </w:rPr>
        <w:t>Mark L. Baum, Chief Executive Officer of Imprimis, stated, “This quarter was a record quarter for the company as we continued to grow our commercialization efforts and invest in the growth of our key programs. Compared to the prior year, we saw top-line expansion and we expect this positive trend to continue as we execute our compounded pharmaceutical development and commercialization business model. Our Dropless Therapy™ formulation sales increased, during first quarter 2015 and we dispensed approximately 14,800 units. We expect sales to continue to increase moving forward as our customer base grows. We look forward to leveraging the proceeds of our recent loan agreement to further our commercialization and distribution efforts as we move into the latter part of this year and into 2016. With our ophthalmology and urology commercial platforms now in place, once we complete our production infrastructure we believe we will be well-positioned for sustained growth and future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first quarter ended March 31, 2015 and the same period in 2014 are as follows (in thousands, expect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For the three months</w:t>
            </w:r>
          </w:p>
        </w:tc>
        <w:tc>
          <w:tcPr>
            <w:tcW w:w="140" w:type="dxa"/>
            <w:vAlign w:val="bottom"/>
          </w:tcPr>
          <w:p>
            <w:pPr>
              <w:spacing w:after="0"/>
              <w:rPr>
                <w:sz w:val="18"/>
                <w:szCs w:val="18"/>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For the three months</w:t>
            </w:r>
          </w:p>
        </w:tc>
      </w:tr>
      <w:tr>
        <w:trPr>
          <w:trHeight w:val="241"/>
        </w:trPr>
        <w:tc>
          <w:tcPr>
            <w:tcW w:w="6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ended March 31, 2015</w:t>
            </w:r>
          </w:p>
        </w:tc>
        <w:tc>
          <w:tcPr>
            <w:tcW w:w="140" w:type="dxa"/>
            <w:vAlign w:val="bottom"/>
          </w:tcPr>
          <w:p>
            <w:pPr>
              <w:spacing w:after="0"/>
              <w:rPr>
                <w:sz w:val="20"/>
                <w:szCs w:val="20"/>
                <w:color w:val="auto"/>
              </w:rPr>
            </w:pPr>
          </w:p>
        </w:tc>
        <w:tc>
          <w:tcPr>
            <w:tcW w:w="2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ended March 31, 2014</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2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1,007</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60" w:type="dxa"/>
            <w:vAlign w:val="bottom"/>
            <w:shd w:val="clear" w:color="auto" w:fill="CCEEFF"/>
          </w:tcPr>
          <w:p>
            <w:pPr>
              <w:spacing w:after="0"/>
              <w:rPr>
                <w:sz w:val="18"/>
                <w:szCs w:val="18"/>
                <w:color w:val="auto"/>
              </w:rPr>
            </w:pPr>
          </w:p>
        </w:tc>
        <w:tc>
          <w:tcPr>
            <w:tcW w:w="23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60" w:type="dxa"/>
            <w:vAlign w:val="bottom"/>
          </w:tcPr>
          <w:p>
            <w:pPr>
              <w:spacing w:after="0"/>
              <w:rPr>
                <w:sz w:val="18"/>
                <w:szCs w:val="18"/>
                <w:color w:val="auto"/>
              </w:rPr>
            </w:pP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2,480</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60" w:type="dxa"/>
            <w:vAlign w:val="bottom"/>
            <w:shd w:val="clear" w:color="auto" w:fill="CCEEFF"/>
          </w:tcPr>
          <w:p>
            <w:pPr>
              <w:spacing w:after="0"/>
              <w:rPr>
                <w:sz w:val="18"/>
                <w:szCs w:val="18"/>
                <w:color w:val="auto"/>
              </w:rPr>
            </w:pPr>
          </w:p>
        </w:tc>
        <w:tc>
          <w:tcPr>
            <w:tcW w:w="23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5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(3,093)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per Common Share</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(0.33</w:t>
            </w:r>
          </w:p>
        </w:tc>
        <w:tc>
          <w:tcPr>
            <w:tcW w:w="360" w:type="dxa"/>
            <w:vAlign w:val="bottom"/>
            <w:tcBorders>
              <w:top w:val="single" w:sz="8" w:color="CCEEFF"/>
            </w:tcBorders>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2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(0.26</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7"/>
        </w:trPr>
        <w:tc>
          <w:tcPr>
            <w:tcW w:w="6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adjusted EBITDA to the most comparable GAAP measure, net loss, for the three months ended March 31, 2015 and 2014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For the three months</w:t>
            </w:r>
          </w:p>
        </w:tc>
        <w:tc>
          <w:tcPr>
            <w:tcW w:w="16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For the three months</w:t>
            </w:r>
          </w:p>
        </w:tc>
      </w:tr>
      <w:tr>
        <w:trPr>
          <w:trHeight w:val="241"/>
        </w:trPr>
        <w:tc>
          <w:tcPr>
            <w:tcW w:w="6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ended March 31, 2015</w:t>
            </w:r>
          </w:p>
        </w:tc>
        <w:tc>
          <w:tcPr>
            <w:tcW w:w="160" w:type="dxa"/>
            <w:vAlign w:val="bottom"/>
          </w:tcPr>
          <w:p>
            <w:pPr>
              <w:spacing w:after="0"/>
              <w:rPr>
                <w:sz w:val="20"/>
                <w:szCs w:val="20"/>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ended March 31, 2014</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0"/>
                <w:szCs w:val="20"/>
                <w:color w:val="auto"/>
              </w:rPr>
            </w:pP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(2,333</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Financial Results Webcast and Conference Call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will hold a conference call and audio-only webcast today at 4:30 p.m. EDT (1:30 p.m. PDT). The conference call and webcast will be open to all listeners and a question and answer session will follow the prepared remarks. To participate in this event, dial 877-407-8035 domestically, or 201-689-8035 internationally, approximately 5 to 10 minutes prior to the start of the call. Additionally, you can listen to the event online at </w:t>
      </w:r>
      <w:r>
        <w:rPr>
          <w:rFonts w:ascii="Arial" w:cs="Arial" w:eastAsia="Arial" w:hAnsi="Arial"/>
          <w:sz w:val="18"/>
          <w:szCs w:val="18"/>
          <w:u w:val="single" w:color="auto"/>
          <w:color w:val="auto"/>
        </w:rPr>
        <w:t>http://www.investorcalendar.com/event/173998</w:t>
      </w:r>
      <w:r>
        <w:rPr>
          <w:rFonts w:ascii="Arial" w:cs="Arial" w:eastAsia="Arial" w:hAnsi="Arial"/>
          <w:sz w:val="18"/>
          <w:szCs w:val="18"/>
          <w:color w:val="auto"/>
        </w:rPr>
        <w:t xml:space="preserve">, as well as at the company’s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If you are unable to participate during the live webcast, the event archive will be available at </w:t>
      </w:r>
      <w:r>
        <w:rPr>
          <w:rFonts w:ascii="Arial" w:cs="Arial" w:eastAsia="Arial" w:hAnsi="Arial"/>
          <w:sz w:val="18"/>
          <w:szCs w:val="18"/>
          <w:u w:val="single" w:color="auto"/>
          <w:color w:val="auto"/>
        </w:rPr>
        <w:t>http://www.investorcalendar.com/event/173998</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You may access the teleconference replay by dialing 877-660-6853 domestically or 201-612-7415 internationally, referencing conference 13609032. The replay will be available until June 13,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PHARMACEUTICALS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San Diego-based Imprimis Pharmaceuticals, Inc. (NASDAQ: IMMY) is a pharmaceutical company dedicated to delivering high quality and innovative medicines to physicians and patients at accessible prices. Imprimis’ business is focused on its proprietary ophthalmology and urology drug formulations. The company’s pioneering ophthalmology formulation portfolio is disrupting the multi-billion dollar eye drop market, addressing patient compliance issues and providing other medical and economic benefits to patients. Imprimis recently launched its urology business, which includes a patented formulation to address patients suffering from interstitial cystitis. For more information about Imprimis, please visit the company’s corporate website at </w:t>
      </w:r>
      <w:r>
        <w:rPr>
          <w:rFonts w:ascii="Arial" w:cs="Arial" w:eastAsia="Arial" w:hAnsi="Arial"/>
          <w:sz w:val="16"/>
          <w:szCs w:val="16"/>
          <w:u w:val="single" w:color="auto"/>
          <w:color w:val="auto"/>
        </w:rPr>
        <w:t>www.ImprimisPharma.com</w:t>
      </w:r>
      <w:r>
        <w:rPr>
          <w:rFonts w:ascii="Arial" w:cs="Arial" w:eastAsia="Arial" w:hAnsi="Arial"/>
          <w:sz w:val="16"/>
          <w:szCs w:val="16"/>
          <w:color w:val="auto"/>
        </w:rPr>
        <w:t xml:space="preserve">; ophthalmology business websites at </w:t>
      </w:r>
      <w:r>
        <w:rPr>
          <w:rFonts w:ascii="Arial" w:cs="Arial" w:eastAsia="Arial" w:hAnsi="Arial"/>
          <w:sz w:val="16"/>
          <w:szCs w:val="16"/>
          <w:u w:val="single" w:color="auto"/>
          <w:color w:val="auto"/>
        </w:rPr>
        <w:t>www.GoDropless.com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www.LessDrops.com</w:t>
      </w:r>
      <w:r>
        <w:rPr>
          <w:rFonts w:ascii="Arial" w:cs="Arial" w:eastAsia="Arial" w:hAnsi="Arial"/>
          <w:sz w:val="16"/>
          <w:szCs w:val="16"/>
          <w:color w:val="auto"/>
        </w:rPr>
        <w:t xml:space="preserve">; and urology business website at </w:t>
      </w:r>
      <w:r>
        <w:rPr>
          <w:rFonts w:ascii="Arial" w:cs="Arial" w:eastAsia="Arial" w:hAnsi="Arial"/>
          <w:sz w:val="16"/>
          <w:szCs w:val="16"/>
          <w:u w:val="single" w:color="auto"/>
          <w:color w:val="auto"/>
        </w:rPr>
        <w:t>www.DefeatIC.com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This press release contains forward looking statements within the meaning of the U.S. Private Securities Litigation Reform Act of 1995. Any statements in this release that are not historical facts may be considered forward looking statements, including statements regarding, among other things, development and growth of our pharmacy operations, including integration of recently acquired pharmacies, the proposed opening of an outsourcing facility in 2015 and compliance with applicable governmental standards; development and commercialization of the company’s currently available and potential new proprietary compounded formulations; the market potential for Imprimis’ ophthalmology and urology formulations and the company’s ability to capture a significant share of these markets; plans to expand the company’s ophthalmology and urology business units and the success of any such expansion, including the launch of new formulations and any anticipated growth in the sales of or the customer base for these formulations; the success of the company’s compounding pharmacy commercialization model; the company’s anticipated use of proceeds received under its loan agreement and its potential to receive additional proceeds under the loan agreement; and the company’s projections regarding its future operating results, including expectations regarding future revenue growth and any potential to achieve profitability. Forward looking statements are based on management’s current views,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among others, risks and uncertainties related to Imprimis’ ability to make commercially available its compounded formulations and technologies in a timely manner or at all; physician interest in prescribing, and patient interest in using, compounded formulations generally and the company’s proprietary formulations; risks related to its compounding pharmacy operations, including its ability to develop and open an outsourcing facility and maintain compliance with applicable state and federal laws and regulations; its ability to obtain third-party payor reimbursement for any of its proprietary formulations; its ability to enter into other strategic alliances, including arrangements with investors and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markets for its technologies and formulations; unexpected new data, safety and technical issues; regulatory and market developments impacting compounding pharmacies, outsourcing facilities and the pharmaceutical industry generally; competition; and market conditions. As a result of these risks and uncertainties, undue reliance should not be placed on forward looking statements. The limited information contained in this press release is not adequate for making an informed investment judgment about the company, and you are encouraged to read Imprimis’ filings with the Securities and Exchange Commission, including its Annual Report on Form 10-K and its Quarterly Reports on Form 10-Q, which more fully describe the company and its business and the risks and uncertainties that may impact future performance.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spacing w:after="0" w:line="3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2020-01-23T14:06:52Z</dcterms:created>
  <dcterms:modified xsi:type="dcterms:W3CDTF">2020-01-23T14:06:52Z</dcterms:modified>
</cp:coreProperties>
</file>