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18,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26035</wp:posOffset>
            </wp:positionV>
            <wp:extent cx="42773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Title of each class</w:t>
            </w: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The NASDAQ Global Market</w:t>
            </w:r>
          </w:p>
        </w:tc>
      </w:tr>
      <w:tr>
        <w:trPr>
          <w:trHeight w:val="230"/>
        </w:trPr>
        <w:tc>
          <w:tcPr>
            <w:tcW w:w="47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8.625% Senior Notes due 2026</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HROWL</w:t>
            </w:r>
          </w:p>
        </w:tc>
        <w:tc>
          <w:tcPr>
            <w:tcW w:w="4260" w:type="dxa"/>
            <w:vAlign w:val="bottom"/>
          </w:tcPr>
          <w:p>
            <w:pPr>
              <w:jc w:val="center"/>
              <w:spacing w:after="0"/>
              <w:rPr>
                <w:sz w:val="20"/>
                <w:szCs w:val="20"/>
                <w:color w:val="auto"/>
              </w:rPr>
            </w:pPr>
            <w:r>
              <w:rPr>
                <w:rFonts w:ascii="Arial" w:cs="Arial" w:eastAsia="Arial" w:hAnsi="Arial"/>
                <w:sz w:val="18"/>
                <w:szCs w:val="18"/>
                <w:color w:val="auto"/>
                <w:w w:val="95"/>
              </w:rPr>
              <w:t>The NASDAQ Global Market</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August 18, 2021, Harrow Health, Inc. (the “Company”) entered into a License Agreement and a Basic Sale and Purchase Agreement (together, the “Agreements”) with Wakamoto Pharmaceutical Co., Ltd. (“Wakamoto”), pursuant to which Wakamoto granted the Company the exclusive license and marketing rights to its ophthalmic drug candidate (“MAQ-100”) in the United States of America (“U.S.”) and Canada.</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Agreements, Wakamoto will supply MAQ-100 to the Company, and the Company will pay Wakamoto a per unit transfer price to supply MAQ-100. In addition, the Company is required to pay Wakamoto various one-time milestone payments totaling up to two million dollars ($2,000,000) upon the achievement of certain regulatory milestones and up to six million two hundred thousand dollars ($6,200,000) upon the achievement of certain commercial milestones. Under the terms of the Agreements, the Company will be responsible for regulatory filings and fees for MAQ-100 in the U.S. and Canada</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certain limitations, the term of the Agreements is for five years from the date of the U.S. Food and Drug Administration’s (or FDA’s) market approval of MAQ-100 and allows for a five-year extension if certain unit sales thresholds are met.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is a summary description of certain terms of the Agreements, is not complete and is qualified in its entirety by reference to the text of the Agreements, which the Company expects to file as an exhibit to the Company’s Quarterly Report on Form 10-Q for the quarter ending September 30,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18, 2021, the Company issued a press release announcing its exclusive arrangement to MAQ-100. A copy of the press release is attached as Exhibit 99.1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Harrow Health and Wakamoto Press Release dated August 18,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August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154305</wp:posOffset>
            </wp:positionV>
            <wp:extent cx="1783080" cy="7029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7029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274320</wp:posOffset>
            </wp:positionV>
            <wp:extent cx="2117090"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1709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Acquires Ophthalmic Surgical Drug Candidate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Wakamoto Pharmaceutical Co., Ltd.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NASHVILLE, Tenn. and TOKYO, August 18, 2021 – Harrow Health, Inc. (NASDAQ: HROW), an ophthalmic-focused healthcare company, today announced that it has entered into an agreement with Wakamoto Pharmaceutical Co., Ltd. to acquire the U.S. and Canadian commercial rights for drug candidate MAQ-100, a preservative-free triamcinolone acetonide ophthalmic injection.</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MAQ-100 is marketed and sold by Wakamoto in Japan as MaQaid</w:t>
      </w:r>
      <w:r>
        <w:rPr>
          <w:rFonts w:ascii="Arial" w:cs="Arial" w:eastAsia="Arial" w:hAnsi="Arial"/>
          <w:sz w:val="28"/>
          <w:szCs w:val="28"/>
          <w:color w:val="auto"/>
          <w:vertAlign w:val="superscript"/>
        </w:rPr>
        <w:t>®</w:t>
      </w:r>
      <w:r>
        <w:rPr>
          <w:rFonts w:ascii="Arial" w:cs="Arial" w:eastAsia="Arial" w:hAnsi="Arial"/>
          <w:sz w:val="17"/>
          <w:szCs w:val="17"/>
          <w:color w:val="auto"/>
        </w:rPr>
        <w:t>. Following Japan’s Ministry of Health Labor and Welfare (or MHLW) approval, MaQaid was launched in Japan in 2010, indicated as an intravitreal injection for visualization for vitrectomy. Since its initial MHLW approval, the indication for MaQaid was expanded to include (a) treatments for alleviation of diabetic macular edema, (b) macular edema associated with retinal vein occlusion (or RVO), and (c) non-infectious uveitis. Harrow intends to leverage the clinical data used for Japanese market approval of MaQaid, initially to support a clinical program and U.S. market NDA submission of MAQ-100 for visualization during vitrectomy.</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Mark L. Baum, CEO of Harrow Health, stated, “We are indeed honored to work with our new partners at Wakamoto to bring MAQ-100 to the U.S. and Canadian markets. This transaction is an excellent strategic fit with our recent commitment to expand our footprint to include retina-focused surgeons and follows our recent announcement of the acquisition of AMP-100, a patented, innovative ocular surface anesthetic drug candidate. Both transactions represent progress towards the execution of our strategic goal to grow Harrow through the addition of high-value products to our pharmaceutical portfolio. And both transactions allow us to leverage our wholly owned, efficient, scalable, and tech-enabled ImprimisRx ophthalmic-focused platform to expand the portfolio of ophthalmic pharmaceutical products we provide to the thousands of prescribers we serve across the country.”</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Norihisa Kojima, CEO for Wakamoto Pharmaceuticals, stated, “We are very glad to have an opportunity to collaborate with Harrow Health. We believe Harrow Health’s exclusive focus on ophthalmology and commitment to thousands of American ophthalmic surgeons, providing high-quality and innovative medications, make Harrow an excellent selection for potential expansion to the U.S. and Canada markets.”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agreement, Wakamoto will receive payments based on the achievement of commercial milestones and supply Harrow with MAQ-</w:t>
      </w:r>
    </w:p>
    <w:p>
      <w:pPr>
        <w:spacing w:after="0" w:line="46" w:lineRule="exact"/>
        <w:rPr>
          <w:sz w:val="20"/>
          <w:szCs w:val="20"/>
          <w:color w:val="auto"/>
        </w:rPr>
      </w:pPr>
    </w:p>
    <w:p>
      <w:pPr>
        <w:ind w:firstLine="8"/>
        <w:spacing w:after="0" w:line="260" w:lineRule="auto"/>
        <w:tabs>
          <w:tab w:leader="none" w:pos="367" w:val="left"/>
        </w:tabs>
        <w:numPr>
          <w:ilvl w:val="0"/>
          <w:numId w:val="3"/>
        </w:numPr>
        <w:rPr>
          <w:rFonts w:ascii="Arial" w:cs="Arial" w:eastAsia="Arial" w:hAnsi="Arial"/>
          <w:sz w:val="18"/>
          <w:szCs w:val="18"/>
          <w:color w:val="auto"/>
        </w:rPr>
      </w:pPr>
      <w:r>
        <w:rPr>
          <w:rFonts w:ascii="Arial" w:cs="Arial" w:eastAsia="Arial" w:hAnsi="Arial"/>
          <w:sz w:val="18"/>
          <w:szCs w:val="18"/>
          <w:color w:val="auto"/>
        </w:rPr>
        <w:t>Harrow Health will have marketing rights for the U.S. and Canada, while Wakamoto Pharmaceuticals will retain MAQ-100 marketing rights in other countries.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B. Riley Securities acted as financial advisors to Harrow Health and MP Advisors acted as strategic advisors to Wakamoto on the transaction.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Wakamoto Pharmaceutical Co., Ltd.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Wakamoto Pharmaceutical Co., Ltd. (Head office: Tokyo, CEO: Norihisa Kojima), a Japanese pharmaceutical company, started in 1929. Wakamoto Pharmaceuticals manufactures and sells various kinds of ethical drugs in ophthalmology, OTC products and food supplements.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HROW Acquires Ophthalmic Surgical Drug Candidate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18,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Harrow Health, Inc. (NASDAQ: HROW) is an ophthalmic-focused healthcare company. The Company owns and operates ImprimisRx, one of the nation’s leading ophthalmology-focused pharmaceutical businesses, and Visionology, a direct-to-consumer eye care subsidiary focused on chronic eye disease. Harrow Health also holds non-controlling equity positions in </w:t>
      </w:r>
      <w:r>
        <w:rPr>
          <w:rFonts w:ascii="Arial" w:cs="Arial" w:eastAsia="Arial" w:hAnsi="Arial"/>
          <w:sz w:val="16"/>
          <w:szCs w:val="16"/>
          <w:u w:val="single" w:color="auto"/>
          <w:color w:val="auto"/>
        </w:rPr>
        <w:t>Eton Pharmaceuticals</w:t>
      </w:r>
      <w:r>
        <w:rPr>
          <w:rFonts w:ascii="Arial" w:cs="Arial" w:eastAsia="Arial" w:hAnsi="Arial"/>
          <w:sz w:val="16"/>
          <w:szCs w:val="16"/>
          <w:color w:val="auto"/>
        </w:rPr>
        <w:t xml:space="preserve">, </w:t>
      </w:r>
      <w:r>
        <w:rPr>
          <w:rFonts w:ascii="Arial" w:cs="Arial" w:eastAsia="Arial" w:hAnsi="Arial"/>
          <w:sz w:val="16"/>
          <w:szCs w:val="16"/>
          <w:u w:val="single" w:color="auto"/>
          <w:color w:val="auto"/>
        </w:rPr>
        <w:t>Surface Ophthalmics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Melt Pharmaceuticals</w:t>
      </w:r>
      <w:r>
        <w:rPr>
          <w:rFonts w:ascii="Arial" w:cs="Arial" w:eastAsia="Arial" w:hAnsi="Arial"/>
          <w:sz w:val="16"/>
          <w:szCs w:val="16"/>
          <w:color w:val="auto"/>
        </w:rPr>
        <w:t xml:space="preserve">, all of which started as Harrow Health subsidiaries, and owns royalty rights in four clinical-stage drug candidates being developed by Surface Ophthalmics and Melt Pharmaceuticals. For more information about Harrow Health, please visit the Investors section of the corporate website, </w:t>
      </w:r>
      <w:r>
        <w:rPr>
          <w:rFonts w:ascii="Arial" w:cs="Arial" w:eastAsia="Arial" w:hAnsi="Arial"/>
          <w:sz w:val="16"/>
          <w:szCs w:val="16"/>
          <w:u w:val="single" w:color="auto"/>
          <w:color w:val="auto"/>
        </w:rPr>
        <w:t>harrowinc.com</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the impact of the COVID-19 pandemic and any future health epidemics on our financial condition, liquidity and results of operations; our ability to make commercially available our compounded formulations and technologies in a timely manner or at all; market acceptance of the Company’s formulations and challenges related to the marketing of the Company’s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gridSpan w:val="5"/>
          </w:tcPr>
          <w:p>
            <w:pPr>
              <w:spacing w:after="0"/>
              <w:rPr>
                <w:sz w:val="20"/>
                <w:szCs w:val="20"/>
                <w:color w:val="auto"/>
              </w:rPr>
            </w:pPr>
            <w:r>
              <w:rPr>
                <w:rFonts w:ascii="Arial" w:cs="Arial" w:eastAsia="Arial" w:hAnsi="Arial"/>
                <w:sz w:val="18"/>
                <w:szCs w:val="18"/>
                <w:b w:val="1"/>
                <w:bCs w:val="1"/>
                <w:color w:val="auto"/>
              </w:rPr>
              <w:t>Contacts:</w:t>
            </w:r>
          </w:p>
        </w:tc>
        <w:tc>
          <w:tcPr>
            <w:tcW w:w="6760" w:type="dxa"/>
            <w:vAlign w:val="bottom"/>
          </w:tcPr>
          <w:p>
            <w:pPr>
              <w:spacing w:after="0"/>
              <w:rPr>
                <w:sz w:val="18"/>
                <w:szCs w:val="18"/>
                <w:color w:val="auto"/>
              </w:rPr>
            </w:pPr>
          </w:p>
        </w:tc>
      </w:tr>
      <w:tr>
        <w:trPr>
          <w:trHeight w:val="220"/>
        </w:trPr>
        <w:tc>
          <w:tcPr>
            <w:tcW w:w="4480" w:type="dxa"/>
            <w:vAlign w:val="bottom"/>
            <w:gridSpan w:val="5"/>
          </w:tcPr>
          <w:p>
            <w:pPr>
              <w:spacing w:after="0"/>
              <w:rPr>
                <w:sz w:val="20"/>
                <w:szCs w:val="20"/>
                <w:color w:val="auto"/>
              </w:rPr>
            </w:pPr>
            <w:r>
              <w:rPr>
                <w:rFonts w:ascii="Arial" w:cs="Arial" w:eastAsia="Arial" w:hAnsi="Arial"/>
                <w:sz w:val="18"/>
                <w:szCs w:val="18"/>
                <w:b w:val="1"/>
                <w:bCs w:val="1"/>
                <w:color w:val="auto"/>
              </w:rPr>
              <w:t>For Harrow:</w:t>
            </w:r>
          </w:p>
        </w:tc>
        <w:tc>
          <w:tcPr>
            <w:tcW w:w="6760" w:type="dxa"/>
            <w:vAlign w:val="bottom"/>
          </w:tcPr>
          <w:p>
            <w:pPr>
              <w:ind w:left="1140"/>
              <w:spacing w:after="0"/>
              <w:rPr>
                <w:sz w:val="20"/>
                <w:szCs w:val="20"/>
                <w:color w:val="auto"/>
              </w:rPr>
            </w:pPr>
            <w:r>
              <w:rPr>
                <w:rFonts w:ascii="Arial" w:cs="Arial" w:eastAsia="Arial" w:hAnsi="Arial"/>
                <w:sz w:val="18"/>
                <w:szCs w:val="18"/>
                <w:b w:val="1"/>
                <w:bCs w:val="1"/>
                <w:color w:val="auto"/>
              </w:rPr>
              <w:t>For Wakamoto Pharmaceuticals Co., Ltd.:</w:t>
            </w:r>
          </w:p>
        </w:tc>
      </w:tr>
      <w:tr>
        <w:trPr>
          <w:trHeight w:val="190"/>
        </w:trPr>
        <w:tc>
          <w:tcPr>
            <w:tcW w:w="4480" w:type="dxa"/>
            <w:vAlign w:val="bottom"/>
            <w:gridSpan w:val="5"/>
          </w:tcPr>
          <w:p>
            <w:pPr>
              <w:spacing w:after="0" w:line="190" w:lineRule="exact"/>
              <w:rPr>
                <w:sz w:val="20"/>
                <w:szCs w:val="20"/>
                <w:color w:val="auto"/>
              </w:rPr>
            </w:pPr>
            <w:r>
              <w:rPr>
                <w:rFonts w:ascii="Arial" w:cs="Arial" w:eastAsia="Arial" w:hAnsi="Arial"/>
                <w:sz w:val="18"/>
                <w:szCs w:val="18"/>
                <w:color w:val="auto"/>
              </w:rPr>
              <w:t>Investors</w:t>
            </w:r>
          </w:p>
        </w:tc>
        <w:tc>
          <w:tcPr>
            <w:tcW w:w="6760" w:type="dxa"/>
            <w:vAlign w:val="bottom"/>
          </w:tcPr>
          <w:p>
            <w:pPr>
              <w:ind w:left="1140"/>
              <w:spacing w:after="0" w:line="190" w:lineRule="exact"/>
              <w:rPr>
                <w:sz w:val="20"/>
                <w:szCs w:val="20"/>
                <w:color w:val="auto"/>
              </w:rPr>
            </w:pPr>
            <w:r>
              <w:rPr>
                <w:rFonts w:ascii="Arial" w:cs="Arial" w:eastAsia="Arial" w:hAnsi="Arial"/>
                <w:sz w:val="18"/>
                <w:szCs w:val="18"/>
                <w:color w:val="auto"/>
              </w:rPr>
              <w:t>Kazuhiko Fukuhara</w:t>
            </w:r>
          </w:p>
        </w:tc>
      </w:tr>
      <w:tr>
        <w:trPr>
          <w:trHeight w:val="20"/>
        </w:trPr>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222"/>
        </w:trPr>
        <w:tc>
          <w:tcPr>
            <w:tcW w:w="4480" w:type="dxa"/>
            <w:vAlign w:val="bottom"/>
            <w:gridSpan w:val="5"/>
          </w:tcPr>
          <w:p>
            <w:pPr>
              <w:spacing w:after="0"/>
              <w:rPr>
                <w:sz w:val="20"/>
                <w:szCs w:val="20"/>
                <w:color w:val="auto"/>
              </w:rPr>
            </w:pPr>
            <w:r>
              <w:rPr>
                <w:rFonts w:ascii="Arial" w:cs="Arial" w:eastAsia="Arial" w:hAnsi="Arial"/>
                <w:sz w:val="18"/>
                <w:szCs w:val="18"/>
                <w:color w:val="auto"/>
              </w:rPr>
              <w:t>Jamie Webb, Director of Communications and IR</w:t>
            </w:r>
          </w:p>
        </w:tc>
        <w:tc>
          <w:tcPr>
            <w:tcW w:w="6760" w:type="dxa"/>
            <w:vAlign w:val="bottom"/>
          </w:tcPr>
          <w:p>
            <w:pPr>
              <w:ind w:left="1140"/>
              <w:spacing w:after="0"/>
              <w:rPr>
                <w:sz w:val="20"/>
                <w:szCs w:val="20"/>
                <w:color w:val="auto"/>
              </w:rPr>
            </w:pPr>
            <w:r>
              <w:rPr>
                <w:rFonts w:ascii="Arial" w:cs="Arial" w:eastAsia="Arial" w:hAnsi="Arial"/>
                <w:sz w:val="18"/>
                <w:szCs w:val="18"/>
                <w:color w:val="auto"/>
              </w:rPr>
              <w:t>Manager Public Relations Office</w:t>
            </w:r>
          </w:p>
        </w:tc>
      </w:tr>
      <w:tr>
        <w:trPr>
          <w:trHeight w:val="190"/>
        </w:trPr>
        <w:tc>
          <w:tcPr>
            <w:tcW w:w="4480" w:type="dxa"/>
            <w:vAlign w:val="bottom"/>
            <w:gridSpan w:val="5"/>
          </w:tcPr>
          <w:p>
            <w:pPr>
              <w:spacing w:after="0" w:line="190" w:lineRule="exact"/>
              <w:rPr>
                <w:sz w:val="20"/>
                <w:szCs w:val="20"/>
                <w:color w:val="auto"/>
              </w:rPr>
            </w:pPr>
            <w:r>
              <w:rPr>
                <w:rFonts w:ascii="Arial" w:cs="Arial" w:eastAsia="Arial" w:hAnsi="Arial"/>
                <w:sz w:val="18"/>
                <w:szCs w:val="18"/>
                <w:color w:val="auto"/>
              </w:rPr>
              <w:t>jwebb@harrowinc.com</w:t>
            </w:r>
          </w:p>
        </w:tc>
        <w:tc>
          <w:tcPr>
            <w:tcW w:w="6760" w:type="dxa"/>
            <w:vAlign w:val="bottom"/>
          </w:tcPr>
          <w:p>
            <w:pPr>
              <w:ind w:left="1140"/>
              <w:spacing w:after="0" w:line="190" w:lineRule="exact"/>
              <w:rPr>
                <w:sz w:val="20"/>
                <w:szCs w:val="20"/>
                <w:color w:val="auto"/>
              </w:rPr>
            </w:pPr>
            <w:r>
              <w:rPr>
                <w:rFonts w:ascii="Arial" w:cs="Arial" w:eastAsia="Arial" w:hAnsi="Arial"/>
                <w:sz w:val="18"/>
                <w:szCs w:val="18"/>
                <w:color w:val="auto"/>
              </w:rPr>
              <w:t>+81-3-3279-0371</w:t>
            </w:r>
          </w:p>
        </w:tc>
      </w:tr>
      <w:tr>
        <w:trPr>
          <w:trHeight w:val="236"/>
        </w:trPr>
        <w:tc>
          <w:tcPr>
            <w:tcW w:w="1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615-733-4737</w:t>
            </w:r>
          </w:p>
        </w:tc>
        <w:tc>
          <w:tcPr>
            <w:tcW w:w="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760" w:type="dxa"/>
            <w:vAlign w:val="bottom"/>
          </w:tcPr>
          <w:p>
            <w:pPr>
              <w:spacing w:after="0"/>
              <w:rPr>
                <w:sz w:val="20"/>
                <w:szCs w:val="20"/>
                <w:color w:val="auto"/>
              </w:rPr>
            </w:pPr>
          </w:p>
        </w:tc>
      </w:tr>
      <w:tr>
        <w:trPr>
          <w:trHeight w:val="392"/>
        </w:trPr>
        <w:tc>
          <w:tcPr>
            <w:tcW w:w="4480" w:type="dxa"/>
            <w:vAlign w:val="bottom"/>
            <w:gridSpan w:val="5"/>
          </w:tcPr>
          <w:p>
            <w:pPr>
              <w:spacing w:after="0"/>
              <w:rPr>
                <w:sz w:val="20"/>
                <w:szCs w:val="20"/>
                <w:color w:val="auto"/>
              </w:rPr>
            </w:pPr>
            <w:r>
              <w:rPr>
                <w:rFonts w:ascii="Arial" w:cs="Arial" w:eastAsia="Arial" w:hAnsi="Arial"/>
                <w:sz w:val="18"/>
                <w:szCs w:val="18"/>
                <w:color w:val="auto"/>
              </w:rPr>
              <w:t>Media</w:t>
            </w:r>
          </w:p>
        </w:tc>
        <w:tc>
          <w:tcPr>
            <w:tcW w:w="6760" w:type="dxa"/>
            <w:vAlign w:val="bottom"/>
          </w:tcPr>
          <w:p>
            <w:pPr>
              <w:spacing w:after="0"/>
              <w:rPr>
                <w:sz w:val="24"/>
                <w:szCs w:val="24"/>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222"/>
        </w:trPr>
        <w:tc>
          <w:tcPr>
            <w:tcW w:w="4480" w:type="dxa"/>
            <w:vAlign w:val="bottom"/>
            <w:gridSpan w:val="5"/>
          </w:tcPr>
          <w:p>
            <w:pPr>
              <w:spacing w:after="0"/>
              <w:rPr>
                <w:sz w:val="20"/>
                <w:szCs w:val="20"/>
                <w:color w:val="auto"/>
              </w:rPr>
            </w:pPr>
            <w:r>
              <w:rPr>
                <w:rFonts w:ascii="Arial" w:cs="Arial" w:eastAsia="Arial" w:hAnsi="Arial"/>
                <w:sz w:val="18"/>
                <w:szCs w:val="18"/>
                <w:color w:val="auto"/>
              </w:rPr>
              <w:t>Deb Holliday</w:t>
            </w:r>
          </w:p>
        </w:tc>
        <w:tc>
          <w:tcPr>
            <w:tcW w:w="6760" w:type="dxa"/>
            <w:vAlign w:val="bottom"/>
          </w:tcPr>
          <w:p>
            <w:pPr>
              <w:spacing w:after="0"/>
              <w:rPr>
                <w:sz w:val="19"/>
                <w:szCs w:val="19"/>
                <w:color w:val="auto"/>
              </w:rPr>
            </w:pPr>
          </w:p>
        </w:tc>
      </w:tr>
      <w:tr>
        <w:trPr>
          <w:trHeight w:val="216"/>
        </w:trPr>
        <w:tc>
          <w:tcPr>
            <w:tcW w:w="4480" w:type="dxa"/>
            <w:vAlign w:val="bottom"/>
            <w:gridSpan w:val="5"/>
          </w:tcPr>
          <w:p>
            <w:pPr>
              <w:spacing w:after="0"/>
              <w:rPr>
                <w:sz w:val="20"/>
                <w:szCs w:val="20"/>
                <w:color w:val="auto"/>
              </w:rPr>
            </w:pPr>
            <w:r>
              <w:rPr>
                <w:rFonts w:ascii="Arial" w:cs="Arial" w:eastAsia="Arial" w:hAnsi="Arial"/>
                <w:sz w:val="18"/>
                <w:szCs w:val="18"/>
                <w:color w:val="auto"/>
              </w:rPr>
              <w:t>Holliday Communications, Inc.</w:t>
            </w:r>
          </w:p>
        </w:tc>
        <w:tc>
          <w:tcPr>
            <w:tcW w:w="6760" w:type="dxa"/>
            <w:vAlign w:val="bottom"/>
          </w:tcPr>
          <w:p>
            <w:pPr>
              <w:spacing w:after="0"/>
              <w:rPr>
                <w:sz w:val="18"/>
                <w:szCs w:val="18"/>
                <w:color w:val="auto"/>
              </w:rPr>
            </w:pPr>
          </w:p>
        </w:tc>
      </w:tr>
      <w:tr>
        <w:trPr>
          <w:trHeight w:val="190"/>
        </w:trPr>
        <w:tc>
          <w:tcPr>
            <w:tcW w:w="4480" w:type="dxa"/>
            <w:vAlign w:val="bottom"/>
            <w:gridSpan w:val="5"/>
          </w:tcPr>
          <w:p>
            <w:pPr>
              <w:spacing w:after="0" w:line="190" w:lineRule="exact"/>
              <w:rPr>
                <w:sz w:val="20"/>
                <w:szCs w:val="20"/>
                <w:color w:val="auto"/>
              </w:rPr>
            </w:pPr>
            <w:r>
              <w:rPr>
                <w:rFonts w:ascii="Arial" w:cs="Arial" w:eastAsia="Arial" w:hAnsi="Arial"/>
                <w:sz w:val="18"/>
                <w:szCs w:val="18"/>
                <w:color w:val="auto"/>
              </w:rPr>
              <w:t>deb@hollidaycommunications.net</w:t>
            </w:r>
          </w:p>
        </w:tc>
        <w:tc>
          <w:tcPr>
            <w:tcW w:w="6760" w:type="dxa"/>
            <w:vAlign w:val="bottom"/>
          </w:tcPr>
          <w:p>
            <w:pPr>
              <w:spacing w:after="0"/>
              <w:rPr>
                <w:sz w:val="16"/>
                <w:szCs w:val="16"/>
                <w:color w:val="auto"/>
              </w:rPr>
            </w:pPr>
          </w:p>
        </w:tc>
      </w:tr>
      <w:tr>
        <w:trPr>
          <w:trHeight w:val="237"/>
        </w:trPr>
        <w:tc>
          <w:tcPr>
            <w:tcW w:w="1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412-877-4519</w:t>
            </w:r>
          </w:p>
        </w:tc>
        <w:tc>
          <w:tcPr>
            <w:tcW w:w="780" w:type="dxa"/>
            <w:vAlign w:val="bottom"/>
            <w:tcBorders>
              <w:top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676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760" w:type="dxa"/>
            <w:vAlign w:val="bottom"/>
          </w:tcPr>
          <w:p>
            <w:pPr>
              <w:ind w:left="900"/>
              <w:spacing w:after="0"/>
              <w:rPr>
                <w:sz w:val="20"/>
                <w:szCs w:val="20"/>
                <w:color w:val="auto"/>
              </w:rPr>
            </w:pPr>
            <w:r>
              <w:rPr>
                <w:rFonts w:ascii="Arial" w:cs="Arial" w:eastAsia="Arial" w:hAnsi="Arial"/>
                <w:sz w:val="18"/>
                <w:szCs w:val="18"/>
                <w:color w:val="auto"/>
              </w:rPr>
              <w:t>-END-</w:t>
            </w:r>
          </w:p>
        </w:tc>
      </w:tr>
      <w:tr>
        <w:trPr>
          <w:trHeight w:val="439"/>
        </w:trPr>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2021-08-18T06:32:31Z</dcterms:created>
  <dcterms:modified xsi:type="dcterms:W3CDTF">2021-08-18T06:32:31Z</dcterms:modified>
</cp:coreProperties>
</file>