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500"/>
          </w:cols>
          <w:pgMar w:left="240" w:top="74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Title of each class</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34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24, 2019, Harrow Health, Inc. and each of its wholly-owned subsidiaries (collectively, the “Company”) entered into an joinder and amendment (the “Amendment”) to its term loan and security agreement dated as of July 19, 2017 (the “SWK Loan”), with SWK Funding LLC and its partners (the “Lender”), as lender and collateral agent. A summary of the material changes contained in the Amendment are as follows:</w:t>
      </w:r>
    </w:p>
    <w:p>
      <w:pPr>
        <w:spacing w:after="0" w:line="166" w:lineRule="exact"/>
        <w:rPr>
          <w:sz w:val="20"/>
          <w:szCs w:val="20"/>
          <w:color w:val="auto"/>
        </w:rPr>
      </w:pPr>
    </w:p>
    <w:p>
      <w:pPr>
        <w:jc w:val="both"/>
        <w:ind w:left="1300" w:hanging="644"/>
        <w:spacing w:after="0" w:line="30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interest rate calculation that the loan bears is now equal to the three-month London Inter-Bank Offered Rate (subject to a minimum of 2.00%), plus an applicable margin of 10.00% (the “Margin Rate”; provided that, if, two days prior to a payment date, the Company provides the Lender evidence that the Company has achieved a leverage ratio as of such date of less than 4.00:1:00, the Margin Rate shall equal 9.00%; and if the Company has achieved a leverage ratio as of such date of less than 3.00:1:00, the Margin Rate shall equal 7.00%;</w:t>
      </w:r>
    </w:p>
    <w:p>
      <w:pPr>
        <w:spacing w:after="0" w:line="154" w:lineRule="exact"/>
        <w:rPr>
          <w:rFonts w:ascii="Arial" w:cs="Arial" w:eastAsia="Arial" w:hAnsi="Arial"/>
          <w:sz w:val="16"/>
          <w:szCs w:val="16"/>
          <w:color w:val="auto"/>
        </w:rPr>
      </w:pPr>
    </w:p>
    <w:p>
      <w:pPr>
        <w:jc w:val="both"/>
        <w:ind w:left="1300" w:hanging="644"/>
        <w:spacing w:after="0" w:line="288"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Leverage ratio in the Amendment means, as of any date of determination, the ratio of: (a) indebtedness as of such date to (b) EBITDA (as defined in the SWK Loan), of the Company for the immediately preceding twelve (12) month period, adding-back (i) actual litigation expenses for the immediately preceding twelve (12) month period, minus (ii) actual litigation expenses for the immediately preceding three</w:t>
      </w:r>
    </w:p>
    <w:p>
      <w:pPr>
        <w:ind w:left="1300"/>
        <w:spacing w:after="0"/>
        <w:rPr>
          <w:rFonts w:ascii="Arial" w:cs="Arial" w:eastAsia="Arial" w:hAnsi="Arial"/>
          <w:sz w:val="16"/>
          <w:szCs w:val="16"/>
          <w:color w:val="auto"/>
        </w:rPr>
      </w:pPr>
      <w:r>
        <w:rPr>
          <w:rFonts w:ascii="Arial" w:cs="Arial" w:eastAsia="Arial" w:hAnsi="Arial"/>
          <w:sz w:val="18"/>
          <w:szCs w:val="18"/>
          <w:color w:val="auto"/>
        </w:rPr>
        <w:t>(3) month period multiplied by four (4);</w:t>
      </w:r>
    </w:p>
    <w:p>
      <w:pPr>
        <w:spacing w:after="0" w:line="210"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the first amortization date was changed to May 14, 2020, permitting the Company to pay interest only on the principal amount loaned for the next four payments (payments are due on a quarterly basis) following the Amendment;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satisfaction of certain revenue and market capitalization requirements and conditions, the Lender agreed to make available to the Company an additional principal amount of up to five million dollars ($5,000,000)</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terms described above, the Amendment joined the Company’s recently created subsidiaries to the SWK Loan and added definitions related to excluded subsidiaries that are not considered co-borrowers and are subsidiaries of the Company which the Company believes it will eventually deconsolidate from its financials and lose 50% or more of the equity interests of the subsidiary.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issued a press release announcing the Amendment on May 29, 2019, which is filed as Exhibit 99.1 to this Current Report on Form 8-K and is incorporated herein by reference.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Amendment,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description regarding the Amendment set forth under Item 1.01 of this Current Report on Form 8-K is incorporated into this Item 2.03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2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EE"/>
                <w:w w:val="95"/>
              </w:rPr>
              <w:t>Joinder and Amendment to Loan and Security Agreement, dated May 24, 2019, by and between Harrow Health, Inc., each of its wholly-</w:t>
            </w: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owned subsidiaries and SWK Funding LLC.</w:t>
            </w:r>
          </w:p>
        </w:tc>
        <w:tc>
          <w:tcPr>
            <w:tcW w:w="6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0000EE"/>
              </w:rPr>
              <w:t>Press Release issued by Harrow Health, Inc. on May 29, 2019.</w:t>
            </w:r>
          </w:p>
        </w:tc>
      </w:tr>
      <w:tr>
        <w:trPr>
          <w:trHeight w:val="460"/>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May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102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EE"/>
                <w:w w:val="95"/>
              </w:rPr>
              <w:t>Joinder and Amendment to Loan and Security Agreement, dated May 24, 2019, by and between Harrow Health, Inc. ,each of its wholly-</w:t>
            </w: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3"/>
              </w:rPr>
              <w:t>owned subsidiaries and SWK Funding LLC.</w:t>
            </w:r>
          </w:p>
        </w:tc>
        <w:tc>
          <w:tcPr>
            <w:tcW w:w="6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Arial" w:cs="Arial" w:eastAsia="Arial" w:hAnsi="Arial"/>
                <w:sz w:val="18"/>
                <w:szCs w:val="18"/>
                <w:color w:val="0000EE"/>
              </w:rPr>
              <w:t>Press Release issued by Harrow Health, Inc. on May 29, 2019.</w:t>
            </w:r>
          </w:p>
        </w:tc>
      </w:tr>
      <w:tr>
        <w:trPr>
          <w:trHeight w:val="460"/>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AND FIRST AMENDMENT TO LOAN AND SECURITY AGREEMENT</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JOINDER AND FIRST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May 24, 2019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made among SWK Funding LLC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and the Lenders party to the Loan and Security Agreement from time to time including HI Imprimis, LLC, SR-Imprimis, LLC and SWK Funding LLC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HARROW HEALTH, INC. (f/k/a Imprimis Pharmaceuticals, Inc.), a Delaware corporation (“</w:t>
      </w:r>
      <w:r>
        <w:rPr>
          <w:rFonts w:ascii="Arial" w:cs="Arial" w:eastAsia="Arial" w:hAnsi="Arial"/>
          <w:sz w:val="18"/>
          <w:szCs w:val="18"/>
          <w:b w:val="1"/>
          <w:bCs w:val="1"/>
          <w:color w:val="auto"/>
        </w:rPr>
        <w:t>Harrow</w:t>
      </w:r>
      <w:r>
        <w:rPr>
          <w:rFonts w:ascii="Arial" w:cs="Arial" w:eastAsia="Arial" w:hAnsi="Arial"/>
          <w:sz w:val="18"/>
          <w:szCs w:val="18"/>
          <w:color w:val="auto"/>
        </w:rPr>
        <w:t>”), IMPRIMIS NJOF, LLC, a New Jersey limited liability company (“</w:t>
      </w:r>
      <w:r>
        <w:rPr>
          <w:rFonts w:ascii="Arial" w:cs="Arial" w:eastAsia="Arial" w:hAnsi="Arial"/>
          <w:sz w:val="18"/>
          <w:szCs w:val="18"/>
          <w:b w:val="1"/>
          <w:bCs w:val="1"/>
          <w:color w:val="auto"/>
        </w:rPr>
        <w:t>NJOF</w:t>
      </w:r>
      <w:r>
        <w:rPr>
          <w:rFonts w:ascii="Arial" w:cs="Arial" w:eastAsia="Arial" w:hAnsi="Arial"/>
          <w:sz w:val="18"/>
          <w:szCs w:val="18"/>
          <w:color w:val="auto"/>
        </w:rPr>
        <w:t>”), PARK COMPOUNDING, INC. (f/k/a ImprimisRx CA, Inc.), a California corporation (“</w:t>
      </w:r>
      <w:r>
        <w:rPr>
          <w:rFonts w:ascii="Arial" w:cs="Arial" w:eastAsia="Arial" w:hAnsi="Arial"/>
          <w:sz w:val="18"/>
          <w:szCs w:val="18"/>
          <w:b w:val="1"/>
          <w:bCs w:val="1"/>
          <w:color w:val="auto"/>
        </w:rPr>
        <w:t>CA</w:t>
      </w:r>
      <w:r>
        <w:rPr>
          <w:rFonts w:ascii="Arial" w:cs="Arial" w:eastAsia="Arial" w:hAnsi="Arial"/>
          <w:sz w:val="18"/>
          <w:szCs w:val="18"/>
          <w:color w:val="auto"/>
        </w:rPr>
        <w:t>”), IMPRIMISRX NJ, LLC, a New Jersey limited liability company (“</w:t>
      </w:r>
      <w:r>
        <w:rPr>
          <w:rFonts w:ascii="Arial" w:cs="Arial" w:eastAsia="Arial" w:hAnsi="Arial"/>
          <w:sz w:val="18"/>
          <w:szCs w:val="18"/>
          <w:b w:val="1"/>
          <w:bCs w:val="1"/>
          <w:color w:val="auto"/>
        </w:rPr>
        <w:t>NJ</w:t>
      </w:r>
      <w:r>
        <w:rPr>
          <w:rFonts w:ascii="Arial" w:cs="Arial" w:eastAsia="Arial" w:hAnsi="Arial"/>
          <w:sz w:val="18"/>
          <w:szCs w:val="18"/>
          <w:color w:val="auto"/>
        </w:rPr>
        <w:t>”, and together with Harrow, NJOF, and CA, individually and collectively, jointly and severally, “</w:t>
      </w:r>
      <w:r>
        <w:rPr>
          <w:rFonts w:ascii="Arial" w:cs="Arial" w:eastAsia="Arial" w:hAnsi="Arial"/>
          <w:sz w:val="18"/>
          <w:szCs w:val="18"/>
          <w:b w:val="1"/>
          <w:bCs w:val="1"/>
          <w:color w:val="auto"/>
        </w:rPr>
        <w:t>Existing Borrower</w:t>
      </w:r>
      <w:r>
        <w:rPr>
          <w:rFonts w:ascii="Arial" w:cs="Arial" w:eastAsia="Arial" w:hAnsi="Arial"/>
          <w:sz w:val="18"/>
          <w:szCs w:val="18"/>
          <w:color w:val="auto"/>
        </w:rPr>
        <w:t>”), IMPRIMISRX, LLC, a Delaware limited liability company (“</w:t>
      </w:r>
      <w:r>
        <w:rPr>
          <w:rFonts w:ascii="Arial" w:cs="Arial" w:eastAsia="Arial" w:hAnsi="Arial"/>
          <w:sz w:val="18"/>
          <w:szCs w:val="18"/>
          <w:b w:val="1"/>
          <w:bCs w:val="1"/>
          <w:color w:val="auto"/>
        </w:rPr>
        <w:t>ImprimisRx</w:t>
      </w:r>
      <w:r>
        <w:rPr>
          <w:rFonts w:ascii="Arial" w:cs="Arial" w:eastAsia="Arial" w:hAnsi="Arial"/>
          <w:sz w:val="18"/>
          <w:szCs w:val="18"/>
          <w:color w:val="auto"/>
        </w:rPr>
        <w:t>”), HARROW IP, LLC, a Delaware limited liability company (“</w:t>
      </w:r>
      <w:r>
        <w:rPr>
          <w:rFonts w:ascii="Arial" w:cs="Arial" w:eastAsia="Arial" w:hAnsi="Arial"/>
          <w:sz w:val="18"/>
          <w:szCs w:val="18"/>
          <w:b w:val="1"/>
          <w:bCs w:val="1"/>
          <w:color w:val="auto"/>
        </w:rPr>
        <w:t>Harrow IP</w:t>
      </w:r>
      <w:r>
        <w:rPr>
          <w:rFonts w:ascii="Arial" w:cs="Arial" w:eastAsia="Arial" w:hAnsi="Arial"/>
          <w:sz w:val="18"/>
          <w:szCs w:val="18"/>
          <w:color w:val="auto"/>
        </w:rPr>
        <w:t>”), ETON PHARMA EQUITY, LLC, a Delaware limited liability company (“</w:t>
      </w:r>
      <w:r>
        <w:rPr>
          <w:rFonts w:ascii="Arial" w:cs="Arial" w:eastAsia="Arial" w:hAnsi="Arial"/>
          <w:sz w:val="18"/>
          <w:szCs w:val="18"/>
          <w:b w:val="1"/>
          <w:bCs w:val="1"/>
          <w:color w:val="auto"/>
        </w:rPr>
        <w:t>Eton Pharma Equity</w:t>
      </w:r>
      <w:r>
        <w:rPr>
          <w:rFonts w:ascii="Arial" w:cs="Arial" w:eastAsia="Arial" w:hAnsi="Arial"/>
          <w:sz w:val="18"/>
          <w:szCs w:val="18"/>
          <w:color w:val="auto"/>
        </w:rPr>
        <w:t>”), SURFACE PHARMA EQUITY, LLC, a Delaware limited liability company (“</w:t>
      </w:r>
      <w:r>
        <w:rPr>
          <w:rFonts w:ascii="Arial" w:cs="Arial" w:eastAsia="Arial" w:hAnsi="Arial"/>
          <w:sz w:val="18"/>
          <w:szCs w:val="18"/>
          <w:b w:val="1"/>
          <w:bCs w:val="1"/>
          <w:color w:val="auto"/>
        </w:rPr>
        <w:t>Surface</w:t>
      </w:r>
      <w:r>
        <w:rPr>
          <w:rFonts w:ascii="Arial" w:cs="Arial" w:eastAsia="Arial" w:hAnsi="Arial"/>
          <w:sz w:val="18"/>
          <w:szCs w:val="18"/>
          <w:color w:val="auto"/>
        </w:rPr>
        <w:t xml:space="preserve"> </w:t>
      </w:r>
      <w:r>
        <w:rPr>
          <w:rFonts w:ascii="Arial" w:cs="Arial" w:eastAsia="Arial" w:hAnsi="Arial"/>
          <w:sz w:val="18"/>
          <w:szCs w:val="18"/>
          <w:b w:val="1"/>
          <w:bCs w:val="1"/>
          <w:color w:val="auto"/>
        </w:rPr>
        <w:t>Pharma Equity</w:t>
      </w:r>
      <w:r>
        <w:rPr>
          <w:rFonts w:ascii="Arial" w:cs="Arial" w:eastAsia="Arial" w:hAnsi="Arial"/>
          <w:sz w:val="18"/>
          <w:szCs w:val="18"/>
          <w:color w:val="auto"/>
        </w:rPr>
        <w:t>”), MELT PHARMA EQUITY, LLC, a Delaware limited liability company (“</w:t>
      </w:r>
      <w:r>
        <w:rPr>
          <w:rFonts w:ascii="Arial" w:cs="Arial" w:eastAsia="Arial" w:hAnsi="Arial"/>
          <w:sz w:val="18"/>
          <w:szCs w:val="18"/>
          <w:b w:val="1"/>
          <w:bCs w:val="1"/>
          <w:color w:val="auto"/>
        </w:rPr>
        <w:t>Melt Pharma Equity</w:t>
      </w:r>
      <w:r>
        <w:rPr>
          <w:rFonts w:ascii="Arial" w:cs="Arial" w:eastAsia="Arial" w:hAnsi="Arial"/>
          <w:sz w:val="18"/>
          <w:szCs w:val="18"/>
          <w:color w:val="auto"/>
        </w:rPr>
        <w:t>”), MAYFIELD PHARMA EQUITY,</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w:t>
      </w:r>
      <w:r>
        <w:rPr>
          <w:rFonts w:ascii="Arial" w:cs="Arial" w:eastAsia="Arial" w:hAnsi="Arial"/>
          <w:sz w:val="18"/>
          <w:szCs w:val="18"/>
          <w:b w:val="1"/>
          <w:bCs w:val="1"/>
          <w:color w:val="auto"/>
        </w:rPr>
        <w:t>Mayfield Pharma Equity</w:t>
      </w:r>
      <w:r>
        <w:rPr>
          <w:rFonts w:ascii="Arial" w:cs="Arial" w:eastAsia="Arial" w:hAnsi="Arial"/>
          <w:sz w:val="18"/>
          <w:szCs w:val="18"/>
          <w:color w:val="auto"/>
        </w:rPr>
        <w:t>”), STOWE PHARMA EQUITY, LLC, a Delaware limited liability company (“</w:t>
      </w:r>
      <w:r>
        <w:rPr>
          <w:rFonts w:ascii="Arial" w:cs="Arial" w:eastAsia="Arial" w:hAnsi="Arial"/>
          <w:sz w:val="18"/>
          <w:szCs w:val="18"/>
          <w:b w:val="1"/>
          <w:bCs w:val="1"/>
          <w:color w:val="auto"/>
        </w:rPr>
        <w:t>Stowe</w:t>
      </w:r>
      <w:r>
        <w:rPr>
          <w:rFonts w:ascii="Arial" w:cs="Arial" w:eastAsia="Arial" w:hAnsi="Arial"/>
          <w:sz w:val="18"/>
          <w:szCs w:val="18"/>
          <w:color w:val="auto"/>
        </w:rPr>
        <w:t xml:space="preserve"> </w:t>
      </w:r>
      <w:r>
        <w:rPr>
          <w:rFonts w:ascii="Arial" w:cs="Arial" w:eastAsia="Arial" w:hAnsi="Arial"/>
          <w:sz w:val="18"/>
          <w:szCs w:val="18"/>
          <w:b w:val="1"/>
          <w:bCs w:val="1"/>
          <w:color w:val="auto"/>
        </w:rPr>
        <w:t>Pharma Equity</w:t>
      </w:r>
      <w:r>
        <w:rPr>
          <w:rFonts w:ascii="Arial" w:cs="Arial" w:eastAsia="Arial" w:hAnsi="Arial"/>
          <w:sz w:val="18"/>
          <w:szCs w:val="18"/>
          <w:color w:val="auto"/>
        </w:rPr>
        <w:t>”), and RADLEY PHARMA EQUITY, LLC, a Delaware limited liability company (“</w:t>
      </w:r>
      <w:r>
        <w:rPr>
          <w:rFonts w:ascii="Arial" w:cs="Arial" w:eastAsia="Arial" w:hAnsi="Arial"/>
          <w:sz w:val="18"/>
          <w:szCs w:val="18"/>
          <w:b w:val="1"/>
          <w:bCs w:val="1"/>
          <w:color w:val="auto"/>
        </w:rPr>
        <w:t>Radley Pharma Equity</w:t>
      </w:r>
      <w:r>
        <w:rPr>
          <w:rFonts w:ascii="Arial" w:cs="Arial" w:eastAsia="Arial" w:hAnsi="Arial"/>
          <w:sz w:val="18"/>
          <w:szCs w:val="18"/>
          <w:color w:val="auto"/>
        </w:rPr>
        <w:t>”, and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ImprimisRx, Harrow IP, Eton Pharma Equity, Surface Pharma Equity, Melt Pharma Equity, Mayfield Pharma Equity, and Stowe Pharma Equity, individually and collectively, jointly and severally, “</w:t>
      </w:r>
      <w:r>
        <w:rPr>
          <w:rFonts w:ascii="Arial" w:cs="Arial" w:eastAsia="Arial" w:hAnsi="Arial"/>
          <w:sz w:val="18"/>
          <w:szCs w:val="18"/>
          <w:b w:val="1"/>
          <w:bCs w:val="1"/>
          <w:color w:val="auto"/>
        </w:rPr>
        <w:t>New Borrower</w:t>
      </w:r>
      <w:r>
        <w:rPr>
          <w:rFonts w:ascii="Arial" w:cs="Arial" w:eastAsia="Arial" w:hAnsi="Arial"/>
          <w:sz w:val="18"/>
          <w:szCs w:val="18"/>
          <w:color w:val="auto"/>
        </w:rPr>
        <w:t>”). Existing Borrower and New Borrower are,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 herein.</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Existing Borrower, the Lenders and Collateral Agent are parties to a Loan and Security Agreement dated as of July 19, 2017 (as amended, restated or modified from time to time, the “</w:t>
      </w:r>
      <w:r>
        <w:rPr>
          <w:rFonts w:ascii="Arial" w:cs="Arial" w:eastAsia="Arial" w:hAnsi="Arial"/>
          <w:sz w:val="17"/>
          <w:szCs w:val="17"/>
          <w:b w:val="1"/>
          <w:bCs w:val="1"/>
          <w:color w:val="auto"/>
        </w:rPr>
        <w:t>Loan and Security Agreement</w:t>
      </w:r>
      <w:r>
        <w:rPr>
          <w:rFonts w:ascii="Arial" w:cs="Arial" w:eastAsia="Arial" w:hAnsi="Arial"/>
          <w:sz w:val="17"/>
          <w:szCs w:val="17"/>
          <w:color w:val="auto"/>
        </w:rPr>
        <w:t>”). Existing Borrower has requested that the Lenders agree to certain amendments and joinders to the Loan and Security Agreement. The Lenders have agreed to such request, subject to the terms and conditions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Interpretation.</w:t>
      </w:r>
    </w:p>
    <w:p>
      <w:pPr>
        <w:spacing w:after="0" w:line="225" w:lineRule="exact"/>
        <w:rPr>
          <w:sz w:val="20"/>
          <w:szCs w:val="20"/>
          <w:color w:val="auto"/>
        </w:rPr>
      </w:pPr>
    </w:p>
    <w:p>
      <w:pPr>
        <w:ind w:firstLine="656"/>
        <w:spacing w:after="0" w:line="282" w:lineRule="auto"/>
        <w:tabs>
          <w:tab w:leader="none" w:pos="90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assigned to them in the Loan and Security Agreement.</w:t>
      </w:r>
    </w:p>
    <w:p>
      <w:pPr>
        <w:spacing w:after="0" w:line="161" w:lineRule="exact"/>
        <w:rPr>
          <w:rFonts w:ascii="Arial" w:cs="Arial" w:eastAsia="Arial" w:hAnsi="Arial"/>
          <w:sz w:val="18"/>
          <w:szCs w:val="18"/>
          <w:color w:val="auto"/>
        </w:rPr>
      </w:pPr>
    </w:p>
    <w:p>
      <w:pPr>
        <w:ind w:firstLine="656"/>
        <w:spacing w:after="0" w:line="282"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Section 1.1 of the Loan and Security Agreement, as amended herein, shall be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are incorporated herein by this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Joinder.</w:t>
      </w:r>
    </w:p>
    <w:p>
      <w:pPr>
        <w:spacing w:after="0" w:line="229" w:lineRule="exact"/>
        <w:rPr>
          <w:sz w:val="20"/>
          <w:szCs w:val="20"/>
          <w:color w:val="auto"/>
        </w:rPr>
      </w:pPr>
    </w:p>
    <w:p>
      <w:pPr>
        <w:jc w:val="both"/>
        <w:ind w:firstLine="656"/>
        <w:spacing w:after="0" w:line="259" w:lineRule="auto"/>
        <w:tabs>
          <w:tab w:leader="none" w:pos="907"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By signing this Amendment, New Borrower shall be bound by the terms and conditions of the Loan and Security Agreement the same as if it were a Borrower under the Loan and Security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provided, however, that if New Borrower is covered by Existing Borrower’s insurance, such New Borrower shall not be required to maintain separate insurance or comply with the provisions of Sections 6.5 of the Loan and Security Agreement.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09"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terms of this Section 2, New Borrower hereby grants to the Collateral Agent, for the benefit of the Collateral Agent and the Lenders, a continuing security interest in, and a right of set off against, any and all right, title and interest of New Borrower in and to the Collateral of the New Borrower to secure the prompt payment and performance in full when due, whether by lapse of time, acceleration, mandatory prepayment or otherwise, of the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firstLine="656"/>
        <w:spacing w:after="0" w:line="276" w:lineRule="auto"/>
        <w:tabs>
          <w:tab w:leader="none" w:pos="899"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Borrower acknowledges that it benefits, both directly and indirectly, from the Loan Documents,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Amendment and the Loan Documents as amended hereby on the basis that (i) it failed to receive adequate consideration for the execution and delivery of this Amendment or any Loan Document or (ii) its obligations under the Loan Documents are avoidable as a fraudulent conveyance.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Amendments to the Loan and Security Agreement.</w:t>
      </w:r>
    </w:p>
    <w:p>
      <w:pPr>
        <w:spacing w:after="0" w:line="229"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Loan and Security Agreement shall be amended as follows effective as of the Amendment Effective Date:</w:t>
      </w:r>
    </w:p>
    <w:p>
      <w:pPr>
        <w:spacing w:after="0" w:line="225" w:lineRule="exact"/>
        <w:rPr>
          <w:rFonts w:ascii="Arial" w:cs="Arial" w:eastAsia="Arial" w:hAnsi="Arial"/>
          <w:sz w:val="18"/>
          <w:szCs w:val="18"/>
          <w:color w:val="auto"/>
        </w:rPr>
      </w:pPr>
    </w:p>
    <w:p>
      <w:pPr>
        <w:ind w:firstLine="1305"/>
        <w:spacing w:after="0" w:line="342" w:lineRule="auto"/>
        <w:tabs>
          <w:tab w:leader="none" w:pos="1525"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Name Changes</w:t>
      </w:r>
      <w:r>
        <w:rPr>
          <w:rFonts w:ascii="Arial" w:cs="Arial" w:eastAsia="Arial" w:hAnsi="Arial"/>
          <w:sz w:val="16"/>
          <w:szCs w:val="16"/>
          <w:color w:val="auto"/>
        </w:rPr>
        <w:t>. The text “Imprimis Pharmaceuticals, Inc.,” “Imprimis” and “ImprimisRx CA, Inc.” in all instances in the Loan and Security Agreement and each other Loan Document are hereby replaced with “Harrow Health, Inc.,” “Harrow” and “Park Compounding, Inc.,” respectively.</w:t>
      </w:r>
    </w:p>
    <w:p>
      <w:pPr>
        <w:spacing w:after="0" w:line="123" w:lineRule="exact"/>
        <w:rPr>
          <w:rFonts w:ascii="Arial" w:cs="Arial" w:eastAsia="Arial" w:hAnsi="Arial"/>
          <w:sz w:val="16"/>
          <w:szCs w:val="16"/>
          <w:color w:val="auto"/>
        </w:rPr>
      </w:pPr>
    </w:p>
    <w:p>
      <w:pPr>
        <w:jc w:val="both"/>
        <w:ind w:firstLine="1305"/>
        <w:spacing w:after="0" w:line="276" w:lineRule="auto"/>
        <w:tabs>
          <w:tab w:leader="none" w:pos="1588"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Terms</w:t>
      </w:r>
      <w:r>
        <w:rPr>
          <w:rFonts w:ascii="Arial" w:cs="Arial" w:eastAsia="Arial" w:hAnsi="Arial"/>
          <w:sz w:val="17"/>
          <w:szCs w:val="17"/>
          <w:color w:val="auto"/>
        </w:rPr>
        <w:t>. Section 1.1 is hereby amended by adding the following after the last sentence therein: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61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Definitions Chart</w:t>
      </w:r>
      <w:r>
        <w:rPr>
          <w:rFonts w:ascii="Arial" w:cs="Arial" w:eastAsia="Arial" w:hAnsi="Arial"/>
          <w:sz w:val="18"/>
          <w:szCs w:val="18"/>
          <w:color w:val="auto"/>
        </w:rPr>
        <w:t>. The chart of definitions in Section 1.3 is amended as follows: (A) a new line for “Term A Loan” is added, which is defined in Section 2.2(a)(i), (B) a new line for “Term B Loan” is added, which is defined in Section 2.2(a)(ii) and (C) the Section reference for “Term Loan” is changed to Section 2.2(a)(ii).</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New Definitions</w:t>
      </w:r>
      <w:r>
        <w:rPr>
          <w:rFonts w:ascii="Arial" w:cs="Arial" w:eastAsia="Arial" w:hAnsi="Arial"/>
          <w:sz w:val="18"/>
          <w:szCs w:val="18"/>
          <w:color w:val="auto"/>
        </w:rPr>
        <w:t>. The following definitions are added to Section 1.3 in their proper alphabetical order:</w:t>
      </w:r>
    </w:p>
    <w:p>
      <w:pPr>
        <w:spacing w:after="0" w:line="221" w:lineRule="exact"/>
        <w:rPr>
          <w:sz w:val="20"/>
          <w:szCs w:val="20"/>
          <w:color w:val="auto"/>
        </w:rPr>
      </w:pPr>
    </w:p>
    <w:p>
      <w:pPr>
        <w:jc w:val="both"/>
        <w:ind w:left="19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mean either (a) all or substantially all of the assets constituting a business, division or product line of any Person not already a Subsidiary of the Borrower, or (b) 50.1% or more of the Equity Interests of any such Person (including by way of merger), which Person shall, as a result of the acquisition of such Equity Interests, become a Subsidiary of the Borrower (or shall be merged with and into the Borrower or a Subsidiary).</w:t>
      </w:r>
    </w:p>
    <w:p>
      <w:pPr>
        <w:spacing w:after="0" w:line="180" w:lineRule="exact"/>
        <w:rPr>
          <w:sz w:val="20"/>
          <w:szCs w:val="20"/>
          <w:color w:val="auto"/>
        </w:rPr>
      </w:pPr>
    </w:p>
    <w:p>
      <w:pPr>
        <w:jc w:val="both"/>
        <w:ind w:left="19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Rate</w:t>
      </w:r>
      <w:r>
        <w:rPr>
          <w:rFonts w:ascii="Arial" w:cs="Arial" w:eastAsia="Arial" w:hAnsi="Arial"/>
          <w:sz w:val="17"/>
          <w:szCs w:val="17"/>
          <w:color w:val="auto"/>
        </w:rPr>
        <w:t xml:space="preserve">” means a rate per annum equal to 10.00%;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two (2) Business Days prior to a Payment Date, Borrower provides Collateral Agent evidence satisfactory to Collateral Agent that Borrower has achieved a Leverage Ratio as of such date of less than 4.00:1:00, the Applicable Rate with respect to such subsequent Payment Date shall equal 9.00%;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 that</w:t>
      </w:r>
      <w:r>
        <w:rPr>
          <w:rFonts w:ascii="Arial" w:cs="Arial" w:eastAsia="Arial" w:hAnsi="Arial"/>
          <w:sz w:val="17"/>
          <w:szCs w:val="17"/>
          <w:color w:val="auto"/>
        </w:rPr>
        <w:t>, if, two (2) Business Days prior to a Payment Date, Borrower provides Collateral Agent evidence satisfactory to</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Agent that Borrower has achieved a Leverage Ratio as of such date of less than 3.00:1:00, the Applicable Rate with respect to such subsequent Payment Date shall equal 7.00%.</w:t>
      </w:r>
    </w:p>
    <w:p>
      <w:pPr>
        <w:spacing w:after="0" w:line="174" w:lineRule="exact"/>
        <w:rPr>
          <w:sz w:val="20"/>
          <w:szCs w:val="20"/>
          <w:color w:val="auto"/>
        </w:rPr>
      </w:pPr>
    </w:p>
    <w:p>
      <w:pPr>
        <w:jc w:val="both"/>
        <w:ind w:left="19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Subsidiaries</w:t>
      </w:r>
      <w:r>
        <w:rPr>
          <w:rFonts w:ascii="Arial" w:cs="Arial" w:eastAsia="Arial" w:hAnsi="Arial"/>
          <w:sz w:val="18"/>
          <w:szCs w:val="18"/>
          <w:color w:val="auto"/>
        </w:rPr>
        <w:t xml:space="preserve">” means those certain indirect Subsidiaries of Harrow, which are not co-Borrowers or Guarantors,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and as otherwise agreed in writing by the Lenders, such consent not to be unreasonably delayed or withheld.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means May 24, 2019.</w:t>
      </w:r>
    </w:p>
    <w:p>
      <w:pPr>
        <w:spacing w:after="0" w:line="225" w:lineRule="exact"/>
        <w:rPr>
          <w:sz w:val="20"/>
          <w:szCs w:val="20"/>
          <w:color w:val="auto"/>
        </w:rPr>
      </w:pPr>
    </w:p>
    <w:p>
      <w:pPr>
        <w:jc w:val="both"/>
        <w:ind w:left="760"/>
        <w:spacing w:after="0" w:line="274" w:lineRule="auto"/>
        <w:rPr>
          <w:sz w:val="20"/>
          <w:szCs w:val="20"/>
          <w:color w:val="auto"/>
        </w:rPr>
      </w:pPr>
      <w:r>
        <w:rPr>
          <w:rFonts w:ascii="Arial" w:cs="Arial" w:eastAsia="Arial" w:hAnsi="Arial"/>
          <w:sz w:val="17"/>
          <w:szCs w:val="17"/>
          <w:b w:val="1"/>
          <w:bCs w:val="1"/>
          <w:color w:val="auto"/>
        </w:rPr>
        <w:t xml:space="preserve">“Funded Indebtedness” </w:t>
      </w:r>
      <w:r>
        <w:rPr>
          <w:rFonts w:ascii="Arial" w:cs="Arial" w:eastAsia="Arial" w:hAnsi="Arial"/>
          <w:sz w:val="17"/>
          <w:szCs w:val="17"/>
          <w:color w:val="auto"/>
        </w:rPr>
        <w:t>means, as of a date of determination, the principal amount (including capitalized interest) of all</w:t>
      </w:r>
      <w:r>
        <w:rPr>
          <w:rFonts w:ascii="Arial" w:cs="Arial" w:eastAsia="Arial" w:hAnsi="Arial"/>
          <w:sz w:val="17"/>
          <w:szCs w:val="17"/>
          <w:b w:val="1"/>
          <w:bCs w:val="1"/>
          <w:color w:val="auto"/>
        </w:rPr>
        <w:t xml:space="preserve"> </w:t>
      </w:r>
      <w:r>
        <w:rPr>
          <w:rFonts w:ascii="Arial" w:cs="Arial" w:eastAsia="Arial" w:hAnsi="Arial"/>
          <w:sz w:val="17"/>
          <w:szCs w:val="17"/>
          <w:color w:val="auto"/>
        </w:rPr>
        <w:t>Indebtedness for borrowed money or letters of credit (solely to the extent of unreimbursed drawings thereunder) of Borrower and its Subsidiaries, determined on a consolidated basis in accordance with GAAP, including, in any event, but without duplication, with respect to the Borrower and its Subsidiaries, the aggregate principal amount of the Term Loans, the amount of their capital lease obligations and the amount of all earn-outs reflected as liabilities on the consolidated balance sheet of Borrower and its Subsidiaries in accordance with GAAP, in each case, on such date of determination.</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Harrow</w:t>
      </w:r>
      <w:r>
        <w:rPr>
          <w:rFonts w:ascii="Arial" w:cs="Arial" w:eastAsia="Arial" w:hAnsi="Arial"/>
          <w:sz w:val="18"/>
          <w:szCs w:val="18"/>
          <w:color w:val="auto"/>
        </w:rPr>
        <w:t>” means HARROW HEALTH, INC. (f/k/a Imprimis Pharmaceuticals, Inc.), a Delaware corporation.</w:t>
      </w:r>
    </w:p>
    <w:p>
      <w:pPr>
        <w:spacing w:after="0" w:line="225"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as of any date of determination, the ratio of: (a) Funded Indebtedness as of such date to (b) (i) EBITDA of Borrower for the immediately preceding twelve (12) month period, adding-back (ii) actual litigation expenses for the immediately preceding twelve (12) month period, minus (iii) actual litigation expenses for the immediately preceding three (3) month period multiplied by four (4).</w:t>
      </w:r>
    </w:p>
    <w:p>
      <w:pPr>
        <w:spacing w:after="0" w:line="180" w:lineRule="exact"/>
        <w:rPr>
          <w:sz w:val="20"/>
          <w:szCs w:val="20"/>
          <w:color w:val="auto"/>
        </w:rPr>
      </w:pPr>
    </w:p>
    <w:p>
      <w:pPr>
        <w:jc w:val="both"/>
        <w:ind w:left="7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Capitalization</w:t>
      </w:r>
      <w:r>
        <w:rPr>
          <w:rFonts w:ascii="Arial" w:cs="Arial" w:eastAsia="Arial" w:hAnsi="Arial"/>
          <w:sz w:val="18"/>
          <w:szCs w:val="18"/>
          <w:color w:val="auto"/>
        </w:rPr>
        <w:t>” means the public closing price per share of Harrow’s common stock (as quoted by Bloomberg L.P. or such other inter-dealer quotation system reasonably acceptable to Agent in its reasonable discretion) as of the end of each trading day multiplied by the number of shares of Harrow’s common stock publicly disclosed in its most recent SEC filing as outstanding as of such date of determination.</w:t>
      </w:r>
    </w:p>
    <w:p>
      <w:pPr>
        <w:spacing w:after="0" w:line="180"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shall mean the acquisition by the Borrower of an Acquired Entity or Business; provided that (in each case)</w:t>
      </w:r>
    </w:p>
    <w:p>
      <w:pPr>
        <w:spacing w:after="0" w:line="166" w:lineRule="exact"/>
        <w:rPr>
          <w:sz w:val="20"/>
          <w:szCs w:val="20"/>
          <w:color w:val="auto"/>
        </w:rPr>
      </w:pPr>
    </w:p>
    <w:p>
      <w:pPr>
        <w:ind w:left="760" w:firstLine="641"/>
        <w:spacing w:after="0" w:line="277" w:lineRule="auto"/>
        <w:tabs>
          <w:tab w:leader="none" w:pos="167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Acquired Entity or Business acquired pursuant to the respective Permitted Acquisition is engaged in a similar business engaged by the Borrower and is in compliance with Section 7.2(a);</w:t>
      </w:r>
    </w:p>
    <w:p>
      <w:pPr>
        <w:spacing w:after="0" w:line="170" w:lineRule="exact"/>
        <w:rPr>
          <w:rFonts w:ascii="Arial" w:cs="Arial" w:eastAsia="Arial" w:hAnsi="Arial"/>
          <w:sz w:val="18"/>
          <w:szCs w:val="18"/>
          <w:color w:val="auto"/>
        </w:rPr>
      </w:pPr>
    </w:p>
    <w:p>
      <w:pPr>
        <w:jc w:val="both"/>
        <w:ind w:left="760" w:firstLine="641"/>
        <w:spacing w:after="0" w:line="259" w:lineRule="auto"/>
        <w:tabs>
          <w:tab w:leader="none" w:pos="1673"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such acquisition is structured as a stock acquisition, then the Acquired Entity or Business shall either (i) become a wholly-owned Subsidiary of Borrower or of a Subsidiary and the Borrower shall comply, or cause such Subsidiary to comply, with 6.10 hereof or (ii) such Acquired Entity or Business shall be merged with and into Borrower (with the Borrower being the surviving entity);</w:t>
      </w:r>
    </w:p>
    <w:p>
      <w:pPr>
        <w:spacing w:after="0" w:line="186" w:lineRule="exact"/>
        <w:rPr>
          <w:rFonts w:ascii="Arial" w:cs="Arial" w:eastAsia="Arial" w:hAnsi="Arial"/>
          <w:sz w:val="18"/>
          <w:szCs w:val="18"/>
          <w:color w:val="auto"/>
        </w:rPr>
      </w:pPr>
    </w:p>
    <w:p>
      <w:pPr>
        <w:jc w:val="both"/>
        <w:ind w:left="760" w:firstLine="641"/>
        <w:spacing w:after="0" w:line="279" w:lineRule="auto"/>
        <w:tabs>
          <w:tab w:leader="none" w:pos="166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Borrower shall have delivered to Collateral Agent and the Required Lenders not less than fifteen (15) nor more than forty five (45) days prior to the date of such acquisition, notice of such acquisition together with pro forma projected financial information, copies of all material documents relating to such acquisition, and historical financial statements for such Acquired Entity or Business, in each case in form and substance satisfactory to Collateral Agent and the Lenders;</w:t>
      </w:r>
    </w:p>
    <w:p>
      <w:pPr>
        <w:spacing w:after="0" w:line="171" w:lineRule="exact"/>
        <w:rPr>
          <w:rFonts w:ascii="Arial" w:cs="Arial" w:eastAsia="Arial" w:hAnsi="Arial"/>
          <w:sz w:val="17"/>
          <w:szCs w:val="17"/>
          <w:color w:val="auto"/>
        </w:rPr>
      </w:pPr>
    </w:p>
    <w:p>
      <w:pPr>
        <w:ind w:left="1700" w:hanging="299"/>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both immediately before and after such acquisition no default or Event of Default shall have occurred and be</w:t>
      </w:r>
    </w:p>
    <w:p>
      <w:pPr>
        <w:spacing w:after="0" w:line="34"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10" w:lineRule="exact"/>
        <w:rPr>
          <w:rFonts w:ascii="Arial" w:cs="Arial" w:eastAsia="Arial" w:hAnsi="Arial"/>
          <w:sz w:val="17"/>
          <w:szCs w:val="17"/>
          <w:color w:val="auto"/>
        </w:rPr>
      </w:pPr>
    </w:p>
    <w:p>
      <w:pPr>
        <w:ind w:left="1640" w:hanging="239"/>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Collateral Agent, in its reasonable discretion, shall have agreed to such acquisition; and</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8" w:name="page9"/>
    <w:bookmarkEnd w:id="8"/>
    <w:p>
      <w:pPr>
        <w:jc w:val="both"/>
        <w:ind w:left="760" w:firstLine="641"/>
        <w:spacing w:after="0" w:line="257" w:lineRule="auto"/>
        <w:tabs>
          <w:tab w:leader="none" w:pos="167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sum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shall not be greater than (i) $6,500,000 for any single acquisition or group of related acquisitions or (ii) $11,000,000 for all such acquisitions during the term of this Agreement.</w:t>
      </w:r>
    </w:p>
    <w:p>
      <w:pPr>
        <w:spacing w:after="0" w:line="184" w:lineRule="exact"/>
        <w:rPr>
          <w:sz w:val="20"/>
          <w:szCs w:val="20"/>
          <w:color w:val="auto"/>
        </w:rPr>
      </w:pPr>
    </w:p>
    <w:p>
      <w:pPr>
        <w:jc w:val="both"/>
        <w:ind w:left="7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Conditions</w:t>
      </w:r>
      <w:r>
        <w:rPr>
          <w:rFonts w:ascii="Arial" w:cs="Arial" w:eastAsia="Arial" w:hAnsi="Arial"/>
          <w:sz w:val="18"/>
          <w:szCs w:val="18"/>
          <w:color w:val="auto"/>
        </w:rPr>
        <w:t>” means satisfaction of each of the following as of a date of determination: (a) Borrower has achieved trailing twelve (12) month revenue under GAAP of at least Forty-Five Million Dollars ($45,000,000.00) during the immediately preceding twelve (12) month period, subject to verification and supporting evidence reasonably requested by Collateral Agent; (b) Harrow’s Market Capitalization has exceeded One Hundred Million Dollars ($100,000,000.00) for each of the immediately preceding consecutive thirty (30) trading days and (c) the proceeds of the Second Draw are to be used to complete a Permitted Acquisition.</w:t>
      </w:r>
    </w:p>
    <w:p>
      <w:pPr>
        <w:spacing w:after="0" w:line="188" w:lineRule="exact"/>
        <w:rPr>
          <w:sz w:val="20"/>
          <w:szCs w:val="20"/>
          <w:color w:val="auto"/>
        </w:rPr>
      </w:pPr>
    </w:p>
    <w:p>
      <w:pPr>
        <w:jc w:val="both"/>
        <w:ind w:lef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means the period commencing on satisfaction of the Second Draw Conditions and ending on March 23, 2020.</w:t>
      </w:r>
    </w:p>
    <w:p>
      <w:pPr>
        <w:spacing w:after="0" w:line="166" w:lineRule="exact"/>
        <w:rPr>
          <w:sz w:val="20"/>
          <w:szCs w:val="20"/>
          <w:color w:val="auto"/>
        </w:rPr>
      </w:pPr>
    </w:p>
    <w:p>
      <w:pPr>
        <w:ind w:left="760" w:right="2180" w:hanging="655"/>
        <w:spacing w:after="0" w:line="498" w:lineRule="auto"/>
        <w:tabs>
          <w:tab w:leader="none" w:pos="36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Amended and Restated Definitions</w:t>
      </w:r>
      <w:r>
        <w:rPr>
          <w:rFonts w:ascii="Arial" w:cs="Arial" w:eastAsia="Arial" w:hAnsi="Arial"/>
          <w:sz w:val="18"/>
          <w:szCs w:val="18"/>
          <w:color w:val="auto"/>
        </w:rPr>
        <w:t>. The following definitions are hereby amended and restated as follows: “</w:t>
      </w:r>
      <w:r>
        <w:rPr>
          <w:rFonts w:ascii="Arial" w:cs="Arial" w:eastAsia="Arial" w:hAnsi="Arial"/>
          <w:sz w:val="18"/>
          <w:szCs w:val="18"/>
          <w:b w:val="1"/>
          <w:bCs w:val="1"/>
          <w:color w:val="auto"/>
        </w:rPr>
        <w:t>Amortization Date</w:t>
      </w:r>
      <w:r>
        <w:rPr>
          <w:rFonts w:ascii="Arial" w:cs="Arial" w:eastAsia="Arial" w:hAnsi="Arial"/>
          <w:sz w:val="18"/>
          <w:szCs w:val="18"/>
          <w:color w:val="auto"/>
        </w:rPr>
        <w:t>” is May 14, 2020.</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July 19, 2023.</w:t>
      </w:r>
    </w:p>
    <w:p>
      <w:pPr>
        <w:spacing w:after="0" w:line="225" w:lineRule="exact"/>
        <w:rPr>
          <w:sz w:val="20"/>
          <w:szCs w:val="20"/>
          <w:color w:val="auto"/>
        </w:rPr>
      </w:pPr>
    </w:p>
    <w:p>
      <w:pPr>
        <w:jc w:val="both"/>
        <w:ind w:left="7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 provided that, for the purposes of Section 7, references therein to a Subsidiary excludes any Excluded Subsidiary.</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Amended Definitions</w:t>
      </w:r>
      <w:r>
        <w:rPr>
          <w:rFonts w:ascii="Arial" w:cs="Arial" w:eastAsia="Arial" w:hAnsi="Arial"/>
          <w:sz w:val="18"/>
          <w:szCs w:val="18"/>
          <w:color w:val="auto"/>
        </w:rPr>
        <w:t>. The following definitions are hereby amended as follows:</w:t>
      </w:r>
    </w:p>
    <w:p>
      <w:pPr>
        <w:spacing w:after="0" w:line="221" w:lineRule="exact"/>
        <w:rPr>
          <w:sz w:val="20"/>
          <w:szCs w:val="20"/>
          <w:color w:val="auto"/>
        </w:rPr>
      </w:pPr>
    </w:p>
    <w:p>
      <w:pPr>
        <w:ind w:left="760" w:right="1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Fee</w:t>
      </w:r>
      <w:r>
        <w:rPr>
          <w:rFonts w:ascii="Arial" w:cs="Arial" w:eastAsia="Arial" w:hAnsi="Arial"/>
          <w:sz w:val="18"/>
          <w:szCs w:val="18"/>
          <w:color w:val="auto"/>
        </w:rPr>
        <w:t>”. The definition of “</w:t>
      </w:r>
      <w:r>
        <w:rPr>
          <w:rFonts w:ascii="Arial" w:cs="Arial" w:eastAsia="Arial" w:hAnsi="Arial"/>
          <w:sz w:val="18"/>
          <w:szCs w:val="18"/>
          <w:b w:val="1"/>
          <w:bCs w:val="1"/>
          <w:color w:val="auto"/>
        </w:rPr>
        <w:t>Final Fee</w:t>
      </w:r>
      <w:r>
        <w:rPr>
          <w:rFonts w:ascii="Arial" w:cs="Arial" w:eastAsia="Arial" w:hAnsi="Arial"/>
          <w:sz w:val="18"/>
          <w:szCs w:val="18"/>
          <w:color w:val="auto"/>
        </w:rPr>
        <w:t xml:space="preserve">” is hereby amended by replacing “$800,000” with “$800,000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 equal to five percent (5%) of the aggregate Term B Loans” therein.</w:t>
      </w:r>
    </w:p>
    <w:p>
      <w:pPr>
        <w:spacing w:after="0" w:line="162" w:lineRule="exact"/>
        <w:rPr>
          <w:sz w:val="20"/>
          <w:szCs w:val="20"/>
          <w:color w:val="auto"/>
        </w:rPr>
      </w:pPr>
    </w:p>
    <w:p>
      <w:pPr>
        <w:ind w:left="760" w:right="1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The definition of “</w:t>
      </w:r>
      <w:r>
        <w:rPr>
          <w:rFonts w:ascii="Arial" w:cs="Arial" w:eastAsia="Arial" w:hAnsi="Arial"/>
          <w:sz w:val="18"/>
          <w:szCs w:val="18"/>
          <w:b w:val="1"/>
          <w:bCs w:val="1"/>
          <w:color w:val="auto"/>
        </w:rPr>
        <w:t>LIBOR Rate</w:t>
      </w:r>
      <w:r>
        <w:rPr>
          <w:rFonts w:ascii="Arial" w:cs="Arial" w:eastAsia="Arial" w:hAnsi="Arial"/>
          <w:sz w:val="18"/>
          <w:szCs w:val="18"/>
          <w:color w:val="auto"/>
        </w:rPr>
        <w:t>” is hereby amended by replacing “one percent (1.5%)” with “two percent (2.0%)” therein.</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The definition of “</w:t>
      </w:r>
      <w:r>
        <w:rPr>
          <w:rFonts w:ascii="Arial" w:cs="Arial" w:eastAsia="Arial" w:hAnsi="Arial"/>
          <w:sz w:val="18"/>
          <w:szCs w:val="18"/>
          <w:b w:val="1"/>
          <w:bCs w:val="1"/>
          <w:color w:val="auto"/>
        </w:rPr>
        <w:t>Permitted Investments</w:t>
      </w:r>
      <w:r>
        <w:rPr>
          <w:rFonts w:ascii="Arial" w:cs="Arial" w:eastAsia="Arial" w:hAnsi="Arial"/>
          <w:sz w:val="18"/>
          <w:szCs w:val="18"/>
          <w:color w:val="auto"/>
        </w:rPr>
        <w:t>” is hereby amended by:</w:t>
      </w:r>
    </w:p>
    <w:p>
      <w:pPr>
        <w:spacing w:after="0" w:line="229" w:lineRule="exact"/>
        <w:rPr>
          <w:sz w:val="20"/>
          <w:szCs w:val="20"/>
          <w:color w:val="auto"/>
        </w:rPr>
      </w:pPr>
    </w:p>
    <w:p>
      <w:pPr>
        <w:jc w:val="both"/>
        <w:ind w:left="760" w:right="1300" w:firstLine="641"/>
        <w:spacing w:after="0" w:line="264" w:lineRule="auto"/>
        <w:tabs>
          <w:tab w:leader="none" w:pos="1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amending and restating clause (i) as follows: “(A) Investments in Subsidiaries, not to exceed Five Hundred Thousand Dollars ($500,000) per fiscal year, and (B) Investments in Excluded Subsidiaries solely with respect to Intellectual Property approved in writing by the Lenders;”</w:t>
      </w:r>
    </w:p>
    <w:p>
      <w:pPr>
        <w:spacing w:after="0" w:line="181" w:lineRule="exact"/>
        <w:rPr>
          <w:rFonts w:ascii="Arial" w:cs="Arial" w:eastAsia="Arial" w:hAnsi="Arial"/>
          <w:sz w:val="18"/>
          <w:szCs w:val="18"/>
          <w:color w:val="auto"/>
        </w:rPr>
      </w:pPr>
    </w:p>
    <w:p>
      <w:pPr>
        <w:ind w:left="1660" w:hanging="259"/>
        <w:spacing w:after="0"/>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deleting “and” at the end of clause (j) therein,</w:t>
      </w:r>
    </w:p>
    <w:p>
      <w:pPr>
        <w:spacing w:after="0" w:line="225" w:lineRule="exact"/>
        <w:rPr>
          <w:rFonts w:ascii="Arial" w:cs="Arial" w:eastAsia="Arial" w:hAnsi="Arial"/>
          <w:sz w:val="18"/>
          <w:szCs w:val="18"/>
          <w:color w:val="auto"/>
        </w:rPr>
      </w:pPr>
    </w:p>
    <w:p>
      <w:pPr>
        <w:ind w:left="1660" w:hanging="259"/>
        <w:spacing w:after="0"/>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 and” to the end of clause (k) therein, and</w:t>
      </w:r>
    </w:p>
    <w:p>
      <w:pPr>
        <w:spacing w:after="0" w:line="225" w:lineRule="exact"/>
        <w:rPr>
          <w:rFonts w:ascii="Arial" w:cs="Arial" w:eastAsia="Arial" w:hAnsi="Arial"/>
          <w:sz w:val="18"/>
          <w:szCs w:val="18"/>
          <w:color w:val="auto"/>
        </w:rPr>
      </w:pPr>
    </w:p>
    <w:p>
      <w:pPr>
        <w:ind w:left="1660" w:hanging="259"/>
        <w:spacing w:after="0"/>
        <w:tabs>
          <w:tab w:leader="none" w:pos="1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adding “(l) Permitted Acquisitions” to the end of the definition.</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9" w:name="page10"/>
    <w:bookmarkEnd w:id="9"/>
    <w:p>
      <w:pPr>
        <w:ind w:left="1640" w:hanging="355"/>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Section 2.2(a) is hereby amended and restated as follows:</w:t>
      </w:r>
    </w:p>
    <w:p>
      <w:pPr>
        <w:spacing w:after="0" w:line="225" w:lineRule="exact"/>
        <w:rPr>
          <w:rFonts w:ascii="Arial" w:cs="Arial" w:eastAsia="Arial" w:hAnsi="Arial"/>
          <w:sz w:val="18"/>
          <w:szCs w:val="18"/>
          <w:color w:val="auto"/>
        </w:rPr>
      </w:pPr>
    </w:p>
    <w:p>
      <w:pPr>
        <w:ind w:left="2180" w:hanging="247"/>
        <w:spacing w:after="0"/>
        <w:tabs>
          <w:tab w:leader="none" w:pos="218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40" w:right="1300" w:firstLine="641"/>
        <w:spacing w:after="0" w:line="312" w:lineRule="auto"/>
        <w:tabs>
          <w:tab w:leader="none" w:pos="2803" w:val="left"/>
        </w:tabs>
        <w:numPr>
          <w:ilvl w:val="2"/>
          <w:numId w:val="11"/>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Lenders agree, severally and not jointly, to make term loans to Borrower on the Effective Date in an aggregate principal amount of Sixteen Million Dollars ($16,000,000.00) according to each Lender’s Term A Loan Commitment as set forth on Schedule 1.1 hereto.</w:t>
      </w:r>
    </w:p>
    <w:p>
      <w:pPr>
        <w:spacing w:after="0" w:line="146" w:lineRule="exact"/>
        <w:rPr>
          <w:rFonts w:ascii="Arial" w:cs="Arial" w:eastAsia="Arial" w:hAnsi="Arial"/>
          <w:sz w:val="16"/>
          <w:szCs w:val="16"/>
          <w:color w:val="auto"/>
        </w:rPr>
      </w:pPr>
    </w:p>
    <w:p>
      <w:pPr>
        <w:jc w:val="both"/>
        <w:ind w:left="1940" w:right="1300" w:firstLine="641"/>
        <w:spacing w:after="0" w:line="272" w:lineRule="auto"/>
        <w:tabs>
          <w:tab w:leader="none" w:pos="2862" w:val="left"/>
        </w:tabs>
        <w:numPr>
          <w:ilvl w:val="2"/>
          <w:numId w:val="11"/>
        </w:numPr>
        <w:rPr>
          <w:rFonts w:ascii="Arial" w:cs="Arial" w:eastAsia="Arial" w:hAnsi="Arial"/>
          <w:sz w:val="17"/>
          <w:szCs w:val="17"/>
          <w:color w:val="auto"/>
        </w:rPr>
      </w:pPr>
      <w:r>
        <w:rPr>
          <w:rFonts w:ascii="Arial" w:cs="Arial" w:eastAsia="Arial" w:hAnsi="Arial"/>
          <w:sz w:val="17"/>
          <w:szCs w:val="17"/>
          <w:color w:val="auto"/>
        </w:rPr>
        <w:t xml:space="preserve">Subject to satisfaction of the Second Draw Conditions as of the date of such advance and the other terms and conditions of this Agreement, the Lenders agree, severally and not jointly, during the Second Draw Period, to make term loans to Borrower in an aggregate principal amount of up to Five Million Dollars ($5,000,000) according to each Lender’s Term B Loan Commitment as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(such term loans are hereinafter referred to singly as a “</w:t>
      </w:r>
      <w:r>
        <w:rPr>
          <w:rFonts w:ascii="Arial" w:cs="Arial" w:eastAsia="Arial" w:hAnsi="Arial"/>
          <w:sz w:val="17"/>
          <w:szCs w:val="17"/>
          <w:b w:val="1"/>
          <w:bCs w:val="1"/>
          <w:color w:val="auto"/>
        </w:rPr>
        <w:t>Term B Loan</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B Loans</w:t>
      </w:r>
      <w:r>
        <w:rPr>
          <w:rFonts w:ascii="Arial" w:cs="Arial" w:eastAsia="Arial" w:hAnsi="Arial"/>
          <w:sz w:val="17"/>
          <w:szCs w:val="17"/>
          <w:color w:val="auto"/>
        </w:rPr>
        <w:t>”; each Term A Loan or Term B Loan is hereinafter referred to singly as a “</w:t>
      </w:r>
      <w:r>
        <w:rPr>
          <w:rFonts w:ascii="Arial" w:cs="Arial" w:eastAsia="Arial" w:hAnsi="Arial"/>
          <w:sz w:val="17"/>
          <w:szCs w:val="17"/>
          <w:b w:val="1"/>
          <w:bCs w:val="1"/>
          <w:color w:val="auto"/>
        </w:rPr>
        <w:t>Term Loan</w:t>
      </w:r>
      <w:r>
        <w:rPr>
          <w:rFonts w:ascii="Arial" w:cs="Arial" w:eastAsia="Arial" w:hAnsi="Arial"/>
          <w:sz w:val="17"/>
          <w:szCs w:val="17"/>
          <w:color w:val="auto"/>
        </w:rPr>
        <w:t>” and the Term A Loans and the Term B Loans are hereinafter referred to collectively as the “</w:t>
      </w:r>
      <w:r>
        <w:rPr>
          <w:rFonts w:ascii="Arial" w:cs="Arial" w:eastAsia="Arial" w:hAnsi="Arial"/>
          <w:sz w:val="17"/>
          <w:szCs w:val="17"/>
          <w:b w:val="1"/>
          <w:bCs w:val="1"/>
          <w:color w:val="auto"/>
        </w:rPr>
        <w:t>Term Loans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2880" w:hanging="299"/>
        <w:spacing w:after="0"/>
        <w:tabs>
          <w:tab w:leader="none" w:pos="28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After repayment, no Term Loan may be re-borrowed.</w:t>
      </w:r>
    </w:p>
    <w:p>
      <w:pPr>
        <w:spacing w:after="0" w:line="225" w:lineRule="exact"/>
        <w:rPr>
          <w:rFonts w:ascii="Arial" w:cs="Arial" w:eastAsia="Arial" w:hAnsi="Arial"/>
          <w:sz w:val="18"/>
          <w:szCs w:val="18"/>
          <w:color w:val="auto"/>
        </w:rPr>
      </w:pPr>
    </w:p>
    <w:p>
      <w:pPr>
        <w:jc w:val="both"/>
        <w:ind w:left="-20" w:firstLine="1305"/>
        <w:spacing w:after="0" w:line="255" w:lineRule="auto"/>
        <w:tabs>
          <w:tab w:leader="none" w:pos="168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Section 2.2(c)</w:t>
      </w:r>
      <w:r>
        <w:rPr>
          <w:rFonts w:ascii="Arial" w:cs="Arial" w:eastAsia="Arial" w:hAnsi="Arial"/>
          <w:sz w:val="18"/>
          <w:szCs w:val="18"/>
          <w:color w:val="auto"/>
        </w:rPr>
        <w:t>. Section 2.2(c) is hereby amended by adding the following after the last sentence therein: “The Prepayment Fee and the Final Fee shall also be payable in the event the Obligations (and/or this Agreement) are satisfied or released by foreclosure (whether by power of judicial proceeding), deed in lieu of foreclosure or by any other means. EACH BORROWER AND GUARANTOR EXPRESSLY WAIVES (TO THE FULLEST EXTENT IT MAY LAWFULLY DO SO) THE PROVISIONS OF ANY PRESENT OR FUTURE STATUTE OR LAW THAT PROHIBITS OR MAY PROHIBIT THE COLLECTION OF THE FOREGOING PREPAYMENT FEE AND FINAL FEE IN CONNECTION WITH ANY SUCH ACCELERATION.</w:t>
      </w:r>
    </w:p>
    <w:p>
      <w:pPr>
        <w:spacing w:after="0" w:line="193" w:lineRule="exact"/>
        <w:rPr>
          <w:rFonts w:ascii="Arial" w:cs="Arial" w:eastAsia="Arial" w:hAnsi="Arial"/>
          <w:sz w:val="18"/>
          <w:szCs w:val="18"/>
          <w:color w:val="auto"/>
        </w:rPr>
      </w:pPr>
    </w:p>
    <w:p>
      <w:pPr>
        <w:ind w:left="1580" w:hanging="295"/>
        <w:spacing w:after="0"/>
        <w:tabs>
          <w:tab w:leader="none" w:pos="15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Section 2.2(d)</w:t>
      </w:r>
      <w:r>
        <w:rPr>
          <w:rFonts w:ascii="Arial" w:cs="Arial" w:eastAsia="Arial" w:hAnsi="Arial"/>
          <w:sz w:val="18"/>
          <w:szCs w:val="18"/>
          <w:color w:val="auto"/>
        </w:rPr>
        <w:t>. Section 2.2(d) is hereby amended and restated as follows:</w:t>
      </w:r>
    </w:p>
    <w:p>
      <w:pPr>
        <w:spacing w:after="0" w:line="225" w:lineRule="exact"/>
        <w:rPr>
          <w:sz w:val="20"/>
          <w:szCs w:val="20"/>
          <w:color w:val="auto"/>
        </w:rPr>
      </w:pPr>
    </w:p>
    <w:p>
      <w:pPr>
        <w:jc w:val="both"/>
        <w:ind w:left="1940" w:right="1300" w:firstLine="641"/>
        <w:spacing w:after="0" w:line="284" w:lineRule="auto"/>
        <w:tabs>
          <w:tab w:leader="none" w:pos="284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if the Borrower satisfies the Revenue Threshold by the Threshold Date, anytime on or after July 19, 2019, but otherwise anytime on or after July 19, 2018; provided, in each case,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w:t>
      </w:r>
    </w:p>
    <w:p>
      <w:pPr>
        <w:spacing w:after="0" w:line="5" w:lineRule="exact"/>
        <w:rPr>
          <w:sz w:val="20"/>
          <w:szCs w:val="20"/>
          <w:color w:val="auto"/>
        </w:rPr>
      </w:pPr>
    </w:p>
    <w:p>
      <w:pPr>
        <w:jc w:val="both"/>
        <w:ind w:left="1940" w:right="1300"/>
        <w:spacing w:after="0" w:line="234" w:lineRule="auto"/>
        <w:rPr>
          <w:sz w:val="20"/>
          <w:szCs w:val="20"/>
          <w:color w:val="auto"/>
        </w:rPr>
      </w:pPr>
      <w:r>
        <w:rPr>
          <w:rFonts w:ascii="Arial" w:cs="Arial" w:eastAsia="Arial" w:hAnsi="Arial"/>
          <w:sz w:val="16"/>
          <w:szCs w:val="16"/>
          <w:color w:val="auto"/>
        </w:rPr>
        <w:t>the sum of (A) all outstanding principal of the Term Loans plus (y) if prepaid prior to the first (1</w:t>
      </w:r>
      <w:r>
        <w:rPr>
          <w:rFonts w:ascii="Arial" w:cs="Arial" w:eastAsia="Arial" w:hAnsi="Arial"/>
          <w:sz w:val="26"/>
          <w:szCs w:val="26"/>
          <w:color w:val="auto"/>
          <w:vertAlign w:val="superscript"/>
        </w:rPr>
        <w:t>st</w:t>
      </w:r>
      <w:r>
        <w:rPr>
          <w:rFonts w:ascii="Arial" w:cs="Arial" w:eastAsia="Arial" w:hAnsi="Arial"/>
          <w:sz w:val="16"/>
          <w:szCs w:val="16"/>
          <w:color w:val="auto"/>
        </w:rPr>
        <w:t>) anniversary of the First Amendment Effective Date, all interest that would have accrued had the Term Loans been outstanding</w:t>
      </w:r>
    </w:p>
    <w:p>
      <w:pPr>
        <w:spacing w:after="0" w:line="2" w:lineRule="exact"/>
        <w:rPr>
          <w:sz w:val="20"/>
          <w:szCs w:val="20"/>
          <w:color w:val="auto"/>
        </w:rPr>
      </w:pPr>
    </w:p>
    <w:p>
      <w:pPr>
        <w:jc w:val="both"/>
        <w:ind w:left="1940" w:right="1300"/>
        <w:spacing w:after="0" w:line="205" w:lineRule="auto"/>
        <w:rPr>
          <w:sz w:val="20"/>
          <w:szCs w:val="20"/>
          <w:color w:val="auto"/>
        </w:rPr>
      </w:pPr>
      <w:r>
        <w:rPr>
          <w:rFonts w:ascii="Arial" w:cs="Arial" w:eastAsia="Arial" w:hAnsi="Arial"/>
          <w:sz w:val="18"/>
          <w:szCs w:val="18"/>
          <w:color w:val="auto"/>
        </w:rPr>
        <w:t>through the first (1</w:t>
      </w:r>
      <w:r>
        <w:rPr>
          <w:rFonts w:ascii="Arial" w:cs="Arial" w:eastAsia="Arial" w:hAnsi="Arial"/>
          <w:sz w:val="30"/>
          <w:szCs w:val="30"/>
          <w:color w:val="auto"/>
          <w:vertAlign w:val="superscript"/>
        </w:rPr>
        <w:t>st</w:t>
      </w:r>
      <w:r>
        <w:rPr>
          <w:rFonts w:ascii="Arial" w:cs="Arial" w:eastAsia="Arial" w:hAnsi="Arial"/>
          <w:sz w:val="18"/>
          <w:szCs w:val="18"/>
          <w:color w:val="auto"/>
        </w:rPr>
        <w:t>) anniversary of the First Amendment Effective Date, or (z) if prepaid after the first (1</w:t>
      </w:r>
      <w:r>
        <w:rPr>
          <w:rFonts w:ascii="Arial" w:cs="Arial" w:eastAsia="Arial" w:hAnsi="Arial"/>
          <w:sz w:val="30"/>
          <w:szCs w:val="30"/>
          <w:color w:val="auto"/>
          <w:vertAlign w:val="superscript"/>
        </w:rPr>
        <w:t>st</w:t>
      </w:r>
      <w:r>
        <w:rPr>
          <w:rFonts w:ascii="Arial" w:cs="Arial" w:eastAsia="Arial" w:hAnsi="Arial"/>
          <w:sz w:val="18"/>
          <w:szCs w:val="18"/>
          <w:color w:val="auto"/>
        </w:rPr>
        <w:t>) anniversary of the First Amendment Effective Date, all accrued and unpaid interest thereon through the prepayment date, (B) the Final Fee, (C) the Prepayment Fee, plus (D) all other Obligations that are due and payable, including, without limitation, Lenders’ Expenses and interest at the Default Rate with respect to any past due amounts.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0" w:name="page11"/>
    <w:bookmarkEnd w:id="10"/>
    <w:p>
      <w:pPr>
        <w:ind w:left="360" w:hanging="255"/>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2.3(a)</w:t>
      </w:r>
      <w:r>
        <w:rPr>
          <w:rFonts w:ascii="Arial" w:cs="Arial" w:eastAsia="Arial" w:hAnsi="Arial"/>
          <w:sz w:val="18"/>
          <w:szCs w:val="18"/>
          <w:color w:val="auto"/>
        </w:rPr>
        <w:t>. Section 2.3(a) is hereby amended by replacing “10.50%” with “Applicable Rate” therein.</w:t>
      </w:r>
    </w:p>
    <w:p>
      <w:pPr>
        <w:spacing w:after="0" w:line="225" w:lineRule="exact"/>
        <w:rPr>
          <w:rFonts w:ascii="Arial" w:cs="Arial" w:eastAsia="Arial" w:hAnsi="Arial"/>
          <w:sz w:val="18"/>
          <w:szCs w:val="18"/>
          <w:color w:val="auto"/>
        </w:rPr>
      </w:pPr>
    </w:p>
    <w:p>
      <w:pPr>
        <w:ind w:left="400" w:hanging="295"/>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3.2(e)</w:t>
      </w:r>
      <w:r>
        <w:rPr>
          <w:rFonts w:ascii="Arial" w:cs="Arial" w:eastAsia="Arial" w:hAnsi="Arial"/>
          <w:sz w:val="18"/>
          <w:szCs w:val="18"/>
          <w:color w:val="auto"/>
        </w:rPr>
        <w:t>. Section 3.2(e) is hereby amended and restated as follows:</w:t>
      </w:r>
    </w:p>
    <w:p>
      <w:pPr>
        <w:spacing w:after="0" w:line="225" w:lineRule="exact"/>
        <w:rPr>
          <w:rFonts w:ascii="Arial" w:cs="Arial" w:eastAsia="Arial" w:hAnsi="Arial"/>
          <w:sz w:val="18"/>
          <w:szCs w:val="18"/>
          <w:color w:val="auto"/>
        </w:rPr>
      </w:pPr>
    </w:p>
    <w:p>
      <w:pPr>
        <w:jc w:val="both"/>
        <w:ind w:left="760" w:right="99" w:firstLine="641"/>
        <w:spacing w:after="0" w:line="264" w:lineRule="auto"/>
        <w:tabs>
          <w:tab w:leader="none" w:pos="1673"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2.4 hereof and, with respect to any extension of a Term B Loan, an origination fee equal to one percent (1.0%) of such Term B Loan, which origination fee is fully earned as of the First Amendment Effective Date.</w:t>
      </w:r>
    </w:p>
    <w:p>
      <w:pPr>
        <w:spacing w:after="0" w:line="181" w:lineRule="exact"/>
        <w:rPr>
          <w:rFonts w:ascii="Arial" w:cs="Arial" w:eastAsia="Arial" w:hAnsi="Arial"/>
          <w:sz w:val="18"/>
          <w:szCs w:val="18"/>
          <w:color w:val="auto"/>
        </w:rPr>
      </w:pPr>
    </w:p>
    <w:p>
      <w:pPr>
        <w:ind w:left="460" w:hanging="355"/>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5.9</w:t>
      </w:r>
      <w:r>
        <w:rPr>
          <w:rFonts w:ascii="Arial" w:cs="Arial" w:eastAsia="Arial" w:hAnsi="Arial"/>
          <w:sz w:val="18"/>
          <w:szCs w:val="18"/>
          <w:color w:val="auto"/>
        </w:rPr>
        <w:t>. Section 5.9 is hereby amended and restated as follows:</w:t>
      </w:r>
    </w:p>
    <w:p>
      <w:pPr>
        <w:spacing w:after="0" w:line="221" w:lineRule="exact"/>
        <w:rPr>
          <w:sz w:val="20"/>
          <w:szCs w:val="20"/>
          <w:color w:val="auto"/>
        </w:rPr>
      </w:pPr>
    </w:p>
    <w:p>
      <w:pPr>
        <w:jc w:val="both"/>
        <w:ind w:left="760" w:right="99" w:firstLine="648"/>
        <w:spacing w:after="0" w:line="25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Use of Proceeds.</w:t>
      </w:r>
      <w:r>
        <w:rPr>
          <w:rFonts w:ascii="Arial" w:cs="Arial" w:eastAsia="Arial" w:hAnsi="Arial"/>
          <w:sz w:val="18"/>
          <w:szCs w:val="18"/>
          <w:color w:val="auto"/>
        </w:rPr>
        <w:t xml:space="preserve"> Borrower shall (a) use the proceeds of the Term A Loans solely as working capital and to fund its general business requirements in accordance with the provisions of this Agreement, and not for personal, family, household or agricultural purposes; and (b) use the proceeds of the Term B Loans solely for Permitted Acquisitions in accordance with the provisions of this Agreement, and not for personal, family, household or agricultural purposes.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(xiii) </w:t>
      </w:r>
      <w:r>
        <w:rPr>
          <w:rFonts w:ascii="Arial" w:cs="Arial" w:eastAsia="Arial" w:hAnsi="Arial"/>
          <w:sz w:val="18"/>
          <w:szCs w:val="18"/>
          <w:u w:val="single" w:color="auto"/>
          <w:color w:val="auto"/>
        </w:rPr>
        <w:t>Section 6.10</w:t>
      </w:r>
      <w:r>
        <w:rPr>
          <w:rFonts w:ascii="Arial" w:cs="Arial" w:eastAsia="Arial" w:hAnsi="Arial"/>
          <w:sz w:val="18"/>
          <w:szCs w:val="18"/>
          <w:color w:val="auto"/>
        </w:rPr>
        <w:t>. Section 6.10 is hereby amended and restated as follows:</w:t>
      </w:r>
    </w:p>
    <w:p>
      <w:pPr>
        <w:spacing w:after="0" w:line="221" w:lineRule="exact"/>
        <w:rPr>
          <w:sz w:val="20"/>
          <w:szCs w:val="20"/>
          <w:color w:val="auto"/>
        </w:rPr>
      </w:pPr>
    </w:p>
    <w:p>
      <w:pPr>
        <w:jc w:val="both"/>
        <w:ind w:left="760" w:right="99" w:firstLine="648"/>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b w:val="1"/>
          <w:bCs w:val="1"/>
          <w:color w:val="auto"/>
        </w:rPr>
        <w:t>Creation/Acquisition of Subsidiaries.</w:t>
      </w:r>
      <w:r>
        <w:rPr>
          <w:rFonts w:ascii="Arial" w:cs="Arial" w:eastAsia="Arial" w:hAnsi="Arial"/>
          <w:sz w:val="17"/>
          <w:szCs w:val="17"/>
          <w:color w:val="auto"/>
        </w:rPr>
        <w:t xml:space="preserve"> In the event any Borrower or any Subsidiary of any Borrower creates or acquires any Subsidiary after the Effective Date, Borrower or such Subsidiary shall promptly notify Collateral Agent of such creation or acquisition, and Borrower or such Subsidiary shall take all actions reasonably requested by Collateral Agent to achieve any of the following with respect to such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Subsidiary</w:t>
      </w:r>
      <w:r>
        <w:rPr>
          <w:rFonts w:ascii="Arial" w:cs="Arial" w:eastAsia="Arial" w:hAnsi="Arial"/>
          <w:sz w:val="17"/>
          <w:szCs w:val="17"/>
          <w:color w:val="auto"/>
        </w:rPr>
        <w:t>” (defined as a Subsidiary formed after the date hereof during the term of this Agreement): (i) to</w:t>
      </w:r>
      <w:r>
        <w:rPr>
          <w:rFonts w:ascii="Arial" w:cs="Arial" w:eastAsia="Arial" w:hAnsi="Arial"/>
          <w:sz w:val="17"/>
          <w:szCs w:val="17"/>
          <w:b w:val="1"/>
          <w:bCs w:val="1"/>
          <w:color w:val="auto"/>
        </w:rPr>
        <w:t xml:space="preserve"> </w:t>
      </w:r>
      <w:r>
        <w:rPr>
          <w:rFonts w:ascii="Arial" w:cs="Arial" w:eastAsia="Arial" w:hAnsi="Arial"/>
          <w:sz w:val="17"/>
          <w:szCs w:val="17"/>
          <w:color w:val="auto"/>
        </w:rPr>
        <w:t>cause such New Subsidiary (other than an Excluded Subsidiary) to become either a co-Borrower hereunder, if such New Subsidiary is organized under the laws of the United States, or a secured Guarantor with respect to the Obligations; and (ii) to grant and pledge to Collateral Agent a perfected security interest in 100% of the stock, units or other evidence of ownership held by Borrower or its Subsidiaries of any such New Subsidiary which is organized under the laws of the United States, and 65% of the stock, units or other evidence of ownership held by Borrower or its Subsidiaries of any such New Subsidiary which is not organized under the laws of the United States.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(xiv) </w:t>
      </w:r>
      <w:r>
        <w:rPr>
          <w:rFonts w:ascii="Arial" w:cs="Arial" w:eastAsia="Arial" w:hAnsi="Arial"/>
          <w:sz w:val="18"/>
          <w:szCs w:val="18"/>
          <w:u w:val="single" w:color="auto"/>
          <w:color w:val="auto"/>
        </w:rPr>
        <w:t>Section 6.12</w:t>
      </w:r>
      <w:r>
        <w:rPr>
          <w:rFonts w:ascii="Arial" w:cs="Arial" w:eastAsia="Arial" w:hAnsi="Arial"/>
          <w:sz w:val="18"/>
          <w:szCs w:val="18"/>
          <w:color w:val="auto"/>
        </w:rPr>
        <w:t>. A new Section 6.12 is hereby added as follows:</w:t>
      </w:r>
    </w:p>
    <w:p>
      <w:pPr>
        <w:spacing w:after="0" w:line="221" w:lineRule="exact"/>
        <w:rPr>
          <w:sz w:val="20"/>
          <w:szCs w:val="20"/>
          <w:color w:val="auto"/>
        </w:rPr>
      </w:pPr>
    </w:p>
    <w:p>
      <w:pPr>
        <w:jc w:val="both"/>
        <w:ind w:left="760" w:right="99" w:firstLine="648"/>
        <w:spacing w:after="0" w:line="25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color w:val="auto"/>
        </w:rPr>
        <w:t>Excluded Subsidiary Obligations.</w:t>
      </w:r>
      <w:r>
        <w:rPr>
          <w:rFonts w:ascii="Arial" w:cs="Arial" w:eastAsia="Arial" w:hAnsi="Arial"/>
          <w:sz w:val="18"/>
          <w:szCs w:val="18"/>
          <w:color w:val="auto"/>
        </w:rPr>
        <w:t xml:space="preserve"> Any Indebtedness (including any Contingent Obligations), Liens, Investments, Transfers, or other obligations of an Excluded Subsidiary, shall be without recourse (including but not limited to all rights of subrogation, reimbursement and indemnity of every kind, all rights of recourse to any assets or property, and all rights to any collateral or security held for the payment and performance of any obligations) to any Borrower or Guarantor.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11" w:name="page12"/>
    <w:bookmarkEnd w:id="11"/>
    <w:p>
      <w:pPr>
        <w:ind w:left="1280"/>
        <w:spacing w:after="0"/>
        <w:rPr>
          <w:sz w:val="20"/>
          <w:szCs w:val="20"/>
          <w:color w:val="auto"/>
        </w:rPr>
      </w:pPr>
      <w:r>
        <w:rPr>
          <w:rFonts w:ascii="Arial" w:cs="Arial" w:eastAsia="Arial" w:hAnsi="Arial"/>
          <w:sz w:val="18"/>
          <w:szCs w:val="18"/>
          <w:color w:val="auto"/>
        </w:rPr>
        <w:t xml:space="preserve">(xv) </w:t>
      </w:r>
      <w:r>
        <w:rPr>
          <w:rFonts w:ascii="Arial" w:cs="Arial" w:eastAsia="Arial" w:hAnsi="Arial"/>
          <w:sz w:val="18"/>
          <w:szCs w:val="18"/>
          <w:u w:val="single" w:color="auto"/>
          <w:color w:val="auto"/>
        </w:rPr>
        <w:t>Section 7.1</w:t>
      </w:r>
      <w:r>
        <w:rPr>
          <w:rFonts w:ascii="Arial" w:cs="Arial" w:eastAsia="Arial" w:hAnsi="Arial"/>
          <w:sz w:val="18"/>
          <w:szCs w:val="18"/>
          <w:color w:val="auto"/>
        </w:rPr>
        <w:t>. Section 7.1 is hereby amended and restated as follows:</w:t>
      </w:r>
    </w:p>
    <w:p>
      <w:pPr>
        <w:spacing w:after="0" w:line="221" w:lineRule="exact"/>
        <w:rPr>
          <w:sz w:val="20"/>
          <w:szCs w:val="20"/>
          <w:color w:val="auto"/>
        </w:rPr>
      </w:pPr>
    </w:p>
    <w:p>
      <w:pPr>
        <w:jc w:val="both"/>
        <w:ind w:left="1940" w:right="1300" w:firstLine="648"/>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Dispositions.</w:t>
      </w:r>
      <w:r>
        <w:rPr>
          <w:rFonts w:ascii="Arial" w:cs="Arial" w:eastAsia="Arial" w:hAnsi="Arial"/>
          <w:sz w:val="17"/>
          <w:szCs w:val="17"/>
          <w:color w:val="auto"/>
        </w:rPr>
        <w:t xml:space="preserve"> Convey, sell, lease, transfer, assign,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 all or any part of its business or property (including Intellectual Property), except for (a) Transfers (i) of Inventory in the ordinary course of business; (ii) of worn-out or obsolete Equipment and (iii) the sale of Equity Interests of Eton so long as each Eton Agreement is in full force and effect; (b) Permitted Liens, Permitted Investments and Permitted Licenses; and (c) Transfers by Harrow IP, LLC, a Delaware limited liability company, to Excluded Subsidiaries of (i) the Intellectual Property set forth on Schedule 3 attached hereto and (ii) without at least fifteen (15) Business Days’ prior written consent of the Lenders (which consent shall not be unreasonably withheld, delayed or conditioned), Intellectual Property to Excluded Subsidiaries formed and created after the First Amendment Effective Date.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(xvi) </w:t>
      </w:r>
      <w:r>
        <w:rPr>
          <w:rFonts w:ascii="Arial" w:cs="Arial" w:eastAsia="Arial" w:hAnsi="Arial"/>
          <w:sz w:val="18"/>
          <w:szCs w:val="18"/>
          <w:u w:val="single" w:color="auto"/>
          <w:color w:val="auto"/>
        </w:rPr>
        <w:t>Section 7.3</w:t>
      </w:r>
      <w:r>
        <w:rPr>
          <w:rFonts w:ascii="Arial" w:cs="Arial" w:eastAsia="Arial" w:hAnsi="Arial"/>
          <w:sz w:val="18"/>
          <w:szCs w:val="18"/>
          <w:color w:val="auto"/>
        </w:rPr>
        <w:t>. Section 7.3 is hereby amended and restated as follows:</w:t>
      </w:r>
    </w:p>
    <w:p>
      <w:pPr>
        <w:spacing w:after="0" w:line="221" w:lineRule="exact"/>
        <w:rPr>
          <w:sz w:val="20"/>
          <w:szCs w:val="20"/>
          <w:color w:val="auto"/>
        </w:rPr>
      </w:pPr>
    </w:p>
    <w:p>
      <w:pPr>
        <w:jc w:val="both"/>
        <w:ind w:left="1940" w:right="1300" w:firstLine="648"/>
        <w:spacing w:after="0" w:line="29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Mergers or Acquisitions.</w:t>
      </w:r>
      <w:r>
        <w:rPr>
          <w:rFonts w:ascii="Arial" w:cs="Arial" w:eastAsia="Arial" w:hAnsi="Arial"/>
          <w:sz w:val="16"/>
          <w:szCs w:val="16"/>
          <w:color w:val="auto"/>
        </w:rPr>
        <w:t xml:space="preserve"> (a) Merge or consolidate, or permit any of its Subsidiaries to merge or consolidate, with any other Person; or, other than Permitted Acquisitions, acquire, or permit any of its Subsidiaries to acquire, all or substantially all of the capital stock, shares or property of another Person. (b) Issue any Equity Interests if such issuance could result in an Event of Default pursuant to Section 7.2 or otherwise. (c) Issue any Disqualified Equity Interests. Notwithstanding the foregoing,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(xvii) </w:t>
      </w:r>
      <w:r>
        <w:rPr>
          <w:rFonts w:ascii="Arial" w:cs="Arial" w:eastAsia="Arial" w:hAnsi="Arial"/>
          <w:sz w:val="18"/>
          <w:szCs w:val="18"/>
          <w:u w:val="single" w:color="auto"/>
          <w:color w:val="auto"/>
        </w:rPr>
        <w:t>Section 7.14</w:t>
      </w:r>
      <w:r>
        <w:rPr>
          <w:rFonts w:ascii="Arial" w:cs="Arial" w:eastAsia="Arial" w:hAnsi="Arial"/>
          <w:sz w:val="18"/>
          <w:szCs w:val="18"/>
          <w:color w:val="auto"/>
        </w:rPr>
        <w:t>. Section 7.14 is hereby amended and restated as follows:</w:t>
      </w:r>
    </w:p>
    <w:p>
      <w:pPr>
        <w:spacing w:after="0" w:line="221" w:lineRule="exact"/>
        <w:rPr>
          <w:sz w:val="20"/>
          <w:szCs w:val="20"/>
          <w:color w:val="auto"/>
        </w:rPr>
      </w:pPr>
    </w:p>
    <w:p>
      <w:pPr>
        <w:jc w:val="both"/>
        <w:ind w:left="1940" w:right="1300" w:firstLine="648"/>
        <w:spacing w:after="0" w:line="298"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b w:val="1"/>
          <w:bCs w:val="1"/>
          <w:color w:val="auto"/>
        </w:rPr>
        <w:t>Minimum Cash</w:t>
      </w:r>
      <w:r>
        <w:rPr>
          <w:rFonts w:ascii="Arial" w:cs="Arial" w:eastAsia="Arial" w:hAnsi="Arial"/>
          <w:sz w:val="16"/>
          <w:szCs w:val="16"/>
          <w:color w:val="auto"/>
        </w:rPr>
        <w:t xml:space="preserve">. Fail to maintain Unrestricted Cash in an amount greater than or equal to (a) prior to any extension of any Term B Loan, One Million Dollars ($1,000,000)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Borrower’s accounts payable under GAAP not paid after the 90th day following the invoice date for such accounts payable and (b) on and after any extension of any Term B Loan, Three Million Dollars ($3,000,000)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Borrower’s accounts payable under GAAP not paid after the 90th day following the invoice date for such accounts payable.</w:t>
      </w:r>
    </w:p>
    <w:p>
      <w:pPr>
        <w:spacing w:after="0" w:line="158" w:lineRule="exact"/>
        <w:rPr>
          <w:sz w:val="20"/>
          <w:szCs w:val="20"/>
          <w:color w:val="auto"/>
        </w:rPr>
      </w:pPr>
    </w:p>
    <w:p>
      <w:pPr>
        <w:ind w:left="-20" w:right="20" w:firstLine="1305"/>
        <w:spacing w:after="0" w:line="277" w:lineRule="auto"/>
        <w:tabs>
          <w:tab w:leader="none" w:pos="179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Lenders and Commitments</w:t>
      </w:r>
      <w:r>
        <w:rPr>
          <w:rFonts w:ascii="Arial" w:cs="Arial" w:eastAsia="Arial" w:hAnsi="Arial"/>
          <w:sz w:val="18"/>
          <w:szCs w:val="18"/>
          <w:color w:val="auto"/>
        </w:rPr>
        <w:t xml:space="preserve">. Schedule 1.1 of the Loan and Security Agreement, the Schedules of Lenders and Commitments, is hereby amended and restated in its entirety with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20" w:firstLine="1305"/>
        <w:spacing w:after="0" w:line="277" w:lineRule="auto"/>
        <w:tabs>
          <w:tab w:leader="none" w:pos="167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Schedule 2 (Excluded Subsidiaries)</w:t>
      </w:r>
      <w:r>
        <w:rPr>
          <w:rFonts w:ascii="Arial" w:cs="Arial" w:eastAsia="Arial" w:hAnsi="Arial"/>
          <w:sz w:val="18"/>
          <w:szCs w:val="18"/>
          <w:color w:val="auto"/>
        </w:rPr>
        <w:t xml:space="preserve">. A new Schedule 2 to the Loan and Security Agreement,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is hereby added to the Loan and Security Agreement.</w:t>
      </w:r>
    </w:p>
    <w:p>
      <w:pPr>
        <w:spacing w:after="0" w:line="170" w:lineRule="exact"/>
        <w:rPr>
          <w:rFonts w:ascii="Arial" w:cs="Arial" w:eastAsia="Arial" w:hAnsi="Arial"/>
          <w:sz w:val="18"/>
          <w:szCs w:val="18"/>
          <w:color w:val="auto"/>
        </w:rPr>
      </w:pPr>
    </w:p>
    <w:p>
      <w:pPr>
        <w:ind w:left="-20" w:firstLine="1305"/>
        <w:spacing w:after="0" w:line="277" w:lineRule="auto"/>
        <w:tabs>
          <w:tab w:leader="none" w:pos="16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Schedule 3 (Intellectual Property Transfers)</w:t>
      </w:r>
      <w:r>
        <w:rPr>
          <w:rFonts w:ascii="Arial" w:cs="Arial" w:eastAsia="Arial" w:hAnsi="Arial"/>
          <w:sz w:val="18"/>
          <w:szCs w:val="18"/>
          <w:color w:val="auto"/>
        </w:rPr>
        <w:t xml:space="preserve">. A new Schedule 3 to the Loan and Security Agreement, attached hereto as </w:t>
      </w:r>
      <w:r>
        <w:rPr>
          <w:rFonts w:ascii="Arial" w:cs="Arial" w:eastAsia="Arial" w:hAnsi="Arial"/>
          <w:sz w:val="18"/>
          <w:szCs w:val="18"/>
          <w:u w:val="single" w:color="auto"/>
          <w:color w:val="auto"/>
        </w:rPr>
        <w:t>Annex C</w:t>
      </w:r>
      <w:r>
        <w:rPr>
          <w:rFonts w:ascii="Arial" w:cs="Arial" w:eastAsia="Arial" w:hAnsi="Arial"/>
          <w:sz w:val="18"/>
          <w:szCs w:val="18"/>
          <w:color w:val="auto"/>
        </w:rPr>
        <w:t>, is hereby added to the Loan and Security Agreement.</w:t>
      </w:r>
    </w:p>
    <w:p>
      <w:pPr>
        <w:spacing w:after="0" w:line="170" w:lineRule="exact"/>
        <w:rPr>
          <w:rFonts w:ascii="Arial" w:cs="Arial" w:eastAsia="Arial" w:hAnsi="Arial"/>
          <w:sz w:val="18"/>
          <w:szCs w:val="18"/>
          <w:color w:val="auto"/>
        </w:rPr>
      </w:pPr>
    </w:p>
    <w:p>
      <w:pPr>
        <w:ind w:left="-20" w:firstLine="1305"/>
        <w:spacing w:after="0" w:line="277" w:lineRule="auto"/>
        <w:tabs>
          <w:tab w:leader="none" w:pos="167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Exhibit D attached to the Loan and Security Agreement, the Compliance Certificate, is hereby amended and restated in its entirety with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12" w:name="page13"/>
    <w:bookmarkEnd w:id="12"/>
    <w:p>
      <w:pPr>
        <w:ind w:right="20" w:firstLine="656"/>
        <w:spacing w:after="0" w:line="347" w:lineRule="auto"/>
        <w:tabs>
          <w:tab w:leader="none" w:pos="916"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References Within Loan and Security Agreement</w:t>
      </w:r>
      <w:r>
        <w:rPr>
          <w:rFonts w:ascii="Arial" w:cs="Arial" w:eastAsia="Arial" w:hAnsi="Arial"/>
          <w:sz w:val="16"/>
          <w:szCs w:val="16"/>
          <w:color w:val="auto"/>
        </w:rPr>
        <w:t>. Each reference in the Loan and Security Agreement to “this Agreement” and the words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“herein,” “hereunder,” or words of like import, shall mean and be a reference to the Loan and Security Agreement as amended by this Amendment.</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SECTION 4 Conditions of Effectiveness. </w:t>
      </w:r>
      <w:r>
        <w:rPr>
          <w:rFonts w:ascii="Arial" w:cs="Arial" w:eastAsia="Arial" w:hAnsi="Arial"/>
          <w:sz w:val="18"/>
          <w:szCs w:val="18"/>
          <w:color w:val="auto"/>
        </w:rPr>
        <w:t>The effectiveness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shall be subject to the satisfaction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precedent:</w:t>
      </w:r>
    </w:p>
    <w:p>
      <w:pPr>
        <w:spacing w:after="0" w:line="162" w:lineRule="exact"/>
        <w:rPr>
          <w:sz w:val="20"/>
          <w:szCs w:val="20"/>
          <w:color w:val="auto"/>
        </w:rPr>
      </w:pPr>
    </w:p>
    <w:p>
      <w:pPr>
        <w:jc w:val="both"/>
        <w:ind w:firstLine="656"/>
        <w:spacing w:after="0" w:line="266"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Fees and Expenses</w:t>
      </w:r>
      <w:r>
        <w:rPr>
          <w:rFonts w:ascii="Arial" w:cs="Arial" w:eastAsia="Arial" w:hAnsi="Arial"/>
          <w:sz w:val="18"/>
          <w:szCs w:val="18"/>
          <w:color w:val="auto"/>
        </w:rPr>
        <w:t>. Borrower shall have paid (i) an amendment fee equal to $152,500, (ii) all invoiced costs and expenses then due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7(e)</w:t>
      </w:r>
      <w:r>
        <w:rPr>
          <w:rFonts w:ascii="Arial" w:cs="Arial" w:eastAsia="Arial" w:hAnsi="Arial"/>
          <w:sz w:val="18"/>
          <w:szCs w:val="18"/>
          <w:color w:val="auto"/>
        </w:rPr>
        <w:t>, and (iii) all other fees, costs and expenses, if any, due and payable as of the Amendment Effective Date under the Loan and Security Agreement.</w:t>
      </w:r>
    </w:p>
    <w:p>
      <w:pPr>
        <w:spacing w:after="0" w:line="176"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This Amendment</w:t>
      </w:r>
      <w:r>
        <w:rPr>
          <w:rFonts w:ascii="Arial" w:cs="Arial" w:eastAsia="Arial" w:hAnsi="Arial"/>
          <w:sz w:val="18"/>
          <w:szCs w:val="18"/>
          <w:color w:val="auto"/>
        </w:rPr>
        <w:t>. Collateral Agent shall have received this Amendment, executed by Collateral Agent, the Lenders and Borrower.</w:t>
      </w:r>
    </w:p>
    <w:p>
      <w:pPr>
        <w:spacing w:after="0" w:line="225" w:lineRule="exact"/>
        <w:rPr>
          <w:rFonts w:ascii="Arial" w:cs="Arial" w:eastAsia="Arial" w:hAnsi="Arial"/>
          <w:sz w:val="18"/>
          <w:szCs w:val="18"/>
          <w:color w:val="auto"/>
        </w:rPr>
      </w:pPr>
    </w:p>
    <w:p>
      <w:pPr>
        <w:ind w:right="20" w:firstLine="656"/>
        <w:spacing w:after="0" w:line="282"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contemplated hereby:</w:t>
      </w:r>
    </w:p>
    <w:p>
      <w:pPr>
        <w:spacing w:after="0" w:line="165" w:lineRule="exact"/>
        <w:rPr>
          <w:rFonts w:ascii="Arial" w:cs="Arial" w:eastAsia="Arial" w:hAnsi="Arial"/>
          <w:sz w:val="18"/>
          <w:szCs w:val="18"/>
          <w:color w:val="auto"/>
        </w:rPr>
      </w:pPr>
    </w:p>
    <w:p>
      <w:pPr>
        <w:ind w:firstLine="1305"/>
        <w:spacing w:after="0" w:line="277" w:lineRule="auto"/>
        <w:tabs>
          <w:tab w:leader="none" w:pos="15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true and correct on and as of the Amendment Effective Date as though made on and as of such date;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exist no Events of Default or events that with the passage of time would result in an Event of Default.</w:t>
      </w:r>
    </w:p>
    <w:p>
      <w:pPr>
        <w:spacing w:after="0" w:line="221"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A&amp;R Pledge Agreement</w:t>
      </w:r>
      <w:r>
        <w:rPr>
          <w:rFonts w:ascii="Arial" w:cs="Arial" w:eastAsia="Arial" w:hAnsi="Arial"/>
          <w:sz w:val="16"/>
          <w:szCs w:val="16"/>
          <w:color w:val="auto"/>
        </w:rPr>
        <w:t>. Collateral Agent shall have received an amended and restated pledge agreement, executed by Collateral Agent and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06" w:lineRule="exact"/>
        <w:rPr>
          <w:rFonts w:ascii="Arial" w:cs="Arial" w:eastAsia="Arial" w:hAnsi="Arial"/>
          <w:sz w:val="16"/>
          <w:szCs w:val="16"/>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Corporate Deliverables</w:t>
      </w:r>
      <w:r>
        <w:rPr>
          <w:rFonts w:ascii="Arial" w:cs="Arial" w:eastAsia="Arial" w:hAnsi="Arial"/>
          <w:sz w:val="18"/>
          <w:szCs w:val="18"/>
          <w:color w:val="auto"/>
        </w:rPr>
        <w:t>. Collateral Agent shall have received:</w:t>
      </w:r>
    </w:p>
    <w:p>
      <w:pPr>
        <w:spacing w:after="0" w:line="229" w:lineRule="exact"/>
        <w:rPr>
          <w:rFonts w:ascii="Arial" w:cs="Arial" w:eastAsia="Arial" w:hAnsi="Arial"/>
          <w:sz w:val="18"/>
          <w:szCs w:val="18"/>
          <w:color w:val="auto"/>
        </w:rPr>
      </w:pPr>
    </w:p>
    <w:p>
      <w:pPr>
        <w:jc w:val="both"/>
        <w:ind w:firstLine="1305"/>
        <w:spacing w:after="0" w:line="264" w:lineRule="auto"/>
        <w:tabs>
          <w:tab w:leader="none" w:pos="15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each Borrower certified by the Secretary of State (or equivalent agency) of such New Borrower’s jurisdiction of organization or formation and each jurisdiction in which each New Borrower is qualified to conduct business, each as of a date no earlier than thirty (30) days prior to the Amendment Effective Date;</w:t>
      </w:r>
    </w:p>
    <w:p>
      <w:pPr>
        <w:spacing w:after="0" w:line="181" w:lineRule="exact"/>
        <w:rPr>
          <w:rFonts w:ascii="Arial" w:cs="Arial" w:eastAsia="Arial" w:hAnsi="Arial"/>
          <w:sz w:val="18"/>
          <w:szCs w:val="18"/>
          <w:color w:val="auto"/>
        </w:rPr>
      </w:pPr>
    </w:p>
    <w:p>
      <w:pPr>
        <w:ind w:right="20" w:firstLine="1305"/>
        <w:spacing w:after="0" w:line="277" w:lineRule="auto"/>
        <w:tabs>
          <w:tab w:leader="none" w:pos="15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copy of resolutions of the governing body for Borrower evidencing approval of the Amendment and other transactions evidenced by the Loan Documents;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duly executed original officer’s certificates for New Borrower certifying as to (1) the incumbency of each Responsible Officer executing each Loan Document and (2) the documents delivered pursuant to Section 4(e) and 4(f), in a form reasonably acceptable to Collateral Agent and the Lenders.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5 Representations and Warranties</w:t>
      </w:r>
      <w:r>
        <w:rPr>
          <w:rFonts w:ascii="Arial" w:cs="Arial" w:eastAsia="Arial" w:hAnsi="Arial"/>
          <w:sz w:val="16"/>
          <w:szCs w:val="16"/>
          <w:color w:val="auto"/>
        </w:rPr>
        <w:t>. To induce the Lenders to enter into this Amendment, Borrower hereby confirms, as of the date hereof, that:</w:t>
      </w:r>
    </w:p>
    <w:p>
      <w:pPr>
        <w:spacing w:after="0" w:line="252" w:lineRule="exact"/>
        <w:rPr>
          <w:sz w:val="20"/>
          <w:szCs w:val="20"/>
          <w:color w:val="auto"/>
        </w:rPr>
      </w:pPr>
    </w:p>
    <w:p>
      <w:pPr>
        <w:jc w:val="both"/>
        <w:ind w:firstLine="656"/>
        <w:spacing w:after="0" w:line="279" w:lineRule="auto"/>
        <w:tabs>
          <w:tab w:leader="none" w:pos="907"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by it in Section 5 of the Loan and Security Agreement and in the other Loan Documents are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w:t>
      </w:r>
      <w:r>
        <w:rPr>
          <w:rFonts w:ascii="Arial" w:cs="Arial" w:eastAsia="Arial" w:hAnsi="Arial"/>
          <w:sz w:val="17"/>
          <w:szCs w:val="17"/>
          <w:i w:val="1"/>
          <w:iCs w:val="1"/>
          <w:color w:val="auto"/>
        </w:rPr>
        <w:t>provided, further</w:t>
      </w:r>
      <w:r>
        <w:rPr>
          <w:rFonts w:ascii="Arial" w:cs="Arial" w:eastAsia="Arial" w:hAnsi="Arial"/>
          <w:sz w:val="17"/>
          <w:szCs w:val="17"/>
          <w:color w:val="auto"/>
        </w:rPr>
        <w:t>, that to the extent such representations and warranties by their terms expressly relate only to a prior date such representations and warranties shall be true and correct as of such prior date;</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not been and there does not exist a Material Adverse Change;</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other than as updated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information included in the Perfection Certificate delivered to Collateral Agent on the Effective Date remains true and correct;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both"/>
        <w:ind w:firstLine="656"/>
        <w:spacing w:after="0" w:line="264" w:lineRule="auto"/>
        <w:tabs>
          <w:tab w:leader="none" w:pos="9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 has and shall continue to have valid, enforceable and perfected first-priority liens, subject only to Permitted Liens, on and security interests in the Collateral and all other collateral heretofore granted by Borrower to Lender, pursuant to the Loan Documents or otherwise granted to or held by Lender;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w:t>
      </w:r>
    </w:p>
    <w:p>
      <w:pPr>
        <w:spacing w:after="0" w:line="186" w:lineRule="exact"/>
        <w:rPr>
          <w:rFonts w:ascii="Arial" w:cs="Arial" w:eastAsia="Arial" w:hAnsi="Arial"/>
          <w:sz w:val="18"/>
          <w:szCs w:val="18"/>
          <w:color w:val="auto"/>
        </w:rPr>
      </w:pPr>
    </w:p>
    <w:p>
      <w:pPr>
        <w:jc w:val="both"/>
        <w:ind w:firstLine="656"/>
        <w:spacing w:after="0" w:line="264" w:lineRule="auto"/>
        <w:tabs>
          <w:tab w:leader="none" w:pos="8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5</w:t>
      </w:r>
      <w:r>
        <w:rPr>
          <w:rFonts w:ascii="Arial" w:cs="Arial" w:eastAsia="Arial" w:hAnsi="Arial"/>
          <w:sz w:val="16"/>
          <w:szCs w:val="16"/>
          <w:color w:val="auto"/>
        </w:rPr>
        <w:t>, each reference in Section 5 of the Loan and Security Agreement to “this Agreement,” and the words “hereof,” “herein,” “hereunder,” or words of like import in such Section, shall mean and be a reference to the Loan and Security Agreement as amended by this Amendment.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Post-Amendment Effective Date Covenants.</w:t>
      </w:r>
    </w:p>
    <w:p>
      <w:pPr>
        <w:spacing w:after="0" w:line="229" w:lineRule="exact"/>
        <w:rPr>
          <w:sz w:val="20"/>
          <w:szCs w:val="20"/>
          <w:color w:val="auto"/>
        </w:rPr>
      </w:pPr>
    </w:p>
    <w:p>
      <w:pPr>
        <w:ind w:firstLine="656"/>
        <w:spacing w:after="0" w:line="277" w:lineRule="auto"/>
        <w:tabs>
          <w:tab w:leader="none" w:pos="9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Lenders and Collateral Agent shall have received on or before September 30, 2019 (or such later date as the Lenders and Collateral Agent agree to in their sole discretion):</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evidence reasonably satisfactory to Collateral Agent and the Lenders (i) that the Intellectual Property held by Harrow has been Transferred to Harrow IP, and (ii) for any Intellectual Property which continues to be held by Harrow, sufficient name-change filings have been made with the United States Patent and Trademark Office and the United States Copyright Office (as applicable);</w:t>
      </w:r>
    </w:p>
    <w:p>
      <w:pPr>
        <w:spacing w:after="0" w:line="181" w:lineRule="exact"/>
        <w:rPr>
          <w:rFonts w:ascii="Arial" w:cs="Arial" w:eastAsia="Arial" w:hAnsi="Arial"/>
          <w:sz w:val="18"/>
          <w:szCs w:val="18"/>
          <w:color w:val="auto"/>
        </w:rPr>
      </w:pPr>
    </w:p>
    <w:p>
      <w:pPr>
        <w:ind w:firstLine="1305"/>
        <w:spacing w:after="0" w:line="277" w:lineRule="auto"/>
        <w:tabs>
          <w:tab w:leader="none" w:pos="15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amended and restated intellectual property security agreement, in form and substance reasonably satisfactory to Collateral Agent, executed by Collateral Agent and the applicable Borrower;</w:t>
      </w:r>
    </w:p>
    <w:p>
      <w:pPr>
        <w:spacing w:after="0" w:line="170" w:lineRule="exact"/>
        <w:rPr>
          <w:rFonts w:ascii="Arial" w:cs="Arial" w:eastAsia="Arial" w:hAnsi="Arial"/>
          <w:sz w:val="18"/>
          <w:szCs w:val="18"/>
          <w:color w:val="auto"/>
        </w:rPr>
      </w:pPr>
    </w:p>
    <w:p>
      <w:pPr>
        <w:ind w:firstLine="1305"/>
        <w:spacing w:after="0" w:line="308" w:lineRule="auto"/>
        <w:tabs>
          <w:tab w:leader="none" w:pos="1622" w:val="left"/>
        </w:tabs>
        <w:numPr>
          <w:ilvl w:val="1"/>
          <w:numId w:val="19"/>
        </w:numPr>
        <w:rPr>
          <w:rFonts w:ascii="Arial" w:cs="Arial" w:eastAsia="Arial" w:hAnsi="Arial"/>
          <w:sz w:val="17"/>
          <w:szCs w:val="17"/>
          <w:color w:val="auto"/>
        </w:rPr>
      </w:pPr>
      <w:r>
        <w:rPr>
          <w:rFonts w:ascii="Arial" w:cs="Arial" w:eastAsia="Arial" w:hAnsi="Arial"/>
          <w:sz w:val="17"/>
          <w:szCs w:val="17"/>
          <w:color w:val="auto"/>
        </w:rPr>
        <w:t>for any Collateral Accounts (other than Excluded Accounts) maintained by any New Borrower, duly executed Control Agreements in form and substance reasonably satisfactory to Collateral Agent, executed by Collateral Agent, the depository institution, and the applicable Borrower;</w:t>
      </w:r>
    </w:p>
    <w:p>
      <w:pPr>
        <w:spacing w:after="0" w:line="146" w:lineRule="exact"/>
        <w:rPr>
          <w:rFonts w:ascii="Arial" w:cs="Arial" w:eastAsia="Arial" w:hAnsi="Arial"/>
          <w:sz w:val="17"/>
          <w:szCs w:val="17"/>
          <w:color w:val="auto"/>
        </w:rPr>
      </w:pPr>
    </w:p>
    <w:p>
      <w:pPr>
        <w:ind w:firstLine="1305"/>
        <w:spacing w:after="0" w:line="342" w:lineRule="auto"/>
        <w:tabs>
          <w:tab w:leader="none" w:pos="1652"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any Collateral Accounts (other than Excluded Accounts) Transferred from Harrow to ImprimisRx, duly executed Control Agreements in form and substance reasonably satisfactory to Collateral Agent, executed by Collateral Agent, the depository institution, and ImprimisRx; and</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5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certificates or other instruments representing or evidencing any Pledged Interests (as defined in the Pledge Agreement), accompanied by appropriate duly executed instruments of transfer or assignment (including, without limitation, stock powers) in blank, all in form and substance satisfactory to Collateral Agent.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Lenders and Collateral Agent shall have received on or before September 30, 2019 (or such later date as the Lenders and Collateral Agent agree to in their sole discretion), evidence reasonably satisfactory to Collateral Agent and the Lenders that, in connection with or pursuant to the reorganization documents, Borrower has no cash fees, expenses, indemnities, or costs relating to or resulting from federal, state, and local taxes, assessments, deposits and contributions, or employee, officer or director wage and benefit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SECTION 7 Miscellaneous.</w:t>
      </w:r>
    </w:p>
    <w:p>
      <w:pPr>
        <w:spacing w:after="0" w:line="225"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 No Novation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1529"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Except as expressly amended pursuant hereto or referenced herein, the Loan and Security Agreement and the other Loan Documents shall remain unchanged and in full force and effect and are hereby ratified and confirmed in all respects. The Lenders’ and Collateral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6" w:lineRule="exact"/>
        <w:rPr>
          <w:rFonts w:ascii="Arial" w:cs="Arial" w:eastAsia="Arial" w:hAnsi="Arial"/>
          <w:sz w:val="18"/>
          <w:szCs w:val="18"/>
          <w:color w:val="auto"/>
        </w:rPr>
      </w:pPr>
    </w:p>
    <w:p>
      <w:pPr>
        <w:jc w:val="both"/>
        <w:ind w:firstLine="1305"/>
        <w:spacing w:after="0" w:line="254" w:lineRule="auto"/>
        <w:tabs>
          <w:tab w:leader="none" w:pos="15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Existing Borrower hereby expressly (1) reaffirms, ratifies and confirms its Obligations under the Loan Agreement and the other Loan Documents, (2) reaffirms, ratifies and confirms the grant of security under Section 4.1 of the Loan and Security Agreement, (3) reaffirms that such grant of security in the Collateral secures all Obligations under the Loan and Security Agreement, including without limitation any Term Loans funded on or after the Amendment Effective Date, as of the date hereof, and with effect from (and including) the Amendment Effective Date, such grant of security in the Collateral: (x) remains in full force and effect notwithstanding the amendments expressly referenced herein; and (y) secures all Obligations under the Loan and Security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92" w:lineRule="exact"/>
        <w:rPr>
          <w:rFonts w:ascii="Arial" w:cs="Arial" w:eastAsia="Arial" w:hAnsi="Arial"/>
          <w:sz w:val="18"/>
          <w:szCs w:val="18"/>
          <w:color w:val="auto"/>
        </w:rPr>
      </w:pPr>
    </w:p>
    <w:p>
      <w:pPr>
        <w:jc w:val="both"/>
        <w:ind w:firstLine="1305"/>
        <w:spacing w:after="0" w:line="257" w:lineRule="auto"/>
        <w:tabs>
          <w:tab w:leader="none" w:pos="16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Obligations under or in connection with the Loan and Security Agreement and any other Loan Document or to modify, affect or impair the perfection or continuity of Agent’s security interest in, (on behalf of itself and the Lenders) security titles to or other liens on any Collateral for the Obligations.</w:t>
      </w:r>
    </w:p>
    <w:p>
      <w:pPr>
        <w:spacing w:after="0" w:line="184" w:lineRule="exact"/>
        <w:rPr>
          <w:rFonts w:ascii="Arial" w:cs="Arial" w:eastAsia="Arial" w:hAnsi="Arial"/>
          <w:sz w:val="18"/>
          <w:szCs w:val="18"/>
          <w:color w:val="auto"/>
        </w:rPr>
      </w:pPr>
    </w:p>
    <w:p>
      <w:pPr>
        <w:jc w:val="both"/>
        <w:ind w:firstLine="656"/>
        <w:spacing w:after="0" w:line="261" w:lineRule="auto"/>
        <w:tabs>
          <w:tab w:leader="none" w:pos="91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each Lender that has signed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have consented to, approved or accepted or to be satisfied with, each document or other matter required thereunder to be consented to or approved by or acceptable or satisfactory to a Lender unless Collateral Agent shall have received notice from such Lender prior to the Amendment Effective Date specifying its objection thereto.</w:t>
      </w:r>
    </w:p>
    <w:p>
      <w:pPr>
        <w:spacing w:after="0" w:line="180" w:lineRule="exact"/>
        <w:rPr>
          <w:rFonts w:ascii="Arial" w:cs="Arial" w:eastAsia="Arial" w:hAnsi="Arial"/>
          <w:sz w:val="18"/>
          <w:szCs w:val="18"/>
          <w:color w:val="auto"/>
        </w:rPr>
      </w:pPr>
    </w:p>
    <w:p>
      <w:pPr>
        <w:jc w:val="both"/>
        <w:ind w:firstLine="656"/>
        <w:spacing w:after="0" w:line="292" w:lineRule="auto"/>
        <w:tabs>
          <w:tab w:leader="none" w:pos="893"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Prepayment Fee and Final Fee. </w:t>
      </w:r>
      <w:r>
        <w:rPr>
          <w:rFonts w:ascii="Arial" w:cs="Arial" w:eastAsia="Arial" w:hAnsi="Arial"/>
          <w:sz w:val="16"/>
          <w:szCs w:val="16"/>
          <w:color w:val="auto"/>
        </w:rPr>
        <w:t>Borrower expressly agrees (to the fullest extent that each may lawfully do so) that: (i) each of the Prepayment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Fee and Final Fee is reasonable and is the product of an arm’s length transaction between sophisticated business people, ably represented by counsel; (ii) each of the Prepayment Fee and Final Fee shall be payable notwithstanding the then prevailing market rates at the time payment is made; (iii) there has been a course of conduct between Collateral Agent, Lenders and Borrower giving specific consideration in this transaction for such agreement to pay each of the Prepayment Fee and Final Fee and (iv) Borrower shall be estopped hereafter from claiming differently than as agreed to in this paragraph. Borrower expressly acknowledges that its agreement to pay each of the Prepayment Fee and Final Fee to Lenders as described in the Loan and Security Agreement, as amended, and was and continues to be a material inducement to Lenders to provide the Term Loan Commitments and make the Term Loans.</w:t>
      </w:r>
    </w:p>
    <w:p>
      <w:pPr>
        <w:spacing w:after="0" w:line="161" w:lineRule="exact"/>
        <w:rPr>
          <w:rFonts w:ascii="Arial" w:cs="Arial" w:eastAsia="Arial" w:hAnsi="Arial"/>
          <w:sz w:val="16"/>
          <w:szCs w:val="16"/>
          <w:color w:val="auto"/>
        </w:rPr>
      </w:pPr>
    </w:p>
    <w:p>
      <w:pPr>
        <w:jc w:val="both"/>
        <w:ind w:firstLine="656"/>
        <w:spacing w:after="0" w:line="286" w:lineRule="auto"/>
        <w:tabs>
          <w:tab w:leader="none" w:pos="903"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Release</w:t>
      </w:r>
      <w:r>
        <w:rPr>
          <w:rFonts w:ascii="Arial" w:cs="Arial" w:eastAsia="Arial" w:hAnsi="Arial"/>
          <w:sz w:val="16"/>
          <w:szCs w:val="16"/>
          <w:color w:val="auto"/>
        </w:rPr>
        <w:t>. In consideration of the agreements of Collateral Agent and each Lender contained herein and for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Borrower, on behalf of itself and its successors, assigns, and other legal representatives, hereby fully, absolutely, unconditionally and irrevocably releases, remises and forever discharges Collateral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Arial" w:cs="Arial" w:eastAsia="Arial" w:hAnsi="Arial"/>
          <w:sz w:val="16"/>
          <w:szCs w:val="16"/>
          <w:b w:val="1"/>
          <w:bCs w:val="1"/>
          <w:color w:val="auto"/>
        </w:rPr>
        <w:t>Releasees</w:t>
      </w:r>
      <w:r>
        <w:rPr>
          <w:rFonts w:ascii="Arial" w:cs="Arial" w:eastAsia="Arial" w:hAnsi="Arial"/>
          <w:sz w:val="16"/>
          <w:szCs w:val="16"/>
          <w:color w:val="auto"/>
        </w:rPr>
        <w:t>” and individually as a “</w:t>
      </w:r>
      <w:r>
        <w:rPr>
          <w:rFonts w:ascii="Arial" w:cs="Arial" w:eastAsia="Arial" w:hAnsi="Arial"/>
          <w:sz w:val="16"/>
          <w:szCs w:val="16"/>
          <w:b w:val="1"/>
          <w:bCs w:val="1"/>
          <w:color w:val="auto"/>
        </w:rPr>
        <w:t>Releasee</w:t>
      </w:r>
      <w:r>
        <w:rPr>
          <w:rFonts w:ascii="Arial" w:cs="Arial" w:eastAsia="Arial" w:hAnsi="Arial"/>
          <w:sz w:val="16"/>
          <w:szCs w:val="16"/>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including, without limitation,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both"/>
        <w:ind w:firstLine="656"/>
        <w:spacing w:after="0" w:line="266" w:lineRule="auto"/>
        <w:tabs>
          <w:tab w:leader="none" w:pos="89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Borrower hereby acknowledges and confirms to Collateral Agent and the Lenders that Borrower is executing this Amendment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basis of its own investigation and for its own reasons without reliance upon any agreement, representation, understanding or communication by or on behalf of any other Person.</w:t>
      </w:r>
    </w:p>
    <w:p>
      <w:pPr>
        <w:spacing w:after="0" w:line="176" w:lineRule="exact"/>
        <w:rPr>
          <w:rFonts w:ascii="Arial" w:cs="Arial" w:eastAsia="Arial" w:hAnsi="Arial"/>
          <w:sz w:val="18"/>
          <w:szCs w:val="18"/>
          <w:color w:val="auto"/>
        </w:rPr>
      </w:pPr>
    </w:p>
    <w:p>
      <w:pPr>
        <w:jc w:val="both"/>
        <w:ind w:firstLine="656"/>
        <w:spacing w:after="0" w:line="258" w:lineRule="auto"/>
        <w:tabs>
          <w:tab w:leader="none" w:pos="87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Borrower agrees to pay to Collateral Agent within ten (10) days of its receipt of an invoice (or on the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to the extent invoiced on or prior to the Amendment Effective Date), the out-of-pocket costs and expenses of Collateral Agent and the Lenders party hereto, and the fees and disbursements of counsel to Collateral Agent and the Lenders party hereto (including allocated costs of internal counsel), in connection with the negotiation, preparation, execution and delivery of this Amendment and any other documents to be delivered in connection herewith on the Amendment Effective Date or after such date.</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AND THE RIGHTS AND OBLIGATIONS OF THE PARTIES HEREUNDER SHALL IN ALL</w:t>
      </w:r>
    </w:p>
    <w:p>
      <w:pPr>
        <w:spacing w:after="0" w:line="27"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w:t>
      </w:r>
    </w:p>
    <w:p>
      <w:pPr>
        <w:spacing w:after="0" w:line="185" w:lineRule="exact"/>
        <w:rPr>
          <w:rFonts w:ascii="Arial" w:cs="Arial" w:eastAsia="Arial" w:hAnsi="Arial"/>
          <w:sz w:val="18"/>
          <w:szCs w:val="18"/>
          <w:color w:val="auto"/>
        </w:rPr>
      </w:pPr>
    </w:p>
    <w:p>
      <w:pPr>
        <w:jc w:val="both"/>
        <w:ind w:firstLine="656"/>
        <w:spacing w:after="0" w:line="314" w:lineRule="auto"/>
        <w:tabs>
          <w:tab w:leader="none" w:pos="877"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Complete Agreement; Amendments</w:t>
      </w:r>
      <w:r>
        <w:rPr>
          <w:rFonts w:ascii="Arial" w:cs="Arial" w:eastAsia="Arial" w:hAnsi="Arial"/>
          <w:sz w:val="16"/>
          <w:szCs w:val="16"/>
          <w:color w:val="auto"/>
        </w:rPr>
        <w:t>. This Amendment and the Loan Documents represent the entire agreement about this subject matter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42" w:lineRule="exact"/>
        <w:rPr>
          <w:rFonts w:ascii="Arial" w:cs="Arial" w:eastAsia="Arial" w:hAnsi="Arial"/>
          <w:sz w:val="16"/>
          <w:szCs w:val="16"/>
          <w:color w:val="auto"/>
        </w:rPr>
      </w:pP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Amendment is severable from every other provision in determining the enforceability of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w:t>
      </w:r>
    </w:p>
    <w:p>
      <w:pPr>
        <w:spacing w:after="0" w:line="206" w:lineRule="exact"/>
        <w:rPr>
          <w:rFonts w:ascii="Arial" w:cs="Arial" w:eastAsia="Arial" w:hAnsi="Arial"/>
          <w:sz w:val="16"/>
          <w:szCs w:val="16"/>
          <w:color w:val="auto"/>
        </w:rPr>
      </w:pPr>
    </w:p>
    <w:p>
      <w:pPr>
        <w:jc w:val="both"/>
        <w:ind w:firstLine="656"/>
        <w:spacing w:after="0" w:line="261"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0"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Loan Documents.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[Balance of Page Intentionally Left Blank; 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IN WITNESS WHEREOF, the parties hereto have duly executed this Amendment, as of the date first above written.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IMPRIMIS NJOF,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PARK COMPOUNDING,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IMPRIMISRX NJ,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NEW 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IMPRIMISRX,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HARROW IP,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ETON PHARMA EQUITY,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SURFACE PHARMA EQUITY,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MELT PHARMA EQUITY,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MAYFIELD PHARMA EQUITY,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RADLEY PHARMA EQUITY,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STOWE PHARMA EQUITY,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SWK FUNDING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SWK HOLDING CORPORATION,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Winston Black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Winston Black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246630" cy="883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246630" cy="88328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Renegotiated Debt Facility with SWK Holdings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 Diego, CA – May 29, 2019 -- Harrow Health, Inc. (NASDAQ: HROW) today announced it has amended its loan agreement with SWK Funding LLC and its partners. SWK Funding LLC is a subsidiary of SWK Holdings Corporation, a healthcare-focused investment firm.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amended terms of the loan, Harrow Health and SWK agreed to extend the interest only period for the next 12 months, reduce the interest rate, and provide access, at Harrow’s option, to an additional $5 million of capital. The amended terms provide for further reductions in the interest rate based upon achievement of certain financial goals.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L. Baum, CEO of Harrow Health, said, “We are excited to continue our relationship with SWK. They’ve been our financial partners since our original loan agreement in July 2017 and we’re appreciative the SWK team has rewarded Harrow’s progress by lowering our cost of capital as we continue to execute our strategy and grow our business. Our company has shown tremendous progress since transacting with SWK, delivering record high revenues, a growing balance sheet and profitability. This new agreement allows for Harrow Health to more easily facilitate and close accretive transactions and invest in start-up pharmaceutical companies associated with Harrow’s strategic plan. We are grateful for the partnership provided by the team at SWK and their confidence in our growing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SWK Holdings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SWK Holdings Corporation (SWKH.OB) is a specialized finance company with a focus on the global healthcare sector. SWK partners with ethical product marketers and royalty holders to provide flexible financing solutions at an attractive cost of capital to create long-term value for both SWK’s business partners and its investors. SWK believes its financing structures achieve an optimal partnership for companies, institutions and inventors seeking capital for expansion or capital and estate planning by allowing its partners to monetize future cash flow with minimal dilution to their equity stakes. Additional information is available on the company’s website at www.swkhold.com.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the nation’s leading ophthalmology pharmaceutical compounding business,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Mayfield Pharmaceuticals and Radley Pharmaceuticals, all companies founded as subsidiaries of Harrow Health. The Company also owns royalty rights in certain 505(b)(2) drug candidates being developed by Surface, Melt, Mayfield and Radley. Harrow intends to create, invest in and grow paradigm shifting health 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lowerLetter"/>
      <w:start w:val="1"/>
    </w:lvl>
    <w:lvl w:ilvl="1">
      <w:lvlJc w:val="left"/>
      <w:lvlText w:val="(%2)"/>
      <w:numFmt w:val="lowerRoman"/>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6"/>
    </w:lvl>
  </w:abstractNum>
  <w:abstractNum w:abstractNumId="8">
    <w:nsid w:val="1BEFD79F"/>
    <w:multiLevelType w:val="hybridMultilevel"/>
    <w:lvl w:ilvl="0">
      <w:lvlJc w:val="left"/>
      <w:lvlText w:val="(%1)"/>
      <w:numFmt w:val="lowerRoman"/>
      <w:start w:val="5"/>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11">
    <w:nsid w:val="4E6AFB66"/>
    <w:multiLevelType w:val="hybridMultilevel"/>
    <w:lvl w:ilvl="0">
      <w:lvlJc w:val="left"/>
      <w:lvlText w:val="(%1)"/>
      <w:numFmt w:val="lowerLetter"/>
      <w:start w:val="4"/>
    </w:lvl>
  </w:abstractNum>
  <w:abstractNum w:abstractNumId="12">
    <w:nsid w:val="25E45D32"/>
    <w:multiLevelType w:val="hybridMultilevel"/>
    <w:lvl w:ilvl="0">
      <w:lvlJc w:val="left"/>
      <w:lvlText w:val="(%1)"/>
      <w:numFmt w:val="lowerRoman"/>
      <w:start w:val="10"/>
    </w:lvl>
    <w:lvl w:ilvl="1">
      <w:lvlJc w:val="left"/>
      <w:lvlText w:val="(%2)"/>
      <w:numFmt w:val="lowerLetter"/>
      <w:start w:val="5"/>
    </w:lvl>
  </w:abstractNum>
  <w:abstractNum w:abstractNumId="13">
    <w:nsid w:val="519B500D"/>
    <w:multiLevelType w:val="hybridMultilevel"/>
    <w:lvl w:ilvl="0">
      <w:lvlJc w:val="left"/>
      <w:lvlText w:val="(%1)"/>
      <w:numFmt w:val="lowerRoman"/>
      <w:start w:val="18"/>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1"/>
    </w:lvl>
    <w:lvl w:ilvl="1">
      <w:lvlJc w:val="left"/>
      <w:lvlText w:val="(%2)"/>
      <w:numFmt w:val="lowerRoman"/>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4"/>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Letter"/>
      <w:start w:val="1"/>
    </w:lvl>
    <w:lvl w:ilvl="1">
      <w:lvlJc w:val="left"/>
      <w:lvlText w:val="(%2)"/>
      <w:numFmt w:val="lowerRoman"/>
      <w:start w:val="1"/>
    </w:lvl>
  </w:abstractNum>
  <w:abstractNum w:abstractNumId="20">
    <w:nsid w:val="628C895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2019-12-02T07:01:05Z</dcterms:created>
  <dcterms:modified xsi:type="dcterms:W3CDTF">2019-12-02T07:01:05Z</dcterms:modified>
</cp:coreProperties>
</file>