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October 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Harrow Health,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47" w:right="23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(Commission</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00" w:space="720"/>
            <w:col w:w="2980" w:space="720"/>
            <w:col w:w="2500"/>
          </w:cols>
          <w:pgMar w:left="240" w:top="747" w:right="23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747"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704-4040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53"/>
        </w:trPr>
        <w:tc>
          <w:tcPr>
            <w:tcW w:w="20" w:type="dxa"/>
            <w:vAlign w:val="bottom"/>
          </w:tcPr>
          <w:p>
            <w:pPr>
              <w:spacing w:after="0"/>
              <w:rPr>
                <w:sz w:val="24"/>
                <w:szCs w:val="24"/>
                <w:color w:val="auto"/>
              </w:rPr>
            </w:pPr>
          </w:p>
        </w:tc>
        <w:tc>
          <w:tcPr>
            <w:tcW w:w="4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Title of each class</w:t>
            </w:r>
          </w:p>
        </w:tc>
        <w:tc>
          <w:tcPr>
            <w:tcW w:w="2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w:t>
            </w: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20" w:type="dxa"/>
            <w:vAlign w:val="bottom"/>
          </w:tcPr>
          <w:p>
            <w:pPr>
              <w:spacing w:after="0"/>
              <w:rPr>
                <w:sz w:val="20"/>
                <w:szCs w:val="20"/>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20"/>
                <w:szCs w:val="20"/>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20"/>
                <w:szCs w:val="20"/>
                <w:color w:val="auto"/>
              </w:rPr>
            </w:pPr>
          </w:p>
        </w:tc>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17, 2019, Harrow Health, Inc. (the “Company”) filed a current report on Form 8-K with the Securities and Exchange Commission disclosing the outcome of a federal jury trial related to a lawsuit filed by Allergan USA, Inc. (“Allergan”) in the U.S. District Court for the Central District of California (the “Lawsuit”).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 2019, Allergan and the Company filed a joint stipulation to voluntarily dismiss each parties’ respective pending appeals arising out of the Lawsuit. No economic consideration was exchanged between the parties related to the filing of the joint stipulation. This formally resolved all pending disputes between the parties, as well as potential future legal fee expenditures connected to this matter.</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does not expect the outcome of this litigation to materially change the business plans or future prospects of its wholly-owned subsidiary business, ImprimisRx.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October 3, 2019</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2020-01-09T01:43:47Z</dcterms:created>
  <dcterms:modified xsi:type="dcterms:W3CDTF">2020-01-09T01:43:47Z</dcterms:modified>
</cp:coreProperties>
</file>