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880" w:right="1880" w:hanging="3872"/>
        <w:spacing w:after="0" w:line="500" w:lineRule="auto"/>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40" w:right="1860" w:hanging="323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8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c>
          <w:tcPr>
            <w:tcW w:w="0" w:type="dxa"/>
            <w:vAlign w:val="bottom"/>
          </w:tcPr>
          <w:p>
            <w:pPr>
              <w:spacing w:after="0"/>
              <w:rPr>
                <w:sz w:val="1"/>
                <w:szCs w:val="1"/>
                <w:color w:val="auto"/>
              </w:rPr>
            </w:pPr>
          </w:p>
        </w:tc>
      </w:tr>
      <w:tr>
        <w:trPr>
          <w:trHeight w:val="216"/>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(State or other jurisdiction of</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incorporation or organization)</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414"/>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9"/>
              </w:rPr>
              <w:t>102 Woodmont Blvd., Suite 610</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vMerge w:val="restart"/>
          </w:tcPr>
          <w:p>
            <w:pPr>
              <w:jc w:val="right"/>
              <w:ind w:right="2430"/>
              <w:spacing w:after="0"/>
              <w:rPr>
                <w:sz w:val="20"/>
                <w:szCs w:val="20"/>
                <w:color w:val="auto"/>
              </w:rPr>
            </w:pPr>
            <w:r>
              <w:rPr>
                <w:rFonts w:ascii="Arial" w:cs="Arial" w:eastAsia="Arial" w:hAnsi="Arial"/>
                <w:sz w:val="18"/>
                <w:szCs w:val="18"/>
                <w:b w:val="1"/>
                <w:bCs w:val="1"/>
                <w:color w:val="auto"/>
              </w:rPr>
              <w:t>37205</w:t>
            </w:r>
          </w:p>
        </w:tc>
        <w:tc>
          <w:tcPr>
            <w:tcW w:w="0" w:type="dxa"/>
            <w:vAlign w:val="bottom"/>
          </w:tcPr>
          <w:p>
            <w:pPr>
              <w:spacing w:after="0"/>
              <w:rPr>
                <w:sz w:val="1"/>
                <w:szCs w:val="1"/>
                <w:color w:val="auto"/>
              </w:rPr>
            </w:pPr>
          </w:p>
        </w:tc>
      </w:tr>
      <w:tr>
        <w:trPr>
          <w:trHeight w:val="126"/>
        </w:trPr>
        <w:tc>
          <w:tcPr>
            <w:tcW w:w="4280" w:type="dxa"/>
            <w:vAlign w:val="bottom"/>
            <w:gridSpan w:val="2"/>
            <w:vMerge w:val="restart"/>
          </w:tcPr>
          <w:p>
            <w:pPr>
              <w:jc w:val="center"/>
              <w:ind w:left="1150"/>
              <w:spacing w:after="0"/>
              <w:rPr>
                <w:sz w:val="20"/>
                <w:szCs w:val="20"/>
                <w:color w:val="auto"/>
              </w:rPr>
            </w:pPr>
            <w:r>
              <w:rPr>
                <w:rFonts w:ascii="Arial" w:cs="Arial" w:eastAsia="Arial" w:hAnsi="Arial"/>
                <w:sz w:val="18"/>
                <w:szCs w:val="18"/>
                <w:b w:val="1"/>
                <w:bCs w:val="1"/>
                <w:color w:val="auto"/>
                <w:w w:val="85"/>
              </w:rPr>
              <w:t>Nashville, Tennessee</w:t>
            </w: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280" w:type="dxa"/>
            <w:vAlign w:val="bottom"/>
            <w:gridSpan w:val="2"/>
            <w:vMerge w:val="continue"/>
          </w:tcPr>
          <w:p>
            <w:pPr>
              <w:spacing w:after="0"/>
              <w:rPr>
                <w:sz w:val="8"/>
                <w:szCs w:val="8"/>
                <w:color w:val="auto"/>
              </w:rPr>
            </w:pPr>
          </w:p>
        </w:tc>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tcPr>
          <w:p>
            <w:pPr>
              <w:ind w:left="46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(615) 733-4730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60" w:type="dxa"/>
            <w:vAlign w:val="bottom"/>
            <w:gridSpan w:val="5"/>
          </w:tcPr>
          <w:p>
            <w:pPr>
              <w:jc w:val="center"/>
              <w:ind w:left="3490"/>
              <w:spacing w:after="0"/>
              <w:rPr>
                <w:sz w:val="20"/>
                <w:szCs w:val="20"/>
                <w:color w:val="auto"/>
              </w:rPr>
            </w:pPr>
            <w:r>
              <w:rPr>
                <w:rFonts w:ascii="Arial" w:cs="Arial" w:eastAsia="Arial" w:hAnsi="Arial"/>
                <w:sz w:val="18"/>
                <w:szCs w:val="18"/>
                <w:color w:val="auto"/>
                <w:w w:val="8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3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Trading Symbol(s)</w:t>
            </w:r>
          </w:p>
        </w:tc>
        <w:tc>
          <w:tcPr>
            <w:tcW w:w="3580" w:type="dxa"/>
            <w:vAlign w:val="bottom"/>
          </w:tcPr>
          <w:p>
            <w:pPr>
              <w:ind w:left="140"/>
              <w:spacing w:after="0"/>
              <w:rPr>
                <w:sz w:val="20"/>
                <w:szCs w:val="20"/>
                <w:color w:val="auto"/>
              </w:rPr>
            </w:pPr>
            <w:r>
              <w:rPr>
                <w:rFonts w:ascii="Arial" w:cs="Arial" w:eastAsia="Arial" w:hAnsi="Arial"/>
                <w:sz w:val="18"/>
                <w:szCs w:val="18"/>
                <w:color w:val="auto"/>
              </w:rPr>
              <w:t>Name on exchange on which registered</w:t>
            </w:r>
          </w:p>
        </w:tc>
        <w:tc>
          <w:tcPr>
            <w:tcW w:w="0" w:type="dxa"/>
            <w:vAlign w:val="bottom"/>
          </w:tcPr>
          <w:p>
            <w:pPr>
              <w:spacing w:after="0"/>
              <w:rPr>
                <w:sz w:val="1"/>
                <w:szCs w:val="1"/>
                <w:color w:val="auto"/>
              </w:rPr>
            </w:pPr>
          </w:p>
        </w:tc>
      </w:tr>
      <w:tr>
        <w:trPr>
          <w:trHeight w:val="202"/>
        </w:trPr>
        <w:tc>
          <w:tcPr>
            <w:tcW w:w="4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ind w:left="480"/>
              <w:spacing w:after="0" w:line="201" w:lineRule="exact"/>
              <w:rPr>
                <w:sz w:val="20"/>
                <w:szCs w:val="20"/>
                <w:color w:val="auto"/>
              </w:rPr>
            </w:pPr>
            <w:r>
              <w:rPr>
                <w:rFonts w:ascii="Arial" w:cs="Arial" w:eastAsia="Arial" w:hAnsi="Arial"/>
                <w:sz w:val="18"/>
                <w:szCs w:val="18"/>
                <w:color w:val="auto"/>
              </w:rPr>
              <w:t>The NASDAQ Global Market</w:t>
            </w:r>
          </w:p>
        </w:tc>
        <w:tc>
          <w:tcPr>
            <w:tcW w:w="0" w:type="dxa"/>
            <w:vAlign w:val="bottom"/>
          </w:tcPr>
          <w:p>
            <w:pPr>
              <w:spacing w:after="0"/>
              <w:rPr>
                <w:sz w:val="1"/>
                <w:szCs w:val="1"/>
                <w:color w:val="auto"/>
              </w:rPr>
            </w:pPr>
          </w:p>
        </w:tc>
      </w:tr>
      <w:tr>
        <w:trPr>
          <w:trHeight w:val="230"/>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8.625% Senior Notes due 2026</w:t>
            </w:r>
          </w:p>
        </w:tc>
        <w:tc>
          <w:tcPr>
            <w:tcW w:w="3380" w:type="dxa"/>
            <w:vAlign w:val="bottom"/>
            <w:gridSpan w:val="3"/>
          </w:tcPr>
          <w:p>
            <w:pPr>
              <w:jc w:val="center"/>
              <w:ind w:right="680"/>
              <w:spacing w:after="0"/>
              <w:rPr>
                <w:sz w:val="20"/>
                <w:szCs w:val="20"/>
                <w:color w:val="auto"/>
              </w:rPr>
            </w:pPr>
            <w:r>
              <w:rPr>
                <w:rFonts w:ascii="Arial" w:cs="Arial" w:eastAsia="Arial" w:hAnsi="Arial"/>
                <w:sz w:val="18"/>
                <w:szCs w:val="18"/>
                <w:color w:val="auto"/>
                <w:w w:val="98"/>
              </w:rPr>
              <w:t>HROWL</w:t>
            </w:r>
          </w:p>
        </w:tc>
        <w:tc>
          <w:tcPr>
            <w:tcW w:w="3580" w:type="dxa"/>
            <w:vAlign w:val="bottom"/>
          </w:tcPr>
          <w:p>
            <w:pPr>
              <w:ind w:left="480"/>
              <w:spacing w:after="0"/>
              <w:rPr>
                <w:sz w:val="20"/>
                <w:szCs w:val="20"/>
                <w:color w:val="auto"/>
              </w:rPr>
            </w:pPr>
            <w:r>
              <w:rPr>
                <w:rFonts w:ascii="Arial" w:cs="Arial" w:eastAsia="Arial" w:hAnsi="Arial"/>
                <w:sz w:val="18"/>
                <w:szCs w:val="18"/>
                <w:color w:val="auto"/>
              </w:rPr>
              <w:t>The NASDAQ Global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9, 2021, there were 26,893,896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gridSpan w:val="6"/>
          </w:tcPr>
          <w:p>
            <w:pPr>
              <w:jc w:val="center"/>
              <w:ind w:right="284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1"/>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60"/>
        </w:trPr>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96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Part I</w:t>
            </w:r>
          </w:p>
        </w:tc>
        <w:tc>
          <w:tcPr>
            <w:tcW w:w="9640" w:type="dxa"/>
            <w:vAlign w:val="bottom"/>
            <w:gridSpan w:val="17"/>
            <w:shd w:val="clear" w:color="auto" w:fill="CCEEFF"/>
          </w:tcPr>
          <w:p>
            <w:pPr>
              <w:ind w:left="140"/>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FINANCIAL INFORMATION</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5.</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6.</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439"/>
        </w:trPr>
        <w:tc>
          <w:tcPr>
            <w:tcW w:w="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top w:val="single" w:sz="8" w:color="CCEEFF"/>
              <w:bottom w:val="single" w:sz="8" w:color="auto"/>
            </w:tcBorders>
            <w:gridSpan w:val="12"/>
          </w:tcPr>
          <w:p>
            <w:pPr>
              <w:jc w:val="center"/>
              <w:ind w:left="3030"/>
              <w:spacing w:after="0"/>
              <w:rPr>
                <w:sz w:val="20"/>
                <w:szCs w:val="20"/>
                <w:color w:val="auto"/>
              </w:rPr>
            </w:pPr>
            <w:r>
              <w:rPr>
                <w:rFonts w:ascii="Arial" w:cs="Arial" w:eastAsia="Arial" w:hAnsi="Arial"/>
                <w:sz w:val="18"/>
                <w:szCs w:val="18"/>
                <w:color w:val="auto"/>
                <w:w w:val="79"/>
              </w:rPr>
              <w:t>2</w:t>
            </w:r>
          </w:p>
        </w:tc>
        <w:tc>
          <w:tcPr>
            <w:tcW w:w="130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72,851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12,209</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3,903</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93,474</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40,131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4,747</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Investment in Surface Ophthalmics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5,207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loan payable, net of unamortized debt discount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4,695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payable, net of current portion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Loan payable, net of current portion and unamortized debt discount</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71,265</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11,670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stock, $0.001 par value, 50,000,000 shares authorized, 26,893,896 and 25,749,875</w:t>
            </w:r>
          </w:p>
        </w:tc>
        <w:tc>
          <w:tcPr>
            <w:tcW w:w="260" w:type="dxa"/>
            <w:vAlign w:val="bottom"/>
          </w:tcPr>
          <w:p>
            <w:pPr>
              <w:spacing w:after="0"/>
              <w:rPr>
                <w:sz w:val="17"/>
                <w:szCs w:val="17"/>
                <w:color w:val="auto"/>
              </w:rPr>
            </w:pPr>
          </w:p>
        </w:tc>
        <w:tc>
          <w:tcPr>
            <w:tcW w:w="17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40" w:type="dxa"/>
            <w:vAlign w:val="bottom"/>
            <w:vMerge w:val="restart"/>
          </w:tcPr>
          <w:p>
            <w:pPr>
              <w:ind w:left="360"/>
              <w:spacing w:after="0"/>
              <w:rPr>
                <w:sz w:val="20"/>
                <w:szCs w:val="20"/>
                <w:color w:val="auto"/>
              </w:rPr>
            </w:pPr>
            <w:r>
              <w:rPr>
                <w:rFonts w:ascii="Arial" w:cs="Arial" w:eastAsia="Arial" w:hAnsi="Arial"/>
                <w:sz w:val="18"/>
                <w:szCs w:val="18"/>
                <w:color w:val="auto"/>
              </w:rPr>
              <w:t>shares issued and outstanding at June 30, 2021 and December 31, 2020, respectively</w:t>
            </w:r>
          </w:p>
        </w:tc>
        <w:tc>
          <w:tcPr>
            <w:tcW w:w="26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102,837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(79,661)</w:t>
            </w:r>
          </w:p>
        </w:tc>
        <w:tc>
          <w:tcPr>
            <w:tcW w:w="20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106,966</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w w:val="95"/>
              </w:rPr>
              <w:t>For the Three Months Ended</w:t>
            </w:r>
          </w:p>
        </w:tc>
        <w:tc>
          <w:tcPr>
            <w:tcW w:w="220" w:type="dxa"/>
            <w:vAlign w:val="bottom"/>
          </w:tcPr>
          <w:p>
            <w:pPr>
              <w:spacing w:after="0"/>
              <w:rPr>
                <w:sz w:val="19"/>
                <w:szCs w:val="19"/>
                <w:color w:val="auto"/>
              </w:rPr>
            </w:pPr>
          </w:p>
        </w:tc>
        <w:tc>
          <w:tcPr>
            <w:tcW w:w="266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7"/>
              </w:rPr>
              <w:t>For the Six Months Ended</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17,297</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8,049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32,245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18,134</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8,060</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33,577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(4,417)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(3,204)</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(8,187)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13,717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4,856</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25,390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9,123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6,954</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17,287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(3,210</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(1,314)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Melt Pharmaceuticals, net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Investment loss from Surface Pharmaceuticals, net</w:t>
            </w: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gain from Eton Pharmaceuticals, net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Loss from early extinguishment of loan</w:t>
            </w: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PPP loan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Total net loss including noncontrolling interests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(2,478)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(260)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(2,261)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(13,183)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 attributable to Harrow Health, Inc.</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(2,478)</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(237)</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(2,261)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(13,144)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dividends and accretion of preferred stock discount</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of common stock</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Weighted average number of shares of common stock outstanding,</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2"/>
                <w:szCs w:val="22"/>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26,736,970</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25,893,629</w:t>
            </w:r>
          </w:p>
        </w:tc>
        <w:tc>
          <w:tcPr>
            <w:tcW w:w="220" w:type="dxa"/>
            <w:vAlign w:val="bottom"/>
          </w:tcPr>
          <w:p>
            <w:pPr>
              <w:spacing w:after="0"/>
              <w:rPr>
                <w:sz w:val="22"/>
                <w:szCs w:val="22"/>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26,379,943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25,867,478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8"/>
                <w:szCs w:val="18"/>
                <w:color w:val="auto"/>
                <w:w w:val="93"/>
              </w:rPr>
              <w:t>Harrow Health,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8"/>
          </w:tcPr>
          <w:p>
            <w:pPr>
              <w:ind w:left="2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1260" w:type="dxa"/>
            <w:vAlign w:val="bottom"/>
            <w:gridSpan w:val="6"/>
          </w:tcPr>
          <w:p>
            <w:pPr>
              <w:ind w:left="100"/>
              <w:spacing w:after="0"/>
              <w:rPr>
                <w:sz w:val="20"/>
                <w:szCs w:val="20"/>
                <w:color w:val="auto"/>
              </w:rPr>
            </w:pPr>
            <w:r>
              <w:rPr>
                <w:rFonts w:ascii="Arial" w:cs="Arial" w:eastAsia="Arial" w:hAnsi="Arial"/>
                <w:sz w:val="18"/>
                <w:szCs w:val="18"/>
                <w:color w:val="auto"/>
                <w:w w:val="92"/>
              </w:rPr>
              <w:t>Common Stock</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6"/>
          </w:tcPr>
          <w:p>
            <w:pPr>
              <w:ind w:left="8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Inc.</w:t>
            </w:r>
          </w:p>
        </w:tc>
        <w:tc>
          <w:tcPr>
            <w:tcW w:w="1380" w:type="dxa"/>
            <w:vAlign w:val="bottom"/>
            <w:gridSpan w:val="5"/>
          </w:tcPr>
          <w:p>
            <w:pPr>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21"/>
                <w:szCs w:val="21"/>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Total</w:t>
            </w:r>
          </w:p>
        </w:tc>
      </w:tr>
      <w:tr>
        <w:trPr>
          <w:trHeight w:val="215"/>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5"/>
              </w:rPr>
              <w:t>Par</w:t>
            </w: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Par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Paid-in</w:t>
            </w:r>
          </w:p>
        </w:tc>
        <w:tc>
          <w:tcPr>
            <w:tcW w:w="1240" w:type="dxa"/>
            <w:vAlign w:val="bottom"/>
            <w:gridSpan w:val="5"/>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Stockholders’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86"/>
              </w:rPr>
              <w:t>Interests</w:t>
            </w: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Stockholders’</w:t>
            </w:r>
          </w:p>
        </w:tc>
      </w:tr>
      <w:tr>
        <w:trPr>
          <w:trHeight w:val="237"/>
        </w:trPr>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0"/>
              </w:rPr>
              <w:t>Shares</w:t>
            </w:r>
          </w:p>
        </w:tc>
        <w:tc>
          <w:tcPr>
            <w:tcW w:w="70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20"/>
                <w:szCs w:val="20"/>
                <w:color w:val="auto"/>
              </w:rPr>
            </w:pPr>
          </w:p>
        </w:tc>
        <w:tc>
          <w:tcPr>
            <w:tcW w:w="620" w:type="dxa"/>
            <w:vAlign w:val="bottom"/>
            <w:gridSpan w:val="5"/>
          </w:tcPr>
          <w:p>
            <w:pPr>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Equity</w:t>
            </w:r>
          </w:p>
        </w:tc>
      </w:tr>
      <w:tr>
        <w:trPr>
          <w:trHeight w:val="188"/>
        </w:trPr>
        <w:tc>
          <w:tcPr>
            <w:tcW w:w="1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March</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31, 2020</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25,618,918</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102,261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(86,950)</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15,337</w:t>
            </w:r>
          </w:p>
        </w:tc>
        <w:tc>
          <w:tcPr>
            <w:tcW w:w="2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15,028</w:t>
            </w:r>
          </w:p>
        </w:tc>
        <w:tc>
          <w:tcPr>
            <w:tcW w:w="80" w:type="dxa"/>
            <w:vAlign w:val="bottom"/>
            <w:shd w:val="clear" w:color="auto" w:fill="CCEEFF"/>
          </w:tcPr>
          <w:p>
            <w:pPr>
              <w:spacing w:after="0"/>
              <w:rPr>
                <w:sz w:val="20"/>
                <w:szCs w:val="20"/>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Issuance of common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9"/>
              </w:rPr>
              <w:t>stock in connection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154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options</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1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services provided</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0"/>
                <w:szCs w:val="20"/>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20"/>
                <w:szCs w:val="20"/>
                <w:color w:val="auto"/>
              </w:rPr>
            </w:pPr>
          </w:p>
        </w:tc>
      </w:tr>
      <w:tr>
        <w:trPr>
          <w:trHeight w:val="237"/>
        </w:trPr>
        <w:tc>
          <w:tcPr>
            <w:tcW w:w="154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r>
      <w:tr>
        <w:trPr>
          <w:trHeight w:val="188"/>
        </w:trPr>
        <w:tc>
          <w:tcPr>
            <w:tcW w:w="1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Balance at June 30,</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57"/>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25,649,171</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w:t>
            </w: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102,889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(87,187)</w:t>
            </w:r>
          </w:p>
        </w:tc>
        <w:tc>
          <w:tcPr>
            <w:tcW w:w="1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15,728</w:t>
            </w:r>
          </w:p>
        </w:tc>
        <w:tc>
          <w:tcPr>
            <w:tcW w:w="2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15,396</w:t>
            </w:r>
          </w:p>
        </w:tc>
        <w:tc>
          <w:tcPr>
            <w:tcW w:w="80" w:type="dxa"/>
            <w:vAlign w:val="bottom"/>
            <w:shd w:val="clear" w:color="auto" w:fill="CCEEFF"/>
          </w:tcPr>
          <w:p>
            <w:pPr>
              <w:spacing w:after="0"/>
              <w:rPr>
                <w:sz w:val="22"/>
                <w:szCs w:val="22"/>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61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Total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8"/>
                <w:szCs w:val="18"/>
                <w:color w:val="auto"/>
                <w:w w:val="93"/>
              </w:rPr>
              <w:t>Harrow Health,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8"/>
          </w:tcPr>
          <w:p>
            <w:pPr>
              <w:ind w:left="6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1660" w:type="dxa"/>
            <w:vAlign w:val="bottom"/>
            <w:gridSpan w:val="9"/>
          </w:tcPr>
          <w:p>
            <w:pPr>
              <w:jc w:val="right"/>
              <w:ind w:right="3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6"/>
              </w:rPr>
              <w:t>Inc.</w:t>
            </w:r>
          </w:p>
        </w:tc>
        <w:tc>
          <w:tcPr>
            <w:tcW w:w="1380" w:type="dxa"/>
            <w:vAlign w:val="bottom"/>
            <w:gridSpan w:val="5"/>
          </w:tcPr>
          <w:p>
            <w:pPr>
              <w:ind w:left="40"/>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21"/>
                <w:szCs w:val="21"/>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15"/>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8"/>
              </w:rPr>
              <w:t>Par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2"/>
              </w:rPr>
              <w:t>Paid-in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Stockholders’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Interests</w:t>
            </w: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Stockholders’</w:t>
            </w:r>
          </w:p>
        </w:tc>
      </w:tr>
      <w:tr>
        <w:trPr>
          <w:trHeight w:val="237"/>
        </w:trPr>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ind w:left="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540" w:type="dxa"/>
            <w:vAlign w:val="bottom"/>
            <w:gridSpan w:val="4"/>
          </w:tcPr>
          <w:p>
            <w:pPr>
              <w:jc w:val="center"/>
              <w:ind w:right="10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4"/>
          </w:tcPr>
          <w:p>
            <w:pPr>
              <w:ind w:left="20"/>
              <w:spacing w:after="0"/>
              <w:rPr>
                <w:sz w:val="20"/>
                <w:szCs w:val="20"/>
                <w:color w:val="auto"/>
              </w:rPr>
            </w:pPr>
            <w:r>
              <w:rPr>
                <w:rFonts w:ascii="Arial" w:cs="Arial" w:eastAsia="Arial" w:hAnsi="Arial"/>
                <w:sz w:val="18"/>
                <w:szCs w:val="18"/>
                <w:color w:val="auto"/>
                <w:w w:val="99"/>
              </w:rPr>
              <w:t>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16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Equity</w:t>
            </w:r>
          </w:p>
        </w:tc>
      </w:tr>
      <w:tr>
        <w:trPr>
          <w:trHeight w:val="188"/>
        </w:trPr>
        <w:tc>
          <w:tcPr>
            <w:tcW w:w="1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March</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31, 2021</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25,983,676</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105,382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(77,183)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28,225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27,870</w:t>
            </w: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154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options</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5,312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r>
      <w:tr>
        <w:trPr>
          <w:trHeight w:val="202"/>
        </w:trPr>
        <w:tc>
          <w:tcPr>
            <w:tcW w:w="1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311,369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Vesting of RSUs</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977,500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withheld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settlement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equity awards</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(383,961)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(3,171)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(3,171)</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preferred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w w:val="99"/>
              </w:rPr>
              <w:t>net of discount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issuance costs</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440,000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10,655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10,655</w:t>
            </w: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Redemption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(440,000)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Payment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w w:val="98"/>
              </w:rPr>
              <w:t>preferred dividends</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r>
      <w:tr>
        <w:trPr>
          <w:trHeight w:val="237"/>
        </w:trPr>
        <w:tc>
          <w:tcPr>
            <w:tcW w:w="15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(2,478)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(2,478)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(2,478)</w:t>
            </w:r>
          </w:p>
        </w:tc>
      </w:tr>
      <w:tr>
        <w:trPr>
          <w:trHeight w:val="188"/>
        </w:trPr>
        <w:tc>
          <w:tcPr>
            <w:tcW w:w="1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Balance at June 30,</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57"/>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26,893,896</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102,837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(79,661)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23,203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22,848</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398"/>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Total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8"/>
                <w:szCs w:val="18"/>
                <w:color w:val="auto"/>
                <w:w w:val="93"/>
              </w:rPr>
              <w:t>Harrow Health,</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8"/>
          </w:tcPr>
          <w:p>
            <w:pPr>
              <w:ind w:left="2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1260" w:type="dxa"/>
            <w:vAlign w:val="bottom"/>
            <w:gridSpan w:val="6"/>
          </w:tcPr>
          <w:p>
            <w:pPr>
              <w:ind w:left="100"/>
              <w:spacing w:after="0"/>
              <w:rPr>
                <w:sz w:val="20"/>
                <w:szCs w:val="20"/>
                <w:color w:val="auto"/>
              </w:rPr>
            </w:pPr>
            <w:r>
              <w:rPr>
                <w:rFonts w:ascii="Arial" w:cs="Arial" w:eastAsia="Arial" w:hAnsi="Arial"/>
                <w:sz w:val="18"/>
                <w:szCs w:val="18"/>
                <w:color w:val="auto"/>
                <w:w w:val="92"/>
              </w:rPr>
              <w:t>Common Stock</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6"/>
          </w:tcPr>
          <w:p>
            <w:pPr>
              <w:ind w:left="8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Inc.</w:t>
            </w:r>
          </w:p>
        </w:tc>
        <w:tc>
          <w:tcPr>
            <w:tcW w:w="1380" w:type="dxa"/>
            <w:vAlign w:val="bottom"/>
            <w:gridSpan w:val="5"/>
          </w:tcPr>
          <w:p>
            <w:pPr>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21"/>
                <w:szCs w:val="21"/>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Total</w:t>
            </w:r>
          </w:p>
        </w:tc>
      </w:tr>
      <w:tr>
        <w:trPr>
          <w:trHeight w:val="215"/>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5"/>
              </w:rPr>
              <w:t>Par</w:t>
            </w: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Par</w:t>
            </w:r>
          </w:p>
        </w:tc>
        <w:tc>
          <w:tcPr>
            <w:tcW w:w="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Paid-in</w:t>
            </w:r>
          </w:p>
        </w:tc>
        <w:tc>
          <w:tcPr>
            <w:tcW w:w="280" w:type="dxa"/>
            <w:vAlign w:val="bottom"/>
            <w:gridSpan w:val="2"/>
          </w:tcPr>
          <w:p>
            <w:pPr>
              <w:spacing w:after="0"/>
              <w:rPr>
                <w:sz w:val="18"/>
                <w:szCs w:val="18"/>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Stockholders’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86"/>
              </w:rPr>
              <w:t>Interests</w:t>
            </w: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Stockholders’</w:t>
            </w:r>
          </w:p>
        </w:tc>
      </w:tr>
      <w:tr>
        <w:trPr>
          <w:trHeight w:val="237"/>
        </w:trPr>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0"/>
              </w:rPr>
              <w:t>Shares</w:t>
            </w:r>
          </w:p>
        </w:tc>
        <w:tc>
          <w:tcPr>
            <w:tcW w:w="70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20"/>
                <w:szCs w:val="20"/>
                <w:color w:val="auto"/>
              </w:rPr>
            </w:pPr>
          </w:p>
        </w:tc>
        <w:tc>
          <w:tcPr>
            <w:tcW w:w="620" w:type="dxa"/>
            <w:vAlign w:val="bottom"/>
            <w:gridSpan w:val="5"/>
          </w:tcPr>
          <w:p>
            <w:pPr>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Equity</w:t>
            </w:r>
          </w:p>
        </w:tc>
      </w:tr>
      <w:tr>
        <w:trPr>
          <w:trHeight w:val="230"/>
        </w:trPr>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w:t>
            </w:r>
          </w:p>
        </w:tc>
        <w:tc>
          <w:tcPr>
            <w:tcW w:w="160" w:type="dxa"/>
            <w:vAlign w:val="bottom"/>
            <w:tcBorders>
              <w:top w:val="single" w:sz="8" w:color="CCEEFF"/>
            </w:tcBorders>
            <w:gridSpan w:val="2"/>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25,526,931</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101,728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49"/>
        </w:trPr>
        <w:tc>
          <w:tcPr>
            <w:tcW w:w="15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ectPr>
          <w:pgSz w:w="11900" w:h="16900" w:orient="portrait"/>
          <w:cols w:equalWidth="0" w:num="1">
            <w:col w:w="11240"/>
          </w:cols>
          <w:pgMar w:left="320" w:top="661"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in connection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7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Exercise of</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employee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RSUs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91,987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payment for services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provided</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0"/>
                <w:szCs w:val="20"/>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(13,144)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(13,144)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(13,183)</w:t>
            </w:r>
          </w:p>
        </w:tc>
      </w:tr>
      <w:tr>
        <w:trPr>
          <w:trHeight w:val="188"/>
        </w:trPr>
        <w:tc>
          <w:tcPr>
            <w:tcW w:w="1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June 30,</w:t>
            </w: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2"/>
                <w:szCs w:val="22"/>
                <w:color w:val="auto"/>
              </w:rPr>
            </w:pPr>
          </w:p>
        </w:tc>
        <w:tc>
          <w:tcPr>
            <w:tcW w:w="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25,649,171</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w:t>
            </w:r>
          </w:p>
        </w:tc>
        <w:tc>
          <w:tcPr>
            <w:tcW w:w="60" w:type="dxa"/>
            <w:vAlign w:val="bottom"/>
            <w:shd w:val="clear" w:color="auto" w:fill="CCEEFF"/>
          </w:tcPr>
          <w:p>
            <w:pPr>
              <w:spacing w:after="0"/>
              <w:rPr>
                <w:sz w:val="22"/>
                <w:szCs w:val="22"/>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$ 102,889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(87,187)</w:t>
            </w:r>
          </w:p>
        </w:tc>
        <w:tc>
          <w:tcPr>
            <w:tcW w:w="1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15,728</w:t>
            </w: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shd w:val="clear" w:color="auto" w:fill="CCEEFF"/>
          </w:tcPr>
          <w:p>
            <w:pPr>
              <w:spacing w:after="0"/>
              <w:rPr>
                <w:sz w:val="22"/>
                <w:szCs w:val="22"/>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Total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8"/>
                <w:szCs w:val="18"/>
                <w:color w:val="auto"/>
                <w:w w:val="93"/>
              </w:rPr>
              <w:t>Harrow Health,</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6"/>
          </w:tcPr>
          <w:p>
            <w:pPr>
              <w:ind w:left="60"/>
              <w:spacing w:after="0"/>
              <w:rPr>
                <w:sz w:val="20"/>
                <w:szCs w:val="20"/>
                <w:color w:val="auto"/>
              </w:rPr>
            </w:pPr>
            <w:r>
              <w:rPr>
                <w:rFonts w:ascii="Arial" w:cs="Arial" w:eastAsia="Arial" w:hAnsi="Arial"/>
                <w:sz w:val="18"/>
                <w:szCs w:val="18"/>
                <w:color w:val="auto"/>
                <w:w w:val="94"/>
              </w:rPr>
              <w:t>Preferred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9"/>
          </w:tcPr>
          <w:p>
            <w:pPr>
              <w:jc w:val="right"/>
              <w:ind w:right="3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Inc.</w:t>
            </w:r>
          </w:p>
        </w:tc>
        <w:tc>
          <w:tcPr>
            <w:tcW w:w="1380" w:type="dxa"/>
            <w:vAlign w:val="bottom"/>
            <w:gridSpan w:val="5"/>
          </w:tcPr>
          <w:p>
            <w:pPr>
              <w:jc w:val="center"/>
              <w:ind w:right="200"/>
              <w:spacing w:after="0"/>
              <w:rPr>
                <w:sz w:val="20"/>
                <w:szCs w:val="20"/>
                <w:color w:val="auto"/>
              </w:rPr>
            </w:pPr>
            <w:r>
              <w:rPr>
                <w:rFonts w:ascii="Arial" w:cs="Arial" w:eastAsia="Arial" w:hAnsi="Arial"/>
                <w:sz w:val="18"/>
                <w:szCs w:val="18"/>
                <w:color w:val="auto"/>
                <w:w w:val="95"/>
              </w:rPr>
              <w:t>Noncontrolling</w:t>
            </w:r>
          </w:p>
        </w:tc>
        <w:tc>
          <w:tcPr>
            <w:tcW w:w="18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15"/>
        </w:trPr>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Par</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8"/>
              </w:rPr>
              <w:t>Par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2"/>
              </w:rPr>
              <w:t>Paid-in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Stockholders’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Interests</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Stockholders’</w:t>
            </w:r>
          </w:p>
        </w:tc>
      </w:tr>
      <w:tr>
        <w:trPr>
          <w:trHeight w:val="237"/>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rPr>
              <w:t>Shares</w:t>
            </w:r>
          </w:p>
        </w:tc>
        <w:tc>
          <w:tcPr>
            <w:tcW w:w="540" w:type="dxa"/>
            <w:vAlign w:val="bottom"/>
            <w:gridSpan w:val="4"/>
          </w:tcPr>
          <w:p>
            <w:pPr>
              <w:ind w:left="2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4"/>
          </w:tcPr>
          <w:p>
            <w:pPr>
              <w:ind w:left="20"/>
              <w:spacing w:after="0"/>
              <w:rPr>
                <w:sz w:val="20"/>
                <w:szCs w:val="20"/>
                <w:color w:val="auto"/>
              </w:rPr>
            </w:pPr>
            <w:r>
              <w:rPr>
                <w:rFonts w:ascii="Arial" w:cs="Arial" w:eastAsia="Arial" w:hAnsi="Arial"/>
                <w:sz w:val="18"/>
                <w:szCs w:val="18"/>
                <w:color w:val="auto"/>
                <w:w w:val="99"/>
              </w:rPr>
              <w:t>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r>
      <w:tr>
        <w:trPr>
          <w:trHeight w:val="188"/>
        </w:trPr>
        <w:tc>
          <w:tcPr>
            <w:tcW w:w="1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25,749,875</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104,557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(77,400)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27,183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26,828</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7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Exercise of</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employee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16,613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02"/>
        </w:trPr>
        <w:tc>
          <w:tcPr>
            <w:tcW w:w="17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311,369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Vesting of RSUs</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1,207,500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7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withheld</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to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settlement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equity awards</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(391,461)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(3,228)</w:t>
            </w: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Issuance of</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net of discount and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440,000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10,655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Redemption of</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(440,000)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Payment of</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r>
      <w:tr>
        <w:trPr>
          <w:trHeight w:val="237"/>
        </w:trPr>
        <w:tc>
          <w:tcPr>
            <w:tcW w:w="1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(2,261)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(2,261)</w:t>
            </w:r>
          </w:p>
        </w:tc>
      </w:tr>
      <w:tr>
        <w:trPr>
          <w:trHeight w:val="188"/>
        </w:trPr>
        <w:tc>
          <w:tcPr>
            <w:tcW w:w="1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Balance at June 30,</w:t>
            </w: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26,893,896</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102,837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(79,661)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23,203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22,848</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For the</w:t>
            </w:r>
          </w:p>
        </w:tc>
        <w:tc>
          <w:tcPr>
            <w:tcW w:w="2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color w:val="auto"/>
                <w:w w:val="94"/>
              </w:rPr>
              <w:t>Six Months</w:t>
            </w:r>
          </w:p>
        </w:tc>
        <w:tc>
          <w:tcPr>
            <w:tcW w:w="2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Six Months</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June 30,</w:t>
            </w:r>
          </w:p>
        </w:tc>
        <w:tc>
          <w:tcPr>
            <w:tcW w:w="2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51"/>
        </w:trPr>
        <w:tc>
          <w:tcPr>
            <w:tcW w:w="7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 (including noncontrolling interests)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(2,261)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 expense</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forgiveness of PPP loan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loss from Eton Pharmaceuticals,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6,419</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from Surface Opthalmics,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1,314</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loss from Melt Pharmaceuticals,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and disposal of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paid-in-kind on loan payable</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on early extinguishment of loan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706</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payment of consulting services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1,933</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1,026</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8,648</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proceeds on sale investments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9,827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(1,360)</w:t>
            </w:r>
          </w:p>
        </w:tc>
        <w:tc>
          <w:tcPr>
            <w:tcW w:w="26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finance lease obligations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proceeds from 8.625% notes payable, net of costs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71,073</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and exit fee payments on SWK loan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(15,961)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proceeds from PPP loan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SWK debt, net of costs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Payment of taxes for vesting of RSUs</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(3,228)</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Sale of preferred stock, net of discount and issuance costs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10,655</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of preferred stock</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360"/>
              <w:spacing w:after="0"/>
              <w:rPr>
                <w:sz w:val="20"/>
                <w:szCs w:val="20"/>
                <w:color w:val="auto"/>
              </w:rPr>
            </w:pPr>
            <w:r>
              <w:rPr>
                <w:rFonts w:ascii="Arial" w:cs="Arial" w:eastAsia="Arial" w:hAnsi="Arial"/>
                <w:sz w:val="18"/>
                <w:szCs w:val="18"/>
                <w:color w:val="auto"/>
              </w:rPr>
              <w:t>Payment of preferred stock dividends</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4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68,550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4,301</w:t>
            </w:r>
          </w:p>
        </w:tc>
        <w:tc>
          <w:tcPr>
            <w:tcW w:w="2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end of period</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72,851</w:t>
            </w:r>
          </w:p>
        </w:tc>
        <w:tc>
          <w:tcPr>
            <w:tcW w:w="3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72,651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72,851</w:t>
            </w:r>
          </w:p>
        </w:tc>
        <w:tc>
          <w:tcPr>
            <w:tcW w:w="3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SUPPLEMENTAL DISCLOSURE OF CASH FLOW INFORMATION:</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44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 obtained in exchange for lease obligation</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7"/>
              </w:rPr>
              <w:t>Net reduction in right-of-use assets and lease liabilities in connection with lease modifications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1,753</w:t>
            </w:r>
          </w:p>
        </w:tc>
        <w:tc>
          <w:tcPr>
            <w:tcW w:w="3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80" w:right="4180" w:hanging="5570"/>
        <w:spacing w:after="0" w:line="485" w:lineRule="auto"/>
        <w:rPr>
          <w:sz w:val="20"/>
          <w:szCs w:val="20"/>
          <w:color w:val="auto"/>
        </w:rPr>
      </w:pPr>
      <w:r>
        <w:rPr>
          <w:rFonts w:ascii="Arial" w:cs="Arial" w:eastAsia="Arial" w:hAnsi="Arial"/>
          <w:sz w:val="18"/>
          <w:szCs w:val="18"/>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7038" w:orient="portrait"/>
          <w:cols w:equalWidth="0" w:num="1">
            <w:col w:w="11240"/>
          </w:cols>
          <w:pgMar w:left="320" w:top="661" w:right="3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non-controlling equity positions in Surface Ophthalmics, Inc. (“Surface”) and Melt Pharmaceuticals, Inc. (“Melt”), both companies that began as subsidiaries of Harrow. In 2020, Harrow created Visionology, Inc. (“Visionology”), which recently launched an online eye health platform business. Harrow also owns royalty rights in various drug candidates being developed by Surface and Melt.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2021 are not necessarily indicative of the results that may be expected for the year ending December 31, 2021 or for any other period. For further information, refer to the Company’s audited consolidated financial statements and footnotes thereto included in the Company’s Annual Report on Form 10-K for the year ended December 31, 2020.</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and majority-owned subsidiaries. All intercompany accounts and transactions have been eliminated in consolidation.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Harrow consolidates entities in which it has a controlling financial interest. The Company consolidates subsidiaries in which it holds and/or controls, directly or indirectly, more than 50% of the voting rights. All intercompany accounts and transactions have been eliminated in consolidation.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balance sheets at June 30, 2021 and December 31, 2020 and the condensed consolidated statements of operations, stockholders’ equity and cash flows for the periods ended June 30, 2021 and 2020 include our accounts and those of our wholly owned subsidiaries, as well as our majority owned subsidiaries Mayfield Pharmaceuticals, Inc. and Stowe Pharmaceuticals,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six months ended June 30, 2021 to the significant accounting policies described in the Company’s Annual Report on Form 10-K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of our operating segments. The Company has identified two operating segments as reportable segments. See Note 16 for more information regarding the Company’s reportable segments.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loss attributable to noncontrolling interests in consolidated net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 Basic and diluted net loss per share is computed using the weighted average number of shares of common stock outstanding during the period. Common equivalent shares (using the treasury stock or “if converted” method) from stock options, unvested restricted stock units (“RSUs”) and warrants were 4,121,398 and 5,414,504 at June 30, 2021 and 2020, respectively. For the three and six months ended June 30, 2021 and 2020, the common equivalent shares are excluded in the calculation of diluted net loss per share because the effect is anti-dilutive. Included in the basic and diluted net loss per share calculation were RSUs awarded to directors that had vested, but the issuance and delivery of the shares are deferred until the director resigns. The number of shares underlying vested RSUs at June 30, 2021 and 2020 was 235,973 and 251,746, respectively.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six months ended June 30, 2021 and 2020:</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40" w:type="dxa"/>
            <w:vAlign w:val="bottom"/>
            <w:tcBorders>
              <w:top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5"/>
              </w:rPr>
              <w:t>For the Three Months Ended</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97"/>
              </w:rPr>
              <w:t>For the Six Months Ended</w:t>
            </w:r>
          </w:p>
        </w:tc>
        <w:tc>
          <w:tcPr>
            <w:tcW w:w="100" w:type="dxa"/>
            <w:vAlign w:val="bottom"/>
          </w:tcPr>
          <w:p>
            <w:pPr>
              <w:spacing w:after="0"/>
              <w:rPr>
                <w:sz w:val="22"/>
                <w:szCs w:val="22"/>
                <w:color w:val="auto"/>
              </w:rPr>
            </w:pPr>
          </w:p>
        </w:tc>
      </w:tr>
      <w:tr>
        <w:trPr>
          <w:trHeight w:val="259"/>
        </w:trPr>
        <w:tc>
          <w:tcPr>
            <w:tcW w:w="5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 net loss attributable to Harrow Health, Inc. common</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(2,950)</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(2,733)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(13,144)</w:t>
            </w:r>
          </w:p>
        </w:tc>
      </w:tr>
      <w:tr>
        <w:trPr>
          <w:trHeight w:val="175"/>
        </w:trPr>
        <w:tc>
          <w:tcPr>
            <w:tcW w:w="52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Denominator - weighted average number of shares outstanding,</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51"/>
        </w:trPr>
        <w:tc>
          <w:tcPr>
            <w:tcW w:w="5200" w:type="dxa"/>
            <w:vAlign w:val="bottom"/>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1"/>
                <w:szCs w:val="21"/>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26,736,970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25,893,629</w:t>
            </w:r>
          </w:p>
        </w:tc>
        <w:tc>
          <w:tcPr>
            <w:tcW w:w="220" w:type="dxa"/>
            <w:vAlign w:val="bottom"/>
          </w:tcPr>
          <w:p>
            <w:pPr>
              <w:spacing w:after="0"/>
              <w:rPr>
                <w:sz w:val="21"/>
                <w:szCs w:val="21"/>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26,379,943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25,867,478</w:t>
            </w: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 months ended June 30, 2021, the Company sold 1,518,000 shares of its Eton Pharmaceuticals, Inc. (“Eton”) common stock through an underwritten public offering at a public offering price of $7.00 per share (the “Eton Stock Sale”). The gross proceeds to the Company from the Eton Stock Sale were $10,626, before deducting underwriting discounts and commissions and other offering expenses payable by the Company of $799. During the three and six months ended June 30, 2021, the Company recorded a realized loss of $1,406 related to the sale of 1,518,000 shares of its Eton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t xml:space="preserve">Following the Eton Stock Sale and as of June 30, 2021, the Company owns 1,982,000 shares of Eton common stock, which represents less than 10% of the equity interests of Eton. At June 30, 2021, the fair market value of Eton’s common stock was $6.16 per share. In accordance with the Accounting Standards Update (“ASU”)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 the Company recorded an unrealized investment gain (loss) from its Eton common stock position of $(2,178) and $(5,013) and $4,725 and $(6,125) during the three and six months ended June 30, 2021 and 2020, respectively, related to the change in fair market value of its investment in Eton during the measurement period. As of June 30, 2021, the fair market value of the Company’s investment in Eton was $12,209.</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Eton Stock Sale, the Company also agreed, for a period of 180 days, not to conduct any further sales of shares of its common stock of Eton or otherwise dispose of, directly or indirectly, any common stock of Eton (or any securities convertible into, or exercisable or exchangeable for, the common stock of Eton).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owns 3,500,000 common shares (which is approximately 44% of the equity interests as of June 30, 2021) of Melt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condensed consolidated financial statements and adjusts the carrying amount of its investment in Melt accordingly. The Company’s share of earnings and losses are based on the Company’s ownership interest of Melt. Any intra-entity profits and losses are eliminated. During the three months ended June 30, 2021 and 2020, the Company recorded equity in the net losses of Melt of $477 and $690, and $947 and $1,236 during the six months ended June 30, 2021 and 2020, respectively. As of June 30, 2021 and December 31, 2020, the Company’s investment in Melt was $1,594 and $2,506, respectively, which includes $885 and $851, respectively, due from Melt for reimbursable expenses and amounts due under a Management Services Agreement between the Company and Melt (the “Melt MSA”).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3,500,000 common shares (which is approximately 20% of the equity interests following the close of a round of financing completed by Surface at various dates from May 2021 to July 2021)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losses of Surface of $465 and $599 during the three months and $1,314 and $938 during the six months ended June 30, 2021 and 2020, respectively. As of June 30, 2021 and December 31, 2020, the Company’s investment in Surface was $0 and $1,314,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Notes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Software costs during the application development stage used to meet the Company’s internal needs are generally capitalized. Computer software and hardware and furniture and equipment are depreciated over three to five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Simplifying the Accounting for Income Taxes</w:t>
      </w:r>
      <w:r>
        <w:rPr>
          <w:rFonts w:ascii="Arial" w:cs="Arial" w:eastAsia="Arial" w:hAnsi="Arial"/>
          <w:sz w:val="18"/>
          <w:szCs w:val="18"/>
          <w:color w:val="auto"/>
        </w:rPr>
        <w:t>, which simplifies the accounting for income taxes. This guidance became effective for the Company on January 1, 2021 on a prospective basis. Adoption of this ASU did not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accounts for contracts with customers in accordance with ASC 606,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The Company has three primary streams of revenue: (1) revenue recognized from our sale of products within our pharmacy services, (2) revenue recognized from a commission agreement with a third party and (3) revenue recognized from intellectual property license and asset purchase agreements.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contract(s) with a customer: A contract exists with a customer at the time the prescription or order is received by the Company.</w:t>
      </w:r>
    </w:p>
    <w:p>
      <w:pPr>
        <w:spacing w:after="0" w:line="248"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2020, the Company entered into an agreement whereby it is paid a fee calculated based on sales it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part of the Company to recognize the associated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we are party to four intellectual property licenses and asset purchase agreements in which we have agreed to grant a license and which provide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at which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Revenue disaggregated by revenue source for the three and six months ended June 30, 2021 and 2020,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5"/>
              </w:rPr>
              <w:t>For the Three Months Ended</w:t>
            </w:r>
          </w:p>
        </w:tc>
        <w:tc>
          <w:tcPr>
            <w:tcW w:w="220" w:type="dxa"/>
            <w:vAlign w:val="bottom"/>
          </w:tcPr>
          <w:p>
            <w:pPr>
              <w:spacing w:after="0"/>
              <w:rPr>
                <w:sz w:val="18"/>
                <w:szCs w:val="18"/>
                <w:color w:val="auto"/>
              </w:rPr>
            </w:pPr>
          </w:p>
        </w:tc>
        <w:tc>
          <w:tcPr>
            <w:tcW w:w="2660" w:type="dxa"/>
            <w:vAlign w:val="bottom"/>
            <w:gridSpan w:val="7"/>
          </w:tcPr>
          <w:p>
            <w:pPr>
              <w:ind w:left="140"/>
              <w:spacing w:after="0"/>
              <w:rPr>
                <w:sz w:val="20"/>
                <w:szCs w:val="20"/>
                <w:color w:val="auto"/>
              </w:rPr>
            </w:pPr>
            <w:r>
              <w:rPr>
                <w:rFonts w:ascii="Arial" w:cs="Arial" w:eastAsia="Arial" w:hAnsi="Arial"/>
                <w:sz w:val="18"/>
                <w:szCs w:val="18"/>
                <w:b w:val="1"/>
                <w:bCs w:val="1"/>
                <w:color w:val="auto"/>
              </w:rPr>
              <w:t>For the Six Months Ended</w:t>
            </w:r>
          </w:p>
        </w:tc>
      </w:tr>
      <w:tr>
        <w:trPr>
          <w:trHeight w:val="255"/>
        </w:trPr>
        <w:tc>
          <w:tcPr>
            <w:tcW w:w="5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5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revenues</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33,577</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June 30, 2021 and December 31, 2020, were $56 and $66, respectively. All deferred revenue and customer deposit amounts at December 31, 2020 were recognized as revenue during the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mid-single-digit royalty payments to the Company on net sales of the Melt Products while any patent rights remain outstanding, as well as other conditions. In January and March 2019, the Company entered into the Melt Series A Preferred Stock Agreement. See also Note 2, under the subheading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Melt Pharmaceuticals, Inc.</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February 2019, the Company and Melt entered into the Melt MSA, whereby the Company provides to Melt certain administrative services and support, including bookkeeping, web services and human resources related activities, and Melt is required to pay the Company a monthly amount of $10.</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and December 31, 2020, the Company was due $885 and $851, respectively, from Melt for reimbursable expenses and amounts due under the Melt MSA. Melt did not make any payments to the Company during the three and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Chief Executive Officer, Mark L. Baum is a member of the Melt board of directors, and several employees of the Company (including Mr.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Baum and the Company’s Chief Financial Officer, Andrew R. Boll) entered into consulting agreements and provide consulting services to Melt.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2820" w:type="dxa"/>
        <w:tblCellMar>
          <w:top w:w="0" w:type="dxa"/>
          <w:left w:w="0" w:type="dxa"/>
          <w:bottom w:w="0" w:type="dxa"/>
          <w:right w:w="0" w:type="dxa"/>
        </w:tblCellMar>
      </w:tblPr>
      <w:tr>
        <w:trPr>
          <w:trHeight w:val="257"/>
        </w:trPr>
        <w:tc>
          <w:tcPr>
            <w:tcW w:w="3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2,177</w:t>
            </w:r>
          </w:p>
        </w:tc>
        <w:tc>
          <w:tcPr>
            <w:tcW w:w="22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2,574</w:t>
            </w:r>
          </w:p>
        </w:tc>
      </w:tr>
      <w:tr>
        <w:trPr>
          <w:trHeight w:val="230"/>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At June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w w:val="91"/>
              </w:rPr>
              <w:t>At December 31,</w:t>
            </w:r>
          </w:p>
        </w:tc>
        <w:tc>
          <w:tcPr>
            <w:tcW w:w="3940" w:type="dxa"/>
            <w:vAlign w:val="bottom"/>
          </w:tcPr>
          <w:p>
            <w:pPr>
              <w:spacing w:after="0"/>
              <w:rPr>
                <w:sz w:val="18"/>
                <w:szCs w:val="18"/>
                <w:color w:val="auto"/>
              </w:rPr>
            </w:pPr>
          </w:p>
        </w:tc>
      </w:tr>
      <w:tr>
        <w:trPr>
          <w:trHeight w:val="257"/>
        </w:trPr>
        <w:tc>
          <w:tcPr>
            <w:tcW w:w="35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3940" w:type="dxa"/>
            <w:vAlign w:val="bottom"/>
          </w:tcPr>
          <w:p>
            <w:pPr>
              <w:spacing w:after="0"/>
              <w:rPr>
                <w:sz w:val="22"/>
                <w:szCs w:val="2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3940" w:type="dxa"/>
            <w:vAlign w:val="bottom"/>
          </w:tcPr>
          <w:p>
            <w:pPr>
              <w:spacing w:after="0"/>
              <w:rPr>
                <w:sz w:val="18"/>
                <w:szCs w:val="18"/>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Non current assets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3940" w:type="dxa"/>
            <w:vAlign w:val="bottom"/>
          </w:tcPr>
          <w:p>
            <w:pPr>
              <w:spacing w:after="0"/>
              <w:rPr>
                <w:sz w:val="20"/>
                <w:szCs w:val="20"/>
                <w:color w:val="auto"/>
              </w:rPr>
            </w:pPr>
          </w:p>
        </w:tc>
      </w:tr>
      <w:tr>
        <w:trPr>
          <w:trHeight w:val="229"/>
        </w:trPr>
        <w:tc>
          <w:tcPr>
            <w:tcW w:w="3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394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7"/>
        </w:trPr>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3940" w:type="dxa"/>
            <w:vAlign w:val="bottom"/>
          </w:tcPr>
          <w:p>
            <w:pPr>
              <w:spacing w:after="0"/>
              <w:rPr>
                <w:sz w:val="18"/>
                <w:szCs w:val="18"/>
                <w:color w:val="auto"/>
              </w:rPr>
            </w:pPr>
          </w:p>
        </w:tc>
      </w:tr>
      <w:tr>
        <w:trPr>
          <w:trHeight w:val="236"/>
        </w:trPr>
        <w:tc>
          <w:tcPr>
            <w:tcW w:w="35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1,180</w:t>
            </w:r>
          </w:p>
        </w:tc>
        <w:tc>
          <w:tcPr>
            <w:tcW w:w="3940" w:type="dxa"/>
            <w:vAlign w:val="bottom"/>
          </w:tcPr>
          <w:p>
            <w:pPr>
              <w:spacing w:after="0"/>
              <w:rPr>
                <w:sz w:val="20"/>
                <w:szCs w:val="20"/>
                <w:color w:val="auto"/>
              </w:rPr>
            </w:pPr>
          </w:p>
        </w:tc>
      </w:tr>
      <w:tr>
        <w:trPr>
          <w:trHeight w:val="229"/>
        </w:trPr>
        <w:tc>
          <w:tcPr>
            <w:tcW w:w="3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394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20"/>
        </w:trPr>
        <w:tc>
          <w:tcPr>
            <w:tcW w:w="3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11</w:t>
            </w:r>
          </w:p>
        </w:tc>
        <w:tc>
          <w:tcPr>
            <w:tcW w:w="1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INVESTMENT IN SURFACE OPHTHALMICS, INC.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owned 3,500,000 shares of Surface common stock. A Company director, Richard L. Lindstrom, and the Company’s Chief Executive Officer, Mark L. Baum, are directors of Surface. Surface is required to make royalty payments to Dr. Lindstrom of net sales of certain Surface products while certain patent rights remain outstanding. Dr. Lindstrom is also a minority owner of Flying L Partners, an affiliate of the funding investor who purchased the Surface Series A Preferred Stock. Several employees and a director of the Company (including Mr. Baum and Dr. Lindstrom) entered into consulting agreements and provide consulting services to Surface.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2820" w:type="dxa"/>
        <w:tblCellMar>
          <w:top w:w="0" w:type="dxa"/>
          <w:left w:w="0" w:type="dxa"/>
          <w:bottom w:w="0" w:type="dxa"/>
          <w:right w:w="0" w:type="dxa"/>
        </w:tblCellMar>
      </w:tblPr>
      <w:tr>
        <w:trPr>
          <w:trHeight w:val="257"/>
        </w:trPr>
        <w:tc>
          <w:tcPr>
            <w:tcW w:w="3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4,712</w:t>
            </w:r>
          </w:p>
        </w:tc>
        <w:tc>
          <w:tcPr>
            <w:tcW w:w="22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3,127</w:t>
            </w:r>
          </w:p>
        </w:tc>
      </w:tr>
      <w:tr>
        <w:trPr>
          <w:trHeight w:val="229"/>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At June 30,</w:t>
            </w:r>
          </w:p>
        </w:tc>
        <w:tc>
          <w:tcPr>
            <w:tcW w:w="10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At December 31,</w:t>
            </w:r>
          </w:p>
        </w:tc>
      </w:tr>
      <w:tr>
        <w:trPr>
          <w:trHeight w:val="257"/>
        </w:trPr>
        <w:tc>
          <w:tcPr>
            <w:tcW w:w="4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22"/>
                <w:szCs w:val="2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60" w:type="dxa"/>
            <w:vAlign w:val="bottom"/>
            <w:shd w:val="clear" w:color="auto" w:fill="CCEEFF"/>
          </w:tcPr>
          <w:p>
            <w:pPr>
              <w:spacing w:after="0"/>
              <w:rPr>
                <w:sz w:val="18"/>
                <w:szCs w:val="18"/>
                <w:color w:val="auto"/>
              </w:rPr>
            </w:pP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Non current assets</w:t>
            </w: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30"/>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24,058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7,453</w:t>
            </w:r>
          </w:p>
        </w:tc>
      </w:tr>
      <w:tr>
        <w:trPr>
          <w:trHeight w:val="229"/>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restricted cash at June 30, 2021 and December 31, 2020 consisted of funds held in a money market account. At June 30, 2021 and December 31, 2020, the restricted cash was recorded at amortized cost, which approximates fair value.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2021 and December 31, 2020, the funds held in a money market account of $200 were classified as a current asset. The money market account funds are required as collateral as additional security for the Company’s New Jersey facility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2021 and December 31, 2020 was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400" w:type="dxa"/>
            <w:vAlign w:val="bottom"/>
          </w:tcPr>
          <w:p>
            <w:pPr>
              <w:spacing w:after="0"/>
              <w:rPr>
                <w:sz w:val="20"/>
                <w:szCs w:val="20"/>
                <w:color w:val="auto"/>
              </w:rPr>
            </w:pPr>
          </w:p>
        </w:tc>
        <w:tc>
          <w:tcPr>
            <w:tcW w:w="32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1,990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Work in progress</w:t>
            </w: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49"/>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1,896</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Total inventories</w:t>
            </w:r>
          </w:p>
        </w:tc>
        <w:tc>
          <w:tcPr>
            <w:tcW w:w="2200" w:type="dxa"/>
            <w:vAlign w:val="bottom"/>
          </w:tcPr>
          <w:p>
            <w:pPr>
              <w:spacing w:after="0"/>
              <w:rPr>
                <w:sz w:val="18"/>
                <w:szCs w:val="18"/>
                <w:color w:val="auto"/>
              </w:rPr>
            </w:pPr>
          </w:p>
        </w:tc>
        <w:tc>
          <w:tcPr>
            <w:tcW w:w="1080" w:type="dxa"/>
            <w:vAlign w:val="bottom"/>
            <w:tcBorders>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3,903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June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1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gridSpan w:val="6"/>
          </w:tcPr>
          <w:p>
            <w:pPr>
              <w:spacing w:after="0"/>
              <w:rPr>
                <w:sz w:val="20"/>
                <w:szCs w:val="20"/>
                <w:color w:val="auto"/>
              </w:rPr>
            </w:pPr>
            <w:r>
              <w:rPr>
                <w:rFonts w:ascii="Arial" w:cs="Arial" w:eastAsia="Arial" w:hAnsi="Arial"/>
                <w:sz w:val="18"/>
                <w:szCs w:val="18"/>
                <w:color w:val="auto"/>
              </w:rPr>
              <w:t>Property, plant and equipment at June 30, 2021 and December 31, 2020, consisted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1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18"/>
                <w:szCs w:val="18"/>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 use software costs in development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Furniture and equipment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 and pharmacy equipment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Leasehold improvements</w:t>
            </w: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2021, depreciation and amortization related to the property, plant and equipment was $412 and $876, respectively. For the three and six months ended June 30, 2020, depreciation and amortization related to the property, plant and equipment was $465 and $913,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340" w:type="dxa"/>
            <w:vAlign w:val="bottom"/>
            <w:gridSpan w:val="7"/>
          </w:tcPr>
          <w:p>
            <w:pPr>
              <w:spacing w:after="0"/>
              <w:rPr>
                <w:sz w:val="20"/>
                <w:szCs w:val="20"/>
                <w:color w:val="auto"/>
              </w:rPr>
            </w:pPr>
            <w:r>
              <w:rPr>
                <w:rFonts w:ascii="Arial" w:cs="Arial" w:eastAsia="Arial" w:hAnsi="Arial"/>
                <w:sz w:val="18"/>
                <w:szCs w:val="18"/>
                <w:b w:val="1"/>
                <w:bCs w:val="1"/>
                <w:color w:val="auto"/>
              </w:rPr>
              <w:t>NOTE 10. INTANGIBLE ASSETS AND GOODWILL</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60" w:type="dxa"/>
            <w:vAlign w:val="bottom"/>
            <w:gridSpan w:val="14"/>
          </w:tcPr>
          <w:p>
            <w:pPr>
              <w:spacing w:after="0"/>
              <w:rPr>
                <w:sz w:val="20"/>
                <w:szCs w:val="20"/>
                <w:color w:val="auto"/>
              </w:rPr>
            </w:pPr>
            <w:r>
              <w:rPr>
                <w:rFonts w:ascii="Arial" w:cs="Arial" w:eastAsia="Arial" w:hAnsi="Arial"/>
                <w:sz w:val="18"/>
                <w:szCs w:val="18"/>
                <w:color w:val="auto"/>
                <w:w w:val="91"/>
              </w:rPr>
              <w:t>The Company’s intangible assets at June 30, 2021 consisted of the following: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5"/>
            <w:vMerge w:val="restart"/>
          </w:tcPr>
          <w:p>
            <w:pPr>
              <w:jc w:val="center"/>
              <w:ind w:right="220"/>
              <w:spacing w:after="0"/>
              <w:rPr>
                <w:sz w:val="20"/>
                <w:szCs w:val="20"/>
                <w:color w:val="auto"/>
              </w:rPr>
            </w:pPr>
            <w:r>
              <w:rPr>
                <w:rFonts w:ascii="Arial" w:cs="Arial" w:eastAsia="Arial" w:hAnsi="Arial"/>
                <w:sz w:val="18"/>
                <w:szCs w:val="18"/>
                <w:b w:val="1"/>
                <w:bCs w:val="1"/>
                <w:color w:val="auto"/>
                <w:w w:val="89"/>
              </w:rPr>
              <w:t>periods</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w w:val="93"/>
              </w:rPr>
              <w:t>Impairment</w:t>
            </w:r>
          </w:p>
        </w:tc>
        <w:tc>
          <w:tcPr>
            <w:tcW w:w="160" w:type="dxa"/>
            <w:vAlign w:val="bottom"/>
          </w:tcPr>
          <w:p>
            <w:pPr>
              <w:spacing w:after="0"/>
              <w:rPr>
                <w:sz w:val="9"/>
                <w:szCs w:val="9"/>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carrying</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3"/>
            <w:vMerge w:val="restart"/>
          </w:tcPr>
          <w:p>
            <w:pPr>
              <w:jc w:val="right"/>
              <w:ind w:right="310"/>
              <w:spacing w:after="0"/>
              <w:rPr>
                <w:sz w:val="20"/>
                <w:szCs w:val="20"/>
                <w:color w:val="auto"/>
              </w:rPr>
            </w:pPr>
            <w:r>
              <w:rPr>
                <w:rFonts w:ascii="Arial" w:cs="Arial" w:eastAsia="Arial" w:hAnsi="Arial"/>
                <w:sz w:val="18"/>
                <w:szCs w:val="18"/>
                <w:b w:val="1"/>
                <w:bCs w:val="1"/>
                <w:color w:val="auto"/>
                <w:w w:val="97"/>
              </w:rPr>
              <w:t>amortization</w:t>
            </w: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center"/>
              <w:ind w:right="198"/>
              <w:spacing w:after="0"/>
              <w:rPr>
                <w:sz w:val="20"/>
                <w:szCs w:val="20"/>
                <w:color w:val="auto"/>
              </w:rPr>
            </w:pPr>
            <w:r>
              <w:rPr>
                <w:rFonts w:ascii="Arial" w:cs="Arial" w:eastAsia="Arial" w:hAnsi="Arial"/>
                <w:sz w:val="18"/>
                <w:szCs w:val="18"/>
                <w:color w:val="auto"/>
                <w:w w:val="91"/>
              </w:rPr>
              <w:t>17-19</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Licenses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center"/>
              <w:ind w:right="198"/>
              <w:spacing w:after="0"/>
              <w:rPr>
                <w:sz w:val="20"/>
                <w:szCs w:val="20"/>
                <w:color w:val="auto"/>
              </w:rPr>
            </w:pPr>
            <w:r>
              <w:rPr>
                <w:rFonts w:ascii="Arial" w:cs="Arial" w:eastAsia="Arial" w:hAnsi="Arial"/>
                <w:sz w:val="18"/>
                <w:szCs w:val="18"/>
                <w:color w:val="auto"/>
                <w:w w:val="89"/>
              </w:rPr>
              <w:t>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Indefinite</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center"/>
              <w:ind w:right="198"/>
              <w:spacing w:after="0"/>
              <w:rPr>
                <w:sz w:val="20"/>
                <w:szCs w:val="20"/>
                <w:color w:val="auto"/>
              </w:rPr>
            </w:pPr>
            <w:r>
              <w:rPr>
                <w:rFonts w:ascii="Arial" w:cs="Arial" w:eastAsia="Arial" w:hAnsi="Arial"/>
                <w:sz w:val="18"/>
                <w:szCs w:val="18"/>
                <w:color w:val="auto"/>
                <w:w w:val="94"/>
              </w:rPr>
              <w:t>3-15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98"/>
              <w:spacing w:after="0"/>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Non-competition clause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center"/>
              <w:ind w:right="218"/>
              <w:spacing w:after="0"/>
              <w:rPr>
                <w:sz w:val="20"/>
                <w:szCs w:val="20"/>
                <w:color w:val="auto"/>
              </w:rPr>
            </w:pPr>
            <w:r>
              <w:rPr>
                <w:rFonts w:ascii="Arial" w:cs="Arial" w:eastAsia="Arial" w:hAnsi="Arial"/>
                <w:sz w:val="18"/>
                <w:szCs w:val="18"/>
                <w:color w:val="auto"/>
                <w:w w:val="92"/>
              </w:rPr>
              <w:t>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198"/>
              <w:spacing w:after="0"/>
              <w:rPr>
                <w:sz w:val="20"/>
                <w:szCs w:val="20"/>
                <w:color w:val="auto"/>
              </w:rPr>
            </w:pPr>
            <w:r>
              <w:rPr>
                <w:rFonts w:ascii="Arial" w:cs="Arial" w:eastAsia="Arial" w:hAnsi="Arial"/>
                <w:sz w:val="18"/>
                <w:szCs w:val="18"/>
                <w:color w:val="auto"/>
                <w:w w:val="89"/>
              </w:rPr>
              <w:t>25</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2,530</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600" w:type="dxa"/>
            <w:vAlign w:val="bottom"/>
            <w:gridSpan w:val="25"/>
          </w:tcPr>
          <w:p>
            <w:pPr>
              <w:spacing w:after="0"/>
              <w:rPr>
                <w:sz w:val="20"/>
                <w:szCs w:val="20"/>
                <w:color w:val="auto"/>
              </w:rPr>
            </w:pPr>
            <w:r>
              <w:rPr>
                <w:rFonts w:ascii="Arial" w:cs="Arial" w:eastAsia="Arial" w:hAnsi="Arial"/>
                <w:sz w:val="18"/>
                <w:szCs w:val="18"/>
                <w:color w:val="auto"/>
                <w:w w:val="90"/>
              </w:rPr>
              <w:t>Amortization expense for intangible assets for the three and six months ended June 30, 2021 and 2020 was as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5"/>
          </w:tcPr>
          <w:p>
            <w:pPr>
              <w:jc w:val="center"/>
              <w:ind w:right="370"/>
              <w:spacing w:after="0"/>
              <w:rPr>
                <w:sz w:val="20"/>
                <w:szCs w:val="20"/>
                <w:color w:val="auto"/>
              </w:rPr>
            </w:pPr>
            <w:r>
              <w:rPr>
                <w:rFonts w:ascii="Arial" w:cs="Arial" w:eastAsia="Arial" w:hAnsi="Arial"/>
                <w:sz w:val="18"/>
                <w:szCs w:val="18"/>
                <w:b w:val="1"/>
                <w:bCs w:val="1"/>
                <w:color w:val="auto"/>
                <w:w w:val="91"/>
              </w:rPr>
              <w:t>For the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For the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rPr>
                <w:sz w:val="19"/>
                <w:szCs w:val="19"/>
                <w:color w:val="auto"/>
              </w:rPr>
            </w:pPr>
          </w:p>
        </w:tc>
        <w:tc>
          <w:tcPr>
            <w:tcW w:w="200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2240" w:type="dxa"/>
            <w:vAlign w:val="bottom"/>
            <w:gridSpan w:val="11"/>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5"/>
          </w:tcPr>
          <w:p>
            <w:pPr>
              <w:jc w:val="center"/>
              <w:ind w:right="370"/>
              <w:spacing w:after="0"/>
              <w:rPr>
                <w:sz w:val="20"/>
                <w:szCs w:val="20"/>
                <w:color w:val="auto"/>
              </w:rPr>
            </w:pPr>
            <w:r>
              <w:rPr>
                <w:rFonts w:ascii="Arial" w:cs="Arial" w:eastAsia="Arial" w:hAnsi="Arial"/>
                <w:sz w:val="18"/>
                <w:szCs w:val="18"/>
                <w:color w:val="auto"/>
                <w:w w:val="86"/>
              </w:rPr>
              <w:t>June 30,</w:t>
            </w:r>
          </w:p>
        </w:tc>
        <w:tc>
          <w:tcPr>
            <w:tcW w:w="2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66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Licenses</w:t>
            </w:r>
          </w:p>
        </w:tc>
        <w:tc>
          <w:tcPr>
            <w:tcW w:w="6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5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jc w:val="right"/>
              <w:ind w:right="49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43</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jc w:val="right"/>
              <w:ind w:right="41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June 30, 2021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2022</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2024</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ACCOUNTS PAYABLE AND ACCRUED EXPENSES</w:t>
            </w: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w w:val="97"/>
              </w:rPr>
              <w:t>Accounts payable and accrued expenses consisted of the following:</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exit fee for loan payable</w:t>
            </w:r>
          </w:p>
        </w:tc>
        <w:tc>
          <w:tcPr>
            <w:tcW w:w="1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(3,932)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60" w:type="dxa"/>
            <w:vAlign w:val="bottom"/>
            <w:vMerge w:val="restart"/>
          </w:tcPr>
          <w:p>
            <w:pPr>
              <w:jc w:val="right"/>
              <w:ind w:right="9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closed an offering of $50,000 aggregate principal amount of 8.625% senior notes due in April 2026 and in May 2021 issued an additional $5,000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 after deducting underwriting discounts and commissions and expenses of $3,091. In June 2021, in a further issuance of the April Notes, the Company sold an additional $20,000 aggregate principal amount of such notes (the “June Notes,” and together with the April Notes, the “Notes”), at a price of $25.75 per June Note, with interest of $278 on the June Notes being accrued from April 20, 2021 as of the date of issuance. The June offering resulted in net proceeds to the Company of approximately $19,164 after deducting underwriting discounts and commissions and expenses of $1,158 and a premium on note issuance of $322. The June Notes are treated as a single series with the April Notes under the indenture governing the April Notes, dated as of April 20, 2021, and have the same terms as the April Notes (other than the initial offering price and issue date).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a rate of 8.625% per annum. Interest on the Notes is payable quarterly in arrears on January 31, April 30, July 31 and October 31 of each year, commencing on July 31, 2021. The Notes will mature on April 30, 2026. The issuance costs were recorded as a debt discount and are being amortized as interest expense, net of the amortization of the premium on note issuance, over the term of the Notes using the effective interest rate method.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related to the Notes totaled $1,466 for the three and six months ended June 30, 2021, and included amortization of debt issuance costs and discount of $192 for the three and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Senior Note – Paid in April 2021</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Company and several of its wholly owned subsidiaries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were not achieved. The SWK Loan was secured by substantially all of the Company’s assets, including its intellectual property rights. The SWK Loan was subsequently amended in May 2019 and again in April 2020. The SWK Loan bore an interest rate equal to the three-month London Inter-Bank Offered Rate (subject to a minimum of 2.00%), plus an applicable margin of 10.00% (the “Margin Rate”); provided that, if, two days prior to a payment date, the Company provided SWK evidence that the Company has achieved a leverage ratio as of such date of less than 4.00:1:00, the Margin Rate shall equal 9.00%; and if the Company had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material changes contained in the amendment entered into with SWK in April 2020 was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w:t>
      </w:r>
    </w:p>
    <w:p>
      <w:pPr>
        <w:spacing w:after="0" w:line="23"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5"/>
        </w:numPr>
        <w:rPr>
          <w:rFonts w:ascii="Arial" w:cs="Arial" w:eastAsia="Arial" w:hAnsi="Arial"/>
          <w:sz w:val="33"/>
          <w:szCs w:val="33"/>
          <w:color w:val="auto"/>
          <w:vertAlign w:val="subscript"/>
        </w:rPr>
      </w:pPr>
      <w:r>
        <w:rPr>
          <w:rFonts w:ascii="Arial" w:cs="Arial" w:eastAsia="Arial" w:hAnsi="Arial"/>
          <w:sz w:val="17"/>
          <w:szCs w:val="17"/>
          <w:color w:val="auto"/>
        </w:rPr>
        <w:t>The definition of the first amortization date was changed to August 14, 2020, permitting the Company to pay interest only on the principal amount loaned for the next payment (payments are due on a quarterly basis) following the SWK Second Amendment; and</w:t>
      </w:r>
    </w:p>
    <w:p>
      <w:pPr>
        <w:ind w:left="660" w:hanging="328"/>
        <w:spacing w:after="0" w:line="180" w:lineRule="auto"/>
        <w:tabs>
          <w:tab w:leader="none" w:pos="660" w:val="left"/>
        </w:tabs>
        <w:numPr>
          <w:ilvl w:val="0"/>
          <w:numId w:val="5"/>
        </w:numPr>
        <w:rPr>
          <w:rFonts w:ascii="Arial" w:cs="Arial" w:eastAsia="Arial" w:hAnsi="Arial"/>
          <w:sz w:val="33"/>
          <w:szCs w:val="33"/>
          <w:color w:val="auto"/>
          <w:vertAlign w:val="subscript"/>
        </w:rPr>
      </w:pPr>
      <w:r>
        <w:rPr>
          <w:rFonts w:ascii="Arial" w:cs="Arial" w:eastAsia="Arial" w:hAnsi="Arial"/>
          <w:sz w:val="17"/>
          <w:szCs w:val="17"/>
          <w:color w:val="auto"/>
        </w:rPr>
        <w:t>The interest payment of $358 due May 14, 2020 was paid in-kind by increasing the principal amount of the term loans by an amount equal to the interest accrued as of such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Interest expense related to the SWK Loan Agreement, as amended, amounted to $138 and $647 for the three and six months ended June 30, 2021, respectively, and $505 and $1,065 for the three and six months ended June 30, 2020, respectively, and included amortization of debt issuance costs and discount of $0 and $96 for the three and six months ended June 30, 2021, respectively, and $83 and $243 for the three and six months ended June 30,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the Company paid $15,540 related to all outstanding obligations to SWK under the SWK Loan, including outstanding principal, accrued interest, accrued exit fee and related expenses and recorded a loss from early extinguishment of $756 related to the SWK Loan during the three and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 – Forgiven in March 2021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 (the “SBA”). On March 30, 2021, the Company received a notice of forgiveness of the full balance of the PPP Loan, including all accrued interest, in accordance with the terms and conditions of the CARES Act. Related to the forgiveness, the Company recorded a gain on the forgiveness of the PPP Loan for the loan balance of $1,967 in the accompanying condensed consolidated statement of operations for the six months ended June 30,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At June 30, 2021, future minimum payments under the Company’s debt were as follows:</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1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r>
      <w:tr>
        <w:trPr>
          <w:trHeight w:val="209"/>
        </w:trPr>
        <w:tc>
          <w:tcPr>
            <w:tcW w:w="114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6,562</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80" w:type="dxa"/>
            <w:vAlign w:val="bottom"/>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77,158</w:t>
            </w:r>
          </w:p>
        </w:tc>
        <w:tc>
          <w:tcPr>
            <w:tcW w:w="80" w:type="dxa"/>
            <w:vAlign w:val="bottom"/>
            <w:tcBorders>
              <w:bottom w:val="single" w:sz="8" w:color="CCEEFF"/>
            </w:tcBorders>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106,732</w:t>
            </w:r>
          </w:p>
        </w:tc>
        <w:tc>
          <w:tcPr>
            <w:tcW w:w="80" w:type="dxa"/>
            <w:vAlign w:val="bottom"/>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(31,732)</w:t>
            </w:r>
          </w:p>
        </w:tc>
      </w:tr>
      <w:tr>
        <w:trPr>
          <w:trHeight w:val="216"/>
        </w:trPr>
        <w:tc>
          <w:tcPr>
            <w:tcW w:w="114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Less: unamortized discount, net of premium</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(3,735)</w:t>
            </w:r>
          </w:p>
        </w:tc>
      </w:tr>
      <w:tr>
        <w:trPr>
          <w:trHeight w:val="230"/>
        </w:trPr>
        <w:tc>
          <w:tcPr>
            <w:tcW w:w="114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net of unamortized discount</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non-cancelable operating leases listed below. These lease agreements have remaining terms between one to four years and contain various clauses for renewal at the Company’s option.</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An operating lease for 26,400 square feet of lab, warehouse and office space in Ledgewood, New Jersey that expires in July 2026, with an option</w:t>
      </w:r>
    </w:p>
    <w:p>
      <w:pPr>
        <w:spacing w:after="0" w:line="46" w:lineRule="exact"/>
        <w:rPr>
          <w:rFonts w:ascii="Arial" w:cs="Arial" w:eastAsia="Arial" w:hAnsi="Arial"/>
          <w:sz w:val="18"/>
          <w:szCs w:val="18"/>
          <w:color w:val="auto"/>
        </w:rPr>
      </w:pPr>
    </w:p>
    <w:p>
      <w:pPr>
        <w:jc w:val="both"/>
        <w:ind w:left="660" w:hanging="328"/>
        <w:spacing w:after="0" w:line="187" w:lineRule="auto"/>
        <w:tabs>
          <w:tab w:leader="none" w:pos="66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to extend the term for two additional five-year periods. This includes an amendment that was made effective July 2020 that extended the term of the original lease and added 1,400 of additional square footage to the lease and another amendment entered into in May 2021 that extended the term of the lease to July 2027; and</w:t>
      </w:r>
    </w:p>
    <w:p>
      <w:pPr>
        <w:spacing w:after="0" w:line="204" w:lineRule="exact"/>
        <w:rPr>
          <w:rFonts w:ascii="Arial" w:cs="Arial" w:eastAsia="Arial" w:hAnsi="Arial"/>
          <w:sz w:val="36"/>
          <w:szCs w:val="36"/>
          <w:color w:val="auto"/>
          <w:vertAlign w:val="subscript"/>
        </w:rPr>
      </w:pPr>
    </w:p>
    <w:p>
      <w:pPr>
        <w:ind w:left="660" w:hanging="328"/>
        <w:spacing w:after="0" w:line="182" w:lineRule="auto"/>
        <w:tabs>
          <w:tab w:leader="none" w:pos="660" w:val="left"/>
        </w:tabs>
        <w:numPr>
          <w:ilvl w:val="0"/>
          <w:numId w:val="6"/>
        </w:numPr>
        <w:rPr>
          <w:rFonts w:ascii="Arial" w:cs="Arial" w:eastAsia="Arial" w:hAnsi="Arial"/>
          <w:sz w:val="34"/>
          <w:szCs w:val="34"/>
          <w:color w:val="auto"/>
          <w:vertAlign w:val="subscript"/>
        </w:rPr>
      </w:pPr>
      <w:r>
        <w:rPr>
          <w:rFonts w:ascii="Arial" w:cs="Arial" w:eastAsia="Arial" w:hAnsi="Arial"/>
          <w:sz w:val="17"/>
          <w:szCs w:val="17"/>
          <w:color w:val="auto"/>
        </w:rPr>
        <w:t>An operating lease for 5,500 square feet of office space in Nashville, Tennessee that expires in December 2024, with an option to extend the term for two additional five-year periods.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2021, the Company amended its New Jersey lease to include the addition of 8,926 square feet of space (the “May Lease Amendment”), which will expire in July 2027. The Company expects to take possession of this additional space in September 2021, which will trigger the commencement of the May Lease Amendment. Since the commencement date of the May Lease Amendment is expected to occur after June 30, 2021, right-of-use assets and operating lease liabilities associated with the May Lease Amendment are not included in the Company’s condensed consolidated balance sheets as of June 30,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At June 30, 2021, the weighted average incremental borrowing rate and the weighted average remaining lease term for the operating leases held by the Company were 6.32% and 14.08 years, respectively.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three and six months ended June 30, 2021, cash paid for amounts included for the operating lease liabilities was $251 and $502, respectively, and the Company recorded operating lease expense of $241 and $502 included in selling, general and administrative expenses,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color w:val="auto"/>
              </w:rPr>
              <w:t>Future lease payments under operating leases as of June 30, 2021 were as follows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w w:val="92"/>
              </w:rPr>
              <w:t>The Company also has a finance lease that is included in its lease accounting but is not considered significant.</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color w:val="auto"/>
              </w:rPr>
              <w:t>Future lease payments under the non-cancelable finance lease as of June 30, 2021 were as follows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current portion, finance lease obligation</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 net of current portion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2021, the weighted average incremental borrowing rate and the weighted average remaining lease term for the finance lease held by the Company were 6.36% and 2.58 years,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2021, depreciation expense related to the equipment held under the finance lease obligation was $2 and $4,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2021, cash paid and expense recognized for interest expense related to the finance lease obligation was $0 and $1,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2021 and 2020, the Company had 5,000,000 shares of preferred stock, $0.001 par value, authorized and no shares of preferred stock issued and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Series B Cumulative Preferred Stock – Redeemed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2021, the Company sold 440,000 shares of the Company’s Series B Cumulative Preferred Stock, par value $0.001 per share and liquidation preference of $25.00 per share (the “Series B Preferred Stock”), for a net purchase price of approximately $10,655. The Series B Preferred Stock was not convertible into our common stock, had no voting rights, except as required by Delaware law, and was redeemable by the Company at any time. Holders of Series B Preferred Stock were entitled to cumulative cash dividends at the rate of 9.50% of the $25.00 liquidation preference per year; provided, however, that for each thirty (30) day period following May 5, 2021, the dividend rate increased at various rates, except as otherwise limited by applicable law. Dividends were payable quarterly in arrears, on or about the 15th of January, April, July and October, beginning on or about July 15, 2021.</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2021, the Company redeemed all of the outstanding shares of the Company’s Series B Preferred Stock, par value $0.001 per share. The redemption price for the 440,000 shares of Series B Preferred Stock outstanding was equal to $25.00 per share, plus accrued and unpaid dividends, which in aggregate totaled $11,127. During the three and six months ended June 30, 2021, the Company recorded preferred stock cash dividends and deemed dividends equal to $472.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the Company issued 311,369 shares of its common stock upon the cashless exercise of warrants to purchase 406,539 shares of common stock with exercise prices between $1.79 and $3.75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the Company issued 16,613 shares of its common stock upon the exercise of options to purchase 16,613 shares of common stock with exercise prices between $1.70 and $4.29 per share and received net proceeds of $48.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the Company issued 715,871 shares of its common stock to Mark L. Baum, its CEO, related to the vesting of 1,050,000 performance-based restricted stock units. The Company withheld issuance of 334,129 shares of common stock valued at $2,760 for payroll tax purposes.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the Company issued 100,168 shares of common stock to Andrew R. Boll, its CFO, related to the vesting of 157,500 performance-based restricted stock units. The Company withheld issuance of 57,332 shares of common stock to Mr. Boll for payroll tax purposes valued at $468.</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35,510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June 30, 2021, the 2017 Plan provides for the issuance of a maximum of 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3,967,251 shares available for future issuances under the 2017 Plan at June 30,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6"/>
          </w:tcPr>
          <w:p>
            <w:pPr>
              <w:spacing w:after="0"/>
              <w:rPr>
                <w:sz w:val="20"/>
                <w:szCs w:val="20"/>
                <w:color w:val="auto"/>
              </w:rPr>
            </w:pPr>
            <w:r>
              <w:rPr>
                <w:rFonts w:ascii="Arial" w:cs="Arial" w:eastAsia="Arial" w:hAnsi="Arial"/>
                <w:sz w:val="18"/>
                <w:szCs w:val="18"/>
                <w:color w:val="auto"/>
                <w:w w:val="95"/>
              </w:rPr>
              <w:t>A summary of stock option activity under the Plans for the six months ended June 30, 2021 is as follows: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Avg.</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Number of Shares</w:t>
            </w:r>
          </w:p>
        </w:tc>
        <w:tc>
          <w:tcPr>
            <w:tcW w:w="114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3,030,033</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5.43</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 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67,000</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8.07</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(16,613)</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2.99</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(29,945)</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5.32</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3,050,475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5.50</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3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40" w:type="dxa"/>
            <w:vAlign w:val="bottom"/>
            <w:vMerge w:val="restart"/>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1"/>
              </w:rPr>
              <w:t>5.01</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4.85</w:t>
            </w: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2,333,132</w:t>
            </w:r>
          </w:p>
        </w:tc>
        <w:tc>
          <w:tcPr>
            <w:tcW w:w="3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38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2,978,866</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50"/>
              <w:spacing w:after="0" w:line="19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w w:val="91"/>
              </w:rPr>
              <w:t>5.46</w:t>
            </w:r>
          </w:p>
        </w:tc>
        <w:tc>
          <w:tcPr>
            <w:tcW w:w="16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5.25</w:t>
            </w:r>
          </w:p>
        </w:tc>
        <w:tc>
          <w:tcPr>
            <w:tcW w:w="38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11,399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2021, based on the closing price of the Company’s common stock of $9.29 on that 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 months ended June 30, 2021,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six months ended June 30, 2021 included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7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0.39-0.45%</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Options Outstanding</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ind w:left="960"/>
              <w:spacing w:after="0"/>
              <w:rPr>
                <w:sz w:val="20"/>
                <w:szCs w:val="20"/>
                <w:color w:val="auto"/>
              </w:rPr>
            </w:pPr>
            <w:r>
              <w:rPr>
                <w:rFonts w:ascii="Arial" w:cs="Arial" w:eastAsia="Arial" w:hAnsi="Arial"/>
                <w:sz w:val="18"/>
                <w:szCs w:val="18"/>
                <w:b w:val="1"/>
                <w:bCs w:val="1"/>
                <w:color w:val="auto"/>
              </w:rPr>
              <w:t>Options Exercisable</w:t>
            </w:r>
          </w:p>
        </w:tc>
      </w:tr>
      <w:tr>
        <w:trPr>
          <w:trHeight w:val="29"/>
        </w:trPr>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9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w:t>
            </w: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280" w:type="dxa"/>
            <w:vAlign w:val="bottom"/>
          </w:tcPr>
          <w:p>
            <w:pPr>
              <w:spacing w:after="0"/>
              <w:rPr>
                <w:sz w:val="18"/>
                <w:szCs w:val="18"/>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Exercise</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Prices</w:t>
            </w: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Life in Years</w:t>
            </w:r>
          </w:p>
        </w:tc>
        <w:tc>
          <w:tcPr>
            <w:tcW w:w="280" w:type="dxa"/>
            <w:vAlign w:val="bottom"/>
          </w:tcPr>
          <w:p>
            <w:pPr>
              <w:spacing w:after="0"/>
              <w:rPr>
                <w:sz w:val="20"/>
                <w:szCs w:val="20"/>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Price</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Exercisable</w:t>
            </w: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$1.47 - $2.60</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755,208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$2.76 - $4.66</w:t>
            </w:r>
          </w:p>
        </w:tc>
        <w:tc>
          <w:tcPr>
            <w:tcW w:w="2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506,566</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5.22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449,872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$5.49 - $6.36</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470,350</w:t>
            </w:r>
          </w:p>
        </w:tc>
        <w:tc>
          <w:tcPr>
            <w:tcW w:w="2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348,128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36"/>
        </w:trPr>
        <w:tc>
          <w:tcPr>
            <w:tcW w:w="1700" w:type="dxa"/>
            <w:vAlign w:val="bottom"/>
          </w:tcPr>
          <w:p>
            <w:pPr>
              <w:spacing w:after="0"/>
              <w:rPr>
                <w:sz w:val="20"/>
                <w:szCs w:val="20"/>
                <w:color w:val="auto"/>
              </w:rPr>
            </w:pPr>
            <w:r>
              <w:rPr>
                <w:rFonts w:ascii="Arial" w:cs="Arial" w:eastAsia="Arial" w:hAnsi="Arial"/>
                <w:sz w:val="18"/>
                <w:szCs w:val="18"/>
                <w:color w:val="auto"/>
              </w:rPr>
              <w:t>$6.64 - $8.99</w:t>
            </w:r>
          </w:p>
        </w:tc>
        <w:tc>
          <w:tcPr>
            <w:tcW w:w="2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1,313,241</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4.93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7.86</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779,924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29"/>
        </w:trPr>
        <w:tc>
          <w:tcPr>
            <w:tcW w:w="1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$1.47 - $8.99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3,050,475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5.28</w:t>
            </w:r>
          </w:p>
        </w:tc>
        <w:tc>
          <w:tcPr>
            <w:tcW w:w="28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2,333,132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r>
      <w:tr>
        <w:trPr>
          <w:trHeight w:val="20"/>
        </w:trPr>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there was approximately $2,012 of total unrecognized compensation expense related to unvested stock options granted under the Plans. That expense is expected to be recognized over the weighted-average remaining vesting period of 5.17 years. The stock-based compensation for all stock options was $569 and $1,021 during the three and six months ended June 30, 2021,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intrinsic value of options exercised during the three and six months ended June 30, 2021 was $14 and $77,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300,000 RSUs with a fair market value of $2,670 were issued to certain employees; the RSUs vest in full on the third anniversary of the grant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the Company’s board of directors were granted 38,576 RSUs with a fair market value of $400 which vest in equal quarterly installments over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2021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Weighted Average Grant</w:t>
            </w:r>
          </w:p>
        </w:tc>
      </w:tr>
      <w:tr>
        <w:trPr>
          <w:trHeight w:val="241"/>
        </w:trPr>
        <w:tc>
          <w:tcPr>
            <w:tcW w:w="4520" w:type="dxa"/>
            <w:vAlign w:val="bottom"/>
          </w:tcPr>
          <w:p>
            <w:pPr>
              <w:spacing w:after="0"/>
              <w:rPr>
                <w:sz w:val="20"/>
                <w:szCs w:val="20"/>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 RSUs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Date Fair Value</w:t>
            </w:r>
          </w:p>
        </w:tc>
      </w:tr>
      <w:tr>
        <w:trPr>
          <w:trHeight w:val="216"/>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2021</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RSUs granted</w:t>
            </w:r>
          </w:p>
        </w:tc>
        <w:tc>
          <w:tcPr>
            <w:tcW w:w="2060" w:type="dxa"/>
            <w:vAlign w:val="bottom"/>
          </w:tcPr>
          <w:p>
            <w:pPr>
              <w:jc w:val="right"/>
              <w:spacing w:after="0"/>
              <w:rPr>
                <w:sz w:val="20"/>
                <w:szCs w:val="20"/>
                <w:color w:val="auto"/>
              </w:rPr>
            </w:pPr>
            <w:r>
              <w:rPr>
                <w:rFonts w:ascii="Arial" w:cs="Arial" w:eastAsia="Arial" w:hAnsi="Arial"/>
                <w:sz w:val="18"/>
                <w:szCs w:val="18"/>
                <w:color w:val="auto"/>
              </w:rPr>
              <w:t>338,576</w:t>
            </w:r>
          </w:p>
        </w:tc>
        <w:tc>
          <w:tcPr>
            <w:tcW w:w="140" w:type="dxa"/>
            <w:vAlign w:val="bottom"/>
          </w:tcPr>
          <w:p>
            <w:pPr>
              <w:spacing w:after="0"/>
              <w:rPr>
                <w:sz w:val="18"/>
                <w:szCs w:val="18"/>
                <w:color w:val="auto"/>
              </w:rPr>
            </w:pPr>
          </w:p>
        </w:tc>
        <w:tc>
          <w:tcPr>
            <w:tcW w:w="3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(1,243,009)</w:t>
            </w:r>
          </w:p>
        </w:tc>
        <w:tc>
          <w:tcPr>
            <w:tcW w:w="3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r>
      <w:tr>
        <w:trPr>
          <w:trHeight w:val="237"/>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cancelled/forfeited</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r>
      <w:tr>
        <w:trPr>
          <w:trHeight w:val="229"/>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2021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697,076</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total unrecognized compensation expense related to unvested RSUs was approximately $3,606, which is expected to be recognized over a weighted-average period of 1.74 years, based on estimated and actual vesting schedules of the applicable RSUs. The stock-based compensation for RSUs during the three and six months ended June 30, 2021 was $481 and $827,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 summary of warrant activity for the six months ended June 30, 2021 is as follows: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Subject to Warrants</w:t>
            </w:r>
          </w:p>
        </w:tc>
        <w:tc>
          <w:tcPr>
            <w:tcW w:w="12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 Avg. Exercise</w:t>
            </w:r>
          </w:p>
        </w:tc>
        <w:tc>
          <w:tcPr>
            <w:tcW w:w="0" w:type="dxa"/>
            <w:vAlign w:val="bottom"/>
          </w:tcPr>
          <w:p>
            <w:pPr>
              <w:spacing w:after="0"/>
              <w:rPr>
                <w:sz w:val="1"/>
                <w:szCs w:val="1"/>
                <w:color w:val="auto"/>
              </w:rPr>
            </w:pPr>
          </w:p>
        </w:tc>
      </w:tr>
      <w:tr>
        <w:trPr>
          <w:trHeight w:val="241"/>
        </w:trPr>
        <w:tc>
          <w:tcPr>
            <w:tcW w:w="6980" w:type="dxa"/>
            <w:vAlign w:val="bottom"/>
          </w:tcPr>
          <w:p>
            <w:pPr>
              <w:spacing w:after="0"/>
              <w:rPr>
                <w:sz w:val="20"/>
                <w:szCs w:val="20"/>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January 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(406,539)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Expired</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June 30, 2021</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 average remaining contractual life of the outstanding warrants in years - June 30,</w:t>
            </w: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2021</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Arial" w:cs="Arial" w:eastAsia="Arial" w:hAnsi="Arial"/>
                <w:sz w:val="18"/>
                <w:szCs w:val="18"/>
                <w:color w:val="auto"/>
              </w:rPr>
              <w:t>20</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980" w:type="dxa"/>
            <w:vAlign w:val="bottom"/>
            <w:tcBorders>
              <w:bottom w:val="single" w:sz="8" w:color="auto"/>
            </w:tcBorders>
            <w:vMerge w:val="continue"/>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Warrants outstanding and exercisable as of June 30,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Exercise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Warrant Series</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Issue Date</w:t>
            </w: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7/19/2017</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7/19/2024</w:t>
            </w: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Subsidiary Stock-Based Transactions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$28 and $85 in stock-based compensation expense related to subsidiary stock options during the three and six months ended June 30,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31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260" w:type="dxa"/>
            <w:vAlign w:val="bottom"/>
          </w:tcPr>
          <w:p>
            <w:pPr>
              <w:spacing w:after="0"/>
              <w:rPr>
                <w:sz w:val="19"/>
                <w:szCs w:val="19"/>
                <w:color w:val="auto"/>
              </w:rPr>
            </w:pPr>
          </w:p>
        </w:tc>
        <w:tc>
          <w:tcPr>
            <w:tcW w:w="262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5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center"/>
              <w:ind w:left="11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Employees - R&amp;D</w:t>
            </w: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8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the Company in the U.S. District Court of Delaware asserting various claims, including breach of contract. The claims stem from an asset purchase agreement between the Company and NDS entered into in 2013. In July 2019, NDS filed a second amended complaint which added claims related to its purported termination of the APA. In October 2019, NDS voluntarily dismissed all but two claims, leaving only claims related to the scope and performance of the post-termination obligations to be litigated. Trial is currently set to begin in November 2021. NDS is seeking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the death of Jade Erick. In April 2018, Erick filed an amendment to the lawsuit, naming the Company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Trial is currently set to begin October 2021. Erick is seeking unspecified damages, interest, attorneys’ fees and other costs. The Company believes the claims are meritless and has previously and will continue to dispute all claims asserted against it and intends to vigorously defend against these allegations. The Company’s insurance carrier has reserved its rights to seek contribution from the Company if the plaintiffs prevail on certain claims which the carrier alleges are uncovered. The Company believes the policy covers all claims.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$35 and $70 were made during the three and six months ended June 30, 2021, respectively. Payments totaling $0 and $55 were made during the three and six months ended June 30, 2020, respectively. Royalty expense of $44 and $79 was incurred during the three and six months ended June 30, 2021, respectively, and $44 is included in accounts payable to Dr. Lindstrom as of June 30, 2021. Royalty expense of $27 and $56 was incurred during the three and six months ended June 30,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$7 and $14 in cash during the three and six months ended June 30, 2021, respectively. Dr. Lindstrom was paid $0 and $7 in cash during the three and six months ended June 30, 2020, respectively. The Company incurred royalty expense of $7 and $14 and $4 and $42 related to the Lindstrom APA during the three and six months ended June 30, 2021, and 2020,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Eyepoint Commercial Alliance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DEXYCU in excess of predefined volumes to specific customers of the Company in the U.S. Under the terms of the Dexycu Agreement, the Company shall use commercially reasonable efforts to promote and market DEXYCU in the U.S.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DEXYCU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three and six months ended June 30, 2021, the Company recorded $827 and $1,312, respectively, in commission revenues related to the Dexycu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generally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Commission expenses of $1,032 and $1,836 and $318 and $921 were incurred under these agreements during the three and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Royalty expenses of $261 and $493 and $117 and $261 were incurred under these agreements for the three and six months ended June 30, 2021 and 2020, respectively, and $272 and $431 are included in accounts payable at June 30, 2021 and 2020,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Mayfield Pharmaceuticals MAY-66 License Termination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TGV. Mayfield has no outstanding or remaining obligations under the TGV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MAY-44 APA Termination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Mayfield and Harrow terminated their asset purchase agreement dated January 2020 for intellectual property rights associated with Mayfield’s drug candidate MAY-44 with Elle Pharmaceutical LLC (the “MAY-44 APA”). As part of the termination, Mayfield re-acquired 350,000 shares of its common stock from Elle. Mayfield has no outstanding or remaining obligations related to the MAY-44 APA.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License Termination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May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TGV. Stowe has no outstanding or remaining obligations under the Stowe License.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 AND CONCENTRATIONS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its two operating segments is based on segment contribution. The Company’s reportable segments consist of (i) its commercial stage pharmaceutical business known as ImprimisRx;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88"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defines segment net revenues as pharmaceutical compounded drug sales, licenses, commissions and other revenue derived from related agreements.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Segment net revenues, segment operating expenses and segment contribution information consisted of the following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207"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18"/>
                <w:szCs w:val="18"/>
                <w:b w:val="1"/>
                <w:bCs w:val="1"/>
                <w:color w:val="auto"/>
              </w:rPr>
              <w:t>June 30, 2021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ImprimisRx</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Pharmaceutical Drug Development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(4,417)</w:t>
            </w:r>
          </w:p>
        </w:tc>
        <w:tc>
          <w:tcPr>
            <w:tcW w:w="440" w:type="dxa"/>
            <w:vAlign w:val="bottom"/>
          </w:tcPr>
          <w:p>
            <w:pPr>
              <w:spacing w:after="0"/>
              <w:rPr>
                <w:sz w:val="20"/>
                <w:szCs w:val="20"/>
                <w:color w:val="auto"/>
              </w:rPr>
            </w:pPr>
          </w:p>
        </w:tc>
        <w:tc>
          <w:tcPr>
            <w:tcW w:w="2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(4,417)</w:t>
            </w:r>
          </w:p>
        </w:tc>
      </w:tr>
      <w:tr>
        <w:trPr>
          <w:trHeight w:val="216"/>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6,422</w:t>
            </w:r>
          </w:p>
        </w:tc>
        <w:tc>
          <w:tcPr>
            <w:tcW w:w="440" w:type="dxa"/>
            <w:vAlign w:val="bottom"/>
          </w:tcPr>
          <w:p>
            <w:pPr>
              <w:spacing w:after="0"/>
              <w:rPr>
                <w:sz w:val="18"/>
                <w:szCs w:val="18"/>
                <w:color w:val="auto"/>
              </w:rPr>
            </w:pPr>
          </w:p>
        </w:tc>
        <w:tc>
          <w:tcPr>
            <w:tcW w:w="2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6,422</w:t>
            </w:r>
          </w:p>
        </w:tc>
        <w:tc>
          <w:tcPr>
            <w:tcW w:w="80" w:type="dxa"/>
            <w:vAlign w:val="bottom"/>
          </w:tcPr>
          <w:p>
            <w:pPr>
              <w:spacing w:after="0"/>
              <w:rPr>
                <w:sz w:val="18"/>
                <w:szCs w:val="18"/>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44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57"/>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34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209</w:t>
            </w: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1"/>
                <w:szCs w:val="21"/>
                <w:color w:val="auto"/>
              </w:rPr>
            </w:pPr>
          </w:p>
        </w:tc>
      </w:tr>
      <w:tr>
        <w:trPr>
          <w:trHeight w:val="217"/>
        </w:trPr>
        <w:tc>
          <w:tcPr>
            <w:tcW w:w="54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18"/>
                <w:szCs w:val="18"/>
                <w:b w:val="1"/>
                <w:bCs w:val="1"/>
                <w:color w:val="auto"/>
              </w:rPr>
              <w:t>June 30, 2021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ImprimisRx</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Pharmaceutical Drug Development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33,577</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(8,187)</w:t>
            </w:r>
          </w:p>
        </w:tc>
        <w:tc>
          <w:tcPr>
            <w:tcW w:w="440" w:type="dxa"/>
            <w:vAlign w:val="bottom"/>
          </w:tcPr>
          <w:p>
            <w:pPr>
              <w:spacing w:after="0"/>
              <w:rPr>
                <w:sz w:val="20"/>
                <w:szCs w:val="20"/>
                <w:color w:val="auto"/>
              </w:rPr>
            </w:pPr>
          </w:p>
        </w:tc>
        <w:tc>
          <w:tcPr>
            <w:tcW w:w="2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(8,187)</w:t>
            </w:r>
          </w:p>
        </w:tc>
      </w:tr>
      <w:tr>
        <w:trPr>
          <w:trHeight w:val="216"/>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25,390</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12,193</w:t>
            </w:r>
          </w:p>
        </w:tc>
        <w:tc>
          <w:tcPr>
            <w:tcW w:w="440" w:type="dxa"/>
            <w:vAlign w:val="bottom"/>
          </w:tcPr>
          <w:p>
            <w:pPr>
              <w:spacing w:after="0"/>
              <w:rPr>
                <w:sz w:val="18"/>
                <w:szCs w:val="18"/>
                <w:color w:val="auto"/>
              </w:rPr>
            </w:pPr>
          </w:p>
        </w:tc>
        <w:tc>
          <w:tcPr>
            <w:tcW w:w="2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12,193</w:t>
            </w:r>
          </w:p>
        </w:tc>
      </w:tr>
      <w:tr>
        <w:trPr>
          <w:trHeight w:val="25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56"/>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12,875</w:t>
            </w:r>
          </w:p>
        </w:tc>
        <w:tc>
          <w:tcPr>
            <w:tcW w:w="34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12,758</w:t>
            </w:r>
          </w:p>
        </w:tc>
        <w:tc>
          <w:tcPr>
            <w:tcW w:w="100" w:type="dxa"/>
            <w:vAlign w:val="bottom"/>
            <w:tcBorders>
              <w:top w:val="single" w:sz="8" w:color="CCEEFF"/>
              <w:bottom w:val="single" w:sz="8" w:color="CCEEFF"/>
            </w:tcBorders>
            <w:gridSpan w:val="2"/>
          </w:tcPr>
          <w:p>
            <w:pPr>
              <w:spacing w:after="0"/>
              <w:rPr>
                <w:sz w:val="22"/>
                <w:szCs w:val="22"/>
                <w:color w:val="auto"/>
              </w:rPr>
            </w:pPr>
          </w:p>
        </w:tc>
      </w:tr>
      <w:tr>
        <w:trPr>
          <w:trHeight w:val="197"/>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578</w:t>
            </w: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1"/>
                <w:szCs w:val="21"/>
                <w:color w:val="auto"/>
              </w:rPr>
            </w:pPr>
          </w:p>
        </w:tc>
      </w:tr>
      <w:tr>
        <w:trPr>
          <w:trHeight w:val="216"/>
        </w:trPr>
        <w:tc>
          <w:tcPr>
            <w:tcW w:w="54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right="361"/>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441"/>
              <w:spacing w:after="0"/>
              <w:rPr>
                <w:sz w:val="20"/>
                <w:szCs w:val="20"/>
                <w:color w:val="auto"/>
              </w:rPr>
            </w:pPr>
            <w:r>
              <w:rPr>
                <w:rFonts w:ascii="Arial" w:cs="Arial" w:eastAsia="Arial" w:hAnsi="Arial"/>
                <w:sz w:val="18"/>
                <w:szCs w:val="18"/>
                <w:color w:val="auto"/>
              </w:rPr>
              <w:t>ImprimisRx</w:t>
            </w:r>
          </w:p>
        </w:tc>
        <w:tc>
          <w:tcPr>
            <w:tcW w:w="2780" w:type="dxa"/>
            <w:vAlign w:val="bottom"/>
            <w:gridSpan w:val="3"/>
          </w:tcPr>
          <w:p>
            <w:pPr>
              <w:ind w:left="20"/>
              <w:spacing w:after="0"/>
              <w:rPr>
                <w:sz w:val="20"/>
                <w:szCs w:val="20"/>
                <w:color w:val="auto"/>
              </w:rPr>
            </w:pPr>
            <w:r>
              <w:rPr>
                <w:rFonts w:ascii="Arial" w:cs="Arial" w:eastAsia="Arial" w:hAnsi="Arial"/>
                <w:sz w:val="18"/>
                <w:szCs w:val="18"/>
                <w:color w:val="auto"/>
                <w:w w:val="98"/>
              </w:rPr>
              <w:t>Pharmaceutical Drug Development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6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(3,204)</w:t>
            </w:r>
          </w:p>
        </w:tc>
        <w:tc>
          <w:tcPr>
            <w:tcW w:w="300" w:type="dxa"/>
            <w:vAlign w:val="bottom"/>
          </w:tcPr>
          <w:p>
            <w:pPr>
              <w:spacing w:after="0"/>
              <w:rPr>
                <w:sz w:val="20"/>
                <w:szCs w:val="20"/>
                <w:color w:val="auto"/>
              </w:rPr>
            </w:pPr>
          </w:p>
        </w:tc>
        <w:tc>
          <w:tcPr>
            <w:tcW w:w="24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4,598</w:t>
            </w:r>
          </w:p>
        </w:tc>
        <w:tc>
          <w:tcPr>
            <w:tcW w:w="300" w:type="dxa"/>
            <w:vAlign w:val="bottom"/>
          </w:tcPr>
          <w:p>
            <w:pPr>
              <w:spacing w:after="0"/>
              <w:rPr>
                <w:sz w:val="18"/>
                <w:szCs w:val="18"/>
                <w:color w:val="auto"/>
              </w:rPr>
            </w:pPr>
          </w:p>
        </w:tc>
        <w:tc>
          <w:tcPr>
            <w:tcW w:w="2480" w:type="dxa"/>
            <w:vAlign w:val="bottom"/>
            <w:gridSpan w:val="2"/>
          </w:tcPr>
          <w:p>
            <w:pPr>
              <w:jc w:val="right"/>
              <w:ind w:right="12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497</w:t>
            </w:r>
          </w:p>
        </w:tc>
        <w:tc>
          <w:tcPr>
            <w:tcW w:w="30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56"/>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vMerge w:val="restart"/>
          </w:tcPr>
          <w:p>
            <w:pPr>
              <w:jc w:val="right"/>
              <w:ind w:right="850"/>
              <w:spacing w:after="0"/>
              <w:rPr>
                <w:sz w:val="20"/>
                <w:szCs w:val="20"/>
                <w:color w:val="auto"/>
              </w:rPr>
            </w:pPr>
            <w:r>
              <w:rPr>
                <w:rFonts w:ascii="Arial" w:cs="Arial" w:eastAsia="Arial" w:hAnsi="Arial"/>
                <w:sz w:val="18"/>
                <w:szCs w:val="18"/>
                <w:color w:val="auto"/>
                <w:w w:val="89"/>
              </w:rPr>
              <w:t>25</w:t>
            </w: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center"/>
              <w:ind w:right="401"/>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5"/>
        </w:trPr>
        <w:tc>
          <w:tcPr>
            <w:tcW w:w="5400" w:type="dxa"/>
            <w:vAlign w:val="bottom"/>
          </w:tcPr>
          <w:p>
            <w:pPr>
              <w:spacing w:after="0"/>
              <w:rPr>
                <w:sz w:val="18"/>
                <w:szCs w:val="18"/>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Pharmaceutical</w:t>
            </w:r>
          </w:p>
        </w:tc>
        <w:tc>
          <w:tcPr>
            <w:tcW w:w="340" w:type="dxa"/>
            <w:vAlign w:val="bottom"/>
          </w:tcPr>
          <w:p>
            <w:pPr>
              <w:spacing w:after="0"/>
              <w:rPr>
                <w:sz w:val="18"/>
                <w:szCs w:val="18"/>
                <w:color w:val="auto"/>
              </w:rPr>
            </w:pPr>
          </w:p>
        </w:tc>
        <w:tc>
          <w:tcPr>
            <w:tcW w:w="2440" w:type="dxa"/>
            <w:vAlign w:val="bottom"/>
            <w:gridSpan w:val="2"/>
          </w:tcPr>
          <w:p>
            <w:pPr>
              <w:jc w:val="center"/>
              <w:ind w:right="461"/>
              <w:spacing w:after="0"/>
              <w:rPr>
                <w:sz w:val="20"/>
                <w:szCs w:val="20"/>
                <w:color w:val="auto"/>
              </w:rPr>
            </w:pPr>
            <w:r>
              <w:rPr>
                <w:rFonts w:ascii="Arial" w:cs="Arial" w:eastAsia="Arial" w:hAnsi="Arial"/>
                <w:sz w:val="18"/>
                <w:szCs w:val="18"/>
                <w:color w:val="auto"/>
                <w:w w:val="88"/>
              </w:rPr>
              <w:t>Pharmaceutical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Compounding</w:t>
            </w:r>
          </w:p>
        </w:tc>
        <w:tc>
          <w:tcPr>
            <w:tcW w:w="340" w:type="dxa"/>
            <w:vAlign w:val="bottom"/>
          </w:tcPr>
          <w:p>
            <w:pPr>
              <w:spacing w:after="0"/>
              <w:rPr>
                <w:sz w:val="20"/>
                <w:szCs w:val="20"/>
                <w:color w:val="auto"/>
              </w:rPr>
            </w:pPr>
          </w:p>
        </w:tc>
        <w:tc>
          <w:tcPr>
            <w:tcW w:w="2440" w:type="dxa"/>
            <w:vAlign w:val="bottom"/>
            <w:gridSpan w:val="2"/>
          </w:tcPr>
          <w:p>
            <w:pPr>
              <w:jc w:val="center"/>
              <w:ind w:right="461"/>
              <w:spacing w:after="0"/>
              <w:rPr>
                <w:sz w:val="20"/>
                <w:szCs w:val="20"/>
                <w:color w:val="auto"/>
              </w:rPr>
            </w:pPr>
            <w:r>
              <w:rPr>
                <w:rFonts w:ascii="Arial" w:cs="Arial" w:eastAsia="Arial" w:hAnsi="Arial"/>
                <w:sz w:val="18"/>
                <w:szCs w:val="18"/>
                <w:color w:val="auto"/>
                <w:w w:val="91"/>
              </w:rPr>
              <w:t>Drug Development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61"/>
              <w:spacing w:after="0"/>
              <w:rPr>
                <w:sz w:val="20"/>
                <w:szCs w:val="20"/>
                <w:color w:val="auto"/>
              </w:rPr>
            </w:pPr>
            <w:r>
              <w:rPr>
                <w:rFonts w:ascii="Arial" w:cs="Arial" w:eastAsia="Arial" w:hAnsi="Arial"/>
                <w:sz w:val="18"/>
                <w:szCs w:val="18"/>
                <w:color w:val="auto"/>
              </w:rPr>
              <w:t>Total</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(6,830)</w:t>
            </w:r>
          </w:p>
        </w:tc>
        <w:tc>
          <w:tcPr>
            <w:tcW w:w="340" w:type="dxa"/>
            <w:vAlign w:val="bottom"/>
          </w:tcPr>
          <w:p>
            <w:pPr>
              <w:spacing w:after="0"/>
              <w:rPr>
                <w:sz w:val="20"/>
                <w:szCs w:val="20"/>
                <w:color w:val="auto"/>
              </w:rPr>
            </w:pPr>
          </w:p>
        </w:tc>
        <w:tc>
          <w:tcPr>
            <w:tcW w:w="24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(6,830)</w:t>
            </w:r>
          </w:p>
        </w:tc>
      </w:tr>
      <w:tr>
        <w:trPr>
          <w:trHeight w:val="216"/>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11,238</w:t>
            </w:r>
          </w:p>
        </w:tc>
        <w:tc>
          <w:tcPr>
            <w:tcW w:w="340" w:type="dxa"/>
            <w:vAlign w:val="bottom"/>
          </w:tcPr>
          <w:p>
            <w:pPr>
              <w:spacing w:after="0"/>
              <w:rPr>
                <w:sz w:val="18"/>
                <w:szCs w:val="18"/>
                <w:color w:val="auto"/>
              </w:rPr>
            </w:pPr>
          </w:p>
        </w:tc>
        <w:tc>
          <w:tcPr>
            <w:tcW w:w="2440" w:type="dxa"/>
            <w:vAlign w:val="bottom"/>
            <w:gridSpan w:val="2"/>
          </w:tcPr>
          <w:p>
            <w:pPr>
              <w:jc w:val="right"/>
              <w:ind w:right="12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11,325</w:t>
            </w:r>
          </w:p>
        </w:tc>
      </w:tr>
      <w:tr>
        <w:trPr>
          <w:trHeight w:val="25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597</w:t>
            </w:r>
          </w:p>
        </w:tc>
      </w:tr>
      <w:tr>
        <w:trPr>
          <w:trHeight w:val="257"/>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3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3,957</w:t>
            </w: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88</w:t>
            </w: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363</w:t>
            </w:r>
          </w:p>
        </w:tc>
      </w:tr>
      <w:tr>
        <w:trPr>
          <w:trHeight w:val="230"/>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June 30, 2021 and December 31, 2020 were located in the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two products that each comprised more than 10% of total revenues during the quarter. These products collectively accounted for 36% of revenues during each of the three and six months ended June 30,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three and six months ended June 30, 2021 and 2020.</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85% and 79% of active pharmaceutical ingredient purchases during the three and six months ended June 30, 2021, respectively, and 60% and 70% of active pharmaceutical ingredient purchases during the three and six months ended June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2021 through the filing date of this Quarterly Report. Based on its evaluation, no events other than those described below need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Sintetica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2021, the Company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Sintetica Agreement, the Company will pay Sintetica a per unit transfer price to supply AMP-100, along with a per unit royalty for units sold. The Company is required to pay Sintetica up to $18,000 in one-time milestone payments including a $5,000 payment due within 30 days of signing the Sintetica Agreement and the balance of payments due upon achievement of certain regulatory and commercial milestones. Under the terms of the Sintetica Agreement, Sintetica will be responsible for regulatory filings for AMP-100 in the U.S.</w:t>
      </w:r>
    </w:p>
    <w:p>
      <w:pPr>
        <w:spacing w:after="0" w:line="18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Subject to certain limitations, the term of the Sintetica Agreement is ten years, and allows for a ten-year extension if certain sales thresholds are met.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2020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ophthalmology pharmaceutical businesses, ImprimisRx. In addition to wholly owning ImprimisRx, we also have non-controlling equity positions in Surface Ophthalmics, Inc. (“Surface”) and Melt Pharmaceuticals, Inc. (“Melt”), both companies that began as subsidiaries of Harrow. In 2020, Harrow created Visionology, Inc. (“Visionology”) and recently launched an online eye health platform business in certain regions. We also own royalty rights in various drug candidates being developed by Surface and Melt.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ImprimisRx is our ophthalmology focused prescription pharmaceutical business. We offer to over 10,000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FDA-guidance documents, in our FDA-registered New Jersey outsourcing facility (“NJOF”).</w:t>
      </w:r>
    </w:p>
    <w:p>
      <w:pPr>
        <w:spacing w:after="0" w:line="19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On August 1, 2020, ImprimisRx entered into a Commercial Alliance Agreement (the “Dexycu Agreement”) with Eyepoint Pharmaceuticals, Inc. (“Eyepoint”), pursuant to which Eyepoint granted ImprimisRx the non-exclusive right to co-promote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pays ImprimisRx a fee that is calculated based on the quarterly sales of DEXCYU in excess of predefined volumes to specific customers of ImprimisRx in the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AMP-100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Sintetica has granted the Company the exclusive license and marketing rights to AMP-100 in the U.S. and Canada. AMP-100 is a patented, ophthalmic topical anesthetic drug candidate. If FDA-approved, the active ingredient used in AMP-100 will be the first approved use of this active ingredient in the U.S. ophthalmic market.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safety and efficacy of AMP-100 was demonstrated in various clinical trials including a Phase 2/3 randomized, double-masked, vehicle-controlled, efficacy, safety and tolerability study in healthy volunteers and a non-inferiority Phase 3 study of 342 patients undergoing cataract surgeries comparing AMP-100 to an active comparator. Ultimately, these studies demonstrated:</w:t>
      </w:r>
    </w:p>
    <w:p>
      <w:pPr>
        <w:spacing w:after="0" w:line="184"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AMP-100 is safe, and the most common adverse event was mydrasis (dilation of pupil) in about 20% of patients which is an effect most ophthalmologists may consider beneficial;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AMP-100 has rapid onset, and no inferiority to the active comparator (Phase 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Anesthesia success of patients receiving AMP-100 was 95% vs. 20% with placebo (Phase 2/3 study);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Single administration of AMP-100 provides roughly 20 minutes of sensory loss;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AMP-100 has predictable offset (end of anesthesia) within a narrow bell curve (i.e. no wide variance).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a new drug application (“NDA”) for AMP-100 to be submitted by Sintetica to the FDA in the fourth quarter of 2021 and, if approved, we plan to commercially launch AMP-100 in the fourth quarter of 2022.</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approved, we expect our initial commercial focus of AMP-100 to be on ophthalmic procedures that traditionally require the eye to be anesthetized. According to a 2019 MarketScope report, there are over four million cataract surgeries performed in the U.S. annually. In addition to cataract procedures, according to Ophthalmologica, there were about 5.9 million intravitreal injections performed in the U.S. in 2018. Most of these intravitreal injections, which are typically treatments for variety of conditions, including, age-related macular degeneration, diabetic macular edema, and uveitis, often require the ocular surface to be anesthetized during the procedure.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AMP-100 is protected by one issued patent and another patent-pending. The issued patent includes composition of matter and method of use claims and could provide protection for AMP-100 into 2037.</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AMP-100, we expect to acquire and/or develop additional FDA-approved/approvable ophthalmic products and product candidates that will allow us to leverage the commercial infrastructure of ImprimisRx to promote, sell, and ultimately bring these products to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Visionology, a direct-to-consumer online eye health platform, leverages our experience in the ophthalmic pharmaceutical business as well as our relationships with eyecare professionals across the United States. We recently launched a proof-of-concept model for Visionology within a certain region of the U.S., and if successful, will expand the launch on a nationwide basis later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Carve-Out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Eton Pharmaceuticals, Inc. (“Eton”), Surface and Melt and hold royalty interests in some of the drug candidates of Surface and Melt.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and 2019, we formed and created subsidiaries named Radley Pharmaceuticals, Inc. (“Radley”), Mayfield Pharmaceuticals, Inc. (“Mayfield”), and Stowe Pharmaceuticals, Inc. (“Stowe”). In 2020, we halted nearly all operating activities related to these subsidiaries to invest resources in other areas and may not restart any or all activities related to these businesses. In addition, we terminated license and acquisition agreements for Mayfield’s MAY-66 and MAY-44 drug candidates, and Stowe’s STE-006 drug candidate.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De-Consolidated Businesses (Noncontrolling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as well as being the first preservative-free unit dose therapy for the treatment of post-operative pain and inflammation.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Also in January 2021, Surface announced the first patient dosed in a head-to-head phase 2 trial for its drug candidate SURF-100 (mycophenolate sodium and betamethasone in Klarity vehicle) for the treatment of chronic dry eye disease. The head-to-head study will compare SURF-100 against leading on-market competitors lifitegrast ophthalmic solution 5% (marketed as Xiidra®) and cyclosporine ophthalmic emulsion 0.05% (marketed as Restasis®).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Surface announced the first patient dosed in a phase 2 trial for its drug candidate SURF-200 (betamethasone in Klarity vehicle) for the treatment of episodic dry eye flares. The dose ranging study for SURF-200 will be administered in two different low concentration formulations of betamethasone in the Klarity vehicle. The trial will enroll 120 to 140 patients with a primary endpoint of Symptom Improvement of one unit based on the University of North Carolina Dry Eye Management Scale by the eighth day.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the equity and voting interests following the final close of the Surface Series B Offering.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MELT-100 is a novel, sublingually delivered, non-IV, opioid-free drug candidate being developed for procedural sedation. Melt filed an investigational new drug application (“IND”) with the FDA in June 2020 and began its clinical program for MELT-100. In February 2021, Melt announced data from, and the successful completion of, its phase 1 study. Melt expects to begin its phase 2 study for MELT-100 in the second half of 2021.</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2019, Melt closed an offering of its Series A Preferred Stock. At that time, we lost our controlling interest and deconsolidated Melt from our consolidated financial statements. We own 3,500,000 shares of Melt common stock, which was approximately 44% of the equity and voting interests issued and outstanding of as of June 30, 2021. We expect Melt to complete another round of financing within the next six months. Pursuant to the terms of the Melt Asset Purchase Agreement, Melt is required to make mid-single digit royalty payments to the Company on net sales of MELT-100, while any patent rights remain outstanding, subject to other conditions. Melt can require the Company to cease compounding like products at the time of FDA approval of MELT-100. If approved, we do not expect a cessation of compounding like products to have a material impact on our operations and financial performance.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Eton is a commercial-stage pharmaceutical company focused on developing and commercializing innovative drug products. Its pipeline includes several products and drug candidates in various stages of development across a variety of dosage forms. In May 2017, Eton closed an offering of its Series A Preferred Stock and we lost our controlling interest in it. In November 2018, Eton completed an initial public offering of its common stock. At that time, we gave up our controlling interest and deconsolidated Eton from our consolidated financial statements. As of the date of this Quarterly Report and following our April 2021 sale, we own 1,982,000 shares of Eton common stock. We owned less than 10% of the equity and voting interests issued and outstanding of Eton as of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near historical norms and trends as restrictions associated with elective procedures and the COVID-19 pandemic have continued to ease.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given the unprecedented and dynamic nature of the COVID-19 pandemic virus, including any mutations/variants,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certain developments in 2021 to date that are important to understand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notes to our condensed consolidated financial statements included in this report for additional information about each of these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2020, we entered into an unsecured promissory note and related Business Loan Agreement with Renasant Bank, as lender, for a loan (the “PPP Loan”) in the principal amount of $1,967,000 and received cash proceeds of the same amount, pursuant to the Paycheck Protection Program (the “PPP”) under the Federal Coronavirus Aid, Relief, and Economic Security Act (the “CARES Act”), which was enacted March 27, 2020. The PPP is administered by the U.S. Small Business Administration. On March 30, 2021, the Company received a notice of forgiveness of the full balance of the PPP Loan, including all accrued interest, in accordance with the terms and conditions of the CARES Act and accordingly recognized a gain on forgiveness of debt of $1,967,000.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Stock Sale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2021, we closed an underwritten public offering of 1,518,000 shares of our Eton common stock at a public offering price of $7.00 per share (the “Eton Stock Sale”). The gross proceeds to us from the Eton Stock Sale were $10,626,000 before deducting underwriting discounts and commissions and other offering expenses payable by the Company. Following such sale, we own 1,982,000 shares of Eton common stock, which represented less than 10% of the equity interests issued and outstanding of Eton as of June 30, 2021.</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part of the Eton Stock Sale, we also agreed, for a period of 180 days, not to conduct any further sales of shares of its common stock of Eton or otherwise dispose of, directly or indirectly, any common stock of Eton (or any securities convertible into, or exercisable or exchangeable for, the common stock of Eton).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Due 2026</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April, May and June 2021, we closed offerings totaling $75,000,000 aggregate principal amount of 8.625% senior notes due 2026 (the “Notes”). The Notes are senior unsecured obligations of the Company and rank equally in right of payment with all of our other existing and future senior unsecured and unsubordinated indebtedness. The Notes are effectively subordinated in right of payment to all of our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commencing on July 31, 2021. The Notes will mature on April 30, 2026.</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February 1, 2026, we may, at our option, redeem the Notes, in whole at any time or in part from time to time, at a redemption price equal to 100% of the principal amount of the Notes to be redeemed, plus a make-whole amount, if any, plus accrued and unpaid interest to, but excluding, the date of redemption. We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Cumulative Preferred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5, 2021, we sold 440,000 shares of Series B Cumulative Preferred Stock (the “Series B Preferred Stock”) for net proceeds of $10,670,000. On June 17, 2021, the Company redeemed all of the outstanding shares of the Series B Preferred Stock. The redemption price for the 440,000 shares of the Series B Preferred Stock outstanding was equal to $25.00 per share, plus accrued and unpaid dividends, which in aggregate totaled $11,127,000.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Sintetica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July 2021, we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the Sintetica Agreement, the Company will pay Sintetica a per unit transfer price to supply AMP-100, along with a per unit royalty for units sold. The Company is required to pay Sintetica up to $18,000 in one-time milestone payments including a $5,000 payment due within 30 days of signing the Sintetica Agreement and the balance of payments due upon achievement of certain regulatory and commercial milestones. Under the terms of the Sintetica Agreement, Sintetica will be responsible for regulatory filings for AMP-100 in the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certain limitations, the term of the Sintetica Agreement is ten years, and allows for a ten-year extension if certain sales thresholds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six months ended June 30, 2021 and 2020,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commissions from third parties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For the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1"/>
              </w:rPr>
              <w:t>For the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Variance</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Variance</w:t>
            </w:r>
          </w:p>
        </w:tc>
        <w:tc>
          <w:tcPr>
            <w:tcW w:w="100" w:type="dxa"/>
            <w:vAlign w:val="bottom"/>
            <w:gridSpan w:val="2"/>
          </w:tcPr>
          <w:p>
            <w:pPr>
              <w:spacing w:after="0"/>
              <w:rPr>
                <w:sz w:val="20"/>
                <w:szCs w:val="20"/>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1,312</w:t>
            </w:r>
          </w:p>
        </w:tc>
        <w:tc>
          <w:tcPr>
            <w:tcW w:w="2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8"/>
                <w:szCs w:val="18"/>
                <w:color w:val="auto"/>
              </w:rPr>
            </w:pPr>
          </w:p>
        </w:tc>
      </w:tr>
      <w:tr>
        <w:trPr>
          <w:trHeight w:val="249"/>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revenues</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r>
      <w:tr>
        <w:trPr>
          <w:trHeight w:val="217"/>
        </w:trPr>
        <w:tc>
          <w:tcPr>
            <w:tcW w:w="406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33,577</w:t>
            </w: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19,877</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revenues between periods was related to an increase in sales volumes of our ophthalmology products and commissions attributable to sales of Dexycu®.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4"/>
              </w:rPr>
              <w:t>For the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For the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9"/>
                <w:szCs w:val="19"/>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9"/>
                <w:szCs w:val="1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our cost of sales between periods was largely attributable to an increase in unit volumes sold.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4"/>
              </w:rPr>
              <w:t>For the</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4"/>
              </w:rPr>
              <w:t>For the</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6"/>
          </w:tcPr>
          <w:p>
            <w:pPr>
              <w:jc w:val="center"/>
              <w:ind w:right="45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9"/>
                <w:szCs w:val="1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9"/>
                <w:szCs w:val="1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87"/>
              </w:rPr>
              <w:t>Variance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75.6</w:t>
            </w: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60.2</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75.6</w:t>
            </w:r>
          </w:p>
        </w:tc>
        <w:tc>
          <w:tcPr>
            <w:tcW w:w="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65.6</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gross margin between periods is largely attributable to increased unit volumes sold, efficiencies in our production process, including increased batch sizes, and improved utilization of capacities as a result of increased output.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4"/>
              </w:rPr>
              <w:t>For the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For the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9"/>
                <w:szCs w:val="19"/>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9"/>
                <w:szCs w:val="1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selling, general and administrative expenses between periods was primarily attributable to an increase in commissions and other expenses related to increased sales, and as well as an increase in our sales and marketing expenses related to in-person conferences and new employee costs to support sales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research and development expenses primarily include personnel costs, including wages and stock-based compensation, expenses related to the development of intellectual property, investigator-initiated research and evaluations, formulation development, and other costs related to the clinical development of our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4"/>
              </w:rPr>
              <w:t>For the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1"/>
              </w:rPr>
              <w:t>For the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9"/>
                <w:szCs w:val="19"/>
                <w:color w:val="auto"/>
              </w:rPr>
            </w:pPr>
          </w:p>
        </w:tc>
        <w:tc>
          <w:tcPr>
            <w:tcW w:w="6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9"/>
                <w:szCs w:val="19"/>
                <w:color w:val="auto"/>
              </w:rPr>
            </w:pPr>
          </w:p>
        </w:tc>
        <w:tc>
          <w:tcPr>
            <w:tcW w:w="5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2020</w:t>
            </w:r>
          </w:p>
        </w:tc>
        <w:tc>
          <w:tcPr>
            <w:tcW w:w="300" w:type="dxa"/>
            <w:vAlign w:val="bottom"/>
          </w:tcPr>
          <w:p>
            <w:pPr>
              <w:spacing w:after="0"/>
              <w:rPr>
                <w:sz w:val="20"/>
                <w:szCs w:val="20"/>
                <w:color w:val="auto"/>
              </w:rPr>
            </w:pPr>
          </w:p>
        </w:tc>
        <w:tc>
          <w:tcPr>
            <w:tcW w:w="114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90"/>
              </w:rPr>
              <w:t>Variance</w:t>
            </w: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880" w:type="dxa"/>
            <w:vAlign w:val="bottom"/>
            <w:gridSpan w:val="3"/>
          </w:tcPr>
          <w:p>
            <w:pPr>
              <w:jc w:val="center"/>
              <w:ind w:right="1"/>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between periods was primarily attributable to formulation development studies for new ophthalmic formulations and clinical programs related to our drug development segment during the three and six months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$1,314,000 and $1,827,000 for the three and six months ended June 30, 2021, respectively, compared to $505,000 and $1,065,000 for the same periods last year, respectively. The increase during the period ended June 30, 2021 compared to the same period in 2020 was primarily due to an increase in the outstanding principal amount of our debt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Investment Loss from Melt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2021, we recorded a net loss of $477,000 and $947,000, respectively, related to our share of losses in Melt. During the three and six months ended June 30, 2020, we recorded a loss of $690,000 and $1,236,000, respectively, for our share of losses based on our ownership of Melt.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Surface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2021, we recorded a loss of $465,000 and $1,314,000, respectively, for our share of losses based on our ownership of Surface. During the three and six months ended June 30, 2020, we recorded a loss of $599,000 and $938,000, respectively, for our share of losses based on our ownership of Surface.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Eton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a loss of $3,584 ,000 and $6,419,000 related to the change in fair market value of Eton’s common stock and the sale of a portion of our Eton stock during the three and six months ended June 30, 2021, respectively. We recorded a gain of $4,725,000 and loss of $6,125 related to the change in fair market value of Eton’s common stock during the three and six months ended June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Early Extinguishment of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2021, we recorded a loss from the early extinguishment of loan of $756,000 related to the early payoff of the SWK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PPP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2021, we recorded gain on forgiveness of PPP loan of $1,967,000 related to the forgiveness of our PPP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and per share net loss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right"/>
              <w:ind w:right="107"/>
              <w:spacing w:after="0"/>
              <w:rPr>
                <w:sz w:val="20"/>
                <w:szCs w:val="20"/>
                <w:color w:val="auto"/>
              </w:rPr>
            </w:pPr>
            <w:r>
              <w:rPr>
                <w:rFonts w:ascii="Arial" w:cs="Arial" w:eastAsia="Arial" w:hAnsi="Arial"/>
                <w:sz w:val="18"/>
                <w:szCs w:val="18"/>
                <w:b w:val="1"/>
                <w:bCs w:val="1"/>
                <w:color w:val="auto"/>
              </w:rPr>
              <w:t>For the</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91"/>
              </w:rPr>
              <w:t>For the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62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 net loss attributable to Harrow Health, Inc. common</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(2,950,000)</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(2,733,000)</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(13,144,000)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34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(0.10</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our two operating segments are based on segment contribution. Our reportable segments consist of (i) our commercial stage pharmaceutical business ImprimisRx;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88" w:lineRule="exact"/>
        <w:rPr>
          <w:sz w:val="20"/>
          <w:szCs w:val="20"/>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See Note 16 to our condensed consolidated financial statements included in this Quarterly Report for more information about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on hand (including restricted cash) at June 30, 2021 was $72,851,000, compared to $4,301,000 at December 31, 2020.</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the date of this Quarterly Report, we believe that cash and cash equivalents of $72,651,000 and restricted cash of $200,000, totaling approximately $72,851,000 at June 30, 2021, will be sufficient to sustain our planned level of operations and capital expenditures for at least the next 12 months. In addition, we may consider the sale of certain assets including, but not limited to, part of, or all of, our ownership interest in Eton, Surface, Melt, and/or any of our consolidated subsidiaries. However, we may pursue acquisitions of pharmacies,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p>
      <w:pPr>
        <w:spacing w:after="0" w:line="221"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Six Months Ended</w:t>
      </w:r>
    </w:p>
    <w:p>
      <w:pPr>
        <w:spacing w:after="0" w:line="9"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9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8,648,000</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(3,201,000)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8,445,000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(610,000)</w:t>
            </w:r>
          </w:p>
        </w:tc>
        <w:tc>
          <w:tcPr>
            <w:tcW w:w="0" w:type="dxa"/>
            <w:vAlign w:val="bottom"/>
          </w:tcPr>
          <w:p>
            <w:pPr>
              <w:spacing w:after="0"/>
              <w:rPr>
                <w:sz w:val="1"/>
                <w:szCs w:val="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51,457,000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2,964,000</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w w:val="94"/>
              </w:rPr>
              <w:t>Cash, cash equivalents and restricted cash at beginning of the period</w:t>
            </w:r>
          </w:p>
        </w:tc>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4,301,000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4,949,000</w:t>
            </w: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72,851,000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40" w:type="dxa"/>
            <w:vAlign w:val="bottom"/>
            <w:vMerge w:val="restart"/>
          </w:tcPr>
          <w:p>
            <w:pPr>
              <w:jc w:val="right"/>
              <w:ind w:right="2070"/>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during the six months ended June 30, 2021 was $8,648,000 compared to net cash used in operating activities of $3,201,000 during the same period in the prior year. The increase in net cash provided by operating activities during the periods was mainly attributed to the increase in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during the six months ended June 30, 2021 was $8,445,000 compared to net cash used in investing activities of $610,000, respectively. Cash provided by investing activities in 2021 was primarily associated with the sale of a portion of our investment in Eton. Cash used in investing activities in 2020 was primarily associated with equipment and software purchases and upgrades along with investments in our intellectual property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2021 was $51,457,000 and $2,964,000, respectively. Cash provided by financing activities during the six months ended June 30, 2021 was primarily related to proceeds received from the sale of Notes, net of the payment of all outstanding obligations to the Company’s previous senior lender, SWK Funding, LLC and its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cash consist of cash provided by operating activities from our ImprimisRx business, and recently, proceeds from the sale of the Notes and sale of Eton Stock. We may also sell some or all of our ownership interests in Surface, Melt or our other subsidiaries, along with the some or all of the remaining portion of our Eton common stock.</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changing trends and overall economic outlook in light of the COVID-19 pandemic, including the historic interim stay-at-home orders and bans on elective surgeries, created uncertainty surrounding our operating outlook and may impact our future operating results if there is a rise in COVID-19 related cases in the U.S. In addition, we may acquire new products, product candidates and/or businesses,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2021. Based on this evaluation, our principal executive officer and principal financial officer have concluded that our disclosure controls and procedures were effective to achieve their stated purpose as of June 30, 2021,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June 30, 2021, that has materially affected, or is reasonably likely to materially affect, our internal control over financial reporting. We have not experienced any material impact to our internal control over financial reporting due to the COVID-19 pandemic. We are continually monitoring and assessing the COVID-19 pandemic on our internal controls to minimize the impact on their design and operating effectiveness.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You should consider all of the factors described in this section when evaluating our business as well as the risk factors and the other information in our Quarterly Report on Form 10-Q for the three months ended March 31, 2021 and in our Annual Report on Form 10-K for the year ended December 31, 2020, including our audited financial statements and the related notes and “Management’s Discussion and Analysis of Financial Condition and Results of Operations.” If any of the following risks actually occurs,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Senior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April, May and June 2021, we issued $75,000,000 aggregate principal amount of 8.625% senior notes due 2026 (the “Notes”).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648"/>
        <w:spacing w:after="0" w:line="287" w:lineRule="auto"/>
        <w:rPr>
          <w:sz w:val="20"/>
          <w:szCs w:val="20"/>
          <w:color w:val="auto"/>
        </w:rPr>
      </w:pPr>
      <w:r>
        <w:rPr>
          <w:rFonts w:ascii="Arial" w:cs="Arial" w:eastAsia="Arial" w:hAnsi="Arial"/>
          <w:sz w:val="16"/>
          <w:szCs w:val="16"/>
          <w:color w:val="auto"/>
        </w:rPr>
        <w:t>We have raised over $85,000,000 in funds through equity and debt financings in April, May and June 2021. We may seek to obtain additional capital through equity or debt financings, funding from corporate partnerships or licensing arrangements, sales of assets or other financing transactions. If we issue additional equity or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that we currently have or that we may incur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were issued contains limited protection for holders of the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7" w:lineRule="exact"/>
        <w:rPr>
          <w:sz w:val="20"/>
          <w:szCs w:val="20"/>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leveraged recapitalization, “going private” transaction (which may result in a significant increase of our indebtedness),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Notes may not develop, which could adversely affect the market price of the Notes or limit a holder’s ability to sell them.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Notes are quoted on Nasdaq under the symbol “HROWL.” We cannot provide any assurances that an active trading market will develop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does not develop, the liquidity and trading price for the Notes may be harmed. Accordingly, a holder may be required to bear the financial risk of an investment in the Notes for an indefinite period of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ratings lower than market expectations or that are subsequently lowered or withdrawn, the market for or the market value of the Notes could be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Subject to certain limited exceptions, the terms of the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92"/>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4"/>
                <w:szCs w:val="24"/>
                <w:color w:val="auto"/>
              </w:rPr>
            </w:pPr>
          </w:p>
        </w:tc>
        <w:tc>
          <w:tcPr>
            <w:tcW w:w="988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Certificate of Designation designating the Series B Cumulative Preferred Stock of the Company (incorporated herein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Exhibit 3.1 to the Current Report on Form 8-K of the Company filed with the SEC on May 5, 2021).</w:t>
              </w:r>
            </w:hyperlink>
          </w:p>
        </w:tc>
        <w:tc>
          <w:tcPr>
            <w:tcW w:w="26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Indenture, dated as of April 20, 2021, by and between the Company and U.S. Bank National Association, as Trustee (incorporated herein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by reference to Exhibit 4.1 to the Current Report on Form 8-K of the Company filed with the SEC on April 20, 2021).</w:t>
              </w:r>
            </w:hyperlink>
          </w:p>
        </w:tc>
        <w:tc>
          <w:tcPr>
            <w:tcW w:w="1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First Supplemental Indenture, dated as of April 20, 2021, by and between the Company and U.S. Bank National Association, as Trustee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(incorporated herein by reference to Exhibit 4.2 to the Current Report on Form 8-K of the Company filed with the SEC on April 20,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49">
              <w:r>
                <w:rPr>
                  <w:rFonts w:ascii="Arial" w:cs="Arial" w:eastAsia="Arial" w:hAnsi="Arial"/>
                  <w:sz w:val="18"/>
                  <w:szCs w:val="18"/>
                  <w:color w:val="0000EE"/>
                  <w:w w:val="86"/>
                </w:rPr>
                <w:t>2021).</w:t>
              </w:r>
            </w:hyperlink>
          </w:p>
        </w:tc>
        <w:tc>
          <w:tcPr>
            <w:tcW w:w="4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EE"/>
              </w:rPr>
            </w:pPr>
            <w:hyperlink r:id="rId49">
              <w:r>
                <w:rPr>
                  <w:rFonts w:ascii="Arial" w:cs="Arial" w:eastAsia="Arial" w:hAnsi="Arial"/>
                  <w:sz w:val="18"/>
                  <w:szCs w:val="18"/>
                  <w:color w:val="0000EE"/>
                </w:rPr>
                <w:t>Form of 8.625% Senior Note due 2026 (included in Exhibit 4.2).</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10.1</w:t>
            </w:r>
          </w:p>
        </w:tc>
        <w:tc>
          <w:tcPr>
            <w:tcW w:w="22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Securities Purchase Agreement, dated as of May 5, 2021, by and between the Company and B. Riley Securities, Inc. (incorporated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herein by reference to Exhibit 10.1 to the Current Report on Form 8-K of the Company filed with the SEC on May 5, 2021).</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220" w:type="dxa"/>
            <w:vAlign w:val="bottom"/>
          </w:tcPr>
          <w:p>
            <w:pPr>
              <w:spacing w:after="0"/>
              <w:rPr>
                <w:sz w:val="24"/>
                <w:szCs w:val="24"/>
                <w:color w:val="auto"/>
              </w:rPr>
            </w:pPr>
          </w:p>
        </w:tc>
        <w:tc>
          <w:tcPr>
            <w:tcW w:w="8940" w:type="dxa"/>
            <w:vAlign w:val="bottom"/>
            <w:tcBorders>
              <w:top w:val="single" w:sz="8" w:color="0000EE"/>
            </w:tcBorders>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License and Supply Agreement, dated as of July 25, 2021, by and between the Company and Sintetica, S.A.</w:t>
              </w:r>
            </w:hyperlink>
          </w:p>
        </w:tc>
        <w:tc>
          <w:tcPr>
            <w:tcW w:w="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First Amendment to the Harrow Health, Inc. 2017 Incentive Stock and Awards Plan (incorporated herein by reference to Appendix A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the Company’s Definitive Proxy Statement filed with the SEC on April 23, 2021).</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31.1*</w:t>
            </w:r>
          </w:p>
        </w:tc>
        <w:tc>
          <w:tcPr>
            <w:tcW w:w="220" w:type="dxa"/>
            <w:vAlign w:val="bottom"/>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Certification of Mark L. Baum, principal executive officer, pursuant to Rule 13a-14(a) or 15d-14(a) of the Securities and Exchange Act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of 1934, as adopted pursuant to Section 302 of the Sarbanes- Oxley Act of 2002.</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31.2*</w:t>
            </w:r>
          </w:p>
        </w:tc>
        <w:tc>
          <w:tcPr>
            <w:tcW w:w="220" w:type="dxa"/>
            <w:vAlign w:val="bottom"/>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Certification of Andrew R. Boll, principal financial and accounting officer, pursuant to Rule 13a-14(a) or 15d-14(a) of the Securities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Exchange Act of 1934, as adopted pursuant to Section 302 of the Sarbanes- 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32.1**</w:t>
            </w:r>
          </w:p>
        </w:tc>
        <w:tc>
          <w:tcPr>
            <w:tcW w:w="220" w:type="dxa"/>
            <w:vAlign w:val="bottom"/>
          </w:tcPr>
          <w:p>
            <w:pPr>
              <w:spacing w:after="0" w:line="20" w:lineRule="exact"/>
              <w:rPr>
                <w:sz w:val="1"/>
                <w:szCs w:val="1"/>
                <w:color w:val="auto"/>
              </w:rPr>
            </w:pPr>
          </w:p>
        </w:tc>
        <w:tc>
          <w:tcPr>
            <w:tcW w:w="6860" w:type="dxa"/>
            <w:vAlign w:val="bottom"/>
            <w:gridSpan w:val="5"/>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Certification pursuant to 18 U.S.C. Section 1350, as adopted pursuant to Section 906 of the Sarbanes-Oxley Act of 2002, executed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Mark L. Baum, principal executive officer, and Andrew R. Boll, principal financial and accounting officer.</w:t>
              </w:r>
            </w:hyperlink>
          </w:p>
        </w:tc>
        <w:tc>
          <w:tcPr>
            <w:tcW w:w="2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9880" w:type="dxa"/>
            <w:vAlign w:val="bottom"/>
            <w:gridSpan w:val="12"/>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hanging="1352"/>
        <w:spacing w:after="0" w:line="277" w:lineRule="auto"/>
        <w:tabs>
          <w:tab w:leader="none" w:pos="13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June 30, 2021, has been formatted in Inline XBRL.</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5540" w:right="4380" w:hanging="5532"/>
        <w:spacing w:after="0" w:line="820" w:lineRule="auto"/>
        <w:tabs>
          <w:tab w:leader="none" w:pos="338"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Portions of this exhibit have been omitted in compliance with Item 601 of Regulation S-K.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31" w:orient="portrait"/>
          <w:cols w:equalWidth="0" w:num="1">
            <w:col w:w="11240"/>
          </w:cols>
          <w:pgMar w:left="320" w:top="661" w:right="339" w:bottom="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10, 2021</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1012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Portions of this exhibit indicated by bracketed asterisks have been omitted because they are not material and would likely cause competitive harm to Harrow Health, Inc.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SUPPLY AGREEMENT</w:t>
      </w:r>
    </w:p>
    <w:p>
      <w:pPr>
        <w:spacing w:after="0" w:line="3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License and Supply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the last date of signature below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Sintetica S.A., a Swiss corporation having its principal place of business at Via Penate 5, 6850 Mendrisio, Switzerland, (“</w:t>
      </w:r>
      <w:r>
        <w:rPr>
          <w:rFonts w:ascii="Arial" w:cs="Arial" w:eastAsia="Arial" w:hAnsi="Arial"/>
          <w:sz w:val="17"/>
          <w:szCs w:val="17"/>
          <w:u w:val="single" w:color="auto"/>
          <w:color w:val="auto"/>
        </w:rPr>
        <w:t>Sintetica</w:t>
      </w:r>
      <w:r>
        <w:rPr>
          <w:rFonts w:ascii="Arial" w:cs="Arial" w:eastAsia="Arial" w:hAnsi="Arial"/>
          <w:sz w:val="17"/>
          <w:szCs w:val="17"/>
          <w:color w:val="auto"/>
        </w:rPr>
        <w:t>”), and Harrow IP LLC, a Delaware limited liability company having its principal place of business at 102 Woodmont Blvd., Suite 610, Nashville, TN 37205 USA, (“</w:t>
      </w:r>
      <w:r>
        <w:rPr>
          <w:rFonts w:ascii="Arial" w:cs="Arial" w:eastAsia="Arial" w:hAnsi="Arial"/>
          <w:sz w:val="17"/>
          <w:szCs w:val="17"/>
          <w:u w:val="single" w:color="auto"/>
          <w:color w:val="auto"/>
        </w:rPr>
        <w:t>Harrow</w:t>
      </w:r>
      <w:r>
        <w:rPr>
          <w:rFonts w:ascii="Arial" w:cs="Arial" w:eastAsia="Arial" w:hAnsi="Arial"/>
          <w:sz w:val="17"/>
          <w:szCs w:val="17"/>
          <w:color w:val="auto"/>
        </w:rPr>
        <w:t>”). Sintetica and Harrow are sometimes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36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Harrow is a pharmaceutical company engaged in the research, development and commercialization of products useful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amelioration, treatment or prevention of ophthalmic diseases and conditions.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Sintetica is a pharmaceutical company that has developed a 3% chloroprocaine gel for ophthalmic anesthesia use in 1 ml single use</w:t>
      </w:r>
      <w:r>
        <w:rPr>
          <w:rFonts w:ascii="Arial" w:cs="Arial" w:eastAsia="Arial" w:hAnsi="Arial"/>
          <w:sz w:val="18"/>
          <w:szCs w:val="18"/>
          <w:b w:val="1"/>
          <w:bCs w:val="1"/>
          <w:color w:val="auto"/>
        </w:rPr>
        <w:t xml:space="preserve"> </w:t>
      </w:r>
      <w:r>
        <w:rPr>
          <w:rFonts w:ascii="Arial" w:cs="Arial" w:eastAsia="Arial" w:hAnsi="Arial"/>
          <w:sz w:val="18"/>
          <w:szCs w:val="18"/>
          <w:color w:val="auto"/>
        </w:rPr>
        <w:t>plastic ampoules (the “</w:t>
      </w:r>
      <w:r>
        <w:rPr>
          <w:rFonts w:ascii="Arial" w:cs="Arial" w:eastAsia="Arial" w:hAnsi="Arial"/>
          <w:sz w:val="18"/>
          <w:szCs w:val="18"/>
          <w:u w:val="single" w:color="auto"/>
          <w:color w:val="auto"/>
        </w:rPr>
        <w:t>Product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Sintetica has completed a pivotal efficacy study for the Product, which is needed for marketing approval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(“USA”) and the Parties believe that no other studies are required to obtain marketing approval of the Product in the USA, while Harrow believes it may be worthwhile to have additional development work done to enhance the commercial appeal of the Product.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Sintetica intends to compile NDAs (as defined below) for the Product in the Territory (as defined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Sintetica’s contract manufacturing partner is capable of commercially manufacturing the Product and supplying it to Harrow.</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Harrow wishes to be granted, and Sintetica is willing to grant, subject to the terms and conditions of this Agreement, an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under the Product, its formulation, and associated intellectual property in order to obtain regulatory approval and to carry out commercialization of the Product in the Territory (as defined below) for the Licensed Indication (as defined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agreements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agree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Accepted</w:t>
      </w:r>
      <w:r>
        <w:rPr>
          <w:rFonts w:ascii="Arial" w:cs="Arial" w:eastAsia="Arial" w:hAnsi="Arial"/>
          <w:sz w:val="18"/>
          <w:szCs w:val="18"/>
          <w:color w:val="auto"/>
        </w:rPr>
        <w:t>” is defined in Section 6.9.</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Accounting Standards</w:t>
      </w:r>
      <w:r>
        <w:rPr>
          <w:rFonts w:ascii="Arial" w:cs="Arial" w:eastAsia="Arial" w:hAnsi="Arial"/>
          <w:sz w:val="17"/>
          <w:szCs w:val="17"/>
          <w:color w:val="auto"/>
        </w:rPr>
        <w:t>” means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provided, that, to the extent that a Party adopts International Financial Reporting Standards (“</w:t>
      </w:r>
      <w:r>
        <w:rPr>
          <w:rFonts w:ascii="Arial" w:cs="Arial" w:eastAsia="Arial" w:hAnsi="Arial"/>
          <w:sz w:val="17"/>
          <w:szCs w:val="17"/>
          <w:u w:val="single" w:color="auto"/>
          <w:color w:val="auto"/>
        </w:rPr>
        <w:t>IFRS</w:t>
      </w:r>
      <w:r>
        <w:rPr>
          <w:rFonts w:ascii="Arial" w:cs="Arial" w:eastAsia="Arial" w:hAnsi="Arial"/>
          <w:sz w:val="17"/>
          <w:szCs w:val="17"/>
          <w:color w:val="auto"/>
        </w:rPr>
        <w:t>”), Accounting Standards shall mean IFRS in either case, consistently applied.</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particular Party, a Person that 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other Affiliates, to direct or cause the direction of the management and policies of such entity, whether by the ownership of fifty percent (50%) or more of the voting stock of such entity, by contract, as a general partner or manager or otherwise.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statutes, ordinances, regulations, rules, or orders of any kind whatsoever of any Governmental Authority, including the U.S. Food, Drug and Cosmetic Act, (21 U.S.C. §301 et seq.) (“</w:t>
      </w:r>
      <w:r>
        <w:rPr>
          <w:rFonts w:ascii="Arial" w:cs="Arial" w:eastAsia="Arial" w:hAnsi="Arial"/>
          <w:sz w:val="18"/>
          <w:szCs w:val="18"/>
          <w:u w:val="single" w:color="auto"/>
          <w:color w:val="auto"/>
        </w:rPr>
        <w:t>FFDCA</w:t>
      </w:r>
      <w:r>
        <w:rPr>
          <w:rFonts w:ascii="Arial" w:cs="Arial" w:eastAsia="Arial" w:hAnsi="Arial"/>
          <w:sz w:val="18"/>
          <w:szCs w:val="18"/>
          <w:color w:val="auto"/>
        </w:rPr>
        <w:t>”), Public Health Service Act, (42 U.S.C. §201 et seq) (“</w:t>
      </w:r>
      <w:r>
        <w:rPr>
          <w:rFonts w:ascii="Arial" w:cs="Arial" w:eastAsia="Arial" w:hAnsi="Arial"/>
          <w:sz w:val="18"/>
          <w:szCs w:val="18"/>
          <w:u w:val="single" w:color="auto"/>
          <w:color w:val="auto"/>
        </w:rPr>
        <w:t>PHSA</w:t>
      </w:r>
      <w:r>
        <w:rPr>
          <w:rFonts w:ascii="Arial" w:cs="Arial" w:eastAsia="Arial" w:hAnsi="Arial"/>
          <w:sz w:val="18"/>
          <w:szCs w:val="18"/>
          <w:color w:val="auto"/>
        </w:rPr>
        <w:t>”), Prescription Drug Marketing Act, the Generic Drug Enforcement Act of 1992 (21 U.S.C. §335a et seq.), U.S. Patent Act (35 U.S.C. §1 et seq.), Federal Civil False Claims Act (31 U.S.C. §3729 et seq.), and the Anti-Kickback Statute (42 U.S.C. §1320a-7b et seq.), GCP, GLP, and GMP, all as amended from time to time, together with any rules, regulations, and compliance guidance promulgated thereunder and including any applicable foreign equivalents of any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Applicable Transfer Price</w:t>
      </w:r>
      <w:r>
        <w:rPr>
          <w:rFonts w:ascii="Arial" w:cs="Arial" w:eastAsia="Arial" w:hAnsi="Arial"/>
          <w:sz w:val="18"/>
          <w:szCs w:val="18"/>
          <w:color w:val="auto"/>
        </w:rPr>
        <w:t>” is defined in Section 6.13(d).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Bankruptcy Laws</w:t>
      </w:r>
      <w:r>
        <w:rPr>
          <w:rFonts w:ascii="Arial" w:cs="Arial" w:eastAsia="Arial" w:hAnsi="Arial"/>
          <w:sz w:val="18"/>
          <w:szCs w:val="18"/>
          <w:color w:val="auto"/>
        </w:rPr>
        <w:t>” is defined in Section 11.6(b).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Breaching Party</w:t>
      </w:r>
      <w:r>
        <w:rPr>
          <w:rFonts w:ascii="Arial" w:cs="Arial" w:eastAsia="Arial" w:hAnsi="Arial"/>
          <w:sz w:val="18"/>
          <w:szCs w:val="18"/>
          <w:color w:val="auto"/>
        </w:rPr>
        <w:t>” is defined in Section 11.3.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any other day on which commercial banks located in New York City, New York, U.S., or Mendrisio, Switzerland, are obligated by Applicable Law to close.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Calendar Year</w:t>
      </w:r>
      <w:r>
        <w:rPr>
          <w:rFonts w:ascii="Arial" w:cs="Arial" w:eastAsia="Arial" w:hAnsi="Arial"/>
          <w:sz w:val="18"/>
          <w:szCs w:val="18"/>
          <w:color w:val="auto"/>
        </w:rPr>
        <w:t>” means the twelve (12) month period ending on December 31; provided, however, that (a) the first Calendar Year of the Term, shall begin on the Effective Date and end on December 31, 2021; and (b) the last Calendar Year of the Term shall end on the effective date of expiration or termination of this Agreement.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with respect to a Party (an “</w:t>
      </w:r>
      <w:r>
        <w:rPr>
          <w:rFonts w:ascii="Arial" w:cs="Arial" w:eastAsia="Arial" w:hAnsi="Arial"/>
          <w:sz w:val="17"/>
          <w:szCs w:val="17"/>
          <w:u w:val="single" w:color="auto"/>
          <w:color w:val="auto"/>
        </w:rPr>
        <w:t>Acquired Party</w:t>
      </w:r>
      <w:r>
        <w:rPr>
          <w:rFonts w:ascii="Arial" w:cs="Arial" w:eastAsia="Arial" w:hAnsi="Arial"/>
          <w:sz w:val="17"/>
          <w:szCs w:val="17"/>
          <w:color w:val="auto"/>
        </w:rPr>
        <w:t>”), the occurrence of any of the following events from and after the Effective Date: (a) any Person or group of Persons becomes the beneficial owner (directly or indirectly) of voting securities representing more than fifty percent (50%) of the total voting power of all of the then-outstanding voting securities of such Acquired Party; (b) the consummation of a merger, consolidation, recapitalization, or reorganization of such Acquired Party, other than any such transaction, which results in stockholders or equity holders of such Acquired Party, or an Affiliate of such Acquired Party, immediately prior to such transaction owning at least fifty percent (50%) of the outstanding securities of the surviving entity (or its parent entity) immediately following such transaction; or (c) the sale or other transfer to a Third Party of all or substantially all of such Acquired Party’s assets which relate to this Agreement. Notwithstanding the foregoing, an investment transaction by venture capital or other financial investors not engaged in the pharmaceutical or biotechnology business and not otherwise affiliated with a pharmaceutical or biotechnology company, the purpose of which is to raise capital for a Party for working capital purposes only, shall not be deemed to be a Change of Control for purposes of this Agreement.</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Claim</w:t>
      </w:r>
      <w:r>
        <w:rPr>
          <w:rFonts w:ascii="Arial" w:cs="Arial" w:eastAsia="Arial" w:hAnsi="Arial"/>
          <w:sz w:val="18"/>
          <w:szCs w:val="18"/>
          <w:color w:val="auto"/>
        </w:rPr>
        <w:t>” is defined in Section 13.1.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Clinical Trial</w:t>
      </w:r>
      <w:r>
        <w:rPr>
          <w:rFonts w:ascii="Arial" w:cs="Arial" w:eastAsia="Arial" w:hAnsi="Arial"/>
          <w:sz w:val="18"/>
          <w:szCs w:val="18"/>
          <w:color w:val="auto"/>
        </w:rPr>
        <w:t>” means any human clinical study, bioequivalence study or trial of Product in the Field in the Territory.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Commercial Launch Plan</w:t>
      </w:r>
      <w:r>
        <w:rPr>
          <w:rFonts w:ascii="Arial" w:cs="Arial" w:eastAsia="Arial" w:hAnsi="Arial"/>
          <w:sz w:val="16"/>
          <w:szCs w:val="16"/>
          <w:color w:val="auto"/>
        </w:rPr>
        <w:t>” shall mean any good faith projections as to Harrow’s intended launch plan for Product in each country of the Territory, provided by Harrow to Sintetica in a timely manner with the purpose of facilitating Sintetica’s supply of launch quantities of Product as set forth in this Agreement, including any projected approval dates, forecasting of quantities required and timing for the supply of such quantities and other information useful for such purpose, and, including, in particular, all dates, quantities and other information to be provided by Harrow concerning Product launch, whether in forecasts, the Launch Order, or otherwise, pursuant to Sections 6.5 and 6.6(b), as may be amended from time to time, provided, however, that such amendments do not reduce the terms currently set forth in connection with forecasting and Launch Order leadtime in 6.5 and 6.6.</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Commercialize</w:t>
      </w:r>
      <w:r>
        <w:rPr>
          <w:rFonts w:ascii="Arial" w:cs="Arial" w:eastAsia="Arial" w:hAnsi="Arial"/>
          <w:sz w:val="17"/>
          <w:szCs w:val="17"/>
          <w:color w:val="auto"/>
        </w:rPr>
        <w:t>” or “</w:t>
      </w:r>
      <w:r>
        <w:rPr>
          <w:rFonts w:ascii="Arial" w:cs="Arial" w:eastAsia="Arial" w:hAnsi="Arial"/>
          <w:sz w:val="17"/>
          <w:szCs w:val="17"/>
          <w:u w:val="single" w:color="auto"/>
          <w:color w:val="auto"/>
        </w:rPr>
        <w:t>Commercialization</w:t>
      </w:r>
      <w:r>
        <w:rPr>
          <w:rFonts w:ascii="Arial" w:cs="Arial" w:eastAsia="Arial" w:hAnsi="Arial"/>
          <w:sz w:val="17"/>
          <w:szCs w:val="17"/>
          <w:color w:val="auto"/>
        </w:rPr>
        <w:t>” means all activities, whether initiated or conducted prior to or following Regulatory Approval for a Product in the Field and in the Territory, undertaken in support of the promotion, marketing, sale and distribution (including importing, exporting, transporting, customs clearance, warehousing, invoicing, handling and delivering Product to customers) of the Product, including: (a) sales force efforts, detailing, advertising, marketing and preparation and use of Promotional Materials, sales and distribution, pricing, contracting managed markets and medical affairs, including activities with respect to medical education and the distribution of medical information, clinical science liaison activities, and the conduct of investigator initiated sponsored research programs and health economics and outcomes research, and (b) product security activities, including enhancing supply chain security, implementing brand protection technologies, intelligence gathering, forensic analysis, customs recordation, and anti-counterfeiting enforcement action, such as taking Internet countermeasures, collaborating with law enforcement and seeking criminal restitution. “Commercialize” means to engage in Commercialization activities.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means, with respect to the efforts to be expended, or considerations to be undertaken, by a Party or its Affiliate with respect to any objective, activity or decision to be undertaken hereunder, reasonable, good faith efforts to accomplish such objective, activity or decision as used by a company in the industry of a similar size and profile as such Party to accomplish a similar objective, activity or decision, it being understood that with respect to Development and Commercialization of the Product, such efforts shall be consistent with those efforts to develop or commercialize, as the case may be, a product owned by such company or to which it has rights, which product is of similar market potential as the Product, and at a similar stage of its product life, taking into account the establishment of the product in the marketplace, the competitiveness of the marketplace, the proprietary position of the product, the regulatory status involved, and the profitability of the product, in the case of each such factor as in existence and as reasonably projected to be in existence during the Term of this Agreement, as well as other relevant factors including without limitation efficacy and patient safety, which efforts shall correspond at least to the same type (quality and quantity) of channels, methods, investments, time and staff (including, without limitation, sales force) and other resources, which are used by reputable pharmaceutical companies that are engaged in pharmaceutical business in the marketing (in the case of Harrow) or developing and licensing (in the case of Sintetica) of their own products with a similar potential in the Territory.</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Competing Product</w:t>
      </w:r>
      <w:r>
        <w:rPr>
          <w:rFonts w:ascii="Arial" w:cs="Arial" w:eastAsia="Arial" w:hAnsi="Arial"/>
          <w:sz w:val="17"/>
          <w:szCs w:val="17"/>
          <w:color w:val="auto"/>
        </w:rPr>
        <w:t>” shall mean a product that has the same active ingredient as the Product for use as an anesthetic in ophthalmology.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subject to the last paragraph of Section 10.3 or as further defined in Article 10, all non-public or proprietary Information disclosed by a Party to the other Party under this Agreement, which may include ideas, inventions, discoveries, concepts,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 association with, filings with any Governmental Authority, data, including pharmacological, toxicological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the like, without regard as to whether any of the foregoing is marked “confidential” or “proprietary,” or disclosed in oral, written, graphic, or electronic form. Confidential Information shall include: (a) the terms and conditions of this Agreement, which shall be deemed Confidential Information of both Parties; and (b) Confidential Information disclosed by either Party or its Affiliates to the other Party pursuant to the Prior Confidentiality Agreement.</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Control</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with respect to any Information, Know-How, Patent or other intellectual property right, the possession (including ownership) by a Party or its Affiliates, of the ability (without taking into account any rights granted by one Party to the other Party under the terms of this Agreement) to grant access, a license or a sublicense to such Information, Know-How, Patent or other intellectual property right without violating the terms of any agreement or other arrangement with, or necessitating the consent of, any Third Party, at such time that the Party would be first required under this Agreement to grant the other Party such access, license or sublicense. Notwithstanding the foregoing, a Party and its Affiliates will not be deemed to “Control” any Information, Know-How, Patent or other intellectual property right that, prior to the consummation of a Change of Control of such Party, is owned or in-licensed by a Third Party that becomes an Affiliate of such Acquired Party after the Effective Date as a result of such Change of Control unless</w:t>
      </w:r>
    </w:p>
    <w:p>
      <w:pPr>
        <w:spacing w:after="0" w:line="2" w:lineRule="exact"/>
        <w:rPr>
          <w:sz w:val="20"/>
          <w:szCs w:val="20"/>
          <w:color w:val="auto"/>
        </w:rPr>
      </w:pPr>
    </w:p>
    <w:p>
      <w:pPr>
        <w:jc w:val="both"/>
        <w:ind w:firstLine="8"/>
        <w:spacing w:after="0" w:line="290" w:lineRule="auto"/>
        <w:tabs>
          <w:tab w:leader="none" w:pos="2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prior to the consummation of such Change of Control, such Acquired Party or any of its Affiliates also Controlled such Information, Know-How, Patent or other intellectual property right, or (b) the Information, Know-How, Patent or other intellectual property right owned or in-licensed by such Third Party were not used in the performance of activities under this Agreement prior to the consummation of such Change of Control, but after the consummation of such Change of Control, the Acquired Party or any of its Affiliates determines to use or uses any such Information, Know-How, Patent or other intellectual property right in the performance of its obligations or exercise of its rights under this Agreement, in each of which cases ((a) and (b)), such Information, Know-How, Patent or other intellectual property right will be “Controlled” by such Party for purposes of this Agreement.</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CRL</w:t>
      </w:r>
      <w:r>
        <w:rPr>
          <w:rFonts w:ascii="Arial" w:cs="Arial" w:eastAsia="Arial" w:hAnsi="Arial"/>
          <w:sz w:val="18"/>
          <w:szCs w:val="18"/>
          <w:color w:val="auto"/>
        </w:rPr>
        <w:t>” is defined in Section 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Cure Period</w:t>
      </w:r>
      <w:r>
        <w:rPr>
          <w:rFonts w:ascii="Arial" w:cs="Arial" w:eastAsia="Arial" w:hAnsi="Arial"/>
          <w:sz w:val="18"/>
          <w:szCs w:val="18"/>
          <w:color w:val="auto"/>
        </w:rPr>
        <w:t>” is defined in Section 11.3.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Delivery Date</w:t>
      </w:r>
      <w:r>
        <w:rPr>
          <w:rFonts w:ascii="Arial" w:cs="Arial" w:eastAsia="Arial" w:hAnsi="Arial"/>
          <w:sz w:val="18"/>
          <w:szCs w:val="18"/>
          <w:color w:val="auto"/>
        </w:rPr>
        <w:t>” is defined in Section 6.6(a).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Development</w:t>
      </w:r>
      <w:r>
        <w:rPr>
          <w:rFonts w:ascii="Arial" w:cs="Arial" w:eastAsia="Arial" w:hAnsi="Arial"/>
          <w:sz w:val="17"/>
          <w:szCs w:val="17"/>
          <w:color w:val="auto"/>
        </w:rPr>
        <w:t>” means all research, non-clinical and clinical drug development activities, including toxicology, pharmacology, and other non-clinical efforts, statistical analysis, formulation development, delivery system development, statistical analysis, the performance of Clinical Trials, or other activities reasonably necessary in order to obtain Regulatory Approval of Product in the Field in the Territory. “Development” shall exclude all Commercialization activities and Regulatory Activities. When used as a verb, “Develop” means to engage in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Disclosing Party</w:t>
      </w:r>
      <w:r>
        <w:rPr>
          <w:rFonts w:ascii="Arial" w:cs="Arial" w:eastAsia="Arial" w:hAnsi="Arial"/>
          <w:sz w:val="18"/>
          <w:szCs w:val="18"/>
          <w:color w:val="auto"/>
        </w:rPr>
        <w:t>” is defined in Section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is defined in Section 12.2.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Excessive Amount” is defined in Section 6.6(d).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Exploit</w:t>
      </w:r>
      <w:r>
        <w:rPr>
          <w:rFonts w:ascii="Arial" w:cs="Arial" w:eastAsia="Arial" w:hAnsi="Arial"/>
          <w:sz w:val="18"/>
          <w:szCs w:val="18"/>
          <w:color w:val="auto"/>
        </w:rPr>
        <w:t>” or “</w:t>
      </w:r>
      <w:r>
        <w:rPr>
          <w:rFonts w:ascii="Arial" w:cs="Arial" w:eastAsia="Arial" w:hAnsi="Arial"/>
          <w:sz w:val="18"/>
          <w:szCs w:val="18"/>
          <w:u w:val="single" w:color="auto"/>
          <w:color w:val="auto"/>
        </w:rPr>
        <w:t>Exploitation</w:t>
      </w:r>
      <w:r>
        <w:rPr>
          <w:rFonts w:ascii="Arial" w:cs="Arial" w:eastAsia="Arial" w:hAnsi="Arial"/>
          <w:sz w:val="18"/>
          <w:szCs w:val="18"/>
          <w:color w:val="auto"/>
        </w:rPr>
        <w:t>” means to Develop, distribute, import, export, use, have used, sell, have sold, or offer for sale, including to Commercialize, register, modify, enhance, improve, or otherwise dispose of or perform Regulatory Activities. When referring to Product, “Exploit” or “Exploitation” means to carry out any such activities in relation to Product used in the Field in the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FFDCA</w:t>
      </w:r>
      <w:r>
        <w:rPr>
          <w:rFonts w:ascii="Arial" w:cs="Arial" w:eastAsia="Arial" w:hAnsi="Arial"/>
          <w:sz w:val="18"/>
          <w:szCs w:val="18"/>
          <w:color w:val="auto"/>
        </w:rPr>
        <w:t>” means the Federal Food, Drug and Cosmetic Act under United States Code, Title 21,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Field</w:t>
      </w:r>
      <w:r>
        <w:rPr>
          <w:rFonts w:ascii="Arial" w:cs="Arial" w:eastAsia="Arial" w:hAnsi="Arial"/>
          <w:sz w:val="18"/>
          <w:szCs w:val="18"/>
          <w:color w:val="auto"/>
        </w:rPr>
        <w:t>” means ophthalmic 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1.30 “Firm Orders” is defined in Section 6.6(a).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Firm Period</w:t>
      </w:r>
      <w:r>
        <w:rPr>
          <w:rFonts w:ascii="Arial" w:cs="Arial" w:eastAsia="Arial" w:hAnsi="Arial"/>
          <w:sz w:val="18"/>
          <w:szCs w:val="18"/>
          <w:color w:val="auto"/>
        </w:rPr>
        <w:t>” is defined in Section 6.5</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1.32 “</w:t>
      </w:r>
      <w:r>
        <w:rPr>
          <w:rFonts w:ascii="Arial" w:cs="Arial" w:eastAsia="Arial" w:hAnsi="Arial"/>
          <w:sz w:val="16"/>
          <w:szCs w:val="16"/>
          <w:u w:val="single" w:color="auto"/>
          <w:color w:val="auto"/>
        </w:rPr>
        <w:t>Force Majeure</w:t>
      </w:r>
      <w:r>
        <w:rPr>
          <w:rFonts w:ascii="Arial" w:cs="Arial" w:eastAsia="Arial" w:hAnsi="Arial"/>
          <w:sz w:val="16"/>
          <w:szCs w:val="16"/>
          <w:color w:val="auto"/>
        </w:rPr>
        <w:t>” means any event beyond the reasonable control of the affected Party including embargoes; war or acts of war, including terrorism, insurrections, riots, or civil unrest; strikes, lockouts or other labor disturbances; epidemics, pandemics, the spread of infectious diseases, and quarantines; fire, floods, earthquakes, tsunami or other acts of nature; or acts, omissions or delays in acting by any Governmental Authority (including the refusal of the competent Governmental Authorities to issue required Regulatory Approvals due to reasons other than the affected Party’s or its Affiliate’s negligence or willful misconduct or breach of any term or condition of this Agreement or any other cause within the reasonable control of the affected Party or its Affiliates, hereafter referred to a “Force Majeure Non-Approval”) and failure of plant or machinery (provided, that, such event or failure could not have been prevented by the exercise of skill, diligence, and prudence that would be reasonably and ordinarily expected from a skilled and experienced person engaged in the same type of undertaking under the same or similar circumstances). For clarification, any refusal of the competent Governmental Authorities to issue required Regulatory Approvals due to reasons relating solely to the development activities carried out by or for Harrow as contemplated in Section 3.2 shall not be considered a case of Force Majeure, and hence not be case of a Force Majeure Non-Approval.</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Good Clinical Practices</w:t>
      </w:r>
      <w:r>
        <w:rPr>
          <w:rFonts w:ascii="Arial" w:cs="Arial" w:eastAsia="Arial" w:hAnsi="Arial"/>
          <w:sz w:val="17"/>
          <w:szCs w:val="17"/>
          <w:color w:val="auto"/>
        </w:rPr>
        <w:t>”, “</w:t>
      </w:r>
      <w:r>
        <w:rPr>
          <w:rFonts w:ascii="Arial" w:cs="Arial" w:eastAsia="Arial" w:hAnsi="Arial"/>
          <w:sz w:val="17"/>
          <w:szCs w:val="17"/>
          <w:u w:val="single" w:color="auto"/>
          <w:color w:val="auto"/>
        </w:rPr>
        <w:t>GCP</w:t>
      </w:r>
      <w:r>
        <w:rPr>
          <w:rFonts w:ascii="Arial" w:cs="Arial" w:eastAsia="Arial" w:hAnsi="Arial"/>
          <w:sz w:val="17"/>
          <w:szCs w:val="17"/>
          <w:color w:val="auto"/>
        </w:rPr>
        <w:t>” or “</w:t>
      </w:r>
      <w:r>
        <w:rPr>
          <w:rFonts w:ascii="Arial" w:cs="Arial" w:eastAsia="Arial" w:hAnsi="Arial"/>
          <w:sz w:val="17"/>
          <w:szCs w:val="17"/>
          <w:u w:val="single" w:color="auto"/>
          <w:color w:val="auto"/>
        </w:rPr>
        <w:t>cGCP</w:t>
      </w:r>
      <w:r>
        <w:rPr>
          <w:rFonts w:ascii="Arial" w:cs="Arial" w:eastAsia="Arial" w:hAnsi="Arial"/>
          <w:sz w:val="17"/>
          <w:szCs w:val="17"/>
          <w:color w:val="auto"/>
        </w:rPr>
        <w:t>” means the then-current standards, practices and procedures promulgated or endorsed by the FDA as set forth in the guidelines adopted by the International Conference on Harmonization (“</w:t>
      </w:r>
      <w:r>
        <w:rPr>
          <w:rFonts w:ascii="Arial" w:cs="Arial" w:eastAsia="Arial" w:hAnsi="Arial"/>
          <w:sz w:val="17"/>
          <w:szCs w:val="17"/>
          <w:u w:val="single" w:color="auto"/>
          <w:color w:val="auto"/>
        </w:rPr>
        <w:t>ICH</w:t>
      </w:r>
      <w:r>
        <w:rPr>
          <w:rFonts w:ascii="Arial" w:cs="Arial" w:eastAsia="Arial" w:hAnsi="Arial"/>
          <w:sz w:val="17"/>
          <w:szCs w:val="17"/>
          <w:color w:val="auto"/>
        </w:rPr>
        <w:t>”), titled “Guidance for Industry E6 Good Clinical Practice: Consolidated Guidance,” (or any successor document) including related regulatory requirements imposed by the FDA and comparable regulatory standards, practices any other Regulatory Authority applicable to the Territory, as they may be updated from time to time.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Good Laboratory Practices</w:t>
      </w:r>
      <w:r>
        <w:rPr>
          <w:rFonts w:ascii="Arial" w:cs="Arial" w:eastAsia="Arial" w:hAnsi="Arial"/>
          <w:sz w:val="18"/>
          <w:szCs w:val="18"/>
          <w:color w:val="auto"/>
        </w:rPr>
        <w:t>”, “</w:t>
      </w:r>
      <w:r>
        <w:rPr>
          <w:rFonts w:ascii="Arial" w:cs="Arial" w:eastAsia="Arial" w:hAnsi="Arial"/>
          <w:sz w:val="18"/>
          <w:szCs w:val="18"/>
          <w:u w:val="single" w:color="auto"/>
          <w:color w:val="auto"/>
        </w:rPr>
        <w:t>GLP</w:t>
      </w:r>
      <w:r>
        <w:rPr>
          <w:rFonts w:ascii="Arial" w:cs="Arial" w:eastAsia="Arial" w:hAnsi="Arial"/>
          <w:sz w:val="18"/>
          <w:szCs w:val="18"/>
          <w:color w:val="auto"/>
        </w:rPr>
        <w:t>”, or “</w:t>
      </w:r>
      <w:r>
        <w:rPr>
          <w:rFonts w:ascii="Arial" w:cs="Arial" w:eastAsia="Arial" w:hAnsi="Arial"/>
          <w:sz w:val="18"/>
          <w:szCs w:val="18"/>
          <w:u w:val="single" w:color="auto"/>
          <w:color w:val="auto"/>
        </w:rPr>
        <w:t>cGLP</w:t>
      </w:r>
      <w:r>
        <w:rPr>
          <w:rFonts w:ascii="Arial" w:cs="Arial" w:eastAsia="Arial" w:hAnsi="Arial"/>
          <w:sz w:val="18"/>
          <w:szCs w:val="18"/>
          <w:color w:val="auto"/>
        </w:rPr>
        <w:t>” means the then-current standards, practices and procedures promulgated or endorsed by the FDA as set forth in 21 C.F.R. Part 58 (or any successor statute or regulation), including related regulatory requirements imposed by the FDA and comparable regulatory standards, practices and procedures promulgated by any other Regulatory Authority applicable to the Territory, as they may be updated from time to time, including applicable guidelines promulgated under the ICH.</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Good Manufacturing Practices</w:t>
      </w:r>
      <w:r>
        <w:rPr>
          <w:rFonts w:ascii="Arial" w:cs="Arial" w:eastAsia="Arial" w:hAnsi="Arial"/>
          <w:sz w:val="18"/>
          <w:szCs w:val="18"/>
          <w:color w:val="auto"/>
        </w:rPr>
        <w:t>”, “</w:t>
      </w:r>
      <w:r>
        <w:rPr>
          <w:rFonts w:ascii="Arial" w:cs="Arial" w:eastAsia="Arial" w:hAnsi="Arial"/>
          <w:sz w:val="18"/>
          <w:szCs w:val="18"/>
          <w:u w:val="single" w:color="auto"/>
          <w:color w:val="auto"/>
        </w:rPr>
        <w:t>GMP</w:t>
      </w:r>
      <w:r>
        <w:rPr>
          <w:rFonts w:ascii="Arial" w:cs="Arial" w:eastAsia="Arial" w:hAnsi="Arial"/>
          <w:sz w:val="18"/>
          <w:szCs w:val="18"/>
          <w:color w:val="auto"/>
        </w:rPr>
        <w:t>”, or “</w:t>
      </w:r>
      <w:r>
        <w:rPr>
          <w:rFonts w:ascii="Arial" w:cs="Arial" w:eastAsia="Arial" w:hAnsi="Arial"/>
          <w:sz w:val="18"/>
          <w:szCs w:val="18"/>
          <w:u w:val="single" w:color="auto"/>
          <w:color w:val="auto"/>
        </w:rPr>
        <w:t>cGMP</w:t>
      </w:r>
      <w:r>
        <w:rPr>
          <w:rFonts w:ascii="Arial" w:cs="Arial" w:eastAsia="Arial" w:hAnsi="Arial"/>
          <w:sz w:val="18"/>
          <w:szCs w:val="18"/>
          <w:color w:val="auto"/>
        </w:rPr>
        <w:t>” means the then-current good manufacturing practices required by the FDA, as set forth in the FFDCA, as amended, and the regulations promulgated thereunder, for the manufacture and testing of pharmaceutical materials, and comparable Applicable Law related to the manufacture and testing of pharmaceutical materials in jurisdictions outside the USA and the regulations promulgated thereunder, in each case as they may be updated from time to time.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Gross Margin</w:t>
      </w:r>
      <w:r>
        <w:rPr>
          <w:rFonts w:ascii="Arial" w:cs="Arial" w:eastAsia="Arial" w:hAnsi="Arial"/>
          <w:sz w:val="18"/>
          <w:szCs w:val="18"/>
          <w:color w:val="auto"/>
        </w:rPr>
        <w:t>” shall mean the Selling Price less the sum of the Royalty in Section 7.4 and the Applicable Transfer Price of the Product divided by the Selling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Harrow Indemnitee</w:t>
      </w:r>
      <w:r>
        <w:rPr>
          <w:rFonts w:ascii="Arial" w:cs="Arial" w:eastAsia="Arial" w:hAnsi="Arial"/>
          <w:sz w:val="18"/>
          <w:szCs w:val="18"/>
          <w:color w:val="auto"/>
        </w:rPr>
        <w:t>” is defined in Section 13.2.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Harrow Invention</w:t>
      </w:r>
      <w:r>
        <w:rPr>
          <w:rFonts w:ascii="Arial" w:cs="Arial" w:eastAsia="Arial" w:hAnsi="Arial"/>
          <w:sz w:val="18"/>
          <w:szCs w:val="18"/>
          <w:color w:val="auto"/>
        </w:rPr>
        <w:t>” means any Invention that is made solely by Harrow’s own employees, agents, or independent contractors involving or used in the Exploitation of Product, together with all intellectual property rights therein.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Harrow Know-How</w:t>
      </w:r>
      <w:r>
        <w:rPr>
          <w:rFonts w:ascii="Arial" w:cs="Arial" w:eastAsia="Arial" w:hAnsi="Arial"/>
          <w:sz w:val="18"/>
          <w:szCs w:val="18"/>
          <w:color w:val="auto"/>
        </w:rPr>
        <w:t>” means all Know-How Controlled by Harrow during the Term that is necessary or useful to Exploit Product . Harrow Know-How includes all Harrow Inventions but excludes any Information contained within a Harrow Patent.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Harrow Patents</w:t>
      </w:r>
      <w:r>
        <w:rPr>
          <w:rFonts w:ascii="Arial" w:cs="Arial" w:eastAsia="Arial" w:hAnsi="Arial"/>
          <w:sz w:val="18"/>
          <w:szCs w:val="18"/>
          <w:color w:val="auto"/>
        </w:rPr>
        <w:t>” means all Patents Controlled by Harrow during the Term that are necessary or useful to Exploit Product. As of the Effective Date there are no existing Harrow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Harrow Studies</w:t>
      </w:r>
      <w:r>
        <w:rPr>
          <w:rFonts w:ascii="Arial" w:cs="Arial" w:eastAsia="Arial" w:hAnsi="Arial"/>
          <w:sz w:val="18"/>
          <w:szCs w:val="18"/>
          <w:color w:val="auto"/>
        </w:rPr>
        <w:t>” are defined in 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Harrow Technology</w:t>
      </w:r>
      <w:r>
        <w:rPr>
          <w:rFonts w:ascii="Arial" w:cs="Arial" w:eastAsia="Arial" w:hAnsi="Arial"/>
          <w:sz w:val="18"/>
          <w:szCs w:val="18"/>
          <w:color w:val="auto"/>
        </w:rPr>
        <w:t>” means all Harrow Know-How and Harrow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Indemnitee</w:t>
      </w:r>
      <w:r>
        <w:rPr>
          <w:rFonts w:ascii="Arial" w:cs="Arial" w:eastAsia="Arial" w:hAnsi="Arial"/>
          <w:sz w:val="18"/>
          <w:szCs w:val="18"/>
          <w:color w:val="auto"/>
        </w:rPr>
        <w:t>” is defined in Section 13.3(a).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is defined in Section 13.3(a).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Indication</w:t>
      </w:r>
      <w:r>
        <w:rPr>
          <w:rFonts w:ascii="Arial" w:cs="Arial" w:eastAsia="Arial" w:hAnsi="Arial"/>
          <w:sz w:val="18"/>
          <w:szCs w:val="18"/>
          <w:color w:val="auto"/>
        </w:rPr>
        <w:t>” means a human or animal disease or medical condition which is approved by a Regulatory Authority to be included as a discrete claim (as opposed to a subset of a claim) in the Labeling of a Product based on the results of a separate Clinical Trial sufficient to support Regulatory Approval of such claim.</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Information</w:t>
      </w:r>
      <w:r>
        <w:rPr>
          <w:rFonts w:ascii="Arial" w:cs="Arial" w:eastAsia="Arial" w:hAnsi="Arial"/>
          <w:sz w:val="18"/>
          <w:szCs w:val="18"/>
          <w:color w:val="auto"/>
        </w:rPr>
        <w:t>” means information, inventions, patent claims, discoveries, compositions, formulations, formulas, practices, procedures, processes, methods, knowledge, know-how, trade secrets, technology, techniques, designs, drawings, correspondence, computer programs, documents, apparatus, results, strategies, regulatory documentation, information and submissions pertaining to, or made in association with, filings with any Governmental Authority or patent office, data, including pharmacological, toxicological, non-clinical and clinical data, analytical and quality control data, manufacturing data and descriptions, market data, financial data or descriptions, devices, assays, chemical formulations, specifications, material, product samples and other samples, physical, chemical and biological materials, and the like, in written, electronic, oral or other tangible or intangible form, now known or hereafter developed, whether or not patentable.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Initial Term</w:t>
      </w:r>
      <w:r>
        <w:rPr>
          <w:rFonts w:ascii="Arial" w:cs="Arial" w:eastAsia="Arial" w:hAnsi="Arial"/>
          <w:sz w:val="18"/>
          <w:szCs w:val="18"/>
          <w:color w:val="auto"/>
        </w:rPr>
        <w:t>” is defined in Section 11.1.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Inventions</w:t>
      </w:r>
      <w:r>
        <w:rPr>
          <w:rFonts w:ascii="Arial" w:cs="Arial" w:eastAsia="Arial" w:hAnsi="Arial"/>
          <w:sz w:val="18"/>
          <w:szCs w:val="18"/>
          <w:color w:val="auto"/>
        </w:rPr>
        <w:t>” means any and all inventions, discoveries and developments, whether or not patentable, involving or used in the Exploitation of Product, whether made, conceived or reduced to practice solely by, or on behalf of, Sintetica, Harrow or the Parties jointly.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Joint Inventions</w:t>
      </w:r>
      <w:r>
        <w:rPr>
          <w:rFonts w:ascii="Arial" w:cs="Arial" w:eastAsia="Arial" w:hAnsi="Arial"/>
          <w:sz w:val="18"/>
          <w:szCs w:val="18"/>
          <w:color w:val="auto"/>
        </w:rPr>
        <w:t>” is defined in Section 8.1(c).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Joint Know-How</w:t>
      </w:r>
      <w:r>
        <w:rPr>
          <w:rFonts w:ascii="Arial" w:cs="Arial" w:eastAsia="Arial" w:hAnsi="Arial"/>
          <w:sz w:val="18"/>
          <w:szCs w:val="18"/>
          <w:color w:val="auto"/>
        </w:rPr>
        <w:t>” means all Information and Inventions jointly Controlled by Sintetica and Harrow during the Term that is/are necessary or useful to Exploit the Product. Joint Know-How excludes any Information contained within a Joint Patent.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Joint Patents</w:t>
      </w:r>
      <w:r>
        <w:rPr>
          <w:rFonts w:ascii="Arial" w:cs="Arial" w:eastAsia="Arial" w:hAnsi="Arial"/>
          <w:sz w:val="18"/>
          <w:szCs w:val="18"/>
          <w:color w:val="auto"/>
        </w:rPr>
        <w:t>” means all Patents jointly Controlled by Sintetica and Harrow during the Term that are necessary or useful to Exploit the Product. As of the Effective Date there are no existing Joint Patents in the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Joint Technology</w:t>
      </w:r>
      <w:r>
        <w:rPr>
          <w:rFonts w:ascii="Arial" w:cs="Arial" w:eastAsia="Arial" w:hAnsi="Arial"/>
          <w:sz w:val="18"/>
          <w:szCs w:val="18"/>
          <w:color w:val="auto"/>
        </w:rPr>
        <w:t>” means, collectively, all Joint Know-How and Joint Patents.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Know-How</w:t>
      </w:r>
      <w:r>
        <w:rPr>
          <w:rFonts w:ascii="Arial" w:cs="Arial" w:eastAsia="Arial" w:hAnsi="Arial"/>
          <w:sz w:val="18"/>
          <w:szCs w:val="18"/>
          <w:color w:val="auto"/>
        </w:rPr>
        <w:t>” means, with respect to a Party, all Information and Inventions Controlled by such Party. Know-How excludes any Information contained within a Party’s Patents.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u w:val="single" w:color="auto"/>
          <w:color w:val="auto"/>
        </w:rPr>
        <w:t>Labeling</w:t>
      </w:r>
      <w:r>
        <w:rPr>
          <w:rFonts w:ascii="Arial" w:cs="Arial" w:eastAsia="Arial" w:hAnsi="Arial"/>
          <w:sz w:val="18"/>
          <w:szCs w:val="18"/>
          <w:color w:val="auto"/>
        </w:rPr>
        <w:t>” means the healthcare professional information or patient information that is part of a Product’s Regulatory Approval Application or Regulatory Approval, including the package insert, medication guides, summary of product characteristics, patient information leaflets, company core safety information and company core data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Launch Order</w:t>
      </w:r>
      <w:r>
        <w:rPr>
          <w:rFonts w:ascii="Arial" w:cs="Arial" w:eastAsia="Arial" w:hAnsi="Arial"/>
          <w:sz w:val="18"/>
          <w:szCs w:val="18"/>
          <w:color w:val="auto"/>
        </w:rPr>
        <w:t>” is defined in Section 6.6(a).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LCAI</w:t>
      </w:r>
      <w:r>
        <w:rPr>
          <w:rFonts w:ascii="Arial" w:cs="Arial" w:eastAsia="Arial" w:hAnsi="Arial"/>
          <w:sz w:val="18"/>
          <w:szCs w:val="18"/>
          <w:color w:val="auto"/>
        </w:rPr>
        <w:t>” is defined in Section 12.2.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Licensed Indication</w:t>
      </w:r>
      <w:r>
        <w:rPr>
          <w:rFonts w:ascii="Arial" w:cs="Arial" w:eastAsia="Arial" w:hAnsi="Arial"/>
          <w:sz w:val="18"/>
          <w:szCs w:val="18"/>
          <w:color w:val="auto"/>
        </w:rPr>
        <w:t>” means: any Indication for (a) topical ophthalmic anesthesia; or for (b) any other ophthalmic 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Losses</w:t>
      </w:r>
      <w:r>
        <w:rPr>
          <w:rFonts w:ascii="Arial" w:cs="Arial" w:eastAsia="Arial" w:hAnsi="Arial"/>
          <w:sz w:val="18"/>
          <w:szCs w:val="18"/>
          <w:color w:val="auto"/>
        </w:rPr>
        <w:t>” is defined in Section 13.1.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Manufacture</w:t>
      </w:r>
      <w:r>
        <w:rPr>
          <w:rFonts w:ascii="Arial" w:cs="Arial" w:eastAsia="Arial" w:hAnsi="Arial"/>
          <w:sz w:val="18"/>
          <w:szCs w:val="18"/>
          <w:color w:val="auto"/>
        </w:rPr>
        <w:t>” means all activities related to the manufacturing the Product including any bulk, semi-finished or finished forms thereof, or any ingredient or material thereof, for Development, Commercialization and Regulatory Activities, including the production, manufacture, processing, filling, finishing, and holding of Product and any intermediate thereof, labeling, packaging, Product testing, release of Product or any ingredient thereof, quality assurance activities related to isolation and manufacturing and release of Product, and any stability tests and regulatory activities related to any of the foregoing. When used as a verb, “Manufacture” means to engage in such manufacturing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Material Delivery Delay</w:t>
      </w:r>
      <w:r>
        <w:rPr>
          <w:rFonts w:ascii="Arial" w:cs="Arial" w:eastAsia="Arial" w:hAnsi="Arial"/>
          <w:sz w:val="18"/>
          <w:szCs w:val="18"/>
          <w:color w:val="auto"/>
        </w:rPr>
        <w:t>” is defined in Section 6.11(c).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Minimum Annual Quantities</w:t>
      </w:r>
      <w:r>
        <w:rPr>
          <w:rFonts w:ascii="Arial" w:cs="Arial" w:eastAsia="Arial" w:hAnsi="Arial"/>
          <w:sz w:val="18"/>
          <w:szCs w:val="18"/>
          <w:color w:val="auto"/>
        </w:rPr>
        <w:t>” or “</w:t>
      </w:r>
      <w:r>
        <w:rPr>
          <w:rFonts w:ascii="Arial" w:cs="Arial" w:eastAsia="Arial" w:hAnsi="Arial"/>
          <w:sz w:val="18"/>
          <w:szCs w:val="18"/>
          <w:u w:val="single" w:color="auto"/>
          <w:color w:val="auto"/>
        </w:rPr>
        <w:t>MAQs</w:t>
      </w:r>
      <w:r>
        <w:rPr>
          <w:rFonts w:ascii="Arial" w:cs="Arial" w:eastAsia="Arial" w:hAnsi="Arial"/>
          <w:sz w:val="18"/>
          <w:szCs w:val="18"/>
          <w:color w:val="auto"/>
        </w:rPr>
        <w:t>” is defined as in Section 6.15.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MOQ</w:t>
      </w:r>
      <w:r>
        <w:rPr>
          <w:rFonts w:ascii="Arial" w:cs="Arial" w:eastAsia="Arial" w:hAnsi="Arial"/>
          <w:sz w:val="18"/>
          <w:szCs w:val="18"/>
          <w:color w:val="auto"/>
        </w:rPr>
        <w:t>” means the minimum quantity of Product to be set out in any purchase order of Product, as is further described in Section 6.6(f).</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1.64 “</w:t>
      </w:r>
      <w:r>
        <w:rPr>
          <w:rFonts w:ascii="Arial" w:cs="Arial" w:eastAsia="Arial" w:hAnsi="Arial"/>
          <w:sz w:val="16"/>
          <w:szCs w:val="16"/>
          <w:u w:val="single" w:color="auto"/>
          <w:color w:val="auto"/>
        </w:rPr>
        <w:t>NDA</w:t>
      </w:r>
      <w:r>
        <w:rPr>
          <w:rFonts w:ascii="Arial" w:cs="Arial" w:eastAsia="Arial" w:hAnsi="Arial"/>
          <w:sz w:val="16"/>
          <w:szCs w:val="16"/>
          <w:color w:val="auto"/>
        </w:rPr>
        <w:t>” means a New Drug Application or supplemental New Drug Application as contemplated by Section 505(b) of the FFDCA, as amended, and the regulations promulgated thereunder, submitted to the FDA pursuant to Part 314 of Title 21 of the U.S. C.F.R., including any amendments thereto. References herein to NDA shall include, to the extent applicable, any comparable applications filed in countries in the Territory outside the U.S.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Product, the gross amounts invoiced or received by Harrow, its Affiliates and its respective sublicensees for sales of such Product to unaffiliated Third Parties, less the following deductions, to the extent reasonable and customary, provided to unaffiliated entities and actually allowed and taken with respect to such sales:</w:t>
      </w:r>
    </w:p>
    <w:p>
      <w:pPr>
        <w:spacing w:after="0" w:line="184" w:lineRule="exact"/>
        <w:rPr>
          <w:sz w:val="20"/>
          <w:szCs w:val="20"/>
          <w:color w:val="auto"/>
        </w:rPr>
      </w:pPr>
    </w:p>
    <w:p>
      <w:pPr>
        <w:ind w:left="500" w:firstLine="657"/>
        <w:spacing w:after="0" w:line="308" w:lineRule="auto"/>
        <w:tabs>
          <w:tab w:leader="none" w:pos="14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customary cash, trade or quantity discounts, charge-back payments, and rebates actually granted to trade customers, managed health care organizations, pharmaceutical benefit managers, group purchasing organizations and national, state, or local government;</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left="500" w:right="20" w:firstLine="657"/>
        <w:spacing w:after="0" w:line="277" w:lineRule="auto"/>
        <w:tabs>
          <w:tab w:leader="none" w:pos="14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credits, rebates or allowances actually allowed upon prompt payment or on account of claims, damaged goods, rejections or returns of such Product, including in connection with recalls, and the actual amount of any retroactive price reductions;</w:t>
      </w:r>
    </w:p>
    <w:p>
      <w:pPr>
        <w:spacing w:after="0" w:line="170" w:lineRule="exact"/>
        <w:rPr>
          <w:rFonts w:ascii="Arial" w:cs="Arial" w:eastAsia="Arial" w:hAnsi="Arial"/>
          <w:sz w:val="18"/>
          <w:szCs w:val="18"/>
          <w:color w:val="auto"/>
        </w:rPr>
      </w:pPr>
    </w:p>
    <w:p>
      <w:pPr>
        <w:jc w:val="both"/>
        <w:ind w:left="500" w:firstLine="657"/>
        <w:spacing w:after="0" w:line="263" w:lineRule="auto"/>
        <w:tabs>
          <w:tab w:leader="none" w:pos="14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packaging, freight, postage, shipping, transportation, warehousing, handling and insurance charges, in each case actually allowed or paid for delivery of such Product, and any customary payments with respect to the Product actually made to wholesalers or other distributors, in each case actually allowed or paid for distribution and delivery of Product, to the extent billed or recognized;</w:t>
      </w:r>
    </w:p>
    <w:p>
      <w:pPr>
        <w:spacing w:after="0" w:line="183" w:lineRule="exact"/>
        <w:rPr>
          <w:rFonts w:ascii="Arial" w:cs="Arial" w:eastAsia="Arial" w:hAnsi="Arial"/>
          <w:sz w:val="18"/>
          <w:szCs w:val="18"/>
          <w:color w:val="auto"/>
        </w:rPr>
      </w:pPr>
    </w:p>
    <w:p>
      <w:pPr>
        <w:jc w:val="both"/>
        <w:ind w:left="500" w:firstLine="657"/>
        <w:spacing w:after="0" w:line="257" w:lineRule="auto"/>
        <w:tabs>
          <w:tab w:leader="none" w:pos="14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taxes (other than income taxes), duties, tariffs, mandated contribution or other governmental charges levied on the sale of such Product, including VAT, excise taxes, sales taxes and that portion of the annual fee on prescription drug manufacturers imposed by the Patient Protection and Affordable Care Act, Pub. L. No. 111-148 (as amended), that Harrow, its Affiliates or (sub)licensees, as applicable, allocate to sales of such Product in accordance with Harrow’s, its Affiliates’ or (sub)licensees’ standard policies and procedures consistently applied across its products, as applicable; and</w:t>
      </w:r>
    </w:p>
    <w:p>
      <w:pPr>
        <w:spacing w:after="0" w:line="187" w:lineRule="exact"/>
        <w:rPr>
          <w:rFonts w:ascii="Arial" w:cs="Arial" w:eastAsia="Arial" w:hAnsi="Arial"/>
          <w:sz w:val="18"/>
          <w:szCs w:val="18"/>
          <w:color w:val="auto"/>
        </w:rPr>
      </w:pPr>
    </w:p>
    <w:p>
      <w:pPr>
        <w:ind w:left="500" w:firstLine="657"/>
        <w:spacing w:after="0" w:line="277" w:lineRule="auto"/>
        <w:tabs>
          <w:tab w:leader="none" w:pos="13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sales, credits or allowances given or made with respect to Product for indigent patient, Clinical Trial and any unpaid compassionate or named patient, charitable or humanitarian programs.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Notwithstanding the foregoing, dispositions of any Product by Harrow to its Affiliates or by Harrow or its Affiliates to its respective sublicensees, in each case, for resale shall not be considered to be a sale for purposes of the definition of Net Sales hereunder unless such Affiliate end customer or sublicensee end customer is the last Person in the distribution chain of the Product. In any event, any amounts received or invoiced by Harrow, its Affiliates, or its sublicensees shall be accounted for only once. For purposes of determining Net Sales, a Product shall be deemed to be sold when recorded as a sale by Harrow, its Affiliates or its respective sublicensees in accordance with the applicable Accounting Standards. For clarity, a particular deduction may only be accounted for once in the calculation of Net Sales. Net Sales shall exclude any samples of Product transferred or disposed of at no expense for promotional or educational purposes. For the avoidance of doubt, and for all purposes under this Agreement, Net Sales shall be accounted for in accordance with standard accounting practices, as practiced by Harrow its Affiliates or its respective sublicensees in the relevant country in the Territory, but in any event in accordance with the applicable Accounting Standards, as consistently applied in such country in the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Non-Breaching Party</w:t>
      </w:r>
      <w:r>
        <w:rPr>
          <w:rFonts w:ascii="Arial" w:cs="Arial" w:eastAsia="Arial" w:hAnsi="Arial"/>
          <w:sz w:val="18"/>
          <w:szCs w:val="18"/>
          <w:color w:val="auto"/>
        </w:rPr>
        <w:t>” is defined in Section 11.2.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means all: (a) patents, including any utility or design patent; (b) patent applications, including provisionals, substitutions, divisionals, continuations, continuations in-part or renewals; (c) patents of addition, restorations, extensions, supplementary protection certificates, registration or confirmation patents, patents resulting from post-grant proceedings, re-issues and re-examinations; (d) other patents or patent applications claiming priority directly or indirectly to: (i) any such specified patent or patent application specified in (a) through (c), or (ii) any patent or patent application from which a patent or patent application specified in (a) through (c) claim direct or indirect priority; (e) inventor’s certificates; (f) other rights issued from a Governmental Authority similar to any of the foregoing specified in (a) through (e);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in each of (a) through (f), such patent, patent application or other right shall be deemed a “Patent” solely if and to the extent that it is granted, arises and/or is enforceable in the U.S. or any other jurisdiction in the Territory.</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Patent Term Extension</w:t>
      </w:r>
      <w:r>
        <w:rPr>
          <w:rFonts w:ascii="Arial" w:cs="Arial" w:eastAsia="Arial" w:hAnsi="Arial"/>
          <w:sz w:val="18"/>
          <w:szCs w:val="18"/>
          <w:color w:val="auto"/>
        </w:rPr>
        <w:t>” means any term extensions, supplementary protection certificates and equivalents thereof offering patent protection beyond the initial term with respect to any issued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Payments</w:t>
      </w:r>
      <w:r>
        <w:rPr>
          <w:rFonts w:ascii="Arial" w:cs="Arial" w:eastAsia="Arial" w:hAnsi="Arial"/>
          <w:sz w:val="18"/>
          <w:szCs w:val="18"/>
          <w:color w:val="auto"/>
        </w:rPr>
        <w:t>” is defined in Section 7.3(a).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PDUFA</w:t>
      </w:r>
      <w:r>
        <w:rPr>
          <w:rFonts w:ascii="Arial" w:cs="Arial" w:eastAsia="Arial" w:hAnsi="Arial"/>
          <w:sz w:val="18"/>
          <w:szCs w:val="18"/>
          <w:color w:val="auto"/>
        </w:rPr>
        <w:t>” means the USA Prescription Drug User Fee Act of 1992, as reauthorized and renewed every five years.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Pricing Approval</w:t>
      </w:r>
      <w:r>
        <w:rPr>
          <w:rFonts w:ascii="Arial" w:cs="Arial" w:eastAsia="Arial" w:hAnsi="Arial"/>
          <w:sz w:val="18"/>
          <w:szCs w:val="18"/>
          <w:color w:val="auto"/>
        </w:rPr>
        <w:t>” means any approval, agreement, determination or decision by a Governmental Authority establishing prices that can be charged and/or reimbursed for a Product in a jurisdiction where the applicable Governmental Authority or Regulatory Authority approves or determines the pricing of pharmaceutical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1.73 “</w:t>
      </w:r>
      <w:r>
        <w:rPr>
          <w:rFonts w:ascii="Arial" w:cs="Arial" w:eastAsia="Arial" w:hAnsi="Arial"/>
          <w:sz w:val="17"/>
          <w:szCs w:val="17"/>
          <w:u w:val="single" w:color="auto"/>
          <w:color w:val="auto"/>
        </w:rPr>
        <w:t>Prior Confidentiality Agreement</w:t>
      </w:r>
      <w:r>
        <w:rPr>
          <w:rFonts w:ascii="Arial" w:cs="Arial" w:eastAsia="Arial" w:hAnsi="Arial"/>
          <w:sz w:val="17"/>
          <w:szCs w:val="17"/>
          <w:color w:val="auto"/>
        </w:rPr>
        <w:t>” means that certain Confidentiality Agreement between the Sintetica and Harrow, dated January 17</w:t>
      </w:r>
      <w:r>
        <w:rPr>
          <w:rFonts w:ascii="Arial" w:cs="Arial" w:eastAsia="Arial" w:hAnsi="Arial"/>
          <w:sz w:val="28"/>
          <w:szCs w:val="28"/>
          <w:color w:val="auto"/>
          <w:vertAlign w:val="superscript"/>
        </w:rPr>
        <w:t>th</w:t>
      </w:r>
      <w:r>
        <w:rPr>
          <w:rFonts w:ascii="Arial" w:cs="Arial" w:eastAsia="Arial" w:hAnsi="Arial"/>
          <w:sz w:val="17"/>
          <w:szCs w:val="17"/>
          <w:color w:val="auto"/>
        </w:rPr>
        <w:t>, 2020.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Product</w:t>
      </w:r>
      <w:r>
        <w:rPr>
          <w:rFonts w:ascii="Arial" w:cs="Arial" w:eastAsia="Arial" w:hAnsi="Arial"/>
          <w:sz w:val="18"/>
          <w:szCs w:val="18"/>
          <w:color w:val="auto"/>
        </w:rPr>
        <w:t>” is defined in the preamble of this Agreement, including all modifications to the current Product formulation made by Sintetica for Exploitation in the Field in the Territory.</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1.75 “</w:t>
      </w:r>
      <w:r>
        <w:rPr>
          <w:rFonts w:ascii="Arial" w:cs="Arial" w:eastAsia="Arial" w:hAnsi="Arial"/>
          <w:sz w:val="16"/>
          <w:szCs w:val="16"/>
          <w:u w:val="single" w:color="auto"/>
          <w:color w:val="auto"/>
        </w:rPr>
        <w:t>Product Complaint</w:t>
      </w:r>
      <w:r>
        <w:rPr>
          <w:rFonts w:ascii="Arial" w:cs="Arial" w:eastAsia="Arial" w:hAnsi="Arial"/>
          <w:sz w:val="16"/>
          <w:szCs w:val="16"/>
          <w:color w:val="auto"/>
        </w:rPr>
        <w:t>” means any Information that comes to the attention of either Party, its Affiliates or its sublicensees, concerning any dissatisfaction regarding a Product of such a nature and magnitude that it is required under the Applicable Law to be collected, maintained and reported to a Regulatory Authority, including reports of actual or suspected product tampering, contamination, mislabeling or inclusion of improper ingredients.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Product Labelling and Packaging</w:t>
      </w:r>
      <w:r>
        <w:rPr>
          <w:rFonts w:ascii="Arial" w:cs="Arial" w:eastAsia="Arial" w:hAnsi="Arial"/>
          <w:sz w:val="18"/>
          <w:szCs w:val="18"/>
          <w:color w:val="auto"/>
        </w:rPr>
        <w:t>” is defined in Section 6.1(a).</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Product Liabilities</w:t>
      </w:r>
      <w:r>
        <w:rPr>
          <w:rFonts w:ascii="Arial" w:cs="Arial" w:eastAsia="Arial" w:hAnsi="Arial"/>
          <w:sz w:val="18"/>
          <w:szCs w:val="18"/>
          <w:color w:val="auto"/>
        </w:rPr>
        <w:t>” means all losses, damages, fees, expenses and other liabilities asserted by any Third Parties against a Party and resulting from or relating to human use of Product, including use in Clinical Trials or Commercialization of the Product or Regulatory Activities, in the Territory during the Term, but excluding all losses, damages, fees, expenses and other liabilities that are a result of a Party’s, its Affiliates’ or its sublicensee’s gross negligence, willful misconduct or breach of such Party’s obligations under this Agreement, including its representations and warranties made hereunder. For the avoidance of doubt, Product Liabilities include reasonable attorneys’ and experts’ fees and expenses relating to any claim or potential claim against a Party, its Affiliate, or its sublicensee. Product Liabilities shall not include any losses, damages, fees, expenses and other liabilities associated with recalls and/or the voluntary or involuntary withdrawal of Product.</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Promotional Materials</w:t>
      </w:r>
      <w:r>
        <w:rPr>
          <w:rFonts w:ascii="Arial" w:cs="Arial" w:eastAsia="Arial" w:hAnsi="Arial"/>
          <w:sz w:val="18"/>
          <w:szCs w:val="18"/>
          <w:color w:val="auto"/>
        </w:rPr>
        <w:t>” means all written, printed, graphic, electronic, audio or video presentations of information, including journal advertisements, sales visual aids, formulary binders, reprints, direct mail, direct-to-consumer advertising, disease awareness materials, internet postings, broadcast advertisements and sales reminder aides (for example, note pads, pens and other such items, if appropriate) that, in each case, are permitted under Applicable Law, and intended for use or used by or on behalf of Harrow , its Affiliates or its sublicensees in connection with the Commercialization of a Product in the Territory.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Purchase Order Confirmations</w:t>
      </w:r>
      <w:r>
        <w:rPr>
          <w:rFonts w:ascii="Arial" w:cs="Arial" w:eastAsia="Arial" w:hAnsi="Arial"/>
          <w:sz w:val="18"/>
          <w:szCs w:val="18"/>
          <w:color w:val="auto"/>
        </w:rPr>
        <w:t>” is defined in Section 6.6(a).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1.80 “</w:t>
      </w:r>
      <w:r>
        <w:rPr>
          <w:rFonts w:ascii="Arial" w:cs="Arial" w:eastAsia="Arial" w:hAnsi="Arial"/>
          <w:sz w:val="18"/>
          <w:szCs w:val="18"/>
          <w:u w:val="single" w:color="auto"/>
          <w:color w:val="auto"/>
        </w:rPr>
        <w:t>Quality Agreement</w:t>
      </w:r>
      <w:r>
        <w:rPr>
          <w:rFonts w:ascii="Arial" w:cs="Arial" w:eastAsia="Arial" w:hAnsi="Arial"/>
          <w:sz w:val="18"/>
          <w:szCs w:val="18"/>
          <w:color w:val="auto"/>
        </w:rPr>
        <w:t>” is defined in Section 6.3(f).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Receiving Party</w:t>
      </w:r>
      <w:r>
        <w:rPr>
          <w:rFonts w:ascii="Arial" w:cs="Arial" w:eastAsia="Arial" w:hAnsi="Arial"/>
          <w:sz w:val="18"/>
          <w:szCs w:val="18"/>
          <w:color w:val="auto"/>
        </w:rPr>
        <w:t>” is defined in Section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Recovery Plan</w:t>
      </w:r>
      <w:r>
        <w:rPr>
          <w:rFonts w:ascii="Arial" w:cs="Arial" w:eastAsia="Arial" w:hAnsi="Arial"/>
          <w:sz w:val="18"/>
          <w:szCs w:val="18"/>
          <w:color w:val="auto"/>
        </w:rPr>
        <w:t>” is defined in Section 6.11(c),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1.83 “</w:t>
      </w:r>
      <w:r>
        <w:rPr>
          <w:rFonts w:ascii="Arial" w:cs="Arial" w:eastAsia="Arial" w:hAnsi="Arial"/>
          <w:sz w:val="18"/>
          <w:szCs w:val="18"/>
          <w:u w:val="single" w:color="auto"/>
          <w:color w:val="auto"/>
        </w:rPr>
        <w:t>Regulatory Activities</w:t>
      </w:r>
      <w:r>
        <w:rPr>
          <w:rFonts w:ascii="Arial" w:cs="Arial" w:eastAsia="Arial" w:hAnsi="Arial"/>
          <w:sz w:val="18"/>
          <w:szCs w:val="18"/>
          <w:color w:val="auto"/>
        </w:rPr>
        <w:t>” means all activities, other than Development and Commercialization activities, that are reasonably necessary in order to obtain and maintain Regulatory Approval of Product in the Field in the Territory, including but not limited to (a) the preparation, filing, and maintenance of Regulatory Materials, including the filing of annual updates, and (b) the conduct of post-marketing Studies.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1.84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any approval (including supplement, amendment, pre- and post-approval), Pricing Approvals and reimbursement approvals, licenses, registrations or authorizations of any national, regional, state or local Regulatory Authority, department, bureau, commission, council or other Government Authority, that is necessary for the Commercialization of Product under this Agreement in a particular country in the Territory. “Regulatory Approval of an NDA” means a Regulatory Approval of an NDA when all other Regulatory Approvals necessary for Commercialization of Product in the Territory under such approved NDA have also been obtained.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u w:val="single" w:color="auto"/>
          <w:color w:val="auto"/>
        </w:rPr>
        <w:t>Regulatory Approval Application</w:t>
      </w:r>
      <w:r>
        <w:rPr>
          <w:rFonts w:ascii="Arial" w:cs="Arial" w:eastAsia="Arial" w:hAnsi="Arial"/>
          <w:sz w:val="18"/>
          <w:szCs w:val="18"/>
          <w:color w:val="auto"/>
        </w:rPr>
        <w:t>” means an NDA or any corresponding application for Regulatory Approval in the Territory, including, in each case, all supplements, amendments, variations, extensions and renewals thereof.</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1.86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means any applicable Governmental Authority that holds responsibility for granting of Regulatory Approval for development and commercialization of the Product in a country or jurisdiction in the Territory, including in the U.S., the FDA; and in Canada, Health Canada.</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1.87 “</w:t>
      </w:r>
      <w:r>
        <w:rPr>
          <w:rFonts w:ascii="Arial" w:cs="Arial" w:eastAsia="Arial" w:hAnsi="Arial"/>
          <w:sz w:val="18"/>
          <w:szCs w:val="18"/>
          <w:u w:val="single" w:color="auto"/>
          <w:color w:val="auto"/>
        </w:rPr>
        <w:t>Regulatory Documentation</w:t>
      </w:r>
      <w:r>
        <w:rPr>
          <w:rFonts w:ascii="Arial" w:cs="Arial" w:eastAsia="Arial" w:hAnsi="Arial"/>
          <w:sz w:val="18"/>
          <w:szCs w:val="18"/>
          <w:color w:val="auto"/>
        </w:rPr>
        <w:t>” means, with respect to Product, all (a) Regulatory Materials, including all data contained therein and all supporting documents created for, submitted to or received from an applicable governmental agency or Regulatory Authority relating to such Regulatory Materials; and (b) other documentation or Information Controlled by a Party which is reasonably necessary in order to Exploit the Product in the Field in the Territory, including any registrations and licenses, regulatory drug lists, advertising and promotion documents shared with Regulatory Authorities, adverse event files, complaint files and Manufacturing records.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1.88 “</w:t>
      </w:r>
      <w:r>
        <w:rPr>
          <w:rFonts w:ascii="Arial" w:cs="Arial" w:eastAsia="Arial" w:hAnsi="Arial"/>
          <w:sz w:val="18"/>
          <w:szCs w:val="18"/>
          <w:u w:val="single" w:color="auto"/>
          <w:color w:val="auto"/>
        </w:rPr>
        <w:t>Regulatory Materials</w:t>
      </w:r>
      <w:r>
        <w:rPr>
          <w:rFonts w:ascii="Arial" w:cs="Arial" w:eastAsia="Arial" w:hAnsi="Arial"/>
          <w:sz w:val="18"/>
          <w:szCs w:val="18"/>
          <w:color w:val="auto"/>
        </w:rPr>
        <w:t>” means, all documentation, correspondence, submissions and notifications submitted to or received from a Regulatory Authority in order to Exploit a Product in the Field in the Territory. For the avoidance of doubt, Regulatory Materials shall include, with respect to Product, all INDs, Regulatory Approval Applications, Regulatory Approvals (including Pricing Approvals), and amendments and supplements for any of the foregoing, as well as the contents of any minutes from meetings (whether in person or by audio conference or videoconference) with a Regulatory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1.89 “</w:t>
      </w:r>
      <w:r>
        <w:rPr>
          <w:rFonts w:ascii="Arial" w:cs="Arial" w:eastAsia="Arial" w:hAnsi="Arial"/>
          <w:sz w:val="18"/>
          <w:szCs w:val="18"/>
          <w:u w:val="single" w:color="auto"/>
          <w:color w:val="auto"/>
        </w:rPr>
        <w:t>Renewal Term</w:t>
      </w:r>
      <w:r>
        <w:rPr>
          <w:rFonts w:ascii="Arial" w:cs="Arial" w:eastAsia="Arial" w:hAnsi="Arial"/>
          <w:sz w:val="18"/>
          <w:szCs w:val="18"/>
          <w:color w:val="auto"/>
        </w:rPr>
        <w:t>” is defined in 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1.90 “</w:t>
      </w:r>
      <w:r>
        <w:rPr>
          <w:rFonts w:ascii="Arial" w:cs="Arial" w:eastAsia="Arial" w:hAnsi="Arial"/>
          <w:sz w:val="18"/>
          <w:szCs w:val="18"/>
          <w:u w:val="single" w:color="auto"/>
          <w:color w:val="auto"/>
        </w:rPr>
        <w:t>Rolling Forecast</w:t>
      </w:r>
      <w:r>
        <w:rPr>
          <w:rFonts w:ascii="Arial" w:cs="Arial" w:eastAsia="Arial" w:hAnsi="Arial"/>
          <w:sz w:val="18"/>
          <w:szCs w:val="18"/>
          <w:color w:val="auto"/>
        </w:rPr>
        <w:t>” is defined in Section 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1.91 “</w:t>
      </w:r>
      <w:r>
        <w:rPr>
          <w:rFonts w:ascii="Arial" w:cs="Arial" w:eastAsia="Arial" w:hAnsi="Arial"/>
          <w:sz w:val="18"/>
          <w:szCs w:val="18"/>
          <w:u w:val="single" w:color="auto"/>
          <w:color w:val="auto"/>
        </w:rPr>
        <w:t>Royalty</w:t>
      </w:r>
      <w:r>
        <w:rPr>
          <w:rFonts w:ascii="Arial" w:cs="Arial" w:eastAsia="Arial" w:hAnsi="Arial"/>
          <w:sz w:val="18"/>
          <w:szCs w:val="18"/>
          <w:color w:val="auto"/>
        </w:rPr>
        <w:t>” or “</w:t>
      </w:r>
      <w:r>
        <w:rPr>
          <w:rFonts w:ascii="Arial" w:cs="Arial" w:eastAsia="Arial" w:hAnsi="Arial"/>
          <w:sz w:val="18"/>
          <w:szCs w:val="18"/>
          <w:u w:val="single" w:color="auto"/>
          <w:color w:val="auto"/>
        </w:rPr>
        <w:t>Royalties</w:t>
      </w:r>
      <w:r>
        <w:rPr>
          <w:rFonts w:ascii="Arial" w:cs="Arial" w:eastAsia="Arial" w:hAnsi="Arial"/>
          <w:sz w:val="18"/>
          <w:szCs w:val="18"/>
          <w:color w:val="auto"/>
        </w:rPr>
        <w:t>” shall mean any of the Royalty payments set forth and described in Section 7.4.</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u w:val="single" w:color="auto"/>
          <w:color w:val="auto"/>
        </w:rPr>
        <w:t>Safety Data Exchange Agreement</w:t>
      </w:r>
      <w:r>
        <w:rPr>
          <w:rFonts w:ascii="Arial" w:cs="Arial" w:eastAsia="Arial" w:hAnsi="Arial"/>
          <w:sz w:val="18"/>
          <w:szCs w:val="18"/>
          <w:color w:val="auto"/>
        </w:rPr>
        <w:t>” or “</w:t>
      </w:r>
      <w:r>
        <w:rPr>
          <w:rFonts w:ascii="Arial" w:cs="Arial" w:eastAsia="Arial" w:hAnsi="Arial"/>
          <w:sz w:val="18"/>
          <w:szCs w:val="18"/>
          <w:u w:val="single" w:color="auto"/>
          <w:color w:val="auto"/>
        </w:rPr>
        <w:t>SDEA</w:t>
      </w:r>
      <w:r>
        <w:rPr>
          <w:rFonts w:ascii="Arial" w:cs="Arial" w:eastAsia="Arial" w:hAnsi="Arial"/>
          <w:sz w:val="18"/>
          <w:szCs w:val="18"/>
          <w:color w:val="auto"/>
        </w:rPr>
        <w:t>” means written contracts to define the responsibilities of each party with reference to each pharmacovigilance activity, with the aim of ensuring regulatory compliance and preventing duplication of pharmacovigilance activities by the different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1.93 “</w:t>
      </w:r>
      <w:r>
        <w:rPr>
          <w:rFonts w:ascii="Arial" w:cs="Arial" w:eastAsia="Arial" w:hAnsi="Arial"/>
          <w:sz w:val="18"/>
          <w:szCs w:val="18"/>
          <w:u w:val="single" w:color="auto"/>
          <w:color w:val="auto"/>
        </w:rPr>
        <w:t>Selling Price</w:t>
      </w:r>
      <w:r>
        <w:rPr>
          <w:rFonts w:ascii="Arial" w:cs="Arial" w:eastAsia="Arial" w:hAnsi="Arial"/>
          <w:sz w:val="18"/>
          <w:szCs w:val="18"/>
          <w:color w:val="auto"/>
        </w:rPr>
        <w:t>” shall be the invoice price at which Harrow sells the Product to any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1.94 “</w:t>
      </w:r>
      <w:r>
        <w:rPr>
          <w:rFonts w:ascii="Arial" w:cs="Arial" w:eastAsia="Arial" w:hAnsi="Arial"/>
          <w:sz w:val="18"/>
          <w:szCs w:val="18"/>
          <w:u w:val="single" w:color="auto"/>
          <w:color w:val="auto"/>
        </w:rPr>
        <w:t>Sintetica Indemnitee</w:t>
      </w:r>
      <w:r>
        <w:rPr>
          <w:rFonts w:ascii="Arial" w:cs="Arial" w:eastAsia="Arial" w:hAnsi="Arial"/>
          <w:sz w:val="18"/>
          <w:szCs w:val="18"/>
          <w:color w:val="auto"/>
        </w:rPr>
        <w:t>” is defined in Section 13.1.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1.95 “</w:t>
      </w:r>
      <w:r>
        <w:rPr>
          <w:rFonts w:ascii="Arial" w:cs="Arial" w:eastAsia="Arial" w:hAnsi="Arial"/>
          <w:sz w:val="18"/>
          <w:szCs w:val="18"/>
          <w:u w:val="single" w:color="auto"/>
          <w:color w:val="auto"/>
        </w:rPr>
        <w:t>Sintetica Invention</w:t>
      </w:r>
      <w:r>
        <w:rPr>
          <w:rFonts w:ascii="Arial" w:cs="Arial" w:eastAsia="Arial" w:hAnsi="Arial"/>
          <w:sz w:val="18"/>
          <w:szCs w:val="18"/>
          <w:color w:val="auto"/>
        </w:rPr>
        <w:t>” means any Invention that is made solely by Sintetica’s own employees, agents, or independent contractors involving or used in the Exploitation of the Product, together with all intellectual property rights therein.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1.96 “</w:t>
      </w:r>
      <w:r>
        <w:rPr>
          <w:rFonts w:ascii="Arial" w:cs="Arial" w:eastAsia="Arial" w:hAnsi="Arial"/>
          <w:sz w:val="18"/>
          <w:szCs w:val="18"/>
          <w:u w:val="single" w:color="auto"/>
          <w:color w:val="auto"/>
        </w:rPr>
        <w:t>Sintetica Know-How</w:t>
      </w:r>
      <w:r>
        <w:rPr>
          <w:rFonts w:ascii="Arial" w:cs="Arial" w:eastAsia="Arial" w:hAnsi="Arial"/>
          <w:sz w:val="18"/>
          <w:szCs w:val="18"/>
          <w:color w:val="auto"/>
        </w:rPr>
        <w:t>” means all Know-How Controlled by Sintetica during the Term, which is necessary or useful to Exploit Product. Sintetica Know-How includes all Sintetica Inventions but excludes any Information contained within a Sintetica Patent.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1.97 “</w:t>
      </w:r>
      <w:r>
        <w:rPr>
          <w:rFonts w:ascii="Arial" w:cs="Arial" w:eastAsia="Arial" w:hAnsi="Arial"/>
          <w:sz w:val="18"/>
          <w:szCs w:val="18"/>
          <w:u w:val="single" w:color="auto"/>
          <w:color w:val="auto"/>
        </w:rPr>
        <w:t>Sintetica Patents</w:t>
      </w:r>
      <w:r>
        <w:rPr>
          <w:rFonts w:ascii="Arial" w:cs="Arial" w:eastAsia="Arial" w:hAnsi="Arial"/>
          <w:sz w:val="18"/>
          <w:szCs w:val="18"/>
          <w:color w:val="auto"/>
        </w:rPr>
        <w:t>” means all Patents Controlled by Sintetica during the Term that are necessary or useful to Exploit Product. As of the Effective Date the Sintetica Patents are set forth in Schedule 1.97.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1.98 “</w:t>
      </w:r>
      <w:r>
        <w:rPr>
          <w:rFonts w:ascii="Arial" w:cs="Arial" w:eastAsia="Arial" w:hAnsi="Arial"/>
          <w:sz w:val="18"/>
          <w:szCs w:val="18"/>
          <w:u w:val="single" w:color="auto"/>
          <w:color w:val="auto"/>
        </w:rPr>
        <w:t>Sintetica Technology</w:t>
      </w:r>
      <w:r>
        <w:rPr>
          <w:rFonts w:ascii="Arial" w:cs="Arial" w:eastAsia="Arial" w:hAnsi="Arial"/>
          <w:sz w:val="18"/>
          <w:szCs w:val="18"/>
          <w:color w:val="auto"/>
        </w:rPr>
        <w:t>” means, collectively, all Sintetica Know-How and Sintetica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1.99 “</w:t>
      </w:r>
      <w:r>
        <w:rPr>
          <w:rFonts w:ascii="Arial" w:cs="Arial" w:eastAsia="Arial" w:hAnsi="Arial"/>
          <w:sz w:val="18"/>
          <w:szCs w:val="18"/>
          <w:u w:val="single" w:color="auto"/>
          <w:color w:val="auto"/>
        </w:rPr>
        <w:t>Supply Failure</w:t>
      </w:r>
      <w:r>
        <w:rPr>
          <w:rFonts w:ascii="Arial" w:cs="Arial" w:eastAsia="Arial" w:hAnsi="Arial"/>
          <w:sz w:val="18"/>
          <w:szCs w:val="18"/>
          <w:color w:val="auto"/>
        </w:rPr>
        <w:t>” is defined in Section 6.11(b).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1.100 “</w:t>
      </w:r>
      <w:r>
        <w:rPr>
          <w:rFonts w:ascii="Arial" w:cs="Arial" w:eastAsia="Arial" w:hAnsi="Arial"/>
          <w:sz w:val="18"/>
          <w:szCs w:val="18"/>
          <w:u w:val="single" w:color="auto"/>
          <w:color w:val="auto"/>
        </w:rPr>
        <w:t>Term</w:t>
      </w:r>
      <w:r>
        <w:rPr>
          <w:rFonts w:ascii="Arial" w:cs="Arial" w:eastAsia="Arial" w:hAnsi="Arial"/>
          <w:sz w:val="18"/>
          <w:szCs w:val="18"/>
          <w:color w:val="auto"/>
        </w:rPr>
        <w:t>” is defined in 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1.101 “</w:t>
      </w:r>
      <w:r>
        <w:rPr>
          <w:rFonts w:ascii="Arial" w:cs="Arial" w:eastAsia="Arial" w:hAnsi="Arial"/>
          <w:sz w:val="18"/>
          <w:szCs w:val="18"/>
          <w:u w:val="single" w:color="auto"/>
          <w:color w:val="auto"/>
        </w:rPr>
        <w:t>Territory</w:t>
      </w:r>
      <w:r>
        <w:rPr>
          <w:rFonts w:ascii="Arial" w:cs="Arial" w:eastAsia="Arial" w:hAnsi="Arial"/>
          <w:sz w:val="18"/>
          <w:szCs w:val="18"/>
          <w:color w:val="auto"/>
        </w:rPr>
        <w:t>” means the United States of America and Canada, including their territories and possessions.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1.102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other than Sintetica and Harrow and their respective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1.103 “Third-Party Manufacturer” or “TPM” is defined in Section 6.3(a).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1.104 “</w:t>
      </w:r>
      <w:r>
        <w:rPr>
          <w:rFonts w:ascii="Arial" w:cs="Arial" w:eastAsia="Arial" w:hAnsi="Arial"/>
          <w:sz w:val="18"/>
          <w:szCs w:val="18"/>
          <w:u w:val="single" w:color="auto"/>
          <w:color w:val="auto"/>
        </w:rPr>
        <w:t>Trademark</w:t>
      </w:r>
      <w:r>
        <w:rPr>
          <w:rFonts w:ascii="Arial" w:cs="Arial" w:eastAsia="Arial" w:hAnsi="Arial"/>
          <w:sz w:val="18"/>
          <w:szCs w:val="18"/>
          <w:color w:val="auto"/>
        </w:rPr>
        <w:t>” means Sintetica’s AMPRES trademark, if registered in the Territory, or, if mutually agreed to by the Parties, any other trademark for the Product registered by Sintetica in the Territory after the Effective Date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1.105 “</w:t>
      </w:r>
      <w:r>
        <w:rPr>
          <w:rFonts w:ascii="Arial" w:cs="Arial" w:eastAsia="Arial" w:hAnsi="Arial"/>
          <w:sz w:val="18"/>
          <w:szCs w:val="18"/>
          <w:u w:val="single" w:color="auto"/>
          <w:color w:val="auto"/>
        </w:rPr>
        <w:t>Transfer Price</w:t>
      </w:r>
      <w:r>
        <w:rPr>
          <w:rFonts w:ascii="Arial" w:cs="Arial" w:eastAsia="Arial" w:hAnsi="Arial"/>
          <w:sz w:val="18"/>
          <w:szCs w:val="18"/>
          <w:color w:val="auto"/>
        </w:rPr>
        <w:t>” is defined in Section 6.13(a).</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LICENSES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from Sintetica to Harrow</w:t>
      </w:r>
      <w:r>
        <w:rPr>
          <w:rFonts w:ascii="Arial" w:cs="Arial" w:eastAsia="Arial" w:hAnsi="Arial"/>
          <w:sz w:val="18"/>
          <w:szCs w:val="18"/>
          <w:color w:val="auto"/>
        </w:rPr>
        <w:t>. Subject to the terms and conditions of this Agreement, Sintetica hereby grants to Harrow, including its Affiliates, for the Term an exclusive (even as to Sintetica) license, solely in the Field and in the Territory, and with the right to grant sublicenses in accordance with Section 2.2, to develop, promote, market, sell and distribute the Product for the Licensed Indication within the Territory. For the avoidance of doubt, the Manufacture of Licensed Product is not included within the scope of the license as Sintetica’s contract manufacturing partner shall be responsible for manufacturing Product for supply to Harrow. The license grant in this Section 2.1 expressly includes: (i) a license of all Sintetica Technology; and (ii) a license of all of Sintetica’s rights in Joint Technology.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Sublicenses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Harrow shall have the right to grant sublicenses to sublicensees, through multiple tiers, under the rights granted by Sintetica to Harrow under Section 2.1 to one or more Third Parties.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sublicense shall refer to and be subordinate to this Agreement and, except to the extent the Parties otherwise agree in writing, any such sublicense must be consistent in all material respects with the terms and conditions of this Agreement. Harrow shall remain responsible for the performance of this Agreement through any sublicensee and any violation of any sublicense granted by Harrow under this Section.</w:t>
      </w:r>
    </w:p>
    <w:p>
      <w:pPr>
        <w:spacing w:after="0" w:line="165" w:lineRule="exact"/>
        <w:rPr>
          <w:rFonts w:ascii="Arial" w:cs="Arial" w:eastAsia="Arial" w:hAnsi="Arial"/>
          <w:sz w:val="17"/>
          <w:szCs w:val="17"/>
          <w:color w:val="auto"/>
        </w:rPr>
      </w:pPr>
    </w:p>
    <w:p>
      <w:pPr>
        <w:jc w:val="both"/>
        <w:ind w:firstLine="656"/>
        <w:spacing w:after="0" w:line="259" w:lineRule="auto"/>
        <w:tabs>
          <w:tab w:leader="none" w:pos="8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an early termination of Harrow’s license rights under this Agreement, Harrow shall identify to Sintetica Third Party sublicensees having received a sublicense granted by Harrow or its Affiliates pursuant to this Section 2.2, and Sintetica shall be free to contact and enter into agreements with any such sublicensees. If Sintetica so requests at such time, Harrow agrees to assign its sublicense agreement(s) to Sintetica, without any consideration, effective as of the termination date of this Agreement.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License from Harrow to Sintetica</w:t>
      </w:r>
      <w:r>
        <w:rPr>
          <w:rFonts w:ascii="Arial" w:cs="Arial" w:eastAsia="Arial" w:hAnsi="Arial"/>
          <w:sz w:val="17"/>
          <w:szCs w:val="17"/>
          <w:color w:val="auto"/>
        </w:rPr>
        <w:t>. Subject to the terms and conditions of this Agreement, Harrow hereby grants to Sintetica and its Affiliates for the Term a non-exclusive license, and with the right to grant sublicenses to sublicensees, solely in the Field and in the Territory to enable Sintetica to perform its obligations and exercise its rights under this Agreement. The license grant in this Section 2.3 expressly includes: (i) a license of all Harrow Technology; and (ii) a license of all of Harrow’s rights in Joint Technology. Sintetica shall remain responsible for the performance of this Agreement through any sublicensee and any violation of any sublicense granted by Sintetica under this Section.</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No license or other right is or shall be created or granted hereunder by implication, estoppel, or otherwise. All licenses and rights are or shall be granted only as expressly provided in this Agreement. All rights not expressly granted by a Party under this Agreement are reserved by the Party and may not be used by the other Party for any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Sintetica Development</w:t>
      </w:r>
      <w:r>
        <w:rPr>
          <w:rFonts w:ascii="Arial" w:cs="Arial" w:eastAsia="Arial" w:hAnsi="Arial"/>
          <w:sz w:val="17"/>
          <w:szCs w:val="17"/>
          <w:color w:val="auto"/>
        </w:rPr>
        <w:t>. Sintetica shall be responsible for developing the Product suitable for submission in an NDA. The Product will demonstrate clinical non-inferiority (or better) efficacy and safety data as compared to Tetracaine 0.5% and Akten® (lidocaine hydrochloride 3.5%) ophthalmic gel.</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Harrow Development</w:t>
      </w:r>
      <w:r>
        <w:rPr>
          <w:rFonts w:ascii="Arial" w:cs="Arial" w:eastAsia="Arial" w:hAnsi="Arial"/>
          <w:sz w:val="16"/>
          <w:szCs w:val="16"/>
          <w:color w:val="auto"/>
        </w:rPr>
        <w:t>. Notwithstanding Section 3.1, Harrow shall have the unilateral right, at its sole discretion, to demand the delay of the filing of the NDA of the Product for up to thirty (30) months in order to invest in additional product development, including clinical and non-clinical studies, chemistry, manufacturing and control optimization, and the like associated with the Product (the “</w:t>
      </w:r>
      <w:r>
        <w:rPr>
          <w:rFonts w:ascii="Arial" w:cs="Arial" w:eastAsia="Arial" w:hAnsi="Arial"/>
          <w:sz w:val="16"/>
          <w:szCs w:val="16"/>
          <w:u w:val="single" w:color="auto"/>
          <w:color w:val="auto"/>
        </w:rPr>
        <w:t>Harrow Studies</w:t>
      </w:r>
      <w:r>
        <w:rPr>
          <w:rFonts w:ascii="Arial" w:cs="Arial" w:eastAsia="Arial" w:hAnsi="Arial"/>
          <w:sz w:val="16"/>
          <w:szCs w:val="16"/>
          <w:color w:val="auto"/>
        </w:rPr>
        <w:t>”). Sintetica will provide insight and counsel to Harrow regarding the Product and the Harrow Studies, but Harrow will have the final decision authority on whether to initiate Harrow Studies. The actual costs to complete the Harrow Studies will be paid for by Harrow; provided, however, Harrow will be allowed to recover on a dollar for dollar basis up to</w:t>
      </w:r>
    </w:p>
    <w:p>
      <w:pPr>
        <w:spacing w:after="0" w:line="2" w:lineRule="exact"/>
        <w:rPr>
          <w:sz w:val="20"/>
          <w:szCs w:val="20"/>
          <w:color w:val="auto"/>
        </w:rPr>
      </w:pPr>
    </w:p>
    <w:p>
      <w:pPr>
        <w:jc w:val="both"/>
        <w:ind w:firstLine="8"/>
        <w:spacing w:after="0" w:line="302" w:lineRule="auto"/>
        <w:tabs>
          <w:tab w:leader="none" w:pos="4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such costs as a credit against future royalties owed to Sintetica pursuant to Section 7.4. In consideration for receiving such credit, Harrow hereby grants Sintetica an irrevocable, royalty-free license to use any results of the Harrow Studies in any Product registration dossiers, regulatory activities and regulatory approval applications outside of the Territory and for Product marketed, distributed and/or sold by or for Sintetica outside of the Territory.</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Disclosure of Sintetica Know-How</w:t>
      </w:r>
      <w:r>
        <w:rPr>
          <w:rFonts w:ascii="Arial" w:cs="Arial" w:eastAsia="Arial" w:hAnsi="Arial"/>
          <w:sz w:val="17"/>
          <w:szCs w:val="17"/>
          <w:color w:val="auto"/>
        </w:rPr>
        <w:t>. Promptly following the Effective Date, and promptly during the Term upon such Sintetica Know-How being obtained or generated by Sintetica, Sintetica shall provide to Harrow, at no additional expense any Sintetica Know-How as is necessary to enable Harrow to conduct Development activities, Commercialization activities and Regulatory Activities under this Agreement or otherwise to practice the license granted to it under this Agreement, to the extent such Sintetica Know-How has not previously been provided to Harrow.</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Records; Disclosure of Data and Results</w:t>
      </w:r>
      <w:r>
        <w:rPr>
          <w:rFonts w:ascii="Arial" w:cs="Arial" w:eastAsia="Arial" w:hAnsi="Arial"/>
          <w:sz w:val="17"/>
          <w:szCs w:val="17"/>
          <w:color w:val="auto"/>
        </w:rPr>
        <w:t>. In conformity with Applicable Law, standard pharmaceutical industry practices and the terms and conditions of this Agreement, each Party shall prepare and maintain, or shall cause to be prepared and maintained, complete and accurate written records, accounts, notes, reports and data with respect to Development activities conducted pursuant to this Agreement; provided, that, in no instance shall such records be maintained for less than two (2) years following the end of the Calendar Year to which the records pertain.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NDA Preparation</w:t>
      </w:r>
      <w:r>
        <w:rPr>
          <w:rFonts w:ascii="Arial" w:cs="Arial" w:eastAsia="Arial" w:hAnsi="Arial"/>
          <w:sz w:val="18"/>
          <w:szCs w:val="18"/>
          <w:color w:val="auto"/>
        </w:rPr>
        <w:t>. Sintetica will be responsible for the activities required for the preparation and compilation of the NDA for the Product for submission to the FDA and Health Canada, respectively, at its own expense. As time is of the essence for submission of the NDA in the USA, and in Canada subsequently thereafter, subject to Section 3.2, Sintetica shall promptly complete the compilation and submission under Section 4.2 below for the US submission and Harrow shall provide oversight and collaborate in a timely manner for said submission.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NDA Submission and Transfer of Ownership</w:t>
      </w:r>
      <w:r>
        <w:rPr>
          <w:rFonts w:ascii="Arial" w:cs="Arial" w:eastAsia="Arial" w:hAnsi="Arial"/>
          <w:sz w:val="18"/>
          <w:szCs w:val="18"/>
          <w:color w:val="auto"/>
        </w:rPr>
        <w:t>. For each country in the Territory Sintetica will transfer ownership of the NDA for the Product to Harrow upon its approval by the competent Regulatory Authority (i.e., FDA for the United States and Health Canada for Canada), with Harrow owning registration rights to the NDA. Sintetica will be responsible for payment of the NDA filing fees (i.e., the PDUFA fee for FDA). Harrow will be responsible for payment of any comparable and necessary filing fees for the NDA submitted to Health Canada (whether it is called a New Drug Submission (NDS), an Abbreviated New Drug Submission (ANDS) or otherwise) and including for establishment licensing.</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NDA Review and Approval Process</w:t>
      </w:r>
      <w:r>
        <w:rPr>
          <w:rFonts w:ascii="Arial" w:cs="Arial" w:eastAsia="Arial" w:hAnsi="Arial"/>
          <w:sz w:val="16"/>
          <w:szCs w:val="16"/>
          <w:color w:val="auto"/>
        </w:rPr>
        <w:t>. Sintetica, or Sintetica’s designee, shall oversee and manage the NDA approval process at FDA and/or Health Canada and shall be responsible for managing all communications with FDA and/or Health Canada during the NDA approval process. Notwithstanding the above, Sintetica, or its NDA agent designee, shall actively and reasonably keep Harrow informed of any regulatory filings and communications from FDA or Health Canada that would put the NDA at risk or otherwise delay approval of the NDA, and shall consult with Harrow prior to submission of any responses to such communications, who shall provide feedback to Sintetica in a timely manner to avoid any delay in the Regulatory Authority review process. Should any additional fees in addition to those in Section 4.2 be assessed as part of the NDA review and approval process, Sintetica will inform Harrow and shall be responsible for payment of all such fees, with Harrow promptly reimbursing Sintetica for all mutually agreed upon amounts relative thereto. After transfer of Regulatory Approval of each respective NDA, Harrow shall be responsible for all communications with each respective Regulatory Authority and for all fees and costs relative to NDAs and their maintenance, including but not limited to yearly PDUFA Program fee costs, and relative to any post-approval changes (including but not limited to cost and fees regarding Annual Reports, CBE-0, CBE-30, PAS, and addition of foreign sites) submitted to the Regulatory Authorities), and including but not limited to annual fees to Health Canada.</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Regulatory Authority Communications Received by a Party</w:t>
      </w:r>
      <w:r>
        <w:rPr>
          <w:rFonts w:ascii="Arial" w:cs="Arial" w:eastAsia="Arial" w:hAnsi="Arial"/>
          <w:sz w:val="16"/>
          <w:szCs w:val="16"/>
          <w:color w:val="auto"/>
        </w:rPr>
        <w:t>. Prior to Regulatory Approval of an NDA, each Party shall keep the other Party informed in a timely manner, compliant with the reporting requirements of Regulatory Authorities in the Territory, of the notification of any action by, or notification or other information which it receives (directly or indirectly) from any regulatory authority which, in relation to such NDA: (a) relates to the potential approvability of the Product; or (b) raises any material concerns regarding the safety or efficacy of a Product; or (c) which may have a material impact on obtaining Regulatory Approvals. Following Regulatory Approval of an NDA, each Party shall keep the other Party informed in a timely manner, compliant with the reporting requirements of Regulatory Authorities in the Territory, of the notification of any action by, or notification or other information which it receives (directly or indirectly) from any regulatory authority which, in relation to such NDA: (a) indicates or suggests a potential material liability of Harrow to Third Parties in connection with a Product; (b) is reasonably likely to lead to a recall or market withdrawal of a Product; or (c) relates to expedited and periodic reports of adverse events with respect to a Product, or Product Complaints, and which may have a material impact on maintaining Regulatory Approvals or the continued Commercialization of a Product, as then conducted. Once an NDA has been transferred to Harrow, Harrow shall provide to Sintetica copies of all correspondence to or from the FDA or Health Canada, as appropriate, relating to the Product, including without limitation to any post-approval changes (Annual Reports, CBE-0, CBE-30, PAS or similar filings) submitted to the FDA or Health Canada. In particular, all the documentation generated after the approval of the NDA should be shared with Sintetica (e.g., any eCTD sequences filed to FDA), to ensure Sintetica has availability of the complete dossier. Harrow shall fully cooperate with and assist Sintetica in complying with regulatory obligations and communications, including by providing to Sintetica, in a timely manner after a request, such Information and documentation in Harrow’s possession as may be necessary or helpful for Sintetica to prepare a response to an inquiry from a Regulatory Authority.</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Adverse Event Reporting and Safety Data Exchange</w:t>
      </w:r>
      <w:r>
        <w:rPr>
          <w:rFonts w:ascii="Arial" w:cs="Arial" w:eastAsia="Arial" w:hAnsi="Arial"/>
          <w:sz w:val="18"/>
          <w:szCs w:val="18"/>
          <w:color w:val="auto"/>
        </w:rPr>
        <w:t>. During the Term, Harrow shall have the sole responsibility for the monitoring of all clinical experiences, safety monitoring and pharmacovigilance surveillance in the Territory, compliance and filing of all required safety reports to Regulatory Authorities in the Territory, including annual safety reports, throughout the Development and Commercialization of the Product. A dedicated Safety Data Exchange Agreement (SDEA) will be prepared and discussed with Harrow.</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Audits</w:t>
      </w:r>
      <w:r>
        <w:rPr>
          <w:rFonts w:ascii="Arial" w:cs="Arial" w:eastAsia="Arial" w:hAnsi="Arial"/>
          <w:sz w:val="17"/>
          <w:szCs w:val="17"/>
          <w:color w:val="auto"/>
        </w:rPr>
        <w:t>. If a Regulatory Authority notifies a Party that it plans to conduct an inspection or audit of its facility or a facility under contract with it with regard to a Product in the Territory, then such Party shall notify the other Party as soon as practicably possible after receipt of such notification of such audit or inspection and provide copies of any materials provided to it by the applicable Regulatory Authority; provided, that either Party shall not be required to notify the other Party of audits or inspections that are of a routine nature or that do not relate to a Product, except where such audits result in communications or actions of such Regulatory Authority which would reasonably be expected to have an impact upon the Product. In addition, if a Regulatory Authority conducts an unannounced inspection or audit of Harrow’s facility or a facility under contract with Harrow with regard to a Product in the Territory, then Harrow shall notify Sintetica within twenty-four (24) hours of commencement of such audit or inspection. Harrow shall cooperate with such Regulatory Authority and Sintetica during such inspection or audit. Following receipt of the inspection or audit observations of such Regulatory Authority (a copy of which the Harrow shall promptly provide to Sintetica), Harrow shall also provide Sintetica with copies of any written communications received from Regulatory Authorities with respect to such facilities in a timely manner after receipt, to the extent such written communications relate to Product or the Manufacture thereof, and shall assist Sintetica in preparing the response to any such observations, as requested. Harrow agrees to conform its activities under this Agreement to any commitments made in such a response.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Confidentiality of Regulatory Materials</w:t>
      </w:r>
      <w:r>
        <w:rPr>
          <w:rFonts w:ascii="Arial" w:cs="Arial" w:eastAsia="Arial" w:hAnsi="Arial"/>
          <w:sz w:val="18"/>
          <w:szCs w:val="18"/>
          <w:color w:val="auto"/>
        </w:rPr>
        <w:t>. All Regulatory Materials prepared by Harrow shall be deemed Harrow Confidential Information and subject to Article 10 of this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Commercialization Activities</w:t>
      </w:r>
      <w:r>
        <w:rPr>
          <w:rFonts w:ascii="Arial" w:cs="Arial" w:eastAsia="Arial" w:hAnsi="Arial"/>
          <w:sz w:val="18"/>
          <w:szCs w:val="18"/>
          <w:color w:val="auto"/>
        </w:rPr>
        <w:t>. Subject to the terms and conditions of this Agreement, Harrow shall be solely responsible for all aspects of the Commercialization of Product in the Field in the Territory, including: (i) developing and executing a commercial launch and pre-launch plan, (ii) marketing and promotion; (iii) booking sales and distribution and performance of related services, including those described in Section 5.1(a); (iv) handling all aspects of order processing, invoicing and collection, inventory and receivables; (v) publications, (vi) providing customer support, including handling medical queries, and performing other related functions; (vii) conforming its practices and procedures in all respects to the Applicable Law relating to the marketing, detailing and promotion of Product in the Field in the Territory; and (viii) product security activities. Harrow shall be solely responsible for the review and approval of all Promotional Materials for compliance with Applicable Law, including providing to the NDA agent for submission, where appropriate, to the applicable Regulatory Authority. Except as otherwise provided in this Article 5, Harrow shall bear all of the expenses incurred in connection with all such Commercialization activities.</w:t>
      </w:r>
    </w:p>
    <w:p>
      <w:pPr>
        <w:spacing w:after="0" w:line="192" w:lineRule="exact"/>
        <w:rPr>
          <w:sz w:val="20"/>
          <w:szCs w:val="20"/>
          <w:color w:val="auto"/>
        </w:rPr>
      </w:pPr>
    </w:p>
    <w:p>
      <w:pPr>
        <w:jc w:val="both"/>
        <w:ind w:left="500" w:firstLine="657"/>
        <w:spacing w:after="0" w:line="256" w:lineRule="auto"/>
        <w:tabs>
          <w:tab w:leader="none" w:pos="1392"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Sales and Distribution</w:t>
      </w:r>
      <w:r>
        <w:rPr>
          <w:rFonts w:ascii="Arial" w:cs="Arial" w:eastAsia="Arial" w:hAnsi="Arial"/>
          <w:sz w:val="18"/>
          <w:szCs w:val="18"/>
          <w:color w:val="auto"/>
        </w:rPr>
        <w:t>. Harrow shall have the sole right and responsibility for handling all sales and distribution activities,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order processing, invoicing and collection, distribution (including importing, exporting, transporting, customs clearance, warehousing, invoicing, handling and delivering Product to customers), and inventory and receivables for Product in the Field in the Territory. Sintetica shall not accept orders for the purchase of Product from Third Parties, or make sales of Product to Third Parties in the Field in the Territory for its own account or for Harrow’s account. If Sintetica receives any order for Product in the Field in the Territory, it shall refer such order to Harrow for acceptance or rejection.</w:t>
      </w:r>
    </w:p>
    <w:p>
      <w:pPr>
        <w:spacing w:after="0" w:line="187" w:lineRule="exact"/>
        <w:rPr>
          <w:rFonts w:ascii="Arial" w:cs="Arial" w:eastAsia="Arial" w:hAnsi="Arial"/>
          <w:sz w:val="18"/>
          <w:szCs w:val="18"/>
          <w:color w:val="auto"/>
        </w:rPr>
      </w:pPr>
    </w:p>
    <w:p>
      <w:pPr>
        <w:jc w:val="both"/>
        <w:ind w:left="500" w:firstLine="657"/>
        <w:spacing w:after="0" w:line="286" w:lineRule="auto"/>
        <w:tabs>
          <w:tab w:leader="none" w:pos="1403" w:val="left"/>
        </w:tabs>
        <w:numPr>
          <w:ilvl w:val="1"/>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Booking Sales and Setting Pricing. </w:t>
      </w:r>
      <w:r>
        <w:rPr>
          <w:rFonts w:ascii="Arial" w:cs="Arial" w:eastAsia="Arial" w:hAnsi="Arial"/>
          <w:sz w:val="16"/>
          <w:szCs w:val="16"/>
          <w:color w:val="auto"/>
        </w:rPr>
        <w:t>Harrow shall have the sole and exclusive right to book sales and determine all pricing of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Territory, including (i) negotiating, establishing or modifying the terms and conditions regarding the sale of Product in the Field in the Territory, including any terms and conditions relating to or affecting (A) the price at which Product shall be sold, (B) discounts available to any Third Party payers (including managed care providers, indemnity plans, unions, self-insured entities, and government payer, insurance or contracting programs such as Medicare, Medicaid, or the U.S. Department of Veterans Affairs, or similar programs located in other countries of the Territory),</w:t>
      </w:r>
    </w:p>
    <w:p>
      <w:pPr>
        <w:spacing w:after="0" w:line="2" w:lineRule="exact"/>
        <w:rPr>
          <w:rFonts w:ascii="Arial" w:cs="Arial" w:eastAsia="Arial" w:hAnsi="Arial"/>
          <w:sz w:val="16"/>
          <w:szCs w:val="16"/>
          <w:color w:val="auto"/>
        </w:rPr>
      </w:pPr>
    </w:p>
    <w:p>
      <w:pPr>
        <w:jc w:val="both"/>
        <w:ind w:left="500" w:firstLine="9"/>
        <w:spacing w:after="0" w:line="253" w:lineRule="auto"/>
        <w:tabs>
          <w:tab w:leader="none" w:pos="8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discounts attributable to payments on receivables, (D) distribution of Product, and (E) credits, price adjustments, or other discounts and allowances to be granted or refused; and (2) all activities relating to government price reporting with respect to Product in the Field in the Territory. Notwithstanding anything in this Agreement express or implied to the contrary, Sintetica shall not have any right to direct, control, or approve Harrow’s pricing of Product for the Territory.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Trademarks</w:t>
      </w:r>
      <w:r>
        <w:rPr>
          <w:rFonts w:ascii="Arial" w:cs="Arial" w:eastAsia="Arial" w:hAnsi="Arial"/>
          <w:sz w:val="17"/>
          <w:szCs w:val="17"/>
          <w:color w:val="auto"/>
        </w:rPr>
        <w:t>. Except for the Trademark, Harrow shall be solely responsible, at its own expense, for all matters relating to the use of, and shall own, all other trademarks, including all associated goodwill, used in the sale of Product in the Field in the Territory, including the selection, filing, prosecution, maintenance, defense and enforcement thereof. Notwithstanding the above, at Harrow’s request, Sintetica shall grant a license to Harrow to use the Trademark, along with all associated goodwill, on an exclusive (even as to Sintetica) and royalty-free basis for use as the brand name of the Product in the Territory. Harrow agrees to use the Trademark consistent with guidelines that shall be provided by Sintetica. Sintetica shall be solely responsible, at its own expense, for the Trademark, including the prosecution, maintenance, defense and enforcement thereof.</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Commercialization Diligence</w:t>
      </w:r>
      <w:r>
        <w:rPr>
          <w:rFonts w:ascii="Arial" w:cs="Arial" w:eastAsia="Arial" w:hAnsi="Arial"/>
          <w:sz w:val="17"/>
          <w:szCs w:val="17"/>
          <w:color w:val="auto"/>
        </w:rPr>
        <w:t xml:space="preserve">. Harrow shall use Commercially Reasonable Efforts to Commercialize the Product for the Licensed Indication for which Harrow receives Regulatory Approval in the Territory. Notwithstanding the preceding sentence, Harrow shall not be obligated to launch the Product (a) in the event that Sintetica has not supplied to Harrow the amount of Product Harrow has ordered for such launch,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such</w:t>
      </w:r>
      <w:r>
        <w:rPr>
          <w:rFonts w:ascii="Arial" w:cs="Arial" w:eastAsia="Arial" w:hAnsi="Arial"/>
          <w:sz w:val="17"/>
          <w:szCs w:val="17"/>
          <w:color w:val="auto"/>
        </w:rPr>
        <w:t xml:space="preserve"> Harrow shall not be released from such obligation if (i) it has not provided to Sintetica in a timely manner the appropriate information for such launch in the Commercial Launch Plan Sintetica or (ii) it has not issued the Launch Order in accordance with the applicable provisions of this Agreement, or, (b) in the event that in the opinion of Harrow’s external patent counsel, launching the product would involve an unnecessary commercial patent infringement risk to Harrow. Harrow shall promptly notify Sintetica when Harrow has received such opinion.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Product Labeling and Packaging</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87"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Packaging artworks will be designed by Sintetica, consistent with any input received from Harrow. In accordance with Section 5.2, any proprietary trademark and/or brand name and design artwork to be used shall be selected by Harrow and agreed to by Sintetica, such agreement not to be unreasonably withheld, conditioned or delayed. Sintetica shall design or have the TPM design an industrial application of the packaging, the containers, the labels, the user instructions, warning notices, master shipper, and pallet layout for Product (“</w:t>
      </w:r>
      <w:r>
        <w:rPr>
          <w:rFonts w:ascii="Arial" w:cs="Arial" w:eastAsia="Arial" w:hAnsi="Arial"/>
          <w:sz w:val="16"/>
          <w:szCs w:val="16"/>
          <w:u w:val="single" w:color="auto"/>
          <w:color w:val="auto"/>
        </w:rPr>
        <w:t>Product Labelling and Packaging</w:t>
      </w:r>
      <w:r>
        <w:rPr>
          <w:rFonts w:ascii="Arial" w:cs="Arial" w:eastAsia="Arial" w:hAnsi="Arial"/>
          <w:sz w:val="16"/>
          <w:szCs w:val="16"/>
          <w:color w:val="auto"/>
        </w:rPr>
        <w:t>”), as per FDA approved text, transportation regulations within Applicable Laws, and shall have no liability for the design artwork on any Product Labelling and Packaging approved by Harrow. Sintetica shall be solely responsible for, at its cost and expense, to ensure that the requirements to serialize the Product are met in accordance with Applicable Law. Any deviations or specific request from Harrow that differs from Sintetica’s standard protocols shall be evaluated and agreed upon by the parties prior to implementation. Prior to the TPM’s commencing the first production of any Product Labeling and Packaging, Sintetica shall submit the intended Product Labelling and Packaging to Harrow for its review for accuracy and approval. Only upon Harrow’s approval, which shall not be unreasonably withheld or delayed and which shall not be in contrast with Applicable Law, shall Sintetica cause the TPM to proceed to print the Product Labelling and Packaging. Sintetica shall be responsible or liable towards Harrow for the final content of the Product Labelling and Packaging not conforming to the approved Product Labeling and Packaging.</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left="500" w:firstLine="657"/>
        <w:spacing w:after="0" w:line="277" w:lineRule="auto"/>
        <w:tabs>
          <w:tab w:leader="none" w:pos="14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Harrow approves the Product Labelling and Packaging as set forth in Section 6.1(a), all Product supplied by Sintetica shall be in finished dosage form and fully packaged and ready for Commercialization by Harrow in the Territory.</w:t>
      </w:r>
    </w:p>
    <w:p>
      <w:pPr>
        <w:spacing w:after="0" w:line="170" w:lineRule="exact"/>
        <w:rPr>
          <w:rFonts w:ascii="Arial" w:cs="Arial" w:eastAsia="Arial" w:hAnsi="Arial"/>
          <w:sz w:val="18"/>
          <w:szCs w:val="18"/>
          <w:color w:val="auto"/>
        </w:rPr>
      </w:pPr>
    </w:p>
    <w:p>
      <w:pPr>
        <w:jc w:val="both"/>
        <w:ind w:left="500" w:firstLine="657"/>
        <w:spacing w:after="0" w:line="263" w:lineRule="auto"/>
        <w:tabs>
          <w:tab w:leader="none" w:pos="13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Harrow shall distribute the Product exclusively with the Product Labelling and Packaging in which it is supplied to Harrow by Sintetica. For avoidance of doubt, Harrow shall not modify the Product Labelling and Packaging in any way when handling, storing, distributing or otherwise Commercializing the Product in the Territory.</w:t>
      </w:r>
    </w:p>
    <w:p>
      <w:pPr>
        <w:spacing w:after="0" w:line="183" w:lineRule="exact"/>
        <w:rPr>
          <w:rFonts w:ascii="Arial" w:cs="Arial" w:eastAsia="Arial" w:hAnsi="Arial"/>
          <w:sz w:val="18"/>
          <w:szCs w:val="18"/>
          <w:color w:val="auto"/>
        </w:rPr>
      </w:pPr>
    </w:p>
    <w:p>
      <w:pPr>
        <w:ind w:left="500" w:right="20" w:firstLine="657"/>
        <w:spacing w:after="0" w:line="277" w:lineRule="auto"/>
        <w:tabs>
          <w:tab w:leader="none" w:pos="14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Subsequent to its approval, any modification of the Product Labelling and Packaging shall require prior written approval by both Parties and must comply with all Applicable Laws in the relative country of the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Supply of Product</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63"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Sintetica shall be the exclusive supplier of the Product to Harrow for Harrow’s Development, Commercialization and Regulatory Activities in the Territory, and Harrow shall exclusively purchase from Sintetica the Product and Commercialize the Product in the Territory, except as otherwise expressly provided in this Agreement.</w:t>
      </w:r>
    </w:p>
    <w:p>
      <w:pPr>
        <w:spacing w:after="0" w:line="183" w:lineRule="exact"/>
        <w:rPr>
          <w:rFonts w:ascii="Arial" w:cs="Arial" w:eastAsia="Arial" w:hAnsi="Arial"/>
          <w:sz w:val="18"/>
          <w:szCs w:val="18"/>
          <w:color w:val="auto"/>
        </w:rPr>
      </w:pPr>
    </w:p>
    <w:p>
      <w:pPr>
        <w:ind w:left="500" w:right="20" w:firstLine="657"/>
        <w:spacing w:after="0" w:line="342" w:lineRule="auto"/>
        <w:tabs>
          <w:tab w:leader="none" w:pos="1406"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Sintetica shall use Commercially Reasonable Efforts to supply on a timely basis one hundred percent (100%) of Harrow’s requirements for each Product for commercialization in the Territory, subject to the terms and conditions set forth in Sections 6.5 and 6.6 of this Agreement.</w:t>
      </w:r>
    </w:p>
    <w:p>
      <w:pPr>
        <w:spacing w:after="0" w:line="123" w:lineRule="exact"/>
        <w:rPr>
          <w:rFonts w:ascii="Arial" w:cs="Arial" w:eastAsia="Arial" w:hAnsi="Arial"/>
          <w:sz w:val="16"/>
          <w:szCs w:val="16"/>
          <w:color w:val="auto"/>
        </w:rPr>
      </w:pPr>
    </w:p>
    <w:p>
      <w:pPr>
        <w:ind w:left="500" w:right="20" w:firstLine="657"/>
        <w:spacing w:after="0" w:line="342" w:lineRule="auto"/>
        <w:tabs>
          <w:tab w:leader="none" w:pos="1398"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Sintetica shall use Commercially Reasonable Efforts to have produced and to supply Harrow with Product with an expiration date that is such that, on the date Product is delivered to Harrow, it has at least seventy-five percent (75%) of the shelf-life for the applicable Product.</w:t>
      </w:r>
    </w:p>
    <w:p>
      <w:pPr>
        <w:spacing w:after="0" w:line="123" w:lineRule="exact"/>
        <w:rPr>
          <w:rFonts w:ascii="Arial" w:cs="Arial" w:eastAsia="Arial" w:hAnsi="Arial"/>
          <w:sz w:val="16"/>
          <w:szCs w:val="16"/>
          <w:color w:val="auto"/>
        </w:rPr>
      </w:pPr>
    </w:p>
    <w:p>
      <w:pPr>
        <w:jc w:val="both"/>
        <w:ind w:left="500" w:firstLine="657"/>
        <w:spacing w:after="0" w:line="257" w:lineRule="auto"/>
        <w:tabs>
          <w:tab w:leader="none" w:pos="14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Sintetica shall supply the Product to Harrow in accordance with the terms and conditions of this Agreement, the Quality Agreement, the relevant NDAs and Applicable Law. Sintetica shall deliver to Harrow, together with each delivery of each batch of Product, the corresponding certificate of analysis relating to such batch and certification that all Product in such batch was manufactured in accordance with GMP, the Quality Agreement and any Applicable Law in the country of Manufacture. The certificate of analysis shall include the actual result of the testing performed by, or on behalf of, Sintetica on such batch.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Manufacture of Product</w:t>
      </w:r>
    </w:p>
    <w:p>
      <w:pPr>
        <w:spacing w:after="0" w:line="225" w:lineRule="exact"/>
        <w:rPr>
          <w:sz w:val="20"/>
          <w:szCs w:val="20"/>
          <w:color w:val="auto"/>
        </w:rPr>
      </w:pPr>
    </w:p>
    <w:p>
      <w:pPr>
        <w:jc w:val="both"/>
        <w:ind w:left="500" w:firstLine="657"/>
        <w:spacing w:after="0" w:line="291" w:lineRule="auto"/>
        <w:tabs>
          <w:tab w:leader="none" w:pos="139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Third Party Manufacturers</w:t>
      </w:r>
      <w:r>
        <w:rPr>
          <w:rFonts w:ascii="Arial" w:cs="Arial" w:eastAsia="Arial" w:hAnsi="Arial"/>
          <w:sz w:val="16"/>
          <w:szCs w:val="16"/>
          <w:color w:val="auto"/>
        </w:rPr>
        <w:t>. Without limiting Sintetica’s responsibility under this Agreement, Sintetica shall have the right, upon written notice to Harrow (except for the case already acknowledged and agreed to in the last sentence of this paragraph), to satisfy its supply obligations to Harrow hereunder either in whole or in part through arrangements with one or more Third Parties engaged by Sintetica to perform services or supply facilities or goods in connection with the Manufacture or testing of Product (each, a “Third-Party Manufacturer” or “TPM”). Sintetica shall be responsible for any acts or omissions of such Third-Party Manufacturers in breach of Sintetica’s representations, warranties and obligations under this Agreement to the same extent as if Sintetica had committed the breach itself. The Parties acknowledge and agree that as of the Effective Date, Sintetica will obtain Product Manufactured by the TPM, Unither Pharmaceuticals at its manufacturing site in Coutances, France.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ind w:left="800" w:hanging="320"/>
        <w:spacing w:after="0" w:line="263"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Sintetica shall endeavor to have the contractual arrangements with each TPM be consistent with the relevant Manufacturing provisions of this Agreement, and use Commercially Reasonable Efforts to monitor and enforce the TPM’s performance under such arrangements to ensure that such provisions of the are met.</w:t>
      </w:r>
    </w:p>
    <w:p>
      <w:pPr>
        <w:spacing w:after="0" w:line="183" w:lineRule="exact"/>
        <w:rPr>
          <w:rFonts w:ascii="Arial" w:cs="Arial" w:eastAsia="Arial" w:hAnsi="Arial"/>
          <w:sz w:val="18"/>
          <w:szCs w:val="18"/>
          <w:color w:val="auto"/>
        </w:rPr>
      </w:pPr>
    </w:p>
    <w:p>
      <w:pPr>
        <w:jc w:val="both"/>
        <w:ind w:left="800" w:hanging="320"/>
        <w:spacing w:after="0" w:line="269"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performance by Sintetica described in Sections 6.3(d), and in other provisions of this Agreement, have been written in regard to any Manufacturing activities that may be carried out directly by Sintetica, where applicable. For purposes of this Agreement, however, and even where not so indicated expressly, such provisions should be interpreted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so as to regard also performance of (the same) Manufacturing activities by TPMs for Sintetica, and to regard also Sintetica’s responsibilities and obligations under the present Section for such TPM performance. As an example for clarification, in Section 6.3(d), to the extent applicable to Manufacturing activities carried out by a TPM for Sintetica, such Section should (also) be read as follows: “Sintetica shall, during the Term, </w:t>
      </w:r>
      <w:r>
        <w:rPr>
          <w:rFonts w:ascii="Arial" w:cs="Arial" w:eastAsia="Arial" w:hAnsi="Arial"/>
          <w:sz w:val="17"/>
          <w:szCs w:val="17"/>
          <w:i w:val="1"/>
          <w:iCs w:val="1"/>
          <w:color w:val="auto"/>
        </w:rPr>
        <w:t>ensure that each TPM</w:t>
      </w:r>
      <w:r>
        <w:rPr>
          <w:rFonts w:ascii="Arial" w:cs="Arial" w:eastAsia="Arial" w:hAnsi="Arial"/>
          <w:sz w:val="17"/>
          <w:szCs w:val="17"/>
          <w:color w:val="auto"/>
        </w:rPr>
        <w:t xml:space="preserve"> maintain its relevant Manufacturing sites, and all property, equipment, machinery and systems therein, used in performing </w:t>
      </w:r>
      <w:r>
        <w:rPr>
          <w:rFonts w:ascii="Arial" w:cs="Arial" w:eastAsia="Arial" w:hAnsi="Arial"/>
          <w:sz w:val="17"/>
          <w:szCs w:val="17"/>
          <w:i w:val="1"/>
          <w:iCs w:val="1"/>
          <w:color w:val="auto"/>
        </w:rPr>
        <w:t>Sintetica</w:t>
      </w:r>
      <w:r>
        <w:rPr>
          <w:rFonts w:ascii="Arial" w:cs="Arial" w:eastAsia="Arial" w:hAnsi="Arial"/>
          <w:sz w:val="17"/>
          <w:szCs w:val="17"/>
          <w:color w:val="auto"/>
        </w:rPr>
        <w:t xml:space="preserve"> obligations under this Agreement, in the ordinary course of business and in compliance with GMP and Applicable Law (including Drug Security and Supply Chain Act) and free of material defects except for those attributable to wear and tear consistent with age and usage of such assets and except for such defects as do not and will not in the aggregate impair the ability to use such assets in connection with this Agreement.</w:t>
      </w:r>
    </w:p>
    <w:p>
      <w:pPr>
        <w:spacing w:after="0" w:line="181" w:lineRule="exact"/>
        <w:rPr>
          <w:rFonts w:ascii="Arial" w:cs="Arial" w:eastAsia="Arial" w:hAnsi="Arial"/>
          <w:sz w:val="17"/>
          <w:szCs w:val="17"/>
          <w:color w:val="auto"/>
        </w:rPr>
      </w:pPr>
    </w:p>
    <w:p>
      <w:pPr>
        <w:jc w:val="both"/>
        <w:ind w:firstLine="657"/>
        <w:spacing w:after="0" w:line="257" w:lineRule="auto"/>
        <w:tabs>
          <w:tab w:leader="none" w:pos="919" w:val="left"/>
        </w:tabs>
        <w:numPr>
          <w:ilvl w:val="1"/>
          <w:numId w:val="26"/>
        </w:numPr>
        <w:rPr>
          <w:rFonts w:ascii="Arial" w:cs="Arial" w:eastAsia="Arial" w:hAnsi="Arial"/>
          <w:sz w:val="18"/>
          <w:szCs w:val="18"/>
          <w:color w:val="auto"/>
        </w:rPr>
      </w:pPr>
      <w:r>
        <w:rPr>
          <w:rFonts w:ascii="Arial" w:cs="Arial" w:eastAsia="Arial" w:hAnsi="Arial"/>
          <w:sz w:val="18"/>
          <w:szCs w:val="18"/>
          <w:color w:val="auto"/>
        </w:rPr>
        <w:t>Sintetica shall ensure that the TPM has an adequate supply of active and other ingredients required to Manufacture the Product in order to meet in a timely manner Harrow’s firmly forecasted requirements for the Product in the Territory. In the event that for any reason the TPM may have insufficient supply of active or other ingredients required to meet its obligations under this Section (b), Sintetica, upon Harrow’s approval, shall obtain a Third Party source, compliant with the requisite provisions of Regulatory Approvals, for such active and other ingredients agreed to by Harrow.</w:t>
      </w:r>
    </w:p>
    <w:p>
      <w:pPr>
        <w:spacing w:after="0" w:line="187" w:lineRule="exact"/>
        <w:rPr>
          <w:rFonts w:ascii="Arial" w:cs="Arial" w:eastAsia="Arial" w:hAnsi="Arial"/>
          <w:sz w:val="18"/>
          <w:szCs w:val="18"/>
          <w:color w:val="auto"/>
        </w:rPr>
      </w:pPr>
    </w:p>
    <w:p>
      <w:pPr>
        <w:jc w:val="both"/>
        <w:ind w:firstLine="657"/>
        <w:spacing w:after="0" w:line="279" w:lineRule="auto"/>
        <w:tabs>
          <w:tab w:leader="none" w:pos="911" w:val="left"/>
        </w:tabs>
        <w:numPr>
          <w:ilvl w:val="1"/>
          <w:numId w:val="26"/>
        </w:numPr>
        <w:rPr>
          <w:rFonts w:ascii="Arial" w:cs="Arial" w:eastAsia="Arial" w:hAnsi="Arial"/>
          <w:sz w:val="17"/>
          <w:szCs w:val="17"/>
          <w:color w:val="auto"/>
        </w:rPr>
      </w:pPr>
      <w:r>
        <w:rPr>
          <w:rFonts w:ascii="Arial" w:cs="Arial" w:eastAsia="Arial" w:hAnsi="Arial"/>
          <w:sz w:val="17"/>
          <w:szCs w:val="17"/>
          <w:color w:val="auto"/>
        </w:rPr>
        <w:t>Sintetica shall have Product Manufactured for Commercialization in the Territory only at sites included in the its approved NDAs, provided that the Applicable Laws require such inclusion for the Manufacturing Activities being carried out. In the event Sintetica desires to transfer the manufacture of any Product to another site other than those designated in the relevant NDA, Sintetica shall require Harrow’s written approval. For the avoidance of doubt, the transfer to another site remains subject to the first sentence of this Section.</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5" w:right="339" w:bottom="1440" w:gutter="0" w:footer="0" w:header="0"/>
        </w:sectPr>
      </w:pPr>
    </w:p>
    <w:bookmarkStart w:id="64" w:name="page65"/>
    <w:bookmarkEnd w:id="64"/>
    <w:p>
      <w:pPr>
        <w:jc w:val="both"/>
        <w:ind w:left="500" w:firstLine="657"/>
        <w:spacing w:after="0" w:line="257" w:lineRule="auto"/>
        <w:tabs>
          <w:tab w:leader="none" w:pos="14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Sintetica shall, during the Term, maintain its relevant Manufacturing sites, and all property, equipment, machinery and systems therein, used in performing its obligations under this Agreement, in the ordinary course of business and in compliance with GMP and Applicable Law (including Drug Security and Supply Chain Act) and free of material defects except for those attributable to wear and tear consistent with age and usage of such assets and except for such defects as do not and will not in the aggregate impair the ability to use such assets in connection with this Agreement.</w:t>
      </w:r>
    </w:p>
    <w:p>
      <w:pPr>
        <w:spacing w:after="0" w:line="187" w:lineRule="exact"/>
        <w:rPr>
          <w:rFonts w:ascii="Arial" w:cs="Arial" w:eastAsia="Arial" w:hAnsi="Arial"/>
          <w:sz w:val="18"/>
          <w:szCs w:val="18"/>
          <w:color w:val="auto"/>
        </w:rPr>
      </w:pPr>
    </w:p>
    <w:p>
      <w:pPr>
        <w:ind w:left="500" w:firstLine="657"/>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Sintetica will properly arrange, and have TPM maintain, samples from each batch of Product as required by applicable regulatory standards in the Territory, country of Manufacture, Applicable Law and as otherwise agreed in writing by the Parties.</w:t>
      </w:r>
    </w:p>
    <w:p>
      <w:pPr>
        <w:spacing w:after="0" w:line="170" w:lineRule="exact"/>
        <w:rPr>
          <w:rFonts w:ascii="Arial" w:cs="Arial" w:eastAsia="Arial" w:hAnsi="Arial"/>
          <w:sz w:val="18"/>
          <w:szCs w:val="18"/>
          <w:color w:val="auto"/>
        </w:rPr>
      </w:pPr>
    </w:p>
    <w:p>
      <w:pPr>
        <w:jc w:val="both"/>
        <w:ind w:left="500" w:firstLine="657"/>
        <w:spacing w:after="0" w:line="275" w:lineRule="auto"/>
        <w:tabs>
          <w:tab w:leader="none" w:pos="14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all Product sold to Harrow under this Agreement, when delivered by Sintetica to Harrow, shall be Manufactured in accordance with the NDA and all Applicable Law, shall meet the Specifications and the requirements as set forth in a Quality Agreement, to be entered into by the Parties as soon as practicable and which, upon execution, shall become Schedule 6.3(f) to this Agreement (the “Quality Agreement”). For such purpose, the Parties agree to have appropriate personnel discuss the structure of the Quality Agreement, and the allocation of responsibilities therein as soon as reasonably practicable.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Audits and Inspections</w:t>
      </w:r>
      <w:r>
        <w:rPr>
          <w:rFonts w:ascii="Arial" w:cs="Arial" w:eastAsia="Arial" w:hAnsi="Arial"/>
          <w:sz w:val="17"/>
          <w:szCs w:val="17"/>
          <w:color w:val="auto"/>
        </w:rPr>
        <w:t>. On a regular basis, not to exceed once (1) per calendar year except for good cause, upon Harrow’s prior written notice of at least ninety (90) days and at Harrow’s own expense, Sintetica shall permit representatives of or selected on behalf of Harrow to inspect the Manufacturing facilities, relevant to the manufacture, testing, packaging, labeling, quality control, storage and transport of any Product.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Forecasts</w:t>
      </w:r>
      <w:r>
        <w:rPr>
          <w:rFonts w:ascii="Arial" w:cs="Arial" w:eastAsia="Arial" w:hAnsi="Arial"/>
          <w:sz w:val="17"/>
          <w:szCs w:val="17"/>
          <w:color w:val="auto"/>
        </w:rPr>
        <w:t>. No later than one hundred twenty (120) days prior to Sintetica’s good faith projected Product approval date for the US NDA, which date shall be timely communicated to Harrow, Harrow shall provide to Sintetica a forecast which shall indicate Harrow’s reasonable estimate of its expected requirements for each Product from Sintetica for the twelve (12) month period commencing on the desired initial Delivery Date for such Product. Thereafter, Harrow commits to providing Sintetica with a 12 months rolling forecast no later than the 5th five Business Day of each calendar month (each a “Rolling Forecast”). The first three (3) calendar months of each Rolling Forecast shall be considered binding forecasts for Product (the “Firm Period”). Pursuant to the following Section, the minimum leadtime for supply is considered to be three (3)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Purchase Orders and Minimum Order Requirements</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57" w:lineRule="auto"/>
        <w:tabs>
          <w:tab w:leader="none" w:pos="14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of each Product under this Agreement shall be implemented by Harrow’s issuance of individual purchase orders to Sintetica for specific quantities of each Product which purchase orders shall reflect the quantities and timing set out in the applicable Firm Periods of previous Rolling Forecasts (“Firm Orders”), and shall specify the delivery date for each Product (the “Delivery Date”). For purposes of this Agreement, unless expressly indicated otherwise, “quantities” of Product shall be considered to be whole number of batches of Product (with a batch to be intended as described in Section 6.14).</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jc w:val="both"/>
        <w:ind w:left="500" w:firstLine="657"/>
        <w:spacing w:after="0" w:line="255" w:lineRule="auto"/>
        <w:tabs>
          <w:tab w:leader="none" w:pos="14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order of Product (“Launch Order”), which shall regard launch quantities required by Harrow for the US market, shall be placed no later than ten (10) days after approval of the NDA for the Product by the FDA, with the Delivery Date specified in the Launch Order to be that date anticipated by Harrow to coincide with the end of the one hundred twenty (120) day term set forth in the following sentence. Sintetica shall use reasonable efforts to deliver the Launch Order as soon as reasonably possible before such term but, shall have no liability for its failure to deliver Product in less than one hundred twenty (120) days after the date of Harrow’s final approval of Product Labeling and Packaging pursuant to Section 6.1(a).</w:t>
      </w:r>
    </w:p>
    <w:p>
      <w:pPr>
        <w:spacing w:after="0" w:line="192" w:lineRule="exact"/>
        <w:rPr>
          <w:rFonts w:ascii="Arial" w:cs="Arial" w:eastAsia="Arial" w:hAnsi="Arial"/>
          <w:sz w:val="18"/>
          <w:szCs w:val="18"/>
          <w:color w:val="auto"/>
        </w:rPr>
      </w:pPr>
    </w:p>
    <w:p>
      <w:pPr>
        <w:jc w:val="both"/>
        <w:ind w:left="500" w:firstLine="657"/>
        <w:spacing w:after="0" w:line="271" w:lineRule="auto"/>
        <w:tabs>
          <w:tab w:leader="none" w:pos="14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subsequent orders placed hereunder shall, in any event, be placed at least one hundred fifty (150) days prior to Harrow’s requested Delivery Date. Within ten (10) Business Days of its receipt of a purchase order, to the extent that it is able to supply the quantities of Product ordered, Sintetica shall accept in writing such purchase order to the extent that it has been submitted in accordance with Sections 6.5 6.6(a), 6.6(c) and 6.6(e) by delivering a confirmation of the Delivery Date, or an indication of the date that Sintetica actually expects to deliver Product, and of the quantities set forth therein (a “Purchase Order Confirmation”). For clarity, any such “acceptance” of a purchase order shall only be with regard to terms and conditions set forth in this Agreement; any additional terms or conditions in Harrow’s purchase order, and any terms or conditions in conflict with those herein, shall not be deemed as accepted by Sintetica is issuing and delivering such Purchasing Order Confirmation, even when the wording or language used therein may indicate otherwise.</w:t>
      </w:r>
    </w:p>
    <w:p>
      <w:pPr>
        <w:spacing w:after="0" w:line="178" w:lineRule="exact"/>
        <w:rPr>
          <w:rFonts w:ascii="Arial" w:cs="Arial" w:eastAsia="Arial" w:hAnsi="Arial"/>
          <w:sz w:val="17"/>
          <w:szCs w:val="17"/>
          <w:color w:val="auto"/>
        </w:rPr>
      </w:pPr>
    </w:p>
    <w:p>
      <w:pPr>
        <w:jc w:val="both"/>
        <w:ind w:left="500" w:firstLine="657"/>
        <w:spacing w:after="0" w:line="255" w:lineRule="auto"/>
        <w:tabs>
          <w:tab w:leader="none" w:pos="14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Harrow purchase order requests quantities of such Product in excess of one hundred twenty five percent (125%) of Harrow’s most recent forecast for such month, then Sintetica shall within ten (10) Business Days of its receipt of such a purchase order, notify Harrow whether and to what amount Sintetica believes at such time it can supply some of all of such excess. For any given calendar month, Sintetica may be required to accept purchase orders for quantities of Product up to one hundred twenty-five percent (125%) of Harrow’s most recent forecast for such month and shall use commercially reasonable efforts to supply quantities of Product in excess of one hundred twenty-five percent (125%) of the forecasted amounts (the “Excessive Amount”).</w:t>
      </w:r>
    </w:p>
    <w:p>
      <w:pPr>
        <w:spacing w:after="0" w:line="192" w:lineRule="exact"/>
        <w:rPr>
          <w:rFonts w:ascii="Arial" w:cs="Arial" w:eastAsia="Arial" w:hAnsi="Arial"/>
          <w:sz w:val="18"/>
          <w:szCs w:val="18"/>
          <w:color w:val="auto"/>
        </w:rPr>
      </w:pPr>
    </w:p>
    <w:p>
      <w:pPr>
        <w:ind w:left="500" w:right="20" w:firstLine="657"/>
        <w:spacing w:after="0" w:line="277" w:lineRule="auto"/>
        <w:tabs>
          <w:tab w:leader="none" w:pos="13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Harrow shall assign a purchase order number to each order placed with Sintetica and notify such order numbers to Sintetica. Each Party shall use the relevant purchase order number in all subsequent correspondence relating to the order.</w:t>
      </w:r>
    </w:p>
    <w:p>
      <w:pPr>
        <w:spacing w:after="0" w:line="170" w:lineRule="exact"/>
        <w:rPr>
          <w:rFonts w:ascii="Arial" w:cs="Arial" w:eastAsia="Arial" w:hAnsi="Arial"/>
          <w:sz w:val="18"/>
          <w:szCs w:val="18"/>
          <w:color w:val="auto"/>
        </w:rPr>
      </w:pPr>
    </w:p>
    <w:p>
      <w:pPr>
        <w:ind w:left="520" w:firstLine="646"/>
        <w:spacing w:after="0" w:line="277" w:lineRule="auto"/>
        <w:tabs>
          <w:tab w:leader="none" w:pos="14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minimum quantity per order (</w:t>
      </w:r>
      <w:r>
        <w:rPr>
          <w:rFonts w:ascii="Arial" w:cs="Arial" w:eastAsia="Arial" w:hAnsi="Arial"/>
          <w:sz w:val="18"/>
          <w:szCs w:val="18"/>
          <w:b w:val="1"/>
          <w:bCs w:val="1"/>
          <w:i w:val="1"/>
          <w:iCs w:val="1"/>
          <w:color w:val="auto"/>
        </w:rPr>
        <w:t>“MOQ”</w:t>
      </w:r>
      <w:r>
        <w:rPr>
          <w:rFonts w:ascii="Arial" w:cs="Arial" w:eastAsia="Arial" w:hAnsi="Arial"/>
          <w:sz w:val="18"/>
          <w:szCs w:val="18"/>
          <w:color w:val="auto"/>
        </w:rPr>
        <w:t>) shall be one batch of Product, as described in Section 6.14. The MOQ may be changed at any time in writing under mutually agreeable terms.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Delaying of Shipments; Cancellation of Confirmed Orders</w:t>
      </w:r>
      <w:r>
        <w:rPr>
          <w:rFonts w:ascii="Arial" w:cs="Arial" w:eastAsia="Arial" w:hAnsi="Arial"/>
          <w:sz w:val="17"/>
          <w:szCs w:val="17"/>
          <w:color w:val="auto"/>
        </w:rPr>
        <w:t>. In the event of any commercial or regulatory issues in the Territory that would adversely affect its sales of a given Product, Harrow shall have the right to delay shipment of Confirmed Orders of Product affected by such issues for a period of up to three (3) months after the relative Delivery Date for such Product. In the event Harrow wishes to delay any such shipments it will notify Sintetica in writing at least sixty (60) days in advance of the applicable Delivery Date. Harrow shall also have the right to cancel any such Confirmed Orders of Product, however, in the event of such cancellation Harrow shall pay for all such applicable Product already manufactured by Sintetica. Any cancellations under this Section 6.7 shall be without prejudice to Harrow’s obligation to purchase MAQs.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Shipment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shall be delivered Ex Works **** manufacturing facility in Coutances, France (Incoterms 2020) , in such TPM’s standard packaging and delivery units as may be applicable from time to time. Sintetica will provide reasonable assistance, where necessary, to ensure coordination between the TPM, Sintetica and Harrow and/or Harrow’s designated shipping agent for Product shipments. Upon Harrow’s reasonable request, Sintetica, as the NDA owner in the USA prior to approval, shall file a Pre-Launch Activities Importation Request (PLAIR) with the FDA to assist Harrow with the importation of Products in the form that may be allowed under the PLAIR in preparation for market launch.</w:t>
      </w:r>
    </w:p>
    <w:p>
      <w:pPr>
        <w:spacing w:after="0" w:line="176" w:lineRule="exact"/>
        <w:rPr>
          <w:sz w:val="20"/>
          <w:szCs w:val="20"/>
          <w:color w:val="auto"/>
        </w:rPr>
      </w:pPr>
    </w:p>
    <w:p>
      <w:pPr>
        <w:ind w:left="500" w:firstLine="657"/>
        <w:spacing w:after="0" w:line="277" w:lineRule="auto"/>
        <w:tabs>
          <w:tab w:leader="none" w:pos="14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Agreement, delivery within thirty (30) days before or after the Delivery Date shall be deemed as meeting the Delivery Date.</w:t>
      </w:r>
    </w:p>
    <w:p>
      <w:pPr>
        <w:spacing w:after="0" w:line="170" w:lineRule="exact"/>
        <w:rPr>
          <w:rFonts w:ascii="Arial" w:cs="Arial" w:eastAsia="Arial" w:hAnsi="Arial"/>
          <w:sz w:val="18"/>
          <w:szCs w:val="18"/>
          <w:color w:val="auto"/>
        </w:rPr>
      </w:pPr>
    </w:p>
    <w:p>
      <w:pPr>
        <w:jc w:val="both"/>
        <w:ind w:left="500" w:firstLine="657"/>
        <w:spacing w:after="0" w:line="286" w:lineRule="auto"/>
        <w:tabs>
          <w:tab w:leader="none" w:pos="14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Sintetica will not ship any Product that it reasonably believes will not conform to the relevant Specifications, NDAs, this Agreement or with Applicable Law. If Sintetica reasonably believes any Product would not conform as such, then Sintetica shall, at no cost to Harrow, manufacture and supply an appropriate quantity of Product to replace the non-conforming Product as soon as reasonably possible.</w:t>
      </w:r>
    </w:p>
    <w:p>
      <w:pPr>
        <w:spacing w:after="0" w:line="165" w:lineRule="exact"/>
        <w:rPr>
          <w:rFonts w:ascii="Arial" w:cs="Arial" w:eastAsia="Arial" w:hAnsi="Arial"/>
          <w:sz w:val="17"/>
          <w:szCs w:val="17"/>
          <w:color w:val="auto"/>
        </w:rPr>
      </w:pPr>
    </w:p>
    <w:p>
      <w:pPr>
        <w:jc w:val="both"/>
        <w:ind w:left="500" w:firstLine="657"/>
        <w:spacing w:after="0" w:line="259" w:lineRule="auto"/>
        <w:tabs>
          <w:tab w:leader="none" w:pos="14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 of loss shall pass in accordance with the aforementioned Incoterm directly from the TPM to Harrow as a simultaneous, “flow-through” transfer of risk with regards to Sintetica. With such delivery, Sintetica shall ensure passage to Harrow of good and marketable title to each Product, free and clear of all liens, claims, security interests, pledges, charges, mortgages, deeds of trusts, options, or other encumbrances of any kind.</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Acceptance of Product</w:t>
      </w:r>
      <w:r>
        <w:rPr>
          <w:rFonts w:ascii="Arial" w:cs="Arial" w:eastAsia="Arial" w:hAnsi="Arial"/>
          <w:sz w:val="16"/>
          <w:szCs w:val="16"/>
          <w:color w:val="auto"/>
        </w:rPr>
        <w:t>. Within thirty (30) days of receipt of each shipment of Product to Harrow’s warehouse, Harrow shall perform or cause to be performed any physical inspections and testing Harrow deems necessary for each shipment of the Product and notify Sintetica in writing within such thirty</w:t>
      </w:r>
    </w:p>
    <w:p>
      <w:pPr>
        <w:jc w:val="both"/>
        <w:ind w:firstLine="8"/>
        <w:spacing w:after="0" w:line="255" w:lineRule="auto"/>
        <w:tabs>
          <w:tab w:leader="none" w:pos="3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day period if Harrow believes that the Product fails to conform to the Specifications, NDAs, this Agreement, or Applicable Law, or if any defect, shortage, or other nonconformance exists. If Harrow does not provide such notice within the thirty (30) day period, the shipment shall be deemed to be accepted (“Accepted”)</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otherwise provided by Section 6.10.</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jc w:val="both"/>
        <w:spacing w:after="0" w:line="267"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Non-Conformity; Shortage; Defectiveness</w:t>
      </w:r>
      <w:r>
        <w:rPr>
          <w:rFonts w:ascii="Arial" w:cs="Arial" w:eastAsia="Arial" w:hAnsi="Arial"/>
          <w:sz w:val="17"/>
          <w:szCs w:val="17"/>
          <w:color w:val="auto"/>
        </w:rPr>
        <w:t>. If Harrow believes that (a) any Product has not been manufactured in accordance with the requirements of the Specifications, NDAs, this Agreement or Applicable Law; (b) any defect exists in any Product delivered, or (c) there is a shortage of Product delivered; then in each case Harrow will, within thirty (30) days of the receipt of such Product by Harrow, notify Sintetica in writing setting forth in reasonable detail the alleged nonconformity, defect (in the case of defects that can be discovered by routine inspection) or shortage. In the event of any hidden or latent defects that cannot be discovered by routine inspection, Harrow shall notify Sintetica within five (5) Business Days of discovery of such defects, but in any event no later than the expiry date of the relevant Products’ shelf life. Failure by Harrow to notify Sintetica of hidden or latent defects within either of such terms shall exclude any claim or other right or remedy of Harrow with regards to the allegedly defective Product. Upon any such notification, Sintetica shall have the right to inspect the applicable Product itself or appoint, at its expense, a mutually acceptable Third Party to perform such inspection. Sintetica or such Third Party will have thirty (30) days to inspect the affected Product to make an assessment of the alleged nonconformity, defect or shortage. Any dispute between the Parties concerning rejection of all or any part of a shipment of Product which the Parties are unable to resolve as between the Parties within thirty (30) days of the end of the aforementioned thirty (30) day period will be submitted to an agreed-upon, qualified, independent laboratory for testing using the test methods set forth in the applicable NDA or other mutually agreed upon methods. Sintetica shall replace promptly any shipment or portion of a shipment of Product, and the cost of the laboratory will be at Sintetica’s expense, if the laboratory finds that the lot in question is non-conforming or otherwise defective. The costs of the laboratory shall be Harrow’s expense if the Product in question is found to be conforming or otherwise non-defective. The findings of the laboratory shall be final and binding upon the Parties and not subject to appeal or review by any Third Party. In the event the laboratory finds that the Product in question is nonconforming, then Sintetica shall pay or reimburse Harrow for costs of the destruction of such nonconforming Product.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Delays; Inability to Supply</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55" w:lineRule="auto"/>
        <w:tabs>
          <w:tab w:leader="none" w:pos="13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that (i) Sintetica is unable to accept a purchase order submitted by Harrow in accordance with Section 6.6(a) and to supply the Product as ordered therein or (ii) Sintetica is unable for any reason to supply any quantity of Product ordered and accepted by a Purchase Order Confirmation, then Sintetica shall promptly notify Harrow of such inability to supply and if possible, of the date on which such inability is expected to end. In such event, Sintetica and Harrow will for a period up to thirty (30) days discuss in good faith a resolution to such inability to supply. Sintetica shall also immediately prioritize available production capacity, materials and components to the manufacture of the affected Product to minimize the impact of the inability to supply.</w:t>
      </w:r>
    </w:p>
    <w:p>
      <w:pPr>
        <w:spacing w:after="0" w:line="192" w:lineRule="exact"/>
        <w:rPr>
          <w:rFonts w:ascii="Arial" w:cs="Arial" w:eastAsia="Arial" w:hAnsi="Arial"/>
          <w:sz w:val="18"/>
          <w:szCs w:val="18"/>
          <w:color w:val="auto"/>
        </w:rPr>
      </w:pPr>
    </w:p>
    <w:p>
      <w:pPr>
        <w:jc w:val="both"/>
        <w:ind w:left="500" w:firstLine="657"/>
        <w:spacing w:after="0" w:line="291" w:lineRule="auto"/>
        <w:tabs>
          <w:tab w:leader="none" w:pos="1417"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the event (a) that Sintetica is unable to supply Product to Harrow as ordered by Harrow per Purchase Order Confirmations, in the amounts of Product equal to at least that specified in Firm Periods and to any Excessive Amounts accepted by Sintetica for a period within thirty</w:t>
      </w:r>
    </w:p>
    <w:p>
      <w:pPr>
        <w:jc w:val="both"/>
        <w:ind w:left="500" w:firstLine="9"/>
        <w:spacing w:after="0" w:line="295" w:lineRule="auto"/>
        <w:tabs>
          <w:tab w:leader="none" w:pos="8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days of the Delivery Date (a “Supply Failure”), and unless (b) Sintetica and Harrow have agreed otherwise under the good faith discussions carried out pursuant to Section 6.11(a), then Harrow shall, in addition to its other rights and remedies available hereunder, including the right to indemnification for any claims made by a Harrow customer as a direct result of such Supply Failure, have the right to cancel the relative purchase order(s) for Product(s) without penalty or liability and to purchase such Product from an alternate source, including a Third Party.</w:t>
      </w:r>
    </w:p>
    <w:p>
      <w:pPr>
        <w:spacing w:after="0" w:line="161" w:lineRule="exact"/>
        <w:rPr>
          <w:rFonts w:ascii="Arial" w:cs="Arial" w:eastAsia="Arial" w:hAnsi="Arial"/>
          <w:sz w:val="16"/>
          <w:szCs w:val="16"/>
          <w:color w:val="auto"/>
        </w:rPr>
      </w:pPr>
    </w:p>
    <w:p>
      <w:pPr>
        <w:jc w:val="both"/>
        <w:ind w:left="500" w:firstLine="657"/>
        <w:spacing w:after="0" w:line="257" w:lineRule="auto"/>
        <w:tabs>
          <w:tab w:leader="none" w:pos="14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In the event that Sintetica shall have reason to believe it will be unable to supply Product to Harrow for a period of at least three (3) months beyond the Delivery Date (a “Material Delivery Delay”), Sintetica shall promptly notify Harrow thereof. Following Harrow’s receipt of such notice the Parties shall promptly meet to discuss in good faith and establish in writing a plan that shall contain all necessary activities to be implemented by the two Parties to avoid or eliminate the interruption in supply and/or to mitigate the possible impact of interruption (the </w:t>
      </w:r>
      <w:r>
        <w:rPr>
          <w:rFonts w:ascii="Arial" w:cs="Arial" w:eastAsia="Arial" w:hAnsi="Arial"/>
          <w:sz w:val="18"/>
          <w:szCs w:val="18"/>
          <w:b w:val="1"/>
          <w:bCs w:val="1"/>
          <w:i w:val="1"/>
          <w:iCs w:val="1"/>
          <w:color w:val="auto"/>
        </w:rPr>
        <w:t>“</w:t>
      </w:r>
      <w:r>
        <w:rPr>
          <w:rFonts w:ascii="Arial" w:cs="Arial" w:eastAsia="Arial" w:hAnsi="Arial"/>
          <w:sz w:val="18"/>
          <w:szCs w:val="18"/>
          <w:color w:val="auto"/>
        </w:rPr>
        <w:t>Recovery Plan</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jc w:val="both"/>
        <w:ind w:left="500" w:firstLine="657"/>
        <w:spacing w:after="0" w:line="286" w:lineRule="auto"/>
        <w:tabs>
          <w:tab w:leader="none" w:pos="14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event of any Supply Failure or any Material Delivery Delay where the Recovery Plan provides for Manufacture by another Third Party Manufacturer, Sintetica shall use Commercially Reasonable Efforts to effectuate a transfer of any Sintetica Technology to a such new Third Party Manufacturer, who can Manufacture product which meets the requisite quality and Regulatory Standards.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Inventory</w:t>
      </w:r>
      <w:r>
        <w:rPr>
          <w:rFonts w:ascii="Arial" w:cs="Arial" w:eastAsia="Arial" w:hAnsi="Arial"/>
          <w:sz w:val="18"/>
          <w:szCs w:val="18"/>
          <w:color w:val="auto"/>
        </w:rPr>
        <w:t>. Commencing two years after Harrow has launched the Product, Harrow shall keep an amount of inventory at all times greater than six (6) months of forecasted sales of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Transfer Price</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59" w:lineRule="auto"/>
        <w:tabs>
          <w:tab w:leader="none" w:pos="1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price of the Product (“Transfer Price”) shall, starting from the Effective Date, be equal to **** per unit of Product with delivery as described in Section 6.8(a). For clarification, where this Agreement refers to a “unit of Product”, it shall mean a single dose of Product unless specified otherwise, with the understanding that each such single dose will then be (pouched and) packaged as part of a multidose box (stock-keeping) unit.</w:t>
      </w:r>
    </w:p>
    <w:p>
      <w:pPr>
        <w:spacing w:after="0" w:line="186" w:lineRule="exact"/>
        <w:rPr>
          <w:rFonts w:ascii="Arial" w:cs="Arial" w:eastAsia="Arial" w:hAnsi="Arial"/>
          <w:sz w:val="18"/>
          <w:szCs w:val="18"/>
          <w:color w:val="auto"/>
        </w:rPr>
      </w:pPr>
    </w:p>
    <w:p>
      <w:pPr>
        <w:jc w:val="both"/>
        <w:ind w:left="500" w:firstLine="657"/>
        <w:spacing w:after="0" w:line="286" w:lineRule="auto"/>
        <w:tabs>
          <w:tab w:leader="none" w:pos="1403" w:val="left"/>
        </w:tabs>
        <w:numPr>
          <w:ilvl w:val="0"/>
          <w:numId w:val="35"/>
        </w:numPr>
        <w:rPr>
          <w:rFonts w:ascii="Arial" w:cs="Arial" w:eastAsia="Arial" w:hAnsi="Arial"/>
          <w:sz w:val="17"/>
          <w:szCs w:val="17"/>
          <w:color w:val="auto"/>
        </w:rPr>
      </w:pPr>
      <w:r>
        <w:rPr>
          <w:rFonts w:ascii="Arial" w:cs="Arial" w:eastAsia="Arial" w:hAnsi="Arial"/>
          <w:sz w:val="17"/>
          <w:szCs w:val="17"/>
          <w:color w:val="auto"/>
        </w:rPr>
        <w:t>Sintetica may invoice Harrow when the Product has been made available for pickup at the TPM as described in Section 6.8(a), at a price per unit that is equal to the Transfer Price for such Product. Except as otherwise provided for in this Agreement, Harrow shall pay to Sintetica the Transfer Price applicable for such Product at such time within sixty (60) days after the date of receipt of an invoice from Sintetica.</w:t>
      </w:r>
    </w:p>
    <w:p>
      <w:pPr>
        <w:spacing w:after="0" w:line="165" w:lineRule="exact"/>
        <w:rPr>
          <w:rFonts w:ascii="Arial" w:cs="Arial" w:eastAsia="Arial" w:hAnsi="Arial"/>
          <w:sz w:val="17"/>
          <w:szCs w:val="17"/>
          <w:color w:val="auto"/>
        </w:rPr>
      </w:pPr>
    </w:p>
    <w:p>
      <w:pPr>
        <w:ind w:left="500" w:firstLine="657"/>
        <w:spacing w:after="0" w:line="308" w:lineRule="auto"/>
        <w:tabs>
          <w:tab w:leader="none" w:pos="14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Harrow fails to cure any non-payment of an invoice within thirty (30) days of its due date, then Sintetica may call for immediate payment of all outstanding invoices that are not subject to dispute. Sintetica may also make further deliveries subject to prepayment.</w:t>
      </w:r>
    </w:p>
    <w:p>
      <w:pPr>
        <w:spacing w:after="0" w:line="146" w:lineRule="exact"/>
        <w:rPr>
          <w:rFonts w:ascii="Arial" w:cs="Arial" w:eastAsia="Arial" w:hAnsi="Arial"/>
          <w:sz w:val="17"/>
          <w:szCs w:val="17"/>
          <w:color w:val="auto"/>
        </w:rPr>
      </w:pPr>
    </w:p>
    <w:p>
      <w:pPr>
        <w:jc w:val="both"/>
        <w:ind w:left="500" w:firstLine="657"/>
        <w:spacing w:after="0" w:line="259" w:lineRule="auto"/>
        <w:tabs>
          <w:tab w:leader="none" w:pos="14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of the foregoing, for purposes of determining Royalties due under this Agreement, the sum of the Applicable Transfer Price of Product and the Royalty under Section 7.4 shall not exceed **** per unit of Product. Solely for purposes of such calculation, no matter what the actual Transfer Price is, the “Applicable Transfer Price” shall be deemed to be the then current Transfer Price, but in any event no greater than **** per unit of Product.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Batch size</w:t>
      </w:r>
      <w:r>
        <w:rPr>
          <w:rFonts w:ascii="Arial" w:cs="Arial" w:eastAsia="Arial" w:hAnsi="Arial"/>
          <w:sz w:val="17"/>
          <w:szCs w:val="17"/>
          <w:color w:val="auto"/>
        </w:rPr>
        <w:t>. Purchases of Product shall be in full batch amounts, with the current full batch amount being approximately 250,000 units of Product, based upon the Product’s formulation as of the Effective Date. Said batch size has been agreed to by the Parties regarding final, finished, packaged and labeled Product; it is recognized by Harrow that the batch of Product manufactured by Sintetica’s TPM is a larger size, with the intention that the TPM batch will be timely split by Sintetica for the purpose of supply under this Agreement and also for other countries outside of the Territory.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Minimum Annual Quantities</w:t>
      </w:r>
      <w:r>
        <w:rPr>
          <w:rFonts w:ascii="Arial" w:cs="Arial" w:eastAsia="Arial" w:hAnsi="Arial"/>
          <w:sz w:val="18"/>
          <w:szCs w:val="18"/>
          <w:color w:val="auto"/>
        </w:rPr>
        <w:t>. Harrow undertakes to purchase in each and every calendar year of the Term, starting in the year of the Regulatory Approval of a USA NDA, at least one full batch of Product (the “Minimum Annual Quantities” or “MAQs”). Such requirement is established in relation to the USA market; upon Regulatory Approval of the Canadian NDA, the Parties agree to negotiate in good faith whether or not the MAQs need to be increased for the remainder of the Term.</w:t>
      </w:r>
    </w:p>
    <w:p>
      <w:pPr>
        <w:spacing w:after="0" w:line="1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PAYMENTS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Upfront Payment</w:t>
      </w:r>
      <w:r>
        <w:rPr>
          <w:rFonts w:ascii="Arial" w:cs="Arial" w:eastAsia="Arial" w:hAnsi="Arial"/>
          <w:sz w:val="18"/>
          <w:szCs w:val="18"/>
          <w:color w:val="auto"/>
        </w:rPr>
        <w:t>. Within thirty (30) days of the Effective Date, Harrow shall pay Sintetica an amount equal to $5,000,000.00. Fifty percent (50%) of this payment will be refunded by Sintetica to Harrow if, as of October 31, 2022, an NDA for the Product has not been submitted to FDA or Harrow has not received a so-called “Day 74” letter from FDA related to the NDA. In addition, if FDA issues a Complete Response Letter (“</w:t>
      </w:r>
      <w:r>
        <w:rPr>
          <w:rFonts w:ascii="Arial" w:cs="Arial" w:eastAsia="Arial" w:hAnsi="Arial"/>
          <w:sz w:val="18"/>
          <w:szCs w:val="18"/>
          <w:u w:val="single" w:color="auto"/>
          <w:color w:val="auto"/>
        </w:rPr>
        <w:t>CRL</w:t>
      </w:r>
      <w:r>
        <w:rPr>
          <w:rFonts w:ascii="Arial" w:cs="Arial" w:eastAsia="Arial" w:hAnsi="Arial"/>
          <w:sz w:val="18"/>
          <w:szCs w:val="18"/>
          <w:color w:val="auto"/>
        </w:rPr>
        <w:t>”) for the Product, $500,000.00 of the above amount will be refunded to Harrow. If the NDA for the Product is not approved within twelve (12) months of Harrow receiving a CRL, an additional $1,000,000.00 will be refunded by Sintetica to Harrow. Notwithstanding the above, in the event that Harrow elects to delay submission of the NDA in accordance with Section 3.2, the date in the second sentence of this Section 7.1 shall be reset to the date that is October 31, 2022 plus the amount of delay on a “day to day” basis. By means of a non-limiting example, if Harrow decides to delay the NDA filing for 270 days in order to complete a study or other activity pursuant to Section 3.2, the date under the second sentence of this Section 7.1 shall be reset from October 31, 2022 to July 28,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Regulatory Milestones</w:t>
      </w:r>
      <w:r>
        <w:rPr>
          <w:rFonts w:ascii="Arial" w:cs="Arial" w:eastAsia="Arial" w:hAnsi="Arial"/>
          <w:sz w:val="18"/>
          <w:szCs w:val="18"/>
          <w:color w:val="auto"/>
        </w:rPr>
        <w: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 Harrow shall make payments to Sintetica based on achievement of certain milestone events for Product as set forth in the following</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table.:</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Milestone Number</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Milestone Event</w:t>
            </w:r>
          </w:p>
        </w:tc>
      </w:tr>
      <w:tr>
        <w:trPr>
          <w:trHeight w:val="202"/>
        </w:trPr>
        <w:tc>
          <w:tcPr>
            <w:tcW w:w="20" w:type="dxa"/>
            <w:vAlign w:val="bottom"/>
          </w:tcPr>
          <w:p>
            <w:pPr>
              <w:spacing w:after="0"/>
              <w:rPr>
                <w:sz w:val="17"/>
                <w:szCs w:val="17"/>
                <w:color w:val="auto"/>
              </w:rPr>
            </w:pPr>
          </w:p>
        </w:tc>
        <w:tc>
          <w:tcPr>
            <w:tcW w:w="2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w:t>
            </w:r>
          </w:p>
        </w:tc>
        <w:tc>
          <w:tcPr>
            <w:tcW w:w="200" w:type="dxa"/>
            <w:vAlign w:val="bottom"/>
          </w:tcPr>
          <w:p>
            <w:pPr>
              <w:spacing w:after="0"/>
              <w:rPr>
                <w:sz w:val="17"/>
                <w:szCs w:val="17"/>
                <w:color w:val="auto"/>
              </w:rPr>
            </w:pPr>
          </w:p>
        </w:tc>
        <w:tc>
          <w:tcPr>
            <w:tcW w:w="4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The date on which Sintetica submits the filing to the FDA</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and pays the PDUFA fee.</w:t>
            </w: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(ii)</w:t>
            </w:r>
          </w:p>
        </w:tc>
        <w:tc>
          <w:tcPr>
            <w:tcW w:w="4200" w:type="dxa"/>
            <w:vAlign w:val="bottom"/>
          </w:tcPr>
          <w:p>
            <w:pPr>
              <w:spacing w:after="0"/>
              <w:rPr>
                <w:sz w:val="20"/>
                <w:szCs w:val="20"/>
                <w:color w:val="auto"/>
              </w:rPr>
            </w:pPr>
            <w:r>
              <w:rPr>
                <w:rFonts w:ascii="Arial" w:cs="Arial" w:eastAsia="Arial" w:hAnsi="Arial"/>
                <w:sz w:val="18"/>
                <w:szCs w:val="18"/>
                <w:color w:val="auto"/>
                <w:w w:val="96"/>
              </w:rPr>
              <w:t>The date the FDA approves the United States NDA for</w:t>
            </w:r>
          </w:p>
        </w:tc>
      </w:tr>
      <w:tr>
        <w:trPr>
          <w:trHeight w:val="230"/>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the Product for the Licensed Indication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Milestone Payment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56908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29"/>
          <w:szCs w:val="29"/>
          <w:color w:val="auto"/>
          <w:vertAlign w:val="superscript"/>
        </w:rPr>
        <w:t>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9" w:lineRule="exact"/>
        <w:rPr>
          <w:sz w:val="20"/>
          <w:szCs w:val="20"/>
          <w:color w:val="auto"/>
        </w:rPr>
      </w:pPr>
    </w:p>
    <w:p>
      <w:pPr>
        <w:sectPr>
          <w:pgSz w:w="11900" w:h="16838" w:orient="portrait"/>
          <w:cols w:equalWidth="0" w:num="2">
            <w:col w:w="7740" w:space="180"/>
            <w:col w:w="3320"/>
          </w:cols>
          <w:pgMar w:left="320" w:top="665" w:right="339" w:bottom="1440" w:gutter="0" w:footer="0" w:header="0"/>
          <w:type w:val="continuous"/>
        </w:sectPr>
      </w:pPr>
    </w:p>
    <w:p>
      <w:pPr>
        <w:spacing w:after="0" w:line="83" w:lineRule="exact"/>
        <w:rPr>
          <w:sz w:val="20"/>
          <w:szCs w:val="20"/>
          <w:color w:val="auto"/>
        </w:rPr>
      </w:pPr>
    </w:p>
    <w:p>
      <w:pPr>
        <w:jc w:val="both"/>
        <w:ind w:firstLine="8"/>
        <w:spacing w:after="0" w:line="218" w:lineRule="auto"/>
        <w:tabs>
          <w:tab w:leader="none" w:pos="128"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This amount shall be increased by the amount of any increase in the cost for the USA NDA (i.e., the full PDUFA filing fee) relative to that which was expected by the Parties in discussions leading up to the signing of the Confidential Terms Sheet of May 14, 2021. Such cost for the USA NDA will be determined only after September 30, 2021, when the new Fiscal Year for FDA will come into force, and the Agreement the amount in Milestone 7.2(a)(i) shall be automatically amended to reflect such actual cost.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70" w:name="page71"/>
    <w:bookmarkEnd w:id="70"/>
    <w:p>
      <w:pPr>
        <w:ind w:left="500" w:firstLine="656"/>
        <w:spacing w:after="0" w:line="277" w:lineRule="auto"/>
        <w:tabs>
          <w:tab w:leader="none" w:pos="14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Sintetica shall notify Harrow upon achievement of each milestone event and Harrow shall pay to Sintetica the amounts as set forth above within ten (10) Business Days after the date of achievement of the respective milestone events.</w:t>
      </w:r>
    </w:p>
    <w:p>
      <w:pPr>
        <w:spacing w:after="0" w:line="170" w:lineRule="exact"/>
        <w:rPr>
          <w:rFonts w:ascii="Arial" w:cs="Arial" w:eastAsia="Arial" w:hAnsi="Arial"/>
          <w:sz w:val="18"/>
          <w:szCs w:val="18"/>
          <w:color w:val="auto"/>
        </w:rPr>
      </w:pPr>
    </w:p>
    <w:p>
      <w:pPr>
        <w:ind w:left="500" w:right="20" w:firstLine="657"/>
        <w:spacing w:after="0" w:line="277" w:lineRule="auto"/>
        <w:tabs>
          <w:tab w:leader="none" w:pos="14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the payment of Milestone Number (ii) above shall be conditioned on Sintetica’s having supplied sufficient launch quantities of the Product to Harrow consistent with Harrow’s Commercial Launch Plan for that date.</w:t>
      </w:r>
    </w:p>
    <w:p>
      <w:pPr>
        <w:spacing w:after="0" w:line="170" w:lineRule="exact"/>
        <w:rPr>
          <w:rFonts w:ascii="Arial" w:cs="Arial" w:eastAsia="Arial" w:hAnsi="Arial"/>
          <w:sz w:val="18"/>
          <w:szCs w:val="18"/>
          <w:color w:val="auto"/>
        </w:rPr>
      </w:pPr>
    </w:p>
    <w:p>
      <w:pPr>
        <w:ind w:left="500" w:right="20" w:firstLine="657"/>
        <w:spacing w:after="0" w:line="277" w:lineRule="auto"/>
        <w:tabs>
          <w:tab w:leader="none" w:pos="14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milestone payments for Milestone Numbers (i) and (ii) by Harrow to Sintetica hereunder shall be payable only once and, except as set forth for Milestone Number (i) in the following Section 7.2(e), shall be non-refundable.</w:t>
      </w:r>
    </w:p>
    <w:p>
      <w:pPr>
        <w:spacing w:after="0" w:line="170" w:lineRule="exact"/>
        <w:rPr>
          <w:rFonts w:ascii="Arial" w:cs="Arial" w:eastAsia="Arial" w:hAnsi="Arial"/>
          <w:sz w:val="18"/>
          <w:szCs w:val="18"/>
          <w:color w:val="auto"/>
        </w:rPr>
      </w:pPr>
    </w:p>
    <w:p>
      <w:pPr>
        <w:jc w:val="both"/>
        <w:ind w:left="500" w:firstLine="657"/>
        <w:spacing w:after="0" w:line="263" w:lineRule="auto"/>
        <w:tabs>
          <w:tab w:leader="none" w:pos="14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the FDA refuses to accept the USA NDA filing for review (refuse to file designation) which filing has given rise to payment by Harrow of the Milestone Number (i), any amounts of the PDUFA fee, paid by Sintetica to the FDA with such filing, which are subsequently returned to Sintetica by the FDA will be returned to Harrow on a dollar for dollar basis.</w:t>
      </w:r>
    </w:p>
    <w:p>
      <w:pPr>
        <w:spacing w:after="0" w:line="183" w:lineRule="exact"/>
        <w:rPr>
          <w:rFonts w:ascii="Arial" w:cs="Arial" w:eastAsia="Arial" w:hAnsi="Arial"/>
          <w:sz w:val="18"/>
          <w:szCs w:val="18"/>
          <w:color w:val="auto"/>
        </w:rPr>
      </w:pPr>
    </w:p>
    <w:p>
      <w:pPr>
        <w:jc w:val="both"/>
        <w:ind w:left="500" w:firstLine="657"/>
        <w:spacing w:after="0" w:line="263" w:lineRule="auto"/>
        <w:tabs>
          <w:tab w:leader="none" w:pos="13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the Parties agree, after any such FDA refusal to accept the USA NDA filing, to have the USA NDA adapted, as appropriate, and resubmitted by Sintetica, Sintetica will again be the responsible Party for paying the relative PDUFA filing fee , and there shall be no milestone payable in connection with such resubmission.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Net Sales Milestones</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54" w:lineRule="auto"/>
        <w:tabs>
          <w:tab w:leader="none" w:pos="14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further consideration for the rights granted to Harrow, Harrow shall pay to Sintetica the following milestones based upon its achievement of certain annual Net Sales within the Territory for the Product and/or the passage of time from Harrow’s first commercial sale of the Product to a Third Party for use within the Field in the Territory. Harrow shall notify Sintetica upon its achievement of each such milestone event and Harrow shall pay to Sintetica the amounts set forth below within sixty (60) days following the end of applicable calendar year upon satisfaction of the relevant annual net sales thresholds for the Licensed Product in the Territory as set forth in the table below. Each milestone payment by Harrow to Sintetica hereunder shall be payable only once and shall be non-refundable. Multiple milestones can be achieved for the same calendar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60" w:type="dxa"/>
            <w:vAlign w:val="bottom"/>
            <w:gridSpan w:val="2"/>
          </w:tcPr>
          <w:p>
            <w:pPr>
              <w:ind w:left="180"/>
              <w:spacing w:after="0"/>
              <w:rPr>
                <w:sz w:val="20"/>
                <w:szCs w:val="20"/>
                <w:color w:val="auto"/>
              </w:rPr>
            </w:pPr>
            <w:r>
              <w:rPr>
                <w:rFonts w:ascii="Arial" w:cs="Arial" w:eastAsia="Arial" w:hAnsi="Arial"/>
                <w:sz w:val="18"/>
                <w:szCs w:val="18"/>
                <w:b w:val="1"/>
                <w:bCs w:val="1"/>
                <w:color w:val="auto"/>
              </w:rPr>
              <w:t>Milestone Payment (U.S.</w:t>
            </w:r>
          </w:p>
        </w:tc>
        <w:tc>
          <w:tcPr>
            <w:tcW w:w="840" w:type="dxa"/>
            <w:vAlign w:val="bottom"/>
          </w:tcPr>
          <w:p>
            <w:pPr>
              <w:spacing w:after="0"/>
              <w:rPr>
                <w:sz w:val="18"/>
                <w:szCs w:val="18"/>
                <w:color w:val="auto"/>
              </w:rPr>
            </w:pPr>
          </w:p>
        </w:tc>
      </w:tr>
      <w:tr>
        <w:trPr>
          <w:trHeight w:val="241"/>
        </w:trPr>
        <w:tc>
          <w:tcPr>
            <w:tcW w:w="7740" w:type="dxa"/>
            <w:vAlign w:val="bottom"/>
            <w:gridSpan w:val="2"/>
          </w:tcPr>
          <w:p>
            <w:pPr>
              <w:ind w:left="860"/>
              <w:spacing w:after="0"/>
              <w:rPr>
                <w:sz w:val="20"/>
                <w:szCs w:val="20"/>
                <w:color w:val="auto"/>
              </w:rPr>
            </w:pPr>
            <w:r>
              <w:rPr>
                <w:rFonts w:ascii="Arial" w:cs="Arial" w:eastAsia="Arial" w:hAnsi="Arial"/>
                <w:sz w:val="18"/>
                <w:szCs w:val="18"/>
                <w:b w:val="1"/>
                <w:bCs w:val="1"/>
                <w:color w:val="auto"/>
              </w:rPr>
              <w:t>Annual Net Sales of Product in the Territory Milestone</w:t>
            </w:r>
          </w:p>
        </w:tc>
        <w:tc>
          <w:tcPr>
            <w:tcW w:w="2660" w:type="dxa"/>
            <w:vAlign w:val="bottom"/>
            <w:gridSpan w:val="2"/>
          </w:tcPr>
          <w:p>
            <w:pPr>
              <w:ind w:left="180"/>
              <w:spacing w:after="0"/>
              <w:rPr>
                <w:sz w:val="20"/>
                <w:szCs w:val="20"/>
                <w:color w:val="auto"/>
              </w:rPr>
            </w:pPr>
            <w:r>
              <w:rPr>
                <w:rFonts w:ascii="Arial" w:cs="Arial" w:eastAsia="Arial" w:hAnsi="Arial"/>
                <w:sz w:val="18"/>
                <w:szCs w:val="18"/>
                <w:b w:val="1"/>
                <w:bCs w:val="1"/>
                <w:color w:val="auto"/>
              </w:rPr>
              <w:t>Dollars)</w:t>
            </w:r>
          </w:p>
        </w:tc>
        <w:tc>
          <w:tcPr>
            <w:tcW w:w="840" w:type="dxa"/>
            <w:vAlign w:val="bottom"/>
          </w:tcPr>
          <w:p>
            <w:pPr>
              <w:spacing w:after="0"/>
              <w:rPr>
                <w:sz w:val="20"/>
                <w:szCs w:val="20"/>
                <w:color w:val="auto"/>
              </w:rPr>
            </w:pPr>
          </w:p>
        </w:tc>
      </w:tr>
      <w:tr>
        <w:trPr>
          <w:trHeight w:val="202"/>
        </w:trPr>
        <w:tc>
          <w:tcPr>
            <w:tcW w:w="860" w:type="dxa"/>
            <w:vAlign w:val="bottom"/>
          </w:tcPr>
          <w:p>
            <w:pPr>
              <w:spacing w:after="0"/>
              <w:rPr>
                <w:sz w:val="17"/>
                <w:szCs w:val="17"/>
                <w:color w:val="auto"/>
              </w:rPr>
            </w:pPr>
          </w:p>
        </w:tc>
        <w:tc>
          <w:tcPr>
            <w:tcW w:w="6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Upon the earlier of: (a) reaching $5,000,000.00 in annual Net Sales for all sales of the Product</w:t>
            </w:r>
          </w:p>
        </w:tc>
        <w:tc>
          <w:tcPr>
            <w:tcW w:w="200" w:type="dxa"/>
            <w:vAlign w:val="bottom"/>
          </w:tcPr>
          <w:p>
            <w:pPr>
              <w:spacing w:after="0"/>
              <w:rPr>
                <w:sz w:val="17"/>
                <w:szCs w:val="17"/>
                <w:color w:val="auto"/>
              </w:rPr>
            </w:pPr>
          </w:p>
        </w:tc>
        <w:tc>
          <w:tcPr>
            <w:tcW w:w="2460" w:type="dxa"/>
            <w:vAlign w:val="bottom"/>
            <w:tcBorders>
              <w:top w:val="single" w:sz="8" w:color="auto"/>
            </w:tcBorders>
          </w:tcPr>
          <w:p>
            <w:pPr>
              <w:jc w:val="right"/>
              <w:ind w:right="197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r>
      <w:tr>
        <w:trPr>
          <w:trHeight w:val="216"/>
        </w:trPr>
        <w:tc>
          <w:tcPr>
            <w:tcW w:w="7740" w:type="dxa"/>
            <w:vAlign w:val="bottom"/>
            <w:gridSpan w:val="2"/>
          </w:tcPr>
          <w:p>
            <w:pPr>
              <w:ind w:left="860"/>
              <w:spacing w:after="0"/>
              <w:rPr>
                <w:sz w:val="20"/>
                <w:szCs w:val="20"/>
                <w:color w:val="auto"/>
              </w:rPr>
            </w:pPr>
            <w:r>
              <w:rPr>
                <w:rFonts w:ascii="Arial" w:cs="Arial" w:eastAsia="Arial" w:hAnsi="Arial"/>
                <w:sz w:val="18"/>
                <w:szCs w:val="18"/>
                <w:color w:val="auto"/>
                <w:w w:val="93"/>
              </w:rPr>
              <w:t>in the Territory; or (b) the 24 month anniversary of the first commercial sale of the Product in</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740" w:type="dxa"/>
            <w:vAlign w:val="bottom"/>
            <w:gridSpan w:val="2"/>
          </w:tcPr>
          <w:p>
            <w:pPr>
              <w:ind w:left="860"/>
              <w:spacing w:after="0"/>
              <w:rPr>
                <w:sz w:val="20"/>
                <w:szCs w:val="20"/>
                <w:color w:val="auto"/>
              </w:rPr>
            </w:pPr>
            <w:r>
              <w:rPr>
                <w:rFonts w:ascii="Arial" w:cs="Arial" w:eastAsia="Arial" w:hAnsi="Arial"/>
                <w:sz w:val="18"/>
                <w:szCs w:val="18"/>
                <w:color w:val="auto"/>
              </w:rPr>
              <w:t>the Territory by Harrow</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740" w:type="dxa"/>
            <w:vAlign w:val="bottom"/>
            <w:gridSpan w:val="2"/>
          </w:tcPr>
          <w:p>
            <w:pPr>
              <w:ind w:left="860"/>
              <w:spacing w:after="0"/>
              <w:rPr>
                <w:sz w:val="20"/>
                <w:szCs w:val="20"/>
                <w:color w:val="auto"/>
              </w:rPr>
            </w:pPr>
            <w:r>
              <w:rPr>
                <w:rFonts w:ascii="Arial" w:cs="Arial" w:eastAsia="Arial" w:hAnsi="Arial"/>
                <w:sz w:val="18"/>
                <w:szCs w:val="18"/>
                <w:color w:val="auto"/>
                <w:w w:val="90"/>
              </w:rPr>
              <w:t>Upon the earlier of: (a) reaching $10,000,000.00 in annual Net Sales for all sales of the Product</w:t>
            </w:r>
          </w:p>
        </w:tc>
        <w:tc>
          <w:tcPr>
            <w:tcW w:w="2660" w:type="dxa"/>
            <w:vAlign w:val="bottom"/>
            <w:gridSpan w:val="2"/>
          </w:tcPr>
          <w:p>
            <w:pPr>
              <w:jc w:val="right"/>
              <w:ind w:right="19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16"/>
        </w:trPr>
        <w:tc>
          <w:tcPr>
            <w:tcW w:w="7740" w:type="dxa"/>
            <w:vAlign w:val="bottom"/>
            <w:gridSpan w:val="2"/>
          </w:tcPr>
          <w:p>
            <w:pPr>
              <w:ind w:left="860"/>
              <w:spacing w:after="0"/>
              <w:rPr>
                <w:sz w:val="20"/>
                <w:szCs w:val="20"/>
                <w:color w:val="auto"/>
              </w:rPr>
            </w:pPr>
            <w:r>
              <w:rPr>
                <w:rFonts w:ascii="Arial" w:cs="Arial" w:eastAsia="Arial" w:hAnsi="Arial"/>
                <w:sz w:val="18"/>
                <w:szCs w:val="18"/>
                <w:color w:val="auto"/>
                <w:w w:val="93"/>
              </w:rPr>
              <w:t>in the Territory; or (b) the 48 month anniversary of the first commercial sale of the Product in</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740" w:type="dxa"/>
            <w:vAlign w:val="bottom"/>
            <w:gridSpan w:val="2"/>
          </w:tcPr>
          <w:p>
            <w:pPr>
              <w:ind w:left="860"/>
              <w:spacing w:after="0"/>
              <w:rPr>
                <w:sz w:val="20"/>
                <w:szCs w:val="20"/>
                <w:color w:val="auto"/>
              </w:rPr>
            </w:pPr>
            <w:r>
              <w:rPr>
                <w:rFonts w:ascii="Arial" w:cs="Arial" w:eastAsia="Arial" w:hAnsi="Arial"/>
                <w:sz w:val="18"/>
                <w:szCs w:val="18"/>
                <w:color w:val="auto"/>
              </w:rPr>
              <w:t>the Territory by Harrow</w:t>
            </w: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9"/>
        </w:trPr>
        <w:tc>
          <w:tcPr>
            <w:tcW w:w="7740" w:type="dxa"/>
            <w:vAlign w:val="bottom"/>
            <w:tcBorders>
              <w:bottom w:val="single" w:sz="8" w:color="auto"/>
            </w:tcBorders>
            <w:gridSpan w:val="2"/>
          </w:tcPr>
          <w:p>
            <w:pPr>
              <w:ind w:left="552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1" w:name="page72"/>
    <w:bookmarkEnd w:id="71"/>
    <w:p>
      <w:pPr>
        <w:jc w:val="both"/>
        <w:spacing w:after="0" w:line="275"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Royalty</w:t>
      </w:r>
      <w:r>
        <w:rPr>
          <w:rFonts w:ascii="Arial" w:cs="Arial" w:eastAsia="Arial" w:hAnsi="Arial"/>
          <w:sz w:val="17"/>
          <w:szCs w:val="17"/>
          <w:color w:val="auto"/>
        </w:rPr>
        <w:t>. Sixty (60) days after the end of each calendar quarter, Harrow shall pay to Sintetica an amount equal to **** per unit of Product for each unit of Product sold in the Territory for the immediately preceding quarter. Notwithstanding the above, in the event that Harrow’s Gross Margin for Product sales in the Territory falls below 80%, the amount of the Royalty payable to Sintetica can be reduced to enable Harrow to achieve a Gross Margin of 80%, but under no circumstances shall the Royalty ever be less than **** per unit of Product. The following non-limiting examples demonstrate the royalty adjustment mechanism and assume that the Applicable Transfer Price is not less than ****:</w:t>
      </w:r>
    </w:p>
    <w:p>
      <w:pPr>
        <w:spacing w:after="0" w:line="176" w:lineRule="exact"/>
        <w:rPr>
          <w:sz w:val="20"/>
          <w:szCs w:val="20"/>
          <w:color w:val="auto"/>
        </w:rPr>
      </w:pPr>
    </w:p>
    <w:p>
      <w:pPr>
        <w:ind w:left="500" w:firstLine="657"/>
        <w:spacing w:after="0" w:line="277" w:lineRule="auto"/>
        <w:tabs>
          <w:tab w:leader="none" w:pos="13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Harrow’s Selling Price is **** per unit, the Gross Margin calculated is ****, and no adjustment to the Royalty is to be made as it would remain **** per unit;</w:t>
      </w:r>
    </w:p>
    <w:p>
      <w:pPr>
        <w:spacing w:after="0" w:line="170" w:lineRule="exact"/>
        <w:rPr>
          <w:rFonts w:ascii="Arial" w:cs="Arial" w:eastAsia="Arial" w:hAnsi="Arial"/>
          <w:sz w:val="18"/>
          <w:szCs w:val="18"/>
          <w:color w:val="auto"/>
        </w:rPr>
      </w:pPr>
    </w:p>
    <w:p>
      <w:pPr>
        <w:ind w:left="500" w:firstLine="657"/>
        <w:spacing w:after="0" w:line="277" w:lineRule="auto"/>
        <w:tabs>
          <w:tab w:leader="none" w:pos="14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Harrow’s Selling Price is ****/unit, the Gross Margin calculated is ****. To achieve a Gross Margin of 80%, the Royalty is reduced to **** per unit ****.</w:t>
      </w:r>
    </w:p>
    <w:p>
      <w:pPr>
        <w:spacing w:after="0" w:line="170" w:lineRule="exact"/>
        <w:rPr>
          <w:rFonts w:ascii="Arial" w:cs="Arial" w:eastAsia="Arial" w:hAnsi="Arial"/>
          <w:sz w:val="18"/>
          <w:szCs w:val="18"/>
          <w:color w:val="auto"/>
        </w:rPr>
      </w:pPr>
    </w:p>
    <w:p>
      <w:pPr>
        <w:ind w:left="500" w:firstLine="657"/>
        <w:spacing w:after="0" w:line="277"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Harrow’s Selling Price is ****, the Gross Margin calculated is ****. To achieve a Gross Margin of 80%, the Royalty would need to be is reduced to **** per unit ****. However since **** is less than ****, the Royalty would only be reduced to **** per unit.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Audit</w:t>
      </w:r>
      <w:r>
        <w:rPr>
          <w:rFonts w:ascii="Arial" w:cs="Arial" w:eastAsia="Arial" w:hAnsi="Arial"/>
          <w:sz w:val="17"/>
          <w:szCs w:val="17"/>
          <w:color w:val="auto"/>
        </w:rPr>
        <w:t>. Each Party shall maintain complete and accurate records in sufficient detail to permit the other Party to confirm the accuracy of the calculation of milestone and royalty payments under this Agreement. Upon reasonable prior notice, such records shall be available during regular business hours for a period of three (3) years from the end of the Calendar Year to which they pertain for examination at the expense of the requesting Party by an independent certified public accountant selected by the requesting Party and reasonably acceptable to the other Party, for the sole purpose of verifying the accuracy of the financial reports and the correctness of payments furnished by the other Party pursuant to this Agreement. Any such auditor shall not disclose the other Party’s Confidential Information, except to the extent such disclosure is necessary to verify the accuracy of the financial reports furnished by the other Party or the amount of payments due by the other Party under this Agreement. Any amounts shown to be owed but unpaid shall be paid within thirty (30) days from the accountant’s report, plus interest (as set forth in Section 7.6 from the original due date). Any amounts shown to have been overpaid shall be refunded within thirty (30) days from the accountant’s report. The requesting Party shall bear the full expense of such audit, unless such audit discloses an underpayment by the other Party of more than five percent (5%) of the amount due, in which case the other Party shall bear the full expense of such audit. The audit rights set forth in this Section 7.5 shall survive the termination or expiration of this Agreement for one (1) year. There shall be no more than two such audits for this Agreement.</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Late Payment</w:t>
      </w:r>
      <w:r>
        <w:rPr>
          <w:rFonts w:ascii="Arial" w:cs="Arial" w:eastAsia="Arial" w:hAnsi="Arial"/>
          <w:sz w:val="18"/>
          <w:szCs w:val="18"/>
          <w:b w:val="1"/>
          <w:bCs w:val="1"/>
          <w:color w:val="auto"/>
        </w:rPr>
        <w:t>.</w:t>
      </w:r>
      <w:r>
        <w:rPr>
          <w:rFonts w:ascii="Arial" w:cs="Arial" w:eastAsia="Arial" w:hAnsi="Arial"/>
          <w:sz w:val="18"/>
          <w:szCs w:val="18"/>
          <w:color w:val="auto"/>
        </w:rPr>
        <w:t xml:space="preserve"> All payments due to a Party hereunder shall be made in U.S. Dollars by wire transfer of immediately available funds into an account designated by such Party. If a Party does not receive payment of any sum due to it on or before the due date, simple interest shall thereafter accrue on the sum due to such Party until the date of payment at the per annum rate of two percent (2%) over the then-current prime rate quoted by Citibank in New York City or the maximum rate allowable by Applicable Law, whichever is lower.</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Ownership of Inventions</w:t>
      </w:r>
      <w:r>
        <w:rPr>
          <w:rFonts w:ascii="Arial" w:cs="Arial" w:eastAsia="Arial" w:hAnsi="Arial"/>
          <w:sz w:val="18"/>
          <w:szCs w:val="18"/>
          <w:color w:val="auto"/>
        </w:rPr>
        <w:t>.</w:t>
      </w:r>
    </w:p>
    <w:p>
      <w:pPr>
        <w:spacing w:after="0" w:line="225" w:lineRule="exact"/>
        <w:rPr>
          <w:sz w:val="20"/>
          <w:szCs w:val="20"/>
          <w:color w:val="auto"/>
        </w:rPr>
      </w:pPr>
    </w:p>
    <w:p>
      <w:pPr>
        <w:ind w:left="1400" w:hanging="243"/>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Harrow shall solely own all Harrow Inventions.</w:t>
      </w:r>
    </w:p>
    <w:p>
      <w:pPr>
        <w:spacing w:after="0" w:line="225" w:lineRule="exact"/>
        <w:rPr>
          <w:rFonts w:ascii="Arial" w:cs="Arial" w:eastAsia="Arial" w:hAnsi="Arial"/>
          <w:sz w:val="18"/>
          <w:szCs w:val="18"/>
          <w:color w:val="auto"/>
        </w:rPr>
      </w:pPr>
    </w:p>
    <w:p>
      <w:pPr>
        <w:ind w:left="1420" w:hanging="263"/>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Sintetica shall solely own all Sintetica Inventions.</w:t>
      </w:r>
    </w:p>
    <w:p>
      <w:pPr>
        <w:spacing w:after="0" w:line="225" w:lineRule="exact"/>
        <w:rPr>
          <w:rFonts w:ascii="Arial" w:cs="Arial" w:eastAsia="Arial" w:hAnsi="Arial"/>
          <w:sz w:val="18"/>
          <w:szCs w:val="18"/>
          <w:color w:val="auto"/>
        </w:rPr>
      </w:pPr>
    </w:p>
    <w:p>
      <w:pPr>
        <w:jc w:val="both"/>
        <w:ind w:left="500" w:firstLine="657"/>
        <w:spacing w:after="0" w:line="255" w:lineRule="auto"/>
        <w:tabs>
          <w:tab w:leader="none" w:pos="13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Parties shall jointly own any Inventions that are made jointly by employees, agents, or independent contractors of each Party in the course of performing activities under this Agreement, or in connection therewith, involving or which can be used in the Exploitation of Product, together with all intellectual property rights therein (“</w:t>
      </w:r>
      <w:r>
        <w:rPr>
          <w:rFonts w:ascii="Arial" w:cs="Arial" w:eastAsia="Arial" w:hAnsi="Arial"/>
          <w:sz w:val="18"/>
          <w:szCs w:val="18"/>
          <w:u w:val="single" w:color="auto"/>
          <w:color w:val="auto"/>
        </w:rPr>
        <w:t>Joint Inventions</w:t>
      </w:r>
      <w:r>
        <w:rPr>
          <w:rFonts w:ascii="Arial" w:cs="Arial" w:eastAsia="Arial" w:hAnsi="Arial"/>
          <w:sz w:val="18"/>
          <w:szCs w:val="18"/>
          <w:color w:val="auto"/>
        </w:rPr>
        <w:t>”). For clarification, Inventions “made jointly by” employees, agents, or independent contractors of each Party shall mean Inventions made by such Persons in work carried out jointly by or for both using Information exchanged by the Parties specifically for such work. For the avoidance of doubt, Joint Inventions shall be subject to the licenses in Article 2 of this Agreement.</w:t>
      </w:r>
    </w:p>
    <w:p>
      <w:pPr>
        <w:spacing w:after="0" w:line="192" w:lineRule="exact"/>
        <w:rPr>
          <w:rFonts w:ascii="Arial" w:cs="Arial" w:eastAsia="Arial" w:hAnsi="Arial"/>
          <w:sz w:val="18"/>
          <w:szCs w:val="18"/>
          <w:color w:val="auto"/>
        </w:rPr>
      </w:pPr>
    </w:p>
    <w:p>
      <w:pPr>
        <w:ind w:left="1420" w:hanging="263"/>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Inventorship shall be determined in accordance with U.S. patent laws.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 Sintetica shall promptly disclose to Harrow any of its Sintetica Inventions during the Term to the extent that such Inventions can be Exploited in the Territory. With respect to any Joint Inventions, each Party shall promptly disclose to the other Party any invention disclosures, or other similar documents, submitted to it by its employees, agents or independent contractors describing the Joint Inventions, and all Information relating to such inventions to the extent necessary for the use of such Joint Technology and, to the extent patentable, for the preparation, filing and maintenance of any Patent with respect to such Invention.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Prosecution of Patents</w:t>
      </w:r>
      <w:r>
        <w:rPr>
          <w:rFonts w:ascii="Arial" w:cs="Arial" w:eastAsia="Arial" w:hAnsi="Arial"/>
          <w:sz w:val="18"/>
          <w:szCs w:val="18"/>
          <w:color w:val="auto"/>
        </w:rPr>
        <w:t>.</w:t>
      </w:r>
    </w:p>
    <w:p>
      <w:pPr>
        <w:spacing w:after="0" w:line="221" w:lineRule="exact"/>
        <w:rPr>
          <w:sz w:val="20"/>
          <w:szCs w:val="20"/>
          <w:color w:val="auto"/>
        </w:rPr>
      </w:pPr>
    </w:p>
    <w:p>
      <w:pPr>
        <w:jc w:val="both"/>
        <w:ind w:left="500" w:firstLine="657"/>
        <w:spacing w:after="0" w:line="268" w:lineRule="auto"/>
        <w:tabs>
          <w:tab w:leader="none" w:pos="1392"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Sintetica Patents</w:t>
      </w:r>
      <w:r>
        <w:rPr>
          <w:rFonts w:ascii="Arial" w:cs="Arial" w:eastAsia="Arial" w:hAnsi="Arial"/>
          <w:sz w:val="17"/>
          <w:szCs w:val="17"/>
          <w:color w:val="auto"/>
        </w:rPr>
        <w:t>. Except as otherwise provided in this Section 8.3(a), Sintetica shall have the right and authority, at its own expense, to</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file, prosecute and maintain the Sintetica Patents. If requested by Harrow, Sintetica shall provide Harrow’s external patent counsel a reasonable opportunity to review and comment on its efforts to prepare, file, prosecute and maintain Sintetica Patents in the Territory, including by providing Harrow’s external patent counsel with a copy of material communications from any patent authority in the Territory regarding any Sintetica Patent, and by providing drafts of any material filings or responses to be made to such patent authorities in advance of submitting such filings or responses. If Sintetica determines in its discretion to abandon or not maintain any Sintetica Patent listed in Schedule 1.96 that is being prosecuted or maintained by Sintetica in the Territory, then Sintetica shall provide Harrow with written notice of such determination within a period of time reasonably necessary to allow Harrow to determine, in its discretion, its interest in such Sintetica Patent (which notice by Sintetica shall be given no later than sixty (60) days prior to the final deadline for any pending action or response that may be due with respect to such Sintetica Patent with the applicable patent authority). If Harrow provides written notice expressing its interest in obtaining ownership of such Sintetica Patent, (i) Sintetica shall, free of charge, transfer to Harrow the control of such Sintetica Patent in the Territory, (ii) Harrow will thereupon have the right, but not the obligation, to assume the prosecution and maintenance thereof at Harrow’s sole cost and expense (each, a “</w:t>
      </w:r>
      <w:r>
        <w:rPr>
          <w:rFonts w:ascii="Arial" w:cs="Arial" w:eastAsia="Arial" w:hAnsi="Arial"/>
          <w:sz w:val="17"/>
          <w:szCs w:val="17"/>
          <w:u w:val="single" w:color="auto"/>
          <w:color w:val="auto"/>
        </w:rPr>
        <w:t>Harrow Assumed Patent</w:t>
      </w:r>
      <w:r>
        <w:rPr>
          <w:rFonts w:ascii="Arial" w:cs="Arial" w:eastAsia="Arial" w:hAnsi="Arial"/>
          <w:sz w:val="17"/>
          <w:szCs w:val="17"/>
          <w:color w:val="auto"/>
        </w:rPr>
        <w:t>”), through patent counsel or agents of its choice; and (b) Sintetica shall promptly deliver to Harrow copies of all necessary files related to any Harrow Assumed Patents with respect to which responsibility has been transferred and shall take all actions and execute all documents reasonably necessary for Harrow to assume such activities, at Harrow’s request. Harrow hereby grants to Sintetica an irrevocable , royalty-free license to Harrow Assumed Patents.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Harrow Patents</w:t>
      </w:r>
      <w:r>
        <w:rPr>
          <w:rFonts w:ascii="Arial" w:cs="Arial" w:eastAsia="Arial" w:hAnsi="Arial"/>
          <w:sz w:val="16"/>
          <w:szCs w:val="16"/>
          <w:color w:val="auto"/>
        </w:rPr>
        <w:t>. Harrow shall have the sole right and authority, at its own expense, to prepare, file, prosecute and maintain the Harrow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207" w:lineRule="exact"/>
        <w:rPr>
          <w:sz w:val="20"/>
          <w:szCs w:val="20"/>
          <w:color w:val="auto"/>
        </w:rPr>
      </w:pPr>
    </w:p>
    <w:p>
      <w:pPr>
        <w:jc w:val="both"/>
        <w:ind w:firstLine="657"/>
        <w:spacing w:after="0" w:line="286" w:lineRule="auto"/>
        <w:tabs>
          <w:tab w:leader="none" w:pos="892"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Joint Patents</w:t>
      </w:r>
      <w:r>
        <w:rPr>
          <w:rFonts w:ascii="Arial" w:cs="Arial" w:eastAsia="Arial" w:hAnsi="Arial"/>
          <w:sz w:val="16"/>
          <w:szCs w:val="16"/>
          <w:color w:val="auto"/>
        </w:rPr>
        <w:t>. Except as otherwise provided in this Section 8.3(c), Harrow shall have the primary right and authority, to prepare, file,</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prosecute and maintain the Joint Patents in the Territory at its own expense and using external patent counsel in the Territory that is reasonably acceptable to Sintetica. Harrow shall provide Harrow with a reasonable opportunity to review and comment on such efforts regarding such Joint Patent, including by providing Sintetica with a copy of material communications from any patent authority in such country(ies) in the Territory regarding such Joint Patent, and by providing drafts of any material filings or responses to be made to such patent authorities in advance of submitting such filings or responses. Harrow shall consider Sintetica’s comments regarding such communications and drafts in good faith. If Harrow determines in its sole discretion to abandon or not maintain any Joint Patent in any country(ies) of the Territory, then Harrow shall provide Sintetica with written notice of such determination within a period of time reasonably necessary to allow Sintetica to determine its interest in such Joint Patent (which notice from Harrow shall be given no later than sixty (60) days prior to any final deadline for any pending action or response that may be due with respect to such Joint Patent with the applicable patent authority). In the event Sintetica provides written notice expressing that it has an interest in obtaining full ownership title to such Joint Patent(s), (a) Harrow shall promptly deliver to Sintetica copies of all necessary files related to such Joint Patent(s), and shall take all actions and execute all documents reasonably necessary to charge, assign and transfer to Sintetica the full ownership of, and interest in, such Joint Patent in the applicable jurisdiction in the Territory so that, for all extents and purposes, such Patent shall become a Sintetica Patent, and Sintetica shall grant to Harrow an irrevocable royalty-free license to such Sintetica Patent. Sintetica shall have the sole right and authority, to prepare, file, prosecute and maintain the Joint Patents outside of the Territory at its own expense.</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74" w:name="page75"/>
    <w:bookmarkEnd w:id="74"/>
    <w:p>
      <w:pPr>
        <w:ind w:left="1420" w:hanging="263"/>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Cooperation in Prosecution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300" w:firstLine="652"/>
        <w:spacing w:after="0" w:line="257" w:lineRule="auto"/>
        <w:tabs>
          <w:tab w:leader="none" w:pos="21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Party shall provide the other Party all reasonable assistance and cooperation in the Patent prosecution efforts in the Territory provided above in Sections 8.3(a) and (c), including providing any necessary powers of attorney and executing any other required documents or instruments for such prosecution, as well as further actions as set forth below. Such assistance and cooperation shall include making a Party’s inventors and other scientific advisors reasonably available to assist the other Party’s Patent preparation, filing, prosecution and maintenance efforts.</w:t>
      </w:r>
    </w:p>
    <w:p>
      <w:pPr>
        <w:spacing w:after="0" w:line="187" w:lineRule="exact"/>
        <w:rPr>
          <w:rFonts w:ascii="Arial" w:cs="Arial" w:eastAsia="Arial" w:hAnsi="Arial"/>
          <w:sz w:val="18"/>
          <w:szCs w:val="18"/>
          <w:color w:val="auto"/>
        </w:rPr>
      </w:pPr>
    </w:p>
    <w:p>
      <w:pPr>
        <w:jc w:val="both"/>
        <w:ind w:left="1300" w:firstLine="652"/>
        <w:spacing w:after="0" w:line="259" w:lineRule="auto"/>
        <w:tabs>
          <w:tab w:leader="none" w:pos="22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communications between the Parties relating to the preparation, filing, prosecution or maintenance of Sintetica Patents and Joint Patents, including copies of any draft or final documents or any communications received from or sent to patent offices or patenting authorities with respect to such Patents, shall be considered Confidential Information and subject to the confidentiality provisions of Article 10.</w:t>
      </w:r>
    </w:p>
    <w:p>
      <w:pPr>
        <w:spacing w:after="0" w:line="186" w:lineRule="exact"/>
        <w:rPr>
          <w:rFonts w:ascii="Arial" w:cs="Arial" w:eastAsia="Arial" w:hAnsi="Arial"/>
          <w:sz w:val="18"/>
          <w:szCs w:val="18"/>
          <w:color w:val="auto"/>
        </w:rPr>
      </w:pPr>
    </w:p>
    <w:p>
      <w:pPr>
        <w:jc w:val="both"/>
        <w:ind w:left="1300" w:firstLine="652"/>
        <w:spacing w:after="0" w:line="311" w:lineRule="auto"/>
        <w:tabs>
          <w:tab w:leader="none" w:pos="226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Assignments in Sintetica Patents and Joint Patents shall be effected as follows: (1) employees or agents of Sintetica that are named as inventors on Sintetica Patents shall assign their interest in such Patents to Sintetica; and (2) employees or agents of Harrow or Sintetica that are named as inventors on Joint Patents shall assign their interest in such Patents to their respective employer.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Patent Term Extensions in the Territory</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71" w:lineRule="auto"/>
        <w:tabs>
          <w:tab w:leader="none" w:pos="13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Sintetica shall have the right to decide on which, if any, of the Patents within Sintetica Patents and Joint Patents in the Territory it should seek Patent Term Extensions; provided, that, Sintetica shall reasonably consider in good faith Harrow’s position in connection therewith. Subject to the foregoing, Sintetica shall be responsible for applying for the Patent Term Extension. Harrow shall cooperate fully with Sintetica in making such filings or actions, for example and without limitation, making available all required regulatory data and information and executing any required authorizations to apply for such Patent Term Extension. All expenses incurred in connection with activities of each Party with respect to the Patent(s) for which Patent Term Extensions are filed pursuant to this Section 8.4(a) shall be entirely borne by Sintetica. In the event that Harrow wishes to seek Patent Term Extension to a Sintetica Patent or a Joint Patent and Sintetica does not agree to do so, the provisions of Section 8.4(b) shall apply as if such Sintetica Patent or Joint Patent were a Harrow Patent.</w:t>
      </w:r>
    </w:p>
    <w:p>
      <w:pPr>
        <w:spacing w:after="0" w:line="178" w:lineRule="exact"/>
        <w:rPr>
          <w:rFonts w:ascii="Arial" w:cs="Arial" w:eastAsia="Arial" w:hAnsi="Arial"/>
          <w:sz w:val="17"/>
          <w:szCs w:val="17"/>
          <w:color w:val="auto"/>
        </w:rPr>
      </w:pPr>
    </w:p>
    <w:p>
      <w:pPr>
        <w:jc w:val="both"/>
        <w:ind w:left="500" w:firstLine="657"/>
        <w:spacing w:after="0" w:line="296" w:lineRule="auto"/>
        <w:tabs>
          <w:tab w:leader="none" w:pos="14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Harrow shall have the right to decide on which, if any, of the Patents within Harrow Patents in the Territory it should seek Patent Term Extensions. Subject to the foregoing, Harrow shall be responsible for applying for the Patent Term Extension. Sintetica shall cooperate fully with Harrow in making such filings or actions, for example and without limitation, making available all required regulatory data and information and executing any required authorizations to apply for such Patent Term Extension. All expenses incurred in connection with activities of each Party with respect to the Patent(s) for which Patent Term Extensions are filed pursuant to this Section 8.4 (b) shall be entirely borne by Harrow.</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spacing w:after="0" w:line="29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Patent Listing; Compendia Listing</w:t>
      </w:r>
      <w:r>
        <w:rPr>
          <w:rFonts w:ascii="Arial" w:cs="Arial" w:eastAsia="Arial" w:hAnsi="Arial"/>
          <w:sz w:val="16"/>
          <w:szCs w:val="16"/>
          <w:color w:val="auto"/>
        </w:rPr>
        <w:t>. Sintetica, at Harrow’s request, shall: (i) file appropriate information with the FDA in the U.S. listing any Sintetica Patents, Harrow Patents or Joint Patents in the FDA’s Orange Book; and (ii) with respect to other countries in the Territory, file appropriate information, where required by any Applicable Laws, with the applicable Regulatory Authority listing any Sintetica Patents, Harrow Patents or Joint Patents in the Patent listing source in such country in the Territory, if any. The Parties shall fully cooperate with each other to effectuate the above listing requirements. It is anticipated that one or more of the Patents in Schedule 1.97 should be listable in the FDA’s Orange Book and/or the Health Canada Patent Register.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Infringement of Patents by Third Parties</w:t>
      </w:r>
      <w:r>
        <w:rPr>
          <w:rFonts w:ascii="Arial" w:cs="Arial" w:eastAsia="Arial" w:hAnsi="Arial"/>
          <w:sz w:val="18"/>
          <w:szCs w:val="18"/>
          <w:color w:val="auto"/>
        </w:rPr>
        <w:t>.</w:t>
      </w:r>
    </w:p>
    <w:p>
      <w:pPr>
        <w:spacing w:after="0" w:line="221" w:lineRule="exact"/>
        <w:rPr>
          <w:sz w:val="20"/>
          <w:szCs w:val="20"/>
          <w:color w:val="auto"/>
        </w:rPr>
      </w:pPr>
    </w:p>
    <w:p>
      <w:pPr>
        <w:jc w:val="both"/>
        <w:ind w:left="500" w:firstLine="657"/>
        <w:spacing w:after="0" w:line="266" w:lineRule="auto"/>
        <w:tabs>
          <w:tab w:leader="none" w:pos="139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Notification</w:t>
      </w:r>
      <w:r>
        <w:rPr>
          <w:rFonts w:ascii="Arial" w:cs="Arial" w:eastAsia="Arial" w:hAnsi="Arial"/>
          <w:sz w:val="18"/>
          <w:szCs w:val="18"/>
          <w:color w:val="auto"/>
        </w:rPr>
        <w:t>. Each Party shall promptly notify the other Party in writing of any existing, alleged or threatened infringement of Sintetica</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or Joint Patents in the Field in the Territory of which it becomes aware, and shall provide all Information in such Party’s possession or Control demonstrating such infringement.</w:t>
      </w:r>
    </w:p>
    <w:p>
      <w:pPr>
        <w:spacing w:after="0" w:line="175" w:lineRule="exact"/>
        <w:rPr>
          <w:rFonts w:ascii="Arial" w:cs="Arial" w:eastAsia="Arial" w:hAnsi="Arial"/>
          <w:sz w:val="18"/>
          <w:szCs w:val="18"/>
          <w:color w:val="auto"/>
        </w:rPr>
      </w:pPr>
    </w:p>
    <w:p>
      <w:pPr>
        <w:ind w:left="1420" w:hanging="263"/>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Infringement of Sintetica Patents or Joint Patents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300" w:firstLine="652"/>
        <w:spacing w:after="0" w:line="263" w:lineRule="auto"/>
        <w:tabs>
          <w:tab w:leader="none" w:pos="21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Harrow shall have the first right, but not the obligation, at its own expense, to bring an appropriate suit or other action against any Third Party engaged in any existing, alleged or threatened infringement of Sintetica Patents or Joint Patents in Field in the Territory, subject to Section 8.6(b)(ii) through 8.6(b)(v), below.</w:t>
      </w:r>
    </w:p>
    <w:p>
      <w:pPr>
        <w:spacing w:after="0" w:line="183" w:lineRule="exact"/>
        <w:rPr>
          <w:rFonts w:ascii="Arial" w:cs="Arial" w:eastAsia="Arial" w:hAnsi="Arial"/>
          <w:sz w:val="18"/>
          <w:szCs w:val="18"/>
          <w:color w:val="auto"/>
        </w:rPr>
      </w:pPr>
    </w:p>
    <w:p>
      <w:pPr>
        <w:jc w:val="both"/>
        <w:ind w:left="1300" w:firstLine="652"/>
        <w:spacing w:after="0" w:line="255" w:lineRule="auto"/>
        <w:tabs>
          <w:tab w:leader="none" w:pos="2221"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Harrow shall notify Sintetica of its election to take any action in accordance with Section 8.6(b)(i) within the earlier of: (1) ninety (90) days after the first notice under 8.6(a); or (2) ten (10) days before any time limit set forth in an Applicable Law or regulation. In the event Harrow does not so elect, Harrow shall so notify Sintetica in writing, and Sintetica shall have the right to commence a suit or take action to enforce the applicable Patent against such Third Party perpetrating such infringement in the Territory at its own expense. If one Party elects to bring suit or take action against the infringement, then the other Party shall have the right, prior to commencement of the trial, suit or action, to join any such suit or action.</w:t>
      </w:r>
    </w:p>
    <w:p>
      <w:pPr>
        <w:spacing w:after="0" w:line="192" w:lineRule="exact"/>
        <w:rPr>
          <w:rFonts w:ascii="Arial" w:cs="Arial" w:eastAsia="Arial" w:hAnsi="Arial"/>
          <w:sz w:val="18"/>
          <w:szCs w:val="18"/>
          <w:color w:val="auto"/>
        </w:rPr>
      </w:pPr>
    </w:p>
    <w:p>
      <w:pPr>
        <w:jc w:val="both"/>
        <w:ind w:left="1300" w:firstLine="652"/>
        <w:spacing w:after="0" w:line="275" w:lineRule="auto"/>
        <w:tabs>
          <w:tab w:leader="none" w:pos="2289"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Party shall provide to the Party enforcing any such rights under this Section 8.6(b) reasonable assistance in such enforcement, at such enforcing Party’s request and expense,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important aspects of such enforcement including determination of material litigation strategy, filing of dispositive papers to the competent court.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jc w:val="both"/>
        <w:ind w:left="1300" w:firstLine="652"/>
        <w:spacing w:after="0" w:line="296" w:lineRule="auto"/>
        <w:tabs>
          <w:tab w:leader="none" w:pos="22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enforcing Party shall have the sole right to settle any claim, suit or action that it brought under this Section 8.6(b) involving Sintetica Patents or Joint Patents without the prior written consent of the other Party unless such settlement will (a) impose any liability or obligation on such other Party, (b) include the grant of any license, covenant or other rights to any Third Party that would conflict with or reduce the scope of the subject matter included under the rights and license(s) granted to such other Party under this Agreement, or (c) otherwise materially affect the licenses or other rights granted to such other Party hereunder adversely in any respect.</w:t>
      </w:r>
    </w:p>
    <w:p>
      <w:pPr>
        <w:spacing w:after="0" w:line="161" w:lineRule="exact"/>
        <w:rPr>
          <w:rFonts w:ascii="Arial" w:cs="Arial" w:eastAsia="Arial" w:hAnsi="Arial"/>
          <w:sz w:val="16"/>
          <w:szCs w:val="16"/>
          <w:color w:val="auto"/>
        </w:rPr>
      </w:pPr>
    </w:p>
    <w:p>
      <w:pPr>
        <w:jc w:val="both"/>
        <w:ind w:left="1300" w:firstLine="652"/>
        <w:spacing w:after="0" w:line="273" w:lineRule="auto"/>
        <w:tabs>
          <w:tab w:leader="none" w:pos="2216"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Party not bringing an action with respect to infringement in the Territory under this Section 8.6(b) shall be entitled to separate representation in such matter by counsel of its own choice and at its own expense, but such Party shall at all times cooperate fully with the Party bringing such action. If the non-enforcing Party requests that the Parties be jointly represented by the same outside counsel, the enforcing Party shall have the right to consent to such joint representation of the Parties, such consent not to be unreasonably withheld, delayed or conditioned. For clarity, the enforcing Party can withhold its consent to such joint representation where it has a good faith basis to believe there is a conflict between the Parties.</w:t>
      </w:r>
    </w:p>
    <w:p>
      <w:pPr>
        <w:spacing w:after="0" w:line="173" w:lineRule="exact"/>
        <w:rPr>
          <w:rFonts w:ascii="Arial" w:cs="Arial" w:eastAsia="Arial" w:hAnsi="Arial"/>
          <w:sz w:val="17"/>
          <w:szCs w:val="17"/>
          <w:color w:val="auto"/>
        </w:rPr>
      </w:pPr>
    </w:p>
    <w:p>
      <w:pPr>
        <w:jc w:val="both"/>
        <w:ind w:left="500" w:firstLine="657"/>
        <w:spacing w:after="0" w:line="274" w:lineRule="auto"/>
        <w:tabs>
          <w:tab w:leader="none" w:pos="1392"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Infringement of Harrow Patents</w:t>
      </w:r>
      <w:r>
        <w:rPr>
          <w:rFonts w:ascii="Arial" w:cs="Arial" w:eastAsia="Arial" w:hAnsi="Arial"/>
          <w:sz w:val="17"/>
          <w:szCs w:val="17"/>
          <w:color w:val="auto"/>
        </w:rPr>
        <w:t>. For any and all infringement of any Harrow Patent, Harrow shall have the sole and exclusive right,</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the obligation, to bring, at Harrow’s expense and in its sole control, an appropriate suit or other action against any person or entity engaged in such infringement of the Harrow Patent. Sintetica shall provide Harrow reasonable assistance in such enforcement, at Harrow’s reasonable request and expense, including joining such action as a party plaintiff if required by Applicable Law to pursue such action. Harrow shall retain one hundred percent (100%) of any recovery in connection with such suit or other action (after reimbursing Sintetica for any of its expenses in connection with its assistance provided in accordance with this Section 8.6(c)).</w:t>
      </w:r>
    </w:p>
    <w:p>
      <w:pPr>
        <w:spacing w:after="0" w:line="173" w:lineRule="exact"/>
        <w:rPr>
          <w:rFonts w:ascii="Arial" w:cs="Arial" w:eastAsia="Arial" w:hAnsi="Arial"/>
          <w:sz w:val="17"/>
          <w:szCs w:val="17"/>
          <w:color w:val="auto"/>
        </w:rPr>
      </w:pPr>
    </w:p>
    <w:p>
      <w:pPr>
        <w:jc w:val="both"/>
        <w:ind w:left="500" w:firstLine="657"/>
        <w:spacing w:after="0" w:line="274" w:lineRule="auto"/>
        <w:tabs>
          <w:tab w:leader="none" w:pos="1416"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Allocation of Proceeds</w:t>
      </w:r>
      <w:r>
        <w:rPr>
          <w:rFonts w:ascii="Arial" w:cs="Arial" w:eastAsia="Arial" w:hAnsi="Arial"/>
          <w:sz w:val="17"/>
          <w:szCs w:val="17"/>
          <w:color w:val="auto"/>
        </w:rPr>
        <w:t>. If either Party recovers monetary damages from any Third Party in a suit or action brought under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8.6(b), 8.7 or 8.8 related to any alleged Product Infringement, whether such damages result from the infringement of Sintetica Patents or Joint Patents, such recovery shall be allocated first to the reimbursement of any expenses incurred by the Parties in such litigation, action or license, and any remaining amounts shall be retained by the Party who has managed such litigation, action or license, subject to the proviso that if Harrow is the party who managed such litigation, to the extent that any amounts recovered are for lost sales of Product, Harrow shall pay to Sintetica an amount equal to the number of units of such lost product sales, multiplied by the royalty in Section 7.4.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Infringement of Third Party Rights in the Territory</w:t>
      </w:r>
      <w:r>
        <w:rPr>
          <w:rFonts w:ascii="Arial" w:cs="Arial" w:eastAsia="Arial" w:hAnsi="Arial"/>
          <w:sz w:val="18"/>
          <w:szCs w:val="18"/>
          <w:color w:val="auto"/>
        </w:rPr>
        <w:t>.</w:t>
      </w:r>
    </w:p>
    <w:p>
      <w:pPr>
        <w:spacing w:after="0" w:line="221" w:lineRule="exact"/>
        <w:rPr>
          <w:sz w:val="20"/>
          <w:szCs w:val="20"/>
          <w:color w:val="auto"/>
        </w:rPr>
      </w:pPr>
    </w:p>
    <w:p>
      <w:pPr>
        <w:jc w:val="both"/>
        <w:ind w:left="500" w:firstLine="657"/>
        <w:spacing w:after="0" w:line="258" w:lineRule="auto"/>
        <w:tabs>
          <w:tab w:leader="none" w:pos="1419"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If any Product used or sold by Harrow or its sublicensees becomes the subject of a Third Party’s claim or assertion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of a Patent granted by a jurisdiction within the Territory, the Party first having notice of the claim or assertion shall promptly notify the other Party. Unless Harrow decides to carry out its own freedom to operate (FTO) analysis, Sintetica will conduct a patent freedom to operate analysis as of the Effective Date and to the best of its knowledge there should be no freedom to operate issues concerning the Commercialization of the Product in the Field in the Territory.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jc w:val="both"/>
        <w:ind w:firstLine="657"/>
        <w:spacing w:after="0" w:line="270" w:lineRule="auto"/>
        <w:tabs>
          <w:tab w:leader="none" w:pos="903"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Defense</w:t>
      </w:r>
      <w:r>
        <w:rPr>
          <w:rFonts w:ascii="Arial" w:cs="Arial" w:eastAsia="Arial" w:hAnsi="Arial"/>
          <w:sz w:val="17"/>
          <w:szCs w:val="17"/>
          <w:color w:val="auto"/>
        </w:rPr>
        <w:t>. Harrow shall have the first right, but not the obligation, at its own expense, to defend any such Third Party claim or assertion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infringement of a Patent as described in Section 8.7(a) above. If Harrow does not commence actions to defend such claim within sixty (60) days after it receives notice thereof or if Harrow discontinues the defense of any such action after filing, then to the extent allowed by Applicable Law, Sintetica shall have the right, but not the obligation, to control the defense of such claim by counsel of its choice, at Sintetica’s expense. The non-defending Party shall reasonably cooperate with the Party conducting the defense of the claim or assertion, including if required to conduct such defense, furnishing a power of attorney. Any awards or amounts received in bringing any such action shall be first allocated to reimburse the each Party’s expenses in such action, and any remaining amounts shall be retained by the defending Party. Notwithstanding the above, at all times during the Term if, as part of obtaining Regulatory Approval for the Product in the United States, there is so called Hatch Waxman litigation where Harrow will be the defendant in such litigation, then Harrow shall be solely responsible for managing the litigation, including selection of counsel, and shall be responsible for all associated costs, including external legal fees.</w:t>
      </w:r>
    </w:p>
    <w:p>
      <w:pPr>
        <w:spacing w:after="0" w:line="176" w:lineRule="exact"/>
        <w:rPr>
          <w:rFonts w:ascii="Arial" w:cs="Arial" w:eastAsia="Arial" w:hAnsi="Arial"/>
          <w:sz w:val="17"/>
          <w:szCs w:val="17"/>
          <w:color w:val="auto"/>
        </w:rPr>
      </w:pPr>
    </w:p>
    <w:p>
      <w:pPr>
        <w:jc w:val="both"/>
        <w:ind w:firstLine="657"/>
        <w:spacing w:after="0" w:line="269" w:lineRule="auto"/>
        <w:tabs>
          <w:tab w:leader="none" w:pos="892"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Settlement; Licenses</w:t>
      </w:r>
      <w:r>
        <w:rPr>
          <w:rFonts w:ascii="Arial" w:cs="Arial" w:eastAsia="Arial" w:hAnsi="Arial"/>
          <w:sz w:val="17"/>
          <w:szCs w:val="17"/>
          <w:color w:val="auto"/>
        </w:rPr>
        <w:t>. The defending Party shall have the sole right to settle any claim, suit or action that it brought under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8.7 unless such settlement will (a) impose any liability or obligation on such other Party, (b) include the grant of any license, covenant or other rights to any Third Party that would conflict with or reduce the scope of the subject matter included under the rights and licenses granted to such other Party under this Agreement, or (c) otherwise materially affect the licenses or other rights granted to such other Party hereunder adversely in any respect. In the event that it is determined by any court of competent jurisdiction or Harrow reasonably determines (based on the opinion of independent patent counsel) that the Exploitation of Product, conducted in accordance with the terms and conditions of this Agreement, infringes any patent, copyright, trademark, data exclusivity right or trade secret right arising under Applicable Law of any Third Party, the Parties shall use Commercially Reasonable Efforts to (i) modify such activities so as to render it non-infringing or, if the Parties determine that such modification is not possible, to (ii) procure a license from such Third Party authorizing Harrow to continue to conduct such activities, including the right for Harrow to sublicense such rights to Sintetica in accordance with Section 2.3. In the latter case, in the event that Harrow, after using Commercially Reasonable Efforts, determines that such alternatives is not available or commercially feasible, Harrow may, at its discretion, terminate this Agreement in accordance with Section 11.5.</w:t>
      </w:r>
    </w:p>
    <w:p>
      <w:pPr>
        <w:spacing w:after="0" w:line="178" w:lineRule="exact"/>
        <w:rPr>
          <w:rFonts w:ascii="Arial" w:cs="Arial" w:eastAsia="Arial" w:hAnsi="Arial"/>
          <w:sz w:val="17"/>
          <w:szCs w:val="17"/>
          <w:color w:val="auto"/>
        </w:rPr>
      </w:pPr>
    </w:p>
    <w:p>
      <w:pPr>
        <w:jc w:val="both"/>
        <w:ind w:firstLine="657"/>
        <w:spacing w:after="0" w:line="274" w:lineRule="auto"/>
        <w:tabs>
          <w:tab w:leader="none" w:pos="903"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Payment of Amounts. </w:t>
      </w:r>
      <w:r>
        <w:rPr>
          <w:rFonts w:ascii="Arial" w:cs="Arial" w:eastAsia="Arial" w:hAnsi="Arial"/>
          <w:sz w:val="17"/>
          <w:szCs w:val="17"/>
          <w:color w:val="auto"/>
        </w:rPr>
        <w:t>In the event that Harrow is required to license Third Party intellectual property rights in order to Commercialize</w:t>
      </w:r>
      <w:r>
        <w:rPr>
          <w:rFonts w:ascii="Arial" w:cs="Arial" w:eastAsia="Arial" w:hAnsi="Arial"/>
          <w:sz w:val="17"/>
          <w:szCs w:val="17"/>
          <w:b w:val="1"/>
          <w:bCs w:val="1"/>
          <w:color w:val="auto"/>
        </w:rPr>
        <w:t xml:space="preserve"> </w:t>
      </w:r>
      <w:r>
        <w:rPr>
          <w:rFonts w:ascii="Arial" w:cs="Arial" w:eastAsia="Arial" w:hAnsi="Arial"/>
          <w:sz w:val="17"/>
          <w:szCs w:val="17"/>
          <w:color w:val="auto"/>
        </w:rPr>
        <w:t>the Product in the Territory, Harrow shall be entitled to take as a credit against the royalty due to Sintetica in Section 7.4 in an amount equal to fifty percent (50%) of the amount actually paid to the Third Party, with the proviso that under no circumstances shall the royalty due to Sintetica ever be reduced to less than $2.00 per unit of Product. For clarification, Harrow’s being “required to license Third Party intellectual property rights in order to Commercialize the Product in the Territory” means that the events and conditions – including opinion of independent patent counsel where applicable – set forth in the second sentence of Section 8.7(c) have given rise to case (ii) of such Section.</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Patent Oppositions and Other Proceedings</w:t>
      </w:r>
      <w:r>
        <w:rPr>
          <w:rFonts w:ascii="Arial" w:cs="Arial" w:eastAsia="Arial" w:hAnsi="Arial"/>
          <w:sz w:val="18"/>
          <w:szCs w:val="18"/>
          <w:color w:val="auto"/>
        </w:rPr>
        <w:t>.</w:t>
      </w:r>
    </w:p>
    <w:p>
      <w:pPr>
        <w:spacing w:after="0" w:line="221" w:lineRule="exact"/>
        <w:rPr>
          <w:sz w:val="20"/>
          <w:szCs w:val="20"/>
          <w:color w:val="auto"/>
        </w:rPr>
      </w:pPr>
    </w:p>
    <w:p>
      <w:pPr>
        <w:jc w:val="both"/>
        <w:ind w:left="500" w:firstLine="657"/>
        <w:spacing w:after="0" w:line="285" w:lineRule="auto"/>
        <w:tabs>
          <w:tab w:leader="none" w:pos="1392"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Third-Party Patent Rights</w:t>
      </w:r>
      <w:r>
        <w:rPr>
          <w:rFonts w:ascii="Arial" w:cs="Arial" w:eastAsia="Arial" w:hAnsi="Arial"/>
          <w:sz w:val="16"/>
          <w:szCs w:val="16"/>
          <w:color w:val="auto"/>
        </w:rPr>
        <w:t>. If either Party desires to bring an opposition, action for declaratory judgment, nullity action, interference,</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for non-infringement, reexamination or other attack upon the validity, title or enforceability of a Patent Controlled by a Third Party and having one or more claims that covers a Product, or the use, sale, offer for sale or importation of a Product in the Field in the Territory (except insofar as such action is a counterclaim to or defense of, or accompanies a defense of, a Third Party’s claim or assertion of infringement under Section 8.7, in which case the provisions of Section 8.7 shall govern), such Party shall so notify the other Party and the Parties shall promptly confer to determine whether to bring such action or the manner in which to settle such action. Harrow shall have the first right, but not the obligation, to bring at its own expense and in its sole control such action in the Territory. If Harrow does not bring such an action in the Territory, within ninety</w:t>
      </w:r>
    </w:p>
    <w:p>
      <w:pPr>
        <w:jc w:val="both"/>
        <w:ind w:left="500" w:firstLine="9"/>
        <w:spacing w:after="0" w:line="271" w:lineRule="auto"/>
        <w:tabs>
          <w:tab w:leader="none" w:pos="851" w:val="left"/>
        </w:tabs>
        <w:numPr>
          <w:ilvl w:val="0"/>
          <w:numId w:val="51"/>
        </w:numPr>
        <w:rPr>
          <w:rFonts w:ascii="Arial" w:cs="Arial" w:eastAsia="Arial" w:hAnsi="Arial"/>
          <w:sz w:val="17"/>
          <w:szCs w:val="17"/>
          <w:color w:val="auto"/>
        </w:rPr>
      </w:pPr>
      <w:r>
        <w:rPr>
          <w:rFonts w:ascii="Arial" w:cs="Arial" w:eastAsia="Arial" w:hAnsi="Arial"/>
          <w:sz w:val="17"/>
          <w:szCs w:val="17"/>
          <w:color w:val="auto"/>
        </w:rPr>
        <w:t>days of notification thereof pursuant to this Section 8.8(a) (or earlier, if required by the nature of the proceeding), then Sintetica shall have the right, but not the obligation, to bring, at Sintetica’s sole expense, such action. The Party not bringing an action under this Section 8.8(a) shall be entitled to separate representation in such proceeding by counsel of its own choice and at its own expense, and shall cooperate fully with the Party bringing such action. Any awards or amounts received in bringing any such action shall be first allocated to reimburse each Party’s expenses in such action, and any remaining amounts shall be retained by the Party who brings such action.</w:t>
      </w:r>
    </w:p>
    <w:p>
      <w:pPr>
        <w:spacing w:after="0" w:line="174" w:lineRule="exact"/>
        <w:rPr>
          <w:rFonts w:ascii="Arial" w:cs="Arial" w:eastAsia="Arial" w:hAnsi="Arial"/>
          <w:sz w:val="17"/>
          <w:szCs w:val="17"/>
          <w:color w:val="auto"/>
        </w:rPr>
      </w:pPr>
    </w:p>
    <w:p>
      <w:pPr>
        <w:jc w:val="both"/>
        <w:ind w:left="500" w:firstLine="657"/>
        <w:spacing w:after="0" w:line="270" w:lineRule="auto"/>
        <w:tabs>
          <w:tab w:leader="none" w:pos="1416"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Parties’ Patent Rights</w:t>
      </w:r>
      <w:r>
        <w:rPr>
          <w:rFonts w:ascii="Arial" w:cs="Arial" w:eastAsia="Arial" w:hAnsi="Arial"/>
          <w:sz w:val="17"/>
          <w:szCs w:val="17"/>
          <w:color w:val="auto"/>
        </w:rPr>
        <w:t>. If any Sintetica Patent or Joint Patent becomes the subject of any proceeding commenced by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Territory in connection with an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8.6, in which case the provisions of Section 8.6 shall govern), then the Party responsible for filing, preparing, prosecuting and maintaining such Patent as set forth in Section 8.3 hereof, shall control such defense at its own expense. The controlling Party shall permit the non-controlling Party to participate in the proceeding to the extent permissible under Applicable Law, and to be represented by its own counsel in such proceeding, at the non-controlling Party’s expense. If either Party decides that it does not wish to defend against such action, then the other Party shall have a backup right to assume defense of such Third-Party action at its own expense. Any awards or amounts received in bringing any such action shall be first allocated to reimburse each Party’s expenses in such action, and any remaining amounts shall be retained by the controlling Party.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Mutual Representations and Warranties</w:t>
      </w:r>
      <w:r>
        <w:rPr>
          <w:rFonts w:ascii="Arial" w:cs="Arial" w:eastAsia="Arial" w:hAnsi="Arial"/>
          <w:sz w:val="17"/>
          <w:szCs w:val="17"/>
          <w:color w:val="auto"/>
        </w:rPr>
        <w:t>. Each of the Parties hereby represents and warrants to the other Party as of the Effective Date that:</w:t>
      </w:r>
    </w:p>
    <w:p>
      <w:pPr>
        <w:spacing w:after="0" w:line="233" w:lineRule="exact"/>
        <w:rPr>
          <w:sz w:val="20"/>
          <w:szCs w:val="20"/>
          <w:color w:val="auto"/>
        </w:rPr>
      </w:pPr>
    </w:p>
    <w:p>
      <w:pPr>
        <w:ind w:left="500" w:firstLine="657"/>
        <w:spacing w:after="0" w:line="282" w:lineRule="auto"/>
        <w:tabs>
          <w:tab w:leader="none" w:pos="1419"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It is a corporation duly organized, validly existing, and in good standing under the laws of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and has all requisite power and authority, corporate or otherwise, to execute, deliver, and perform this Agreement.</w:t>
      </w:r>
    </w:p>
    <w:p>
      <w:pPr>
        <w:spacing w:after="0" w:line="161" w:lineRule="exact"/>
        <w:rPr>
          <w:rFonts w:ascii="Arial" w:cs="Arial" w:eastAsia="Arial" w:hAnsi="Arial"/>
          <w:sz w:val="18"/>
          <w:szCs w:val="18"/>
          <w:color w:val="auto"/>
        </w:rPr>
      </w:pPr>
    </w:p>
    <w:p>
      <w:pPr>
        <w:jc w:val="both"/>
        <w:ind w:left="500" w:firstLine="657"/>
        <w:spacing w:after="0" w:line="261" w:lineRule="auto"/>
        <w:tabs>
          <w:tab w:leader="none" w:pos="141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Binding Agreement. </w:t>
      </w:r>
      <w:r>
        <w:rPr>
          <w:rFonts w:ascii="Arial" w:cs="Arial" w:eastAsia="Arial" w:hAnsi="Arial"/>
          <w:sz w:val="18"/>
          <w:szCs w:val="18"/>
          <w:color w:val="auto"/>
        </w:rPr>
        <w:t>This Agreement is a legal and valid obligation binding upon such Party and enforceable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79" w:lineRule="exact"/>
        <w:rPr>
          <w:rFonts w:ascii="Arial" w:cs="Arial" w:eastAsia="Arial" w:hAnsi="Arial"/>
          <w:sz w:val="18"/>
          <w:szCs w:val="18"/>
          <w:color w:val="auto"/>
        </w:rPr>
      </w:pPr>
    </w:p>
    <w:p>
      <w:pPr>
        <w:jc w:val="both"/>
        <w:ind w:left="500" w:firstLine="657"/>
        <w:spacing w:after="0" w:line="261" w:lineRule="auto"/>
        <w:tabs>
          <w:tab w:leader="none" w:pos="139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w:t>
      </w:r>
      <w:r>
        <w:rPr>
          <w:rFonts w:ascii="Arial" w:cs="Arial" w:eastAsia="Arial" w:hAnsi="Arial"/>
          <w:sz w:val="18"/>
          <w:szCs w:val="18"/>
          <w:color w:val="auto"/>
        </w:rPr>
        <w:t>The execution, delivery, and performance of this Agreement by such Party have been duly authorized by all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action and do not conflict with any agreement, instrument, or understanding, oral or written, to which it is a party or by which it is bound, nor violate any Applicable Law or any order, writ, judgment, injunction, decree, determination, or award of any court or governmental body, or administrative or other agency presently in effect applicable to such Party.</w:t>
      </w:r>
    </w:p>
    <w:p>
      <w:pPr>
        <w:spacing w:after="0" w:line="179" w:lineRule="exact"/>
        <w:rPr>
          <w:rFonts w:ascii="Arial" w:cs="Arial" w:eastAsia="Arial" w:hAnsi="Arial"/>
          <w:sz w:val="18"/>
          <w:szCs w:val="18"/>
          <w:color w:val="auto"/>
        </w:rPr>
      </w:pPr>
    </w:p>
    <w:p>
      <w:pPr>
        <w:jc w:val="both"/>
        <w:ind w:left="500" w:firstLine="657"/>
        <w:spacing w:after="0" w:line="281" w:lineRule="auto"/>
        <w:tabs>
          <w:tab w:leader="none" w:pos="1443"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No Further Approval. </w:t>
      </w:r>
      <w:r>
        <w:rPr>
          <w:rFonts w:ascii="Arial" w:cs="Arial" w:eastAsia="Arial" w:hAnsi="Arial"/>
          <w:sz w:val="17"/>
          <w:szCs w:val="17"/>
          <w:color w:val="auto"/>
        </w:rPr>
        <w:t>It is not aware of any government authorization, consent, approval, license, exemption of or filing or</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any court or governmental department, commission, board, bureau, agency or instrumentality, domestic or foreign, under any Applicable Law, currently in effect, necessary for, or in connection with, the transactions contemplated by this Agreement or any other agreement or instrument executed in connection herewith, or for the performance by it of its obligations under this Agreement.</w:t>
      </w:r>
    </w:p>
    <w:p>
      <w:pPr>
        <w:spacing w:after="0" w:line="164" w:lineRule="exact"/>
        <w:rPr>
          <w:rFonts w:ascii="Arial" w:cs="Arial" w:eastAsia="Arial" w:hAnsi="Arial"/>
          <w:sz w:val="17"/>
          <w:szCs w:val="17"/>
          <w:color w:val="auto"/>
        </w:rPr>
      </w:pPr>
    </w:p>
    <w:p>
      <w:pPr>
        <w:jc w:val="both"/>
        <w:ind w:left="500" w:firstLine="657"/>
        <w:spacing w:after="0" w:line="266" w:lineRule="auto"/>
        <w:tabs>
          <w:tab w:leader="none" w:pos="140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No Inconsistent Obligations. </w:t>
      </w:r>
      <w:r>
        <w:rPr>
          <w:rFonts w:ascii="Arial" w:cs="Arial" w:eastAsia="Arial" w:hAnsi="Arial"/>
          <w:sz w:val="18"/>
          <w:szCs w:val="18"/>
          <w:color w:val="auto"/>
        </w:rPr>
        <w:t>Neither Party is under any obligation, contractual or otherwise, to any Person that conflicts with or is</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in any material respect with the terms of this Agreement, or that would impede the diligent and complete fulfillment of its obligations hereunder.</w:t>
      </w:r>
    </w:p>
    <w:p>
      <w:pPr>
        <w:spacing w:after="0" w:line="175" w:lineRule="exact"/>
        <w:rPr>
          <w:rFonts w:ascii="Arial" w:cs="Arial" w:eastAsia="Arial" w:hAnsi="Arial"/>
          <w:sz w:val="18"/>
          <w:szCs w:val="18"/>
          <w:color w:val="auto"/>
        </w:rPr>
      </w:pPr>
    </w:p>
    <w:p>
      <w:pPr>
        <w:jc w:val="both"/>
        <w:ind w:left="500" w:firstLine="657"/>
        <w:spacing w:after="0" w:line="261" w:lineRule="auto"/>
        <w:tabs>
          <w:tab w:leader="none" w:pos="1373"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No Debarment. </w:t>
      </w:r>
      <w:r>
        <w:rPr>
          <w:rFonts w:ascii="Arial" w:cs="Arial" w:eastAsia="Arial" w:hAnsi="Arial"/>
          <w:sz w:val="18"/>
          <w:szCs w:val="18"/>
          <w:color w:val="auto"/>
        </w:rPr>
        <w:t>Neither Party nor any of its respective Affiliates has been debarred by the FDA, is not subject to any similar sanction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Authorities in the Territory, and, to its Knowledge, neither Party nor any of its respective Affiliates has used, or will engage, in any capacity, in connection with this Agreement or any ancillary agreements (if any), any Person who either has been debarred by any Regulatory Authority, or is the subject of a conviction described in Section 306 of the FFDCA.</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Additional Representations and Warranties of Sintetica</w:t>
      </w:r>
      <w:r>
        <w:rPr>
          <w:rFonts w:ascii="Arial" w:cs="Arial" w:eastAsia="Arial" w:hAnsi="Arial"/>
          <w:sz w:val="18"/>
          <w:szCs w:val="18"/>
          <w:color w:val="auto"/>
        </w:rPr>
        <w:t>. Sintetica represents and warrants as of the Effective Date to Harrow that:</w:t>
      </w:r>
    </w:p>
    <w:p>
      <w:pPr>
        <w:spacing w:after="0" w:line="225" w:lineRule="exact"/>
        <w:rPr>
          <w:sz w:val="20"/>
          <w:szCs w:val="20"/>
          <w:color w:val="auto"/>
        </w:rPr>
      </w:pPr>
    </w:p>
    <w:p>
      <w:pPr>
        <w:ind w:left="1400" w:hanging="243"/>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Sintetica has all rights necessary to grant the licenses under Article 2 of this Agreement.</w:t>
      </w:r>
    </w:p>
    <w:p>
      <w:pPr>
        <w:spacing w:after="0" w:line="225" w:lineRule="exact"/>
        <w:rPr>
          <w:rFonts w:ascii="Arial" w:cs="Arial" w:eastAsia="Arial" w:hAnsi="Arial"/>
          <w:sz w:val="18"/>
          <w:szCs w:val="18"/>
          <w:color w:val="auto"/>
        </w:rPr>
      </w:pPr>
    </w:p>
    <w:p>
      <w:pPr>
        <w:ind w:left="1420" w:hanging="263"/>
        <w:spacing w:after="0"/>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Sintetica owns all of the Sintetica Technology and the Product free of any encumbrance, lien, or claim of ownership by any Third Party.</w:t>
      </w:r>
    </w:p>
    <w:p>
      <w:pPr>
        <w:spacing w:after="0" w:line="248" w:lineRule="exact"/>
        <w:rPr>
          <w:rFonts w:ascii="Arial" w:cs="Arial" w:eastAsia="Arial" w:hAnsi="Arial"/>
          <w:sz w:val="16"/>
          <w:szCs w:val="16"/>
          <w:color w:val="auto"/>
        </w:rPr>
      </w:pPr>
    </w:p>
    <w:p>
      <w:pPr>
        <w:ind w:left="500" w:firstLine="657"/>
        <w:spacing w:after="0" w:line="277" w:lineRule="auto"/>
        <w:tabs>
          <w:tab w:leader="none" w:pos="14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Sintetica’s knowledge, the Exploitation of the Product as it exists as of the Effective Date in the Field in the Territory will not infringe or misappropriate the Patents or other intellectual property or proprietary rights of any Third Party in the Territory.</w:t>
      </w:r>
    </w:p>
    <w:p>
      <w:pPr>
        <w:spacing w:after="0" w:line="170" w:lineRule="exact"/>
        <w:rPr>
          <w:rFonts w:ascii="Arial" w:cs="Arial" w:eastAsia="Arial" w:hAnsi="Arial"/>
          <w:sz w:val="18"/>
          <w:szCs w:val="18"/>
          <w:color w:val="auto"/>
        </w:rPr>
      </w:pPr>
    </w:p>
    <w:p>
      <w:pPr>
        <w:jc w:val="both"/>
        <w:ind w:left="500" w:firstLine="657"/>
        <w:spacing w:after="0" w:line="25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permissible under Applicable Law, all current and former officers, employees and independent contractors of Sintetica who are inventors of or have otherwise contributed in a material manner to the creation or development of any Sintetica Technology or the Product have received all consideration for their contributions to such Sintetica Technology and have executed and delivered to Sintetica or any such Affiliate an assignment or other agreement regarding the protection of proprietary information and the assignment to Sintetica of all of their rights, title and interest in any and all Sintetica Technology and the Product.</w:t>
      </w:r>
    </w:p>
    <w:p>
      <w:pPr>
        <w:spacing w:after="0" w:line="187" w:lineRule="exact"/>
        <w:rPr>
          <w:rFonts w:ascii="Arial" w:cs="Arial" w:eastAsia="Arial" w:hAnsi="Arial"/>
          <w:sz w:val="18"/>
          <w:szCs w:val="18"/>
          <w:color w:val="auto"/>
        </w:rPr>
      </w:pPr>
    </w:p>
    <w:p>
      <w:pPr>
        <w:ind w:left="500" w:right="20" w:firstLine="657"/>
        <w:spacing w:after="0" w:line="342" w:lineRule="auto"/>
        <w:tabs>
          <w:tab w:leader="none" w:pos="1413"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Sintetica has not previously entered into any agreement, whether written or oral, with respect to, or otherwise assigned, transferred, licensed, conveyed, or otherwise encumbered its right, title, or interest in or to Sintetica Technology or Product for the Field in the Territory.</w:t>
      </w:r>
    </w:p>
    <w:p>
      <w:pPr>
        <w:spacing w:after="0" w:line="123" w:lineRule="exact"/>
        <w:rPr>
          <w:rFonts w:ascii="Arial" w:cs="Arial" w:eastAsia="Arial" w:hAnsi="Arial"/>
          <w:sz w:val="16"/>
          <w:szCs w:val="16"/>
          <w:color w:val="auto"/>
        </w:rPr>
      </w:pPr>
    </w:p>
    <w:p>
      <w:pPr>
        <w:ind w:left="500" w:right="20" w:firstLine="657"/>
        <w:spacing w:after="0" w:line="277" w:lineRule="auto"/>
        <w:tabs>
          <w:tab w:leader="none" w:pos="13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development of the Product as of the Effective Date, the Product shall have been developed in conformance with GMP and all Applicable Laws.</w:t>
      </w:r>
    </w:p>
    <w:p>
      <w:pPr>
        <w:spacing w:after="0" w:line="170" w:lineRule="exact"/>
        <w:rPr>
          <w:rFonts w:ascii="Arial" w:cs="Arial" w:eastAsia="Arial" w:hAnsi="Arial"/>
          <w:sz w:val="18"/>
          <w:szCs w:val="18"/>
          <w:color w:val="auto"/>
        </w:rPr>
      </w:pPr>
    </w:p>
    <w:p>
      <w:pPr>
        <w:ind w:left="500" w:firstLine="657"/>
        <w:spacing w:after="0" w:line="277" w:lineRule="auto"/>
        <w:tabs>
          <w:tab w:leader="none" w:pos="14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than the Product, Sintetica is not currently developing specifically for the Territory any other product that will be used as a topical ophthalmic anesthetic.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Covenants of Sintetica</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311" w:lineRule="auto"/>
        <w:tabs>
          <w:tab w:leader="none" w:pos="14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During the Term, Sintetica shall not, and shall cause its Affiliates not to, grant to any Third Party rights that conflict with the rights granted to Harrow, or otherwise assign, transfer, license, convey, or otherwise encumber its right, title, or interest in or to the Sintetica Technology, the Joint Technology or the Product, </w:t>
      </w:r>
      <w:r>
        <w:rPr>
          <w:rFonts w:ascii="Arial" w:cs="Arial" w:eastAsia="Arial" w:hAnsi="Arial"/>
          <w:sz w:val="16"/>
          <w:szCs w:val="16"/>
          <w:i w:val="1"/>
          <w:iCs w:val="1"/>
          <w:color w:val="auto"/>
        </w:rPr>
        <w:t>provided that</w:t>
      </w:r>
      <w:r>
        <w:rPr>
          <w:rFonts w:ascii="Arial" w:cs="Arial" w:eastAsia="Arial" w:hAnsi="Arial"/>
          <w:sz w:val="16"/>
          <w:szCs w:val="16"/>
          <w:color w:val="auto"/>
        </w:rPr>
        <w:t>, such covenant shall not regard or extend to the any product outside of the Field or the Territory.</w:t>
      </w:r>
    </w:p>
    <w:p>
      <w:pPr>
        <w:spacing w:after="0" w:line="148" w:lineRule="exact"/>
        <w:rPr>
          <w:rFonts w:ascii="Arial" w:cs="Arial" w:eastAsia="Arial" w:hAnsi="Arial"/>
          <w:sz w:val="16"/>
          <w:szCs w:val="16"/>
          <w:color w:val="auto"/>
        </w:rPr>
      </w:pPr>
    </w:p>
    <w:p>
      <w:pPr>
        <w:jc w:val="both"/>
        <w:ind w:left="500" w:firstLine="657"/>
        <w:spacing w:after="0" w:line="255" w:lineRule="auto"/>
        <w:tabs>
          <w:tab w:leader="none" w:pos="14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extent permissible under Applicable Law all employees, agents, advisors, consultants or contractors of Sintetica shall be under an obligation to assign all of their right, title and interest in and to any Sintetica Inventions and any Joint Inventions, whether or not patentable, and intellectual property rights therein, to Sintetica as the owner thereof. Harrow shall have no obligation to contribute to any remuneration of any inventor employed or previously employed by Sintetica in respect of any Inventions, Information and other discoveries made in furtherance of this Agreement, including any intellectual property rights therein, which are assigned to Sintetica. Sintetica shall pay all such remuneration due to such inventors with respect to such Inventions.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jc w:val="both"/>
        <w:ind w:left="500" w:firstLine="657"/>
        <w:spacing w:after="0" w:line="259" w:lineRule="auto"/>
        <w:tabs>
          <w:tab w:leader="none" w:pos="13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Term, Sintetica will not offer to any Third Party product developed by Sintetica that will be used in the Territory as a topical ophthalmic anesthetic without first offering Harrow the opportunity to Exploit such product in the Territory. The Parties agree that such first offer rights of Harrow shall be subject to usual terms and conditions for exercise of such rights, and to negotiate in good faith, and in a reasonable time after the Effective Date, such terms and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Additional Representation and Warranties of Harrow</w:t>
      </w:r>
      <w:r>
        <w:rPr>
          <w:rFonts w:ascii="Arial" w:cs="Arial" w:eastAsia="Arial" w:hAnsi="Arial"/>
          <w:sz w:val="18"/>
          <w:szCs w:val="18"/>
          <w:color w:val="auto"/>
        </w:rPr>
        <w:t>. Harrow represents and warrants to Sintetica that:</w:t>
      </w:r>
    </w:p>
    <w:p>
      <w:pPr>
        <w:spacing w:after="0" w:line="225" w:lineRule="exact"/>
        <w:rPr>
          <w:sz w:val="20"/>
          <w:szCs w:val="20"/>
          <w:color w:val="auto"/>
        </w:rPr>
      </w:pPr>
    </w:p>
    <w:p>
      <w:pPr>
        <w:ind w:left="1400" w:hanging="243"/>
        <w:spacing w:after="0"/>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Harrow has and/or will (continue to) have all rights necessary to grant Sintetica the licenses which granting is contemplated under this</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420" w:hanging="263"/>
        <w:spacing w:after="0"/>
        <w:tabs>
          <w:tab w:leader="none" w:pos="1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of the Effective Date Harrow owns all of the Harrow Technology free of any encumbrance, lien, or claim of ownership by any Third</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0" w:lineRule="exact"/>
        <w:rPr>
          <w:rFonts w:ascii="Arial" w:cs="Arial" w:eastAsia="Arial" w:hAnsi="Arial"/>
          <w:sz w:val="16"/>
          <w:szCs w:val="16"/>
          <w:color w:val="auto"/>
        </w:rPr>
      </w:pPr>
    </w:p>
    <w:p>
      <w:pPr>
        <w:ind w:left="500" w:firstLine="657"/>
        <w:spacing w:after="0" w:line="277" w:lineRule="auto"/>
        <w:tabs>
          <w:tab w:leader="none" w:pos="14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development activities carried out by or for Harrow under Section 3.2 shall be designed so as to not knowingly cause a refusal of any Regulatory Approvals nor any unnecessary delays in obtaining such Regulatory Approvals.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Covenants of Harrow</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55" w:lineRule="auto"/>
        <w:tabs>
          <w:tab w:leader="none" w:pos="13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permissible under Applicable Law, all employees, agents, advisors, consultants or contractors of Harrow shall be under an obligation to assign all of their right, title and interest in and to any Joint Inventions, whether or not patentable, and intellectual property rights therein, to Harrow as the owner thereof. Sintetica shall have no obligation to contribute to any remuneration of any inventor employed or previously employed by Harrow in respect of any Inventions, Information and other discoveries made in furtherance of this Agreement, including any intellectual property rights therein, which are assigned to Harrow. Harrow shall pay all such remuneration due to such inventors with respect to such Inventions.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AS EXPRESSLY SET FORTH IN THIS ARTICLE 9, THE PARTIES MAKE NO REPRESENTATIONS OR WARRANTIES OF ANY KIND WHATSOEVER, EITHER EXPRESS OR IMPLIED, WRITTEN OR ORAL, EITHER IN FACT OR BY OPERATION OF LAW, BY STATUTE OR OTHERWISE, AND EACH PARTY SPECIFICALLY DISCLAIMS ANY OTHER WARRANTIES, INCLUDING ANY EXPRESS OR IMPLIED WARRANTY OF QUALITY, MERCHANTABILITY, FITNESS FOR A PARTICULAR PURPOSE, OR WARRANTY OF NON-INFRINGEMENT OR AS TO THE VALIDITY OF ANY PATENTS.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Nondisclosure</w:t>
      </w:r>
      <w:r>
        <w:rPr>
          <w:rFonts w:ascii="Arial" w:cs="Arial" w:eastAsia="Arial" w:hAnsi="Arial"/>
          <w:sz w:val="16"/>
          <w:szCs w:val="16"/>
          <w:color w:val="auto"/>
        </w:rPr>
        <w:t>. Each Party agrees that, during the Term and for a period of ten (10) years thereafter, a Party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receiving Confidential Information of the other Party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shall (a) maintain in confidence such Confidential Information using not less than the efforts such Receiving Party uses to maintain in confidence its own confidential or proprietary Information of similar kind and value, (b) not disclose such Confidential Information to any Third Party without the prior written consent of the Disclosing Party, except for disclosures expressly permitted below, and</w:t>
      </w:r>
    </w:p>
    <w:p>
      <w:pPr>
        <w:spacing w:after="0" w:line="1" w:lineRule="exact"/>
        <w:rPr>
          <w:sz w:val="20"/>
          <w:szCs w:val="20"/>
          <w:color w:val="auto"/>
        </w:rPr>
      </w:pPr>
    </w:p>
    <w:p>
      <w:pPr>
        <w:jc w:val="both"/>
        <w:ind w:firstLine="8"/>
        <w:spacing w:after="0" w:line="273" w:lineRule="auto"/>
        <w:tabs>
          <w:tab w:leader="none" w:pos="258"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 use such Confidential Information for any purpose except those purposes permitted by this Agreement (it being understood that this Section 10.1 shall not create or imply any rights or licenses not expressly granted under this Agreement). Notwithstanding anything to the contrary in the foregoing, the obligations of confidentiality and non-use with respect to any trade secret within such Confidential Information shall survive such ten (10) year period for so long as such Confidential Information remains protected as a trade secret under Applicable Law.</w:t>
      </w:r>
    </w:p>
    <w:p>
      <w:pPr>
        <w:spacing w:after="0" w:line="1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Exceptions</w:t>
      </w:r>
      <w:r>
        <w:rPr>
          <w:rFonts w:ascii="Arial" w:cs="Arial" w:eastAsia="Arial" w:hAnsi="Arial"/>
          <w:sz w:val="18"/>
          <w:szCs w:val="18"/>
          <w:b w:val="1"/>
          <w:bCs w:val="1"/>
          <w:color w:val="auto"/>
        </w:rPr>
        <w:t>.</w:t>
      </w:r>
      <w:r>
        <w:rPr>
          <w:rFonts w:ascii="Arial" w:cs="Arial" w:eastAsia="Arial" w:hAnsi="Arial"/>
          <w:sz w:val="18"/>
          <w:szCs w:val="18"/>
          <w:color w:val="auto"/>
        </w:rPr>
        <w:t xml:space="preserve"> The obligations in Section 10.1 shall not apply with respect to any portion of the Confidential Information that the Receiving Party can show by competent evidence:</w:t>
      </w:r>
    </w:p>
    <w:p>
      <w:pPr>
        <w:spacing w:after="0" w:line="166" w:lineRule="exact"/>
        <w:rPr>
          <w:sz w:val="20"/>
          <w:szCs w:val="20"/>
          <w:color w:val="auto"/>
        </w:rPr>
      </w:pPr>
    </w:p>
    <w:p>
      <w:pPr>
        <w:ind w:left="1400" w:hanging="243"/>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publicly disclosed by the Disclosing Party, either before or after it is disclosed to the Receiving Party hereunder;</w:t>
      </w:r>
    </w:p>
    <w:p>
      <w:pPr>
        <w:spacing w:after="0" w:line="225" w:lineRule="exact"/>
        <w:rPr>
          <w:rFonts w:ascii="Arial" w:cs="Arial" w:eastAsia="Arial" w:hAnsi="Arial"/>
          <w:sz w:val="18"/>
          <w:szCs w:val="18"/>
          <w:color w:val="auto"/>
        </w:rPr>
      </w:pPr>
    </w:p>
    <w:p>
      <w:pPr>
        <w:ind w:left="500" w:firstLine="657"/>
        <w:spacing w:after="0" w:line="277" w:lineRule="auto"/>
        <w:tabs>
          <w:tab w:leader="none" w:pos="14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known to the Receiving Party or any of its Affiliates, without any obligation to keep it confidential or any restriction on its use, prior to disclosure by the Disclosing Party;</w:t>
      </w:r>
    </w:p>
    <w:p>
      <w:pPr>
        <w:spacing w:after="0" w:line="170" w:lineRule="exact"/>
        <w:rPr>
          <w:rFonts w:ascii="Arial" w:cs="Arial" w:eastAsia="Arial" w:hAnsi="Arial"/>
          <w:sz w:val="18"/>
          <w:szCs w:val="18"/>
          <w:color w:val="auto"/>
        </w:rPr>
      </w:pPr>
    </w:p>
    <w:p>
      <w:pPr>
        <w:ind w:left="500" w:firstLine="657"/>
        <w:spacing w:after="0" w:line="277" w:lineRule="auto"/>
        <w:tabs>
          <w:tab w:leader="none" w:pos="14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or any of its Affiliates on a non-confidential basis by a Third Party that, to the Receiving Party’s Knowledge, is not bound by a similar duty of confidentiality or restriction on its use;</w:t>
      </w:r>
    </w:p>
    <w:p>
      <w:pPr>
        <w:spacing w:after="0" w:line="170" w:lineRule="exact"/>
        <w:rPr>
          <w:rFonts w:ascii="Arial" w:cs="Arial" w:eastAsia="Arial" w:hAnsi="Arial"/>
          <w:sz w:val="18"/>
          <w:szCs w:val="18"/>
          <w:color w:val="auto"/>
        </w:rPr>
      </w:pPr>
    </w:p>
    <w:p>
      <w:pPr>
        <w:ind w:left="500" w:firstLine="657"/>
        <w:spacing w:after="0" w:line="277" w:lineRule="auto"/>
        <w:tabs>
          <w:tab w:leader="none" w:pos="14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now, or hereafter becomes, through no act or failure to act on the part of the Receiving Party or any of its Affiliates, generally known or available, either before or after it is disclosed to the Receiving Party;</w:t>
      </w:r>
    </w:p>
    <w:p>
      <w:pPr>
        <w:spacing w:after="0" w:line="170" w:lineRule="exact"/>
        <w:rPr>
          <w:rFonts w:ascii="Arial" w:cs="Arial" w:eastAsia="Arial" w:hAnsi="Arial"/>
          <w:sz w:val="18"/>
          <w:szCs w:val="18"/>
          <w:color w:val="auto"/>
        </w:rPr>
      </w:pPr>
    </w:p>
    <w:p>
      <w:pPr>
        <w:ind w:left="500" w:firstLine="657"/>
        <w:spacing w:after="0" w:line="277" w:lineRule="auto"/>
        <w:tabs>
          <w:tab w:leader="none" w:pos="13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independently discovered or developed by or on behalf of the Receiving Party or any of its Affiliates without the use of Confidential Information belonging to the Disclosing Party; or</w:t>
      </w:r>
    </w:p>
    <w:p>
      <w:pPr>
        <w:spacing w:after="0" w:line="170" w:lineRule="exact"/>
        <w:rPr>
          <w:rFonts w:ascii="Arial" w:cs="Arial" w:eastAsia="Arial" w:hAnsi="Arial"/>
          <w:sz w:val="18"/>
          <w:szCs w:val="18"/>
          <w:color w:val="auto"/>
        </w:rPr>
      </w:pPr>
    </w:p>
    <w:p>
      <w:pPr>
        <w:ind w:left="1380" w:hanging="223"/>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the subject of written permission to disclose provided by the Disclosing Party.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 The Receiving Party may disclose Confidential Information belonging to the Disclosing Party only to the extent such disclosure is reasonably necessary in the following instances:</w:t>
      </w:r>
    </w:p>
    <w:p>
      <w:pPr>
        <w:spacing w:after="0" w:line="170" w:lineRule="exact"/>
        <w:rPr>
          <w:sz w:val="20"/>
          <w:szCs w:val="20"/>
          <w:color w:val="auto"/>
        </w:rPr>
      </w:pPr>
    </w:p>
    <w:p>
      <w:pPr>
        <w:ind w:left="5520" w:right="5460" w:hanging="4363"/>
        <w:spacing w:after="0" w:line="623" w:lineRule="auto"/>
        <w:tabs>
          <w:tab w:leader="none" w:pos="14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filing or prosecuting Patents as permitted by this Agreement;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ind w:left="1420" w:hanging="263"/>
        <w:spacing w:after="0"/>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preparing and submitting Regulatory Materials and obtaining and maintaining Regulatory Approvals as permitted by this Agreement;</w:t>
      </w:r>
    </w:p>
    <w:p>
      <w:pPr>
        <w:spacing w:after="0" w:line="248" w:lineRule="exact"/>
        <w:rPr>
          <w:rFonts w:ascii="Arial" w:cs="Arial" w:eastAsia="Arial" w:hAnsi="Arial"/>
          <w:sz w:val="16"/>
          <w:szCs w:val="16"/>
          <w:color w:val="auto"/>
        </w:rPr>
      </w:pPr>
    </w:p>
    <w:p>
      <w:pPr>
        <w:ind w:left="1400" w:hanging="243"/>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prosecuting or defending litigation, including responding to a subpoena in a Third Party litigation;</w:t>
      </w:r>
    </w:p>
    <w:p>
      <w:pPr>
        <w:spacing w:after="0" w:line="225" w:lineRule="exact"/>
        <w:rPr>
          <w:rFonts w:ascii="Arial" w:cs="Arial" w:eastAsia="Arial" w:hAnsi="Arial"/>
          <w:sz w:val="18"/>
          <w:szCs w:val="18"/>
          <w:color w:val="auto"/>
        </w:rPr>
      </w:pPr>
    </w:p>
    <w:p>
      <w:pPr>
        <w:ind w:left="1420" w:hanging="263"/>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complying with Applicable Law or court or administrative orders;</w:t>
      </w:r>
    </w:p>
    <w:p>
      <w:pPr>
        <w:spacing w:after="0" w:line="225" w:lineRule="exact"/>
        <w:rPr>
          <w:rFonts w:ascii="Arial" w:cs="Arial" w:eastAsia="Arial" w:hAnsi="Arial"/>
          <w:sz w:val="18"/>
          <w:szCs w:val="18"/>
          <w:color w:val="auto"/>
        </w:rPr>
      </w:pPr>
    </w:p>
    <w:p>
      <w:pPr>
        <w:jc w:val="both"/>
        <w:ind w:left="500" w:firstLine="657"/>
        <w:spacing w:after="0" w:line="290" w:lineRule="auto"/>
        <w:tabs>
          <w:tab w:leader="none" w:pos="13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Harrow’s sublicensees or prospective sublicensees, subcontractors or prospective subcontractors, consultants, agents and advisors on a “need-to-know” basis in order for the Receiving Party to exercise its rights or fulfill its obligations under this Agreement, each of whom prior to disclosure must be bound by obligations of confidentiality and restrictions on use of such Confidential Information that are substantially similar to those set forth in this Article 10; provided, however, that, in each of the above situations, the Receiving Party shall remain responsible for any failure by any Person who receives Confidential Information pursuant to this Section 10.3(e) to treat such Confidential Information as required under this Article 10. Notwithstanding the foregoing, the Parties recognize and agree that any Confidential Information which divulgation may prejudice Patent filings or prosecutions shall only be disclosed in accordance with this paragraph (e) to those consultants, agents and advisors who have a need to on a “need-to-know” basis for carrying out such filings or prosecutions on behalf of a Party.</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and whenever any Confidential Information is disclosed in accordance with this Section 10.3, such disclosure shall not cause any such information to cease to be Confidential Information except to the extent that such disclosure results in a public disclosure of such information (other than by breach of this Agreement). Notwithstanding the foregoing, in the event a Party is required to make a disclosure of the other Party’s Confidential Information pursuant to clauses (a) through (e) of this Section 10.3, it will, except where impracticable, give reasonable advance notice to the other Party of such disclosure and use not less than the same efforts to secure confidential treatment of such information as it would to protect its own confidential information from disclosure.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The Parties acknowledge that this Agreement and all of the respective terms of this Agreement shall be treated as Confidential Information of both Parties.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Securities Filings</w:t>
      </w:r>
      <w:r>
        <w:rPr>
          <w:rFonts w:ascii="Arial" w:cs="Arial" w:eastAsia="Arial" w:hAnsi="Arial"/>
          <w:sz w:val="17"/>
          <w:szCs w:val="17"/>
          <w:color w:val="auto"/>
        </w:rPr>
        <w:t>. Notwithstanding anything to the contrary in this Article 10, in the event either Party proposes to file with the Securities and Exchange Commission or the securities regulators of any state or other jurisdiction a registration statement or any other disclosure document that describes or refers to the terms and conditions of this Agreement or any related agreements between the Parties, such Party shall notify the other Party of such intention and shall provide the other Party with a copy of relevant portions of the proposed filing at least five (5) Business Days prior to such filing (and any revisions to such portions of the proposed filing a reasonable time prior to the filing thereof), including any exhibits thereto that refer to the other Party or the terms and conditions of this Agreement or any related Agreements between the Parties. The Party making such filing shall cooperate in good faith with the other Party to obtain confidential treatment of the terms and conditions of this Agreement or any related Agreements between the Parties that the other Party requests be kept confidential or otherwise afforded confidential treatment, and shall only disclose Confidential Information that it is reasonably advised by outside counsel is legally required to be disclosed. No such notice shall be required if the description of or reference to this Agreement or a related agreement between the Parties contained in the proposed filing has been included in any previous filing made by the either Party in accordance with this Section 10.6 or otherwise approved by the other Party.</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Relationship to Confidentiality Agreement</w:t>
      </w:r>
      <w:r>
        <w:rPr>
          <w:rFonts w:ascii="Arial" w:cs="Arial" w:eastAsia="Arial" w:hAnsi="Arial"/>
          <w:sz w:val="18"/>
          <w:szCs w:val="18"/>
          <w:color w:val="auto"/>
        </w:rPr>
        <w:t>. This Agreement supersedes the Prior Confidentiality Agreement; provided however, that all “Confidential Information” disclosed or received by the Parties and their Affiliates thereunder shall be deemed Confidential Information hereunder and shall be subject to the terms and conditions of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Equitable Relief</w:t>
      </w:r>
      <w:r>
        <w:rPr>
          <w:rFonts w:ascii="Arial" w:cs="Arial" w:eastAsia="Arial" w:hAnsi="Arial"/>
          <w:sz w:val="18"/>
          <w:szCs w:val="18"/>
          <w:color w:val="auto"/>
        </w:rPr>
        <w:t>. Given the nature of the Confidential Information and the competitive damage that could result to a Party upon unauthorized disclosure, use or transfer of its Confidential Information to any Third Party, the Parties agree that monetary damages may not be a sufficient remedy for any breach of this Article 10. In addition to all other remedies, a Party shall be entitled to seek specific performance and injunctive and other equitable relief as a remedy for any breach or threatened breach of this Article 10.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become effective as of the Effective Date and shall continue, unless earlier terminated pursuant to this Article 11, in full force and effect until the tenth year from the date of the first Regulatory Approval of an NDA for the Product in a country in the Territory for the Licensed Indication (the “</w:t>
      </w:r>
      <w:r>
        <w:rPr>
          <w:rFonts w:ascii="Arial" w:cs="Arial" w:eastAsia="Arial" w:hAnsi="Arial"/>
          <w:sz w:val="17"/>
          <w:szCs w:val="17"/>
          <w:u w:val="single" w:color="auto"/>
          <w:color w:val="auto"/>
        </w:rPr>
        <w:t>Initial Term</w:t>
      </w:r>
      <w:r>
        <w:rPr>
          <w:rFonts w:ascii="Arial" w:cs="Arial" w:eastAsia="Arial" w:hAnsi="Arial"/>
          <w:sz w:val="17"/>
          <w:szCs w:val="17"/>
          <w:color w:val="auto"/>
        </w:rPr>
        <w:t>”). Without prejudice to Sintetica’s rights under section 11.6 (d), this Agreement may be extended at Harrow’s request for an additional ten year period (the “</w:t>
      </w:r>
      <w:r>
        <w:rPr>
          <w:rFonts w:ascii="Arial" w:cs="Arial" w:eastAsia="Arial" w:hAnsi="Arial"/>
          <w:sz w:val="17"/>
          <w:szCs w:val="17"/>
          <w:u w:val="single" w:color="auto"/>
          <w:color w:val="auto"/>
        </w:rPr>
        <w:t>Renewal Term(s</w:t>
      </w:r>
      <w:r>
        <w:rPr>
          <w:rFonts w:ascii="Arial" w:cs="Arial" w:eastAsia="Arial" w:hAnsi="Arial"/>
          <w:sz w:val="17"/>
          <w:szCs w:val="17"/>
          <w:color w:val="auto"/>
        </w:rPr>
        <w:t>)”) provided that in any year of the Initial Term at least 100,000 units of Product are sold annually within the Territory by Harrow. The Initial Term and the Renewal Term(s) shall constitute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Termination for Material Breach</w:t>
      </w:r>
      <w:r>
        <w:rPr>
          <w:rFonts w:ascii="Arial" w:cs="Arial" w:eastAsia="Arial" w:hAnsi="Arial"/>
          <w:sz w:val="16"/>
          <w:szCs w:val="16"/>
          <w:color w:val="auto"/>
        </w:rPr>
        <w:t>. Either Party (the “</w:t>
      </w:r>
      <w:r>
        <w:rPr>
          <w:rFonts w:ascii="Arial" w:cs="Arial" w:eastAsia="Arial" w:hAnsi="Arial"/>
          <w:sz w:val="16"/>
          <w:szCs w:val="16"/>
          <w:u w:val="single" w:color="auto"/>
          <w:color w:val="auto"/>
        </w:rPr>
        <w:t>Non-Breaching Party</w:t>
      </w:r>
      <w:r>
        <w:rPr>
          <w:rFonts w:ascii="Arial" w:cs="Arial" w:eastAsia="Arial" w:hAnsi="Arial"/>
          <w:sz w:val="16"/>
          <w:szCs w:val="16"/>
          <w:color w:val="auto"/>
        </w:rPr>
        <w:t>”) may terminate this Agreement in the event the other Party (the “</w:t>
      </w:r>
      <w:r>
        <w:rPr>
          <w:rFonts w:ascii="Arial" w:cs="Arial" w:eastAsia="Arial" w:hAnsi="Arial"/>
          <w:sz w:val="16"/>
          <w:szCs w:val="16"/>
          <w:u w:val="single" w:color="auto"/>
          <w:color w:val="auto"/>
        </w:rPr>
        <w:t>Breaching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has materially breached this Agreement and such material breach has not been cured within ninety (90) days after receipt of written notice of such breach by the Breaching Party from the Non-Breaching Party (the “</w:t>
      </w:r>
      <w:r>
        <w:rPr>
          <w:rFonts w:ascii="Arial" w:cs="Arial" w:eastAsia="Arial" w:hAnsi="Arial"/>
          <w:sz w:val="16"/>
          <w:szCs w:val="16"/>
          <w:u w:val="single" w:color="auto"/>
          <w:color w:val="auto"/>
        </w:rPr>
        <w:t>Cure Period</w:t>
      </w:r>
      <w:r>
        <w:rPr>
          <w:rFonts w:ascii="Arial" w:cs="Arial" w:eastAsia="Arial" w:hAnsi="Arial"/>
          <w:sz w:val="16"/>
          <w:szCs w:val="16"/>
          <w:color w:val="auto"/>
        </w:rPr>
        <w:t>”). The written notice describing the alleged material breach shall provide sufficient detail to put the Breaching Party on notice of such material breach. Any termination of this Agreement pursuant to this Section 11.2 shall become effective at the end of the Cure Period, unless the Breaching Party has cured any such material breach prior to the expiration of such Cure Period, or, if such material breach is not susceptible to cure within the Cure Period, then, such Cure Period shall be extended for an additional ninety (90) days so long as the Breaching Party continues to use Commercially Reasonable Efforts to cure such material breach during such extension period and only if and for so long as the Breaching Party has provided to the Non-Breaching Party a written plan that is reasonably calculated to effect a cure of such material breach, such plan is accepted by the Non-Breaching Party (such acceptance not to be unreasonably withheld, conditioned, or delayed), and the Breaching Party commits to and carries out such plan as provided to the Non-Breaching Party. The right of either Party to terminate this Agreement as provided in this Section 11.3 shall not be affected in any way by such Party’s waiver of or failure to take action with respect to any previous breach under this Agreement.</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for Bankruptcy</w:t>
      </w:r>
      <w:r>
        <w:rPr>
          <w:rFonts w:ascii="Arial" w:cs="Arial" w:eastAsia="Arial" w:hAnsi="Arial"/>
          <w:sz w:val="18"/>
          <w:szCs w:val="18"/>
          <w:color w:val="auto"/>
        </w:rPr>
        <w:t>.</w:t>
      </w:r>
    </w:p>
    <w:p>
      <w:pPr>
        <w:spacing w:after="0" w:line="225" w:lineRule="exact"/>
        <w:rPr>
          <w:sz w:val="20"/>
          <w:szCs w:val="20"/>
          <w:color w:val="auto"/>
        </w:rPr>
      </w:pPr>
    </w:p>
    <w:p>
      <w:pPr>
        <w:jc w:val="both"/>
        <w:ind w:left="500" w:firstLine="657"/>
        <w:spacing w:after="0" w:line="293" w:lineRule="auto"/>
        <w:tabs>
          <w:tab w:leader="none" w:pos="1399" w:val="left"/>
        </w:tabs>
        <w:numPr>
          <w:ilvl w:val="0"/>
          <w:numId w:val="62"/>
        </w:numPr>
        <w:rPr>
          <w:rFonts w:ascii="Arial" w:cs="Arial" w:eastAsia="Arial" w:hAnsi="Arial"/>
          <w:sz w:val="16"/>
          <w:szCs w:val="16"/>
          <w:color w:val="auto"/>
        </w:rPr>
      </w:pPr>
      <w:r>
        <w:rPr>
          <w:rFonts w:ascii="Arial" w:cs="Arial" w:eastAsia="Arial" w:hAnsi="Arial"/>
          <w:sz w:val="16"/>
          <w:szCs w:val="16"/>
          <w:color w:val="auto"/>
        </w:rPr>
        <w:t>Either Party may terminate this Agreement in its entirety upon providing written notice to the other Party on or after the time that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for a period of more than sixty (60) days.</w:t>
      </w:r>
    </w:p>
    <w:p>
      <w:pPr>
        <w:spacing w:after="0" w:line="164" w:lineRule="exact"/>
        <w:rPr>
          <w:rFonts w:ascii="Arial" w:cs="Arial" w:eastAsia="Arial" w:hAnsi="Arial"/>
          <w:sz w:val="16"/>
          <w:szCs w:val="16"/>
          <w:color w:val="auto"/>
        </w:rPr>
      </w:pPr>
    </w:p>
    <w:p>
      <w:pPr>
        <w:jc w:val="both"/>
        <w:ind w:left="500" w:firstLine="657"/>
        <w:spacing w:after="0" w:line="285" w:lineRule="auto"/>
        <w:tabs>
          <w:tab w:leader="none" w:pos="1414"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rights and licenses granted under or pursuant to this Agreement are, and shall otherwise be deemed to be, for purposes of Section 365(n) of Title 11 of the United States Code and other similar laws in any jurisdiction outside the U.S. (collectively, the “</w:t>
      </w:r>
      <w:r>
        <w:rPr>
          <w:rFonts w:ascii="Arial" w:cs="Arial" w:eastAsia="Arial" w:hAnsi="Arial"/>
          <w:sz w:val="16"/>
          <w:szCs w:val="16"/>
          <w:u w:val="single" w:color="auto"/>
          <w:color w:val="auto"/>
        </w:rPr>
        <w:t>Bankruptcy Laws</w:t>
      </w:r>
      <w:r>
        <w:rPr>
          <w:rFonts w:ascii="Arial" w:cs="Arial" w:eastAsia="Arial" w:hAnsi="Arial"/>
          <w:sz w:val="16"/>
          <w:szCs w:val="16"/>
          <w:color w:val="auto"/>
        </w:rPr>
        <w:t>”), licenses of rights to “intellectual property” as defined under the Bankruptcy Laws. If a case is commenced during the Term by or against a Party under Bankruptcy Laws then, unless and until this Agreement is rejected as provided pursuant to such Bankruptcy Laws, such Party (in any capacity, including debtor-in-possession) and its successors and assigns (including a Title 11 trustee) shall perform all of the obligations in this Agreement intended to be performed by such Party. If a case is commenced during the Term by or against a Party under the Bankruptcy Laws, this Agreement is rejected as provided for under the Bankruptcy Laws, and the non-bankrupt Party elects to retain its rights hereunder as provided for under the Bankruptcy Laws, then the Party subject to such case under the Bankruptcy Laws (in any capacity, including debtor-in-possession) and its successors and assigns (including a Title 11 trustee), shall provide to the non-bankrupt Party copies of all Patents and Information necessary for the non-bankrupt Party to prosecute, maintain and enjoy its rights under the terms of this Agreement. All rights, powers and remedies of the non-bankrupt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 In particular, it is the intention and understanding of the Parties to this Agreement that the rights granted to the Parties under this Section 11.3 are essential to the Parties’ respective businesses and the Parties acknowledge that damages are not an adequate remedy. The Parties acknowledge and agree that the milestone payments made under Article 8 shall not (i) constitute royalties within the meaning of Section 365(n) of the U.S. Bankruptcy Code or any analogous provisions in any other country or jurisdiction, or (ii) relate to licenses of intellectual property hereunder.</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Termination by Harrow for Safety Reasons</w:t>
      </w:r>
      <w:r>
        <w:rPr>
          <w:rFonts w:ascii="Arial" w:cs="Arial" w:eastAsia="Arial" w:hAnsi="Arial"/>
          <w:sz w:val="17"/>
          <w:szCs w:val="17"/>
          <w:color w:val="auto"/>
        </w:rPr>
        <w:t>. Harrow shall have the right to terminate this Agreement at any time upon providing thirty (30) days prior written notice to Sintetica: (a) if senior executives responsible for Harrow’s pharmacovigilance and clinical science functions determine in good faith after consultation with, and receipt of a written communication from: (a) a Regulatory Authority; or (b) an independent medical advisor that the risk/benefit profile of the Product is such that the Product cannot continue to be Developed or Commercialized or administered to patients safely; or (b) upon the occurrence of serious adverse events related to the use of the Product that after consultation with, and receipt of a written communication from: (a) a Regulatory Authority; or (b) an independent medical advisor cause Harrow to conclude that the continued use of the Product by patients will result in patients being exposed to a product in which the risks outweigh the benefits. During the thirty (30) day notice period, the Parties shall begin to wind-down their respective activities under the Agreement to the extent related to the Product.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ind w:right="20"/>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Termination by Harrow for Patent Reasons</w:t>
      </w:r>
      <w:r>
        <w:rPr>
          <w:rFonts w:ascii="Arial" w:cs="Arial" w:eastAsia="Arial" w:hAnsi="Arial"/>
          <w:sz w:val="18"/>
          <w:szCs w:val="18"/>
          <w:color w:val="auto"/>
        </w:rPr>
        <w:t>. Harrow shall have the right to terminate this Agreement in accordance with the reasons as set forth in the last sentence of Section 8.7(c).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Termination by Sintetica</w:t>
      </w:r>
      <w:r>
        <w:rPr>
          <w:rFonts w:ascii="Arial" w:cs="Arial" w:eastAsia="Arial" w:hAnsi="Arial"/>
          <w:sz w:val="18"/>
          <w:szCs w:val="18"/>
          <w:color w:val="auto"/>
        </w:rPr>
        <w:t>. Sintetica shall have the right to terminate this Agreement at any time by giving prior written notice to Harrow;</w:t>
      </w:r>
    </w:p>
    <w:p>
      <w:pPr>
        <w:spacing w:after="0" w:line="225" w:lineRule="exact"/>
        <w:rPr>
          <w:sz w:val="20"/>
          <w:szCs w:val="20"/>
          <w:color w:val="auto"/>
        </w:rPr>
      </w:pPr>
    </w:p>
    <w:p>
      <w:pPr>
        <w:jc w:val="both"/>
        <w:ind w:left="500" w:firstLine="657"/>
        <w:spacing w:after="0" w:line="286" w:lineRule="auto"/>
        <w:tabs>
          <w:tab w:leader="none" w:pos="13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Harrow Develops or Commercializes in the Territory any Competing Product in the Field, or if it purchases any Product sourced from a Third Party in breach of its obligations under this Agreement; for the avoidance of doubt Harrow’s Purchases of Product from a Third Party resulting from a Material Delivery Delay shall not entitle Sintetica to terminate pursuant to this Section 11.6(a);</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left="1300" w:firstLine="652"/>
        <w:spacing w:after="0" w:line="263" w:lineRule="auto"/>
        <w:tabs>
          <w:tab w:leader="none" w:pos="21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Harrow has not launched the Product in any country in the Territory (x) within one (1) year of the relative Regulatory Approval of the NDA unless such delay is due to the lack of Product or (y) because Harrow has received an infringement patent opinion as contemplated in Section 5.3, or</w:t>
      </w:r>
    </w:p>
    <w:p>
      <w:pPr>
        <w:spacing w:after="0" w:line="183" w:lineRule="exact"/>
        <w:rPr>
          <w:rFonts w:ascii="Arial" w:cs="Arial" w:eastAsia="Arial" w:hAnsi="Arial"/>
          <w:sz w:val="18"/>
          <w:szCs w:val="18"/>
          <w:color w:val="auto"/>
        </w:rPr>
      </w:pPr>
    </w:p>
    <w:p>
      <w:pPr>
        <w:ind w:left="2220" w:hanging="268"/>
        <w:spacing w:after="0"/>
        <w:tabs>
          <w:tab w:leader="none" w:pos="2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 approved NDA is not maintained by Harrow,</w:t>
      </w:r>
    </w:p>
    <w:p>
      <w:pPr>
        <w:spacing w:after="0" w:line="225"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in each of cases (i) and (ii), such conditions or events are not a result of, or directly caused by, a lack of support from Sintetica as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Article 4 or Sintetica’s Supply Failure as set forth in Article 6, or any material breach by Sintetica of any obligation under this Agreement;</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1300" w:firstLine="652"/>
        <w:spacing w:after="0" w:line="277" w:lineRule="auto"/>
        <w:tabs>
          <w:tab w:leader="none" w:pos="216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filing of an NDA is delayed more than the 30-month period set forth in Section 3.2 for Harrow additional development activities as contemplated in such Section, or</w:t>
      </w:r>
    </w:p>
    <w:p>
      <w:pPr>
        <w:spacing w:after="0" w:line="170" w:lineRule="exact"/>
        <w:rPr>
          <w:rFonts w:ascii="Arial" w:cs="Arial" w:eastAsia="Arial" w:hAnsi="Arial"/>
          <w:sz w:val="18"/>
          <w:szCs w:val="18"/>
          <w:color w:val="auto"/>
        </w:rPr>
      </w:pPr>
    </w:p>
    <w:p>
      <w:pPr>
        <w:ind w:left="1300" w:firstLine="652"/>
        <w:spacing w:after="0" w:line="277" w:lineRule="auto"/>
        <w:tabs>
          <w:tab w:leader="none" w:pos="221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any competent Government Authorities has refused to issue any required Regulatory Approvals for reasons relating solely to the development activities carried out by or for Harrow as contemplated in Section 3.2;</w:t>
      </w:r>
    </w:p>
    <w:p>
      <w:pPr>
        <w:spacing w:after="0" w:line="170" w:lineRule="exact"/>
        <w:rPr>
          <w:rFonts w:ascii="Arial" w:cs="Arial" w:eastAsia="Arial" w:hAnsi="Arial"/>
          <w:sz w:val="18"/>
          <w:szCs w:val="18"/>
          <w:color w:val="auto"/>
        </w:rPr>
      </w:pPr>
    </w:p>
    <w:p>
      <w:pPr>
        <w:ind w:left="1420" w:hanging="263"/>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Harrow fails to purchase any MAQs as required for any calendar year of the Term; and</w:t>
      </w:r>
    </w:p>
    <w:p>
      <w:pPr>
        <w:spacing w:after="0" w:line="225" w:lineRule="exact"/>
        <w:rPr>
          <w:rFonts w:ascii="Arial" w:cs="Arial" w:eastAsia="Arial" w:hAnsi="Arial"/>
          <w:sz w:val="18"/>
          <w:szCs w:val="18"/>
          <w:color w:val="auto"/>
        </w:rPr>
      </w:pPr>
    </w:p>
    <w:p>
      <w:pPr>
        <w:ind w:left="1400" w:hanging="243"/>
        <w:spacing w:after="0"/>
        <w:tabs>
          <w:tab w:leader="none" w:pos="14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any action of any Government Authorities forces the general cessation of Harrow’s selling and marketing activities of pharmaceutical</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products.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jc w:val="both"/>
        <w:spacing w:after="0" w:line="301" w:lineRule="auto"/>
        <w:rPr>
          <w:sz w:val="20"/>
          <w:szCs w:val="20"/>
          <w:color w:val="auto"/>
        </w:rPr>
      </w:pPr>
      <w:r>
        <w:rPr>
          <w:rFonts w:ascii="Arial" w:cs="Arial" w:eastAsia="Arial" w:hAnsi="Arial"/>
          <w:sz w:val="16"/>
          <w:szCs w:val="16"/>
          <w:color w:val="auto"/>
        </w:rPr>
        <w:t>In cases (a), (b)(i)(y), (c) or (e), termination shall be effective immediately upon Harrow receipt of Sintetica termination notice. In the other cases termination shall be effective sixty (60) days after Harrow receipt of termination notice if the condition giving rise to such termination has not been fully cured by Harrow within such thirty (60) day period. For the avoidance of doubt, Harrow’s failure to Commercialize the Product in Canada shall only give rise to Sintetica’s ability to terminate Harrow’s rights with respect to Canada only, and Harrow’s rights in the USA shall continue without interruption.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Effects of Termination</w:t>
      </w:r>
      <w:r>
        <w:rPr>
          <w:rFonts w:ascii="Arial" w:cs="Arial" w:eastAsia="Arial" w:hAnsi="Arial"/>
          <w:sz w:val="16"/>
          <w:szCs w:val="16"/>
          <w:color w:val="auto"/>
        </w:rPr>
        <w:t>. All of the following effects of termination are in addition to the other rights and remedies that may be available to either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Parties under this Agreement and shall not be construed to limit any such rights or remedies. In the event of expiration or termination of this Agreement:</w:t>
      </w:r>
    </w:p>
    <w:p>
      <w:pPr>
        <w:spacing w:after="0" w:line="234" w:lineRule="exact"/>
        <w:rPr>
          <w:sz w:val="20"/>
          <w:szCs w:val="20"/>
          <w:color w:val="auto"/>
        </w:rPr>
      </w:pPr>
    </w:p>
    <w:p>
      <w:pPr>
        <w:jc w:val="both"/>
        <w:ind w:left="1300" w:firstLine="652"/>
        <w:spacing w:after="0" w:line="263" w:lineRule="auto"/>
        <w:tabs>
          <w:tab w:leader="none" w:pos="21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all rights and licenses granted herein to Harrow shall terminate and Harrow shall cease any and all Development, Commercialization activities and Regulatory Activities with respect to the Product in the Territory, as soon as reasonably practical in accordance with Applicable Law;</w:t>
      </w:r>
    </w:p>
    <w:p>
      <w:pPr>
        <w:spacing w:after="0" w:line="183" w:lineRule="exact"/>
        <w:rPr>
          <w:rFonts w:ascii="Arial" w:cs="Arial" w:eastAsia="Arial" w:hAnsi="Arial"/>
          <w:sz w:val="18"/>
          <w:szCs w:val="18"/>
          <w:color w:val="auto"/>
        </w:rPr>
      </w:pPr>
    </w:p>
    <w:p>
      <w:pPr>
        <w:ind w:left="1300" w:firstLine="652"/>
        <w:spacing w:after="0" w:line="277" w:lineRule="auto"/>
        <w:tabs>
          <w:tab w:leader="none" w:pos="22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Harrow shall assign all rights in the NDAs to Sintetica unless termination is by Harrow under Section 11.2 or 11.3, for which Harrow shall retain ownership of the NDAs;</w:t>
      </w:r>
    </w:p>
    <w:p>
      <w:pPr>
        <w:spacing w:after="0" w:line="170" w:lineRule="exact"/>
        <w:rPr>
          <w:rFonts w:ascii="Arial" w:cs="Arial" w:eastAsia="Arial" w:hAnsi="Arial"/>
          <w:sz w:val="18"/>
          <w:szCs w:val="18"/>
          <w:color w:val="auto"/>
        </w:rPr>
      </w:pPr>
    </w:p>
    <w:p>
      <w:pPr>
        <w:ind w:left="1300" w:right="20" w:firstLine="652"/>
        <w:spacing w:after="0" w:line="277" w:lineRule="auto"/>
        <w:tabs>
          <w:tab w:leader="none" w:pos="22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set forth in 11.7(v), all payment obligations hereunder shall terminate, other than those that are accrued and unpaid as of the effective date of such termination;</w:t>
      </w:r>
    </w:p>
    <w:p>
      <w:pPr>
        <w:spacing w:after="0" w:line="170" w:lineRule="exact"/>
        <w:rPr>
          <w:rFonts w:ascii="Arial" w:cs="Arial" w:eastAsia="Arial" w:hAnsi="Arial"/>
          <w:sz w:val="18"/>
          <w:szCs w:val="18"/>
          <w:color w:val="auto"/>
        </w:rPr>
      </w:pPr>
    </w:p>
    <w:p>
      <w:pPr>
        <w:ind w:left="1300" w:right="20" w:firstLine="652"/>
        <w:spacing w:after="0" w:line="277" w:lineRule="auto"/>
        <w:tabs>
          <w:tab w:leader="none" w:pos="22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milestone payments already paid or accrued prior to termination or expiration shall remain, respectively, non-refundable or due and payable;</w:t>
      </w:r>
    </w:p>
    <w:p>
      <w:pPr>
        <w:spacing w:after="0" w:line="170" w:lineRule="exact"/>
        <w:rPr>
          <w:rFonts w:ascii="Arial" w:cs="Arial" w:eastAsia="Arial" w:hAnsi="Arial"/>
          <w:sz w:val="18"/>
          <w:szCs w:val="18"/>
          <w:color w:val="auto"/>
        </w:rPr>
      </w:pPr>
    </w:p>
    <w:p>
      <w:pPr>
        <w:jc w:val="both"/>
        <w:ind w:left="1300" w:firstLine="652"/>
        <w:spacing w:after="0" w:line="311" w:lineRule="auto"/>
        <w:tabs>
          <w:tab w:leader="none" w:pos="22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11.7(iii), for any and all terminations by Sintetica under Section 11.2, or Section 11.3, Section 11.6(a), Section 11.6(d) or Section 11.6(e), all net sales milestones set forth in Section 7.3 shall become immediately due and payable, as shall the first regulatory milestone set forth in Section 7.2 if Sintetica has already made the PDUFA filing fee payment pursuant to Section 4.2.</w:t>
      </w:r>
    </w:p>
    <w:p>
      <w:pPr>
        <w:spacing w:after="0" w:line="148" w:lineRule="exact"/>
        <w:rPr>
          <w:rFonts w:ascii="Arial" w:cs="Arial" w:eastAsia="Arial" w:hAnsi="Arial"/>
          <w:sz w:val="16"/>
          <w:szCs w:val="16"/>
          <w:color w:val="auto"/>
        </w:rPr>
      </w:pPr>
    </w:p>
    <w:p>
      <w:pPr>
        <w:ind w:left="1300" w:firstLine="652"/>
        <w:spacing w:after="0" w:line="277" w:lineRule="auto"/>
        <w:tabs>
          <w:tab w:leader="none" w:pos="22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Harrow shall have the right to sell or otherwise dispose of any inventory of the Product on hand at the time of such termination, subject to Harrow making any payments to Sintetica in accordance with Section 7.3 or Section 7.4;</w:t>
      </w:r>
    </w:p>
    <w:p>
      <w:pPr>
        <w:spacing w:after="0" w:line="170" w:lineRule="exact"/>
        <w:rPr>
          <w:rFonts w:ascii="Arial" w:cs="Arial" w:eastAsia="Arial" w:hAnsi="Arial"/>
          <w:sz w:val="18"/>
          <w:szCs w:val="18"/>
          <w:color w:val="auto"/>
        </w:rPr>
      </w:pPr>
    </w:p>
    <w:p>
      <w:pPr>
        <w:ind w:left="2300" w:hanging="348"/>
        <w:spacing w:after="0"/>
        <w:tabs>
          <w:tab w:leader="none" w:pos="2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Sintetica shall have the right to assume activities under Sections 8.6(b) and 8.8(b) with respect to Sintetica Patents; and</w:t>
      </w:r>
    </w:p>
    <w:p>
      <w:pPr>
        <w:spacing w:after="0" w:line="248" w:lineRule="exact"/>
        <w:rPr>
          <w:rFonts w:ascii="Arial" w:cs="Arial" w:eastAsia="Arial" w:hAnsi="Arial"/>
          <w:sz w:val="16"/>
          <w:szCs w:val="16"/>
          <w:color w:val="auto"/>
        </w:rPr>
      </w:pPr>
    </w:p>
    <w:p>
      <w:pPr>
        <w:ind w:left="2380" w:hanging="428"/>
        <w:spacing w:after="0"/>
        <w:tabs>
          <w:tab w:leader="none" w:pos="2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party shall be free to exploit its rights in all Joint Patents as it sees fit without any obligation or accounting to the</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other Party.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Survival</w:t>
      </w:r>
      <w:r>
        <w:rPr>
          <w:rFonts w:ascii="Arial" w:cs="Arial" w:eastAsia="Arial" w:hAnsi="Arial"/>
          <w:sz w:val="18"/>
          <w:szCs w:val="18"/>
          <w:color w:val="auto"/>
        </w:rPr>
        <w:t>. In the event of termination of this Agreement, in addition to the provisions of this Agreement that continue in effect in accordance with their terms, the following provisions of this Agreement shall survive: Articles 1, 7 (but only to the extent relating to milestone events occurring on or prior to the date of termination or for sales of Product pursuant to Section 11.7(vi)), 9, 10, 11, 12, 13 (solely as to activities arising during the Term), and 14 and Sections 2.2, 3.4, 4.5, 7.6, 8.1, 8.2 (with respect to any disclosure obligations that arise on or prior to termination), 8.3(a)and 3.2 (for both such Sections, solely as to the licenses granted therein which shall survive the Term), 8.3(c), 8.3(d)(ii), 8.3(d)(iii) and 8.6(d) (to the extent any suit or action under that section is still pending upon termination).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Remedies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to the contrary in this Agreement, except as otherwise set forth in this Agreement, termination or expiration of this Agreement shall not relieve the Parties of any liability or obligation which accrued hereunder prior to the effective date of such termination or expiration, nor prejudice either Party’s right to obtain performance of any obligation.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Exclusive Dispute Resolution Mechanism</w:t>
      </w:r>
      <w:r>
        <w:rPr>
          <w:rFonts w:ascii="Arial" w:cs="Arial" w:eastAsia="Arial" w:hAnsi="Arial"/>
          <w:sz w:val="18"/>
          <w:szCs w:val="18"/>
          <w:color w:val="auto"/>
        </w:rPr>
        <w:t>. The Parties agree that, except for Disputes regarding nonconforming or defective Product as set forth in Section 6.10, the procedures set forth in this Article 12 shall be the exclusive mechanism for resolving any Dispute (as defined below). Notwithstanding the foregoing, any for any Dispute regarding nonconforming or defective Product as set forth in Section 6.10 for which the independent laboratory is unable to make a determination resolving the Dispute using the procedure described in such Section, the other procedures set forth in this Article 12 shall then be the exclusive mechanism for resolving such Dispute.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Mediation</w:t>
      </w:r>
      <w:r>
        <w:rPr>
          <w:rFonts w:ascii="Arial" w:cs="Arial" w:eastAsia="Arial" w:hAnsi="Arial"/>
          <w:sz w:val="18"/>
          <w:szCs w:val="18"/>
          <w:color w:val="auto"/>
        </w:rPr>
        <w:t xml:space="preserve">. Any dispute, controversy or claim arising out of or relation to this contract (a </w:t>
      </w:r>
      <w:r>
        <w:rPr>
          <w:rFonts w:ascii="Arial" w:cs="Arial" w:eastAsia="Arial" w:hAnsi="Arial"/>
          <w:sz w:val="18"/>
          <w:szCs w:val="18"/>
          <w:b w:val="1"/>
          <w:bCs w:val="1"/>
          <w:i w:val="1"/>
          <w:iCs w:val="1"/>
          <w:color w:val="auto"/>
        </w:rPr>
        <w:t>“Dispute”</w:t>
      </w:r>
      <w:r>
        <w:rPr>
          <w:rFonts w:ascii="Arial" w:cs="Arial" w:eastAsia="Arial" w:hAnsi="Arial"/>
          <w:sz w:val="18"/>
          <w:szCs w:val="18"/>
          <w:i w:val="1"/>
          <w:iCs w:val="1"/>
          <w:color w:val="auto"/>
        </w:rPr>
        <w:t>)</w:t>
      </w:r>
      <w:r>
        <w:rPr>
          <w:rFonts w:ascii="Arial" w:cs="Arial" w:eastAsia="Arial" w:hAnsi="Arial"/>
          <w:sz w:val="18"/>
          <w:szCs w:val="18"/>
          <w:color w:val="auto"/>
        </w:rPr>
        <w:t>, including the validity, invalidity, breach or termination thereof, shall be submitted to mediation in accordance with the Rules of Mediation of the London Court of International Arbitration (</w:t>
      </w:r>
      <w:r>
        <w:rPr>
          <w:rFonts w:ascii="Arial" w:cs="Arial" w:eastAsia="Arial" w:hAnsi="Arial"/>
          <w:sz w:val="18"/>
          <w:szCs w:val="18"/>
          <w:b w:val="1"/>
          <w:bCs w:val="1"/>
          <w:i w:val="1"/>
          <w:iCs w:val="1"/>
          <w:color w:val="auto"/>
        </w:rPr>
        <w:t>“LCAI”</w:t>
      </w:r>
      <w:r>
        <w:rPr>
          <w:rFonts w:ascii="Arial" w:cs="Arial" w:eastAsia="Arial" w:hAnsi="Arial"/>
          <w:sz w:val="18"/>
          <w:szCs w:val="18"/>
          <w:color w:val="auto"/>
        </w:rPr>
        <w:t>) in force on the date when the request for mediation was submitted in accordance with these Rules. The seat of the mediation shall be in London, England. The mediation shall be conducted in English.</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Arbitration</w:t>
      </w:r>
      <w:r>
        <w:rPr>
          <w:rFonts w:ascii="Arial" w:cs="Arial" w:eastAsia="Arial" w:hAnsi="Arial"/>
          <w:sz w:val="16"/>
          <w:szCs w:val="16"/>
          <w:color w:val="auto"/>
        </w:rPr>
        <w:t>. Any Dispute which has not been fully resolved by mediation within sixty (60) days from the date when the mediator(s) has (have) been confirmed or appointed by LCAI, shall be finally settled by arbitration conducted in accordance with the London Court of International Arbitration Rules in force at the time the request for arbitration is filed. The arbitral tribunal shall be composed of one arbitrator. The arbitration shall be in English language and shall be held in London, England. The expenses of the arbitration shall be borne by the losing party as determined by arbitration, except in the case of a settlement, in which case the parties shall share between themselves such expenses as agreed to in the settlement agreement.</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Preliminary Injunctions</w:t>
      </w:r>
      <w:r>
        <w:rPr>
          <w:rFonts w:ascii="Arial" w:cs="Arial" w:eastAsia="Arial" w:hAnsi="Arial"/>
          <w:sz w:val="16"/>
          <w:szCs w:val="16"/>
          <w:color w:val="auto"/>
        </w:rPr>
        <w:t>. Notwithstanding anything in this Agreement to the contrary, a Party may seek a temporary restraining order or a preliminary injunction from any court of competent jurisdiction in order to prevent immediate and irreparable injury, loss, or damage on a provisional basis.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Patent and Trademark Disputes</w:t>
      </w:r>
      <w:r>
        <w:rPr>
          <w:rFonts w:ascii="Arial" w:cs="Arial" w:eastAsia="Arial" w:hAnsi="Arial"/>
          <w:sz w:val="18"/>
          <w:szCs w:val="18"/>
          <w:color w:val="auto"/>
        </w:rPr>
        <w:t>. Notwithstanding anything in this Agreement to the contrary, any and all issues regarding the scope, construction, validity, and enforceability of any Patent or trademark relating to Product that is the subject of this Agreement shall be determined in a court or other tribunal, as the case may be, of competent jurisdiction under the applicable patent or trademark laws of the country in which such Patent or trademark rights were granted or arose.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Confidentiality</w:t>
      </w:r>
      <w:r>
        <w:rPr>
          <w:rFonts w:ascii="Arial" w:cs="Arial" w:eastAsia="Arial" w:hAnsi="Arial"/>
          <w:sz w:val="18"/>
          <w:szCs w:val="18"/>
          <w:color w:val="auto"/>
        </w:rPr>
        <w:t>. Any and all activities conducted under this Article 12, including any and all proceedings and decisions under Sections 12.3 or 12.5, shall be deemed Confidential Information of each of the Parties, and shall be subject to Article 10.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Indemnification by Harrow</w:t>
      </w:r>
      <w:r>
        <w:rPr>
          <w:rFonts w:ascii="Arial" w:cs="Arial" w:eastAsia="Arial" w:hAnsi="Arial"/>
          <w:sz w:val="17"/>
          <w:szCs w:val="17"/>
          <w:color w:val="auto"/>
        </w:rPr>
        <w:t xml:space="preserve">. Harrow hereby agrees to defend, indemnify and hold harmless Sintetica and its Affiliates, and each of their respective directors, officers, employees, agents and representatives (each, an </w:t>
      </w:r>
      <w:r>
        <w:rPr>
          <w:rFonts w:ascii="Arial" w:cs="Arial" w:eastAsia="Arial" w:hAnsi="Arial"/>
          <w:sz w:val="17"/>
          <w:szCs w:val="17"/>
          <w:i w:val="1"/>
          <w:iCs w:val="1"/>
          <w:color w:val="auto"/>
        </w:rPr>
        <w:t>“</w:t>
      </w:r>
      <w:r>
        <w:rPr>
          <w:rFonts w:ascii="Arial" w:cs="Arial" w:eastAsia="Arial" w:hAnsi="Arial"/>
          <w:sz w:val="17"/>
          <w:szCs w:val="17"/>
          <w:u w:val="single" w:color="auto"/>
          <w:color w:val="auto"/>
        </w:rPr>
        <w:t>Sintetica Indemnitee</w:t>
      </w:r>
      <w:r>
        <w:rPr>
          <w:rFonts w:ascii="Arial" w:cs="Arial" w:eastAsia="Arial" w:hAnsi="Arial"/>
          <w:sz w:val="17"/>
          <w:szCs w:val="17"/>
          <w:color w:val="auto"/>
        </w:rPr>
        <w:t xml:space="preserve">”) from and against any and all claims, suits, actions, demands, liabilities, expenses and/or losses, including reasonable legal expenses and attorneys’ fees (collectively, the </w:t>
      </w:r>
      <w:r>
        <w:rPr>
          <w:rFonts w:ascii="Arial" w:cs="Arial" w:eastAsia="Arial" w:hAnsi="Arial"/>
          <w:sz w:val="17"/>
          <w:szCs w:val="17"/>
          <w:i w:val="1"/>
          <w:iCs w:val="1"/>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to which any Sintetica Indemnitee may become subject as a result of any claim, demand, action or other proceeding by any Third Party (each, a </w:t>
      </w:r>
      <w:r>
        <w:rPr>
          <w:rFonts w:ascii="Arial" w:cs="Arial" w:eastAsia="Arial" w:hAnsi="Arial"/>
          <w:sz w:val="17"/>
          <w:szCs w:val="17"/>
          <w:i w:val="1"/>
          <w:iCs w:val="1"/>
          <w:color w:val="auto"/>
        </w:rPr>
        <w:t>“</w:t>
      </w:r>
      <w:r>
        <w:rPr>
          <w:rFonts w:ascii="Arial" w:cs="Arial" w:eastAsia="Arial" w:hAnsi="Arial"/>
          <w:sz w:val="17"/>
          <w:szCs w:val="17"/>
          <w:u w:val="single" w:color="auto"/>
          <w:color w:val="auto"/>
        </w:rPr>
        <w:t>Claim</w:t>
      </w:r>
      <w:r>
        <w:rPr>
          <w:rFonts w:ascii="Arial" w:cs="Arial" w:eastAsia="Arial" w:hAnsi="Arial"/>
          <w:sz w:val="17"/>
          <w:szCs w:val="17"/>
          <w:color w:val="auto"/>
        </w:rPr>
        <w:t>”) to the extent such Losses arise directly or indirectly out of: (a) the practice by Harrow or sublicensee of any license granted to it under Article 2; (b) the use, handling, storage, sale marketing, export, import or other disposition of Product by Harrow or sublicensees or subcontractors, including any Product Liabilities; (c) the material breach by Harrow of any warranty, representation, covenant or agreement made by Harrow in this Agreement; and (d) the gross negligence, or willful misconduct (including to the extent such gross negligence or willful misconduct gives rise to any Product Liabilities under any legal theory) of Harrow or sublicensee, or any officer, director, employee, agent or representative thereof; except, with respect to each of subsections (a) through (d) above, to the extent such Losses arise directly or indirectly from the gross negligence or willful misconduct of any Sintetica Indemnitee or the breach by Sintetica of any warranty, representation, covenant or agreement made by Sintetica in this Agreement.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Indemnification by Sintetica</w:t>
      </w:r>
      <w:r>
        <w:rPr>
          <w:rFonts w:ascii="Arial" w:cs="Arial" w:eastAsia="Arial" w:hAnsi="Arial"/>
          <w:sz w:val="18"/>
          <w:szCs w:val="18"/>
          <w:color w:val="auto"/>
        </w:rPr>
        <w:t xml:space="preserve">. Sintetica hereby agrees to defend, indemnify and hold harmless Harrow and its Affiliates and each of their respective directors, officers, employees, agents and representatives (each, a </w:t>
      </w:r>
      <w:r>
        <w:rPr>
          <w:rFonts w:ascii="Arial" w:cs="Arial" w:eastAsia="Arial" w:hAnsi="Arial"/>
          <w:sz w:val="18"/>
          <w:szCs w:val="18"/>
          <w:i w:val="1"/>
          <w:iCs w:val="1"/>
          <w:color w:val="auto"/>
        </w:rPr>
        <w:t>“</w:t>
      </w:r>
      <w:r>
        <w:rPr>
          <w:rFonts w:ascii="Arial" w:cs="Arial" w:eastAsia="Arial" w:hAnsi="Arial"/>
          <w:sz w:val="18"/>
          <w:szCs w:val="18"/>
          <w:u w:val="single" w:color="auto"/>
          <w:color w:val="auto"/>
        </w:rPr>
        <w:t>Harrow Indemnitee</w:t>
      </w:r>
      <w:r>
        <w:rPr>
          <w:rFonts w:ascii="Arial" w:cs="Arial" w:eastAsia="Arial" w:hAnsi="Arial"/>
          <w:sz w:val="18"/>
          <w:szCs w:val="18"/>
          <w:color w:val="auto"/>
        </w:rPr>
        <w:t>”) from and against any and all Losses to which any Harrow Indemnitee may become subject as a result of any Claim to the extent such Losses arise directly or indirectly out of: (a) the material breach by Sintetica of any warranty, representation, covenant or agreement made by Sintetica in this Agreement; and (b) the gross negligence or willful misconduct (including to the extent such gross negligence, or willful misconduct gives rise to any Product Liability under any legal theory) of Sintetica, or any officer, director, employee, agent or representative thereof; except, with respect to each of subsections (a) through (b) above, to the extent such Losses arise directly or indirectly from the gross negligence or willful misconduct of any Harrow Indemnitee or the breach by Harrow of any warranty, representation, covenant or agreement made by Harrow in this Agreement.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21" w:lineRule="exact"/>
        <w:rPr>
          <w:sz w:val="20"/>
          <w:szCs w:val="20"/>
          <w:color w:val="auto"/>
        </w:rPr>
      </w:pPr>
    </w:p>
    <w:p>
      <w:pPr>
        <w:jc w:val="both"/>
        <w:ind w:left="500" w:firstLine="657"/>
        <w:spacing w:after="0" w:line="258" w:lineRule="auto"/>
        <w:tabs>
          <w:tab w:leader="none" w:pos="141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Promptly after a Sintetica Indemnitee or a Harrow Indemnitee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receives notice of a pending or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Claim, such Indemnitee shall give written notice of the Claim to the Party from whom the Indemnitee is entitled to receive indemnification pursuant to Sections 13.1 or 13.2, as applicable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However, an Indemnitee’s delay in providing or failure to provide such notice will not relieve the Indemnifying Party of its indemnification obligations, except to the extent it can demonstrate prejudice due to the delay or lack of notice.</w:t>
      </w:r>
    </w:p>
    <w:p>
      <w:pPr>
        <w:spacing w:after="0" w:line="183" w:lineRule="exact"/>
        <w:rPr>
          <w:rFonts w:ascii="Arial" w:cs="Arial" w:eastAsia="Arial" w:hAnsi="Arial"/>
          <w:sz w:val="18"/>
          <w:szCs w:val="18"/>
          <w:color w:val="auto"/>
        </w:rPr>
      </w:pPr>
    </w:p>
    <w:p>
      <w:pPr>
        <w:jc w:val="both"/>
        <w:ind w:left="500" w:firstLine="657"/>
        <w:spacing w:after="0" w:line="254" w:lineRule="auto"/>
        <w:tabs>
          <w:tab w:leader="none" w:pos="144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Defense. </w:t>
      </w:r>
      <w:r>
        <w:rPr>
          <w:rFonts w:ascii="Arial" w:cs="Arial" w:eastAsia="Arial" w:hAnsi="Arial"/>
          <w:sz w:val="18"/>
          <w:szCs w:val="18"/>
          <w:color w:val="auto"/>
        </w:rPr>
        <w:t>Upon receipt of notice under Section 13.3 from the Indemnitee, the Indemnifying Party shall have the duty to either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compromise or defend, at its own expense and by counsel (reasonably satisfactory to Indemnitee), such Claim. The Indemnifying Party shall promptly (and in any event not more than twenty (20) days after receipt of the Indemnitee’s original notice) notify the Indemnitee in writing that it acknowledges its obligation to indemnify (which notice shall not be deemed or construed to be an admission of liability, either under this Article 13 or otherwise) the Indemnitee with respect to the Claim pursuant to this Section 13.3 and of its intention either to compromise or defend such Claim. Once the Indemnifying Party gives such notice to the Indemnitee, the Indemnifying Party is not liable to the Indemnitee for the fees of other counsel or any other expenses subsequently incurred by the Indemnitee in connection with such defense, other than the Indemnitee’s reasonable expenses of investigation and cooperation. However, the Indemnitee shall have the right to employ separate counsel and to control the defense of a Claim at its own expense.</w:t>
      </w:r>
    </w:p>
    <w:p>
      <w:pPr>
        <w:spacing w:after="0" w:line="188" w:lineRule="exact"/>
        <w:rPr>
          <w:rFonts w:ascii="Arial" w:cs="Arial" w:eastAsia="Arial" w:hAnsi="Arial"/>
          <w:sz w:val="18"/>
          <w:szCs w:val="18"/>
          <w:color w:val="auto"/>
        </w:rPr>
      </w:pPr>
    </w:p>
    <w:p>
      <w:pPr>
        <w:jc w:val="both"/>
        <w:ind w:left="500" w:firstLine="657"/>
        <w:spacing w:after="0" w:line="314" w:lineRule="auto"/>
        <w:tabs>
          <w:tab w:leader="none" w:pos="1406"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Cooperation. </w:t>
      </w:r>
      <w:r>
        <w:rPr>
          <w:rFonts w:ascii="Arial" w:cs="Arial" w:eastAsia="Arial" w:hAnsi="Arial"/>
          <w:sz w:val="16"/>
          <w:szCs w:val="16"/>
          <w:color w:val="auto"/>
        </w:rPr>
        <w:t>The Indemnitee shall cooperate fully with the Indemnifying Party and its legal representatives in the investigation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41" w:lineRule="exact"/>
        <w:rPr>
          <w:rFonts w:ascii="Arial" w:cs="Arial" w:eastAsia="Arial" w:hAnsi="Arial"/>
          <w:sz w:val="16"/>
          <w:szCs w:val="16"/>
          <w:color w:val="auto"/>
        </w:rPr>
      </w:pPr>
    </w:p>
    <w:p>
      <w:pPr>
        <w:jc w:val="both"/>
        <w:ind w:left="500" w:firstLine="657"/>
        <w:spacing w:after="0" w:line="291" w:lineRule="auto"/>
        <w:tabs>
          <w:tab w:leader="none" w:pos="1403"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If an Indemnifying Party assumes the defense of a Claim, no compromise or settlement of such Claim may be effected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Indemnifying Party without the Indemnitee’s written consent (such consent not to be unreasonably withheld, delayed or conditioned). Notwithstanding the foregoing, the Indemnitee’s consent shall not be required of a settlement where: (i) there is no finding or admission of any violation of law or any violation of the rights of any person and no effect on any other claims that may be made against the Indemnitee; (ii) the sole relief provided is monetary damages that are paid in full by the Indemnifying Party; and (iii) the Indemnitee’s rights under this Agreement are not adversely affected. If the Indemnifying Party fails to assume defense of a Claim within a reasonable time, the Indemnitee may settle such Claim on such terms as it deems appropriate with the consent of the Indemnifying Party (such consent not to be unreasonably withheld, delayed or conditioned), and the Indemnifying Party shall be obligated to indemnify the Indemnitee for such settlement as provided in this Article 13.</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Insurance</w:t>
      </w:r>
      <w:r>
        <w:rPr>
          <w:rFonts w:ascii="Arial" w:cs="Arial" w:eastAsia="Arial" w:hAnsi="Arial"/>
          <w:sz w:val="16"/>
          <w:szCs w:val="16"/>
          <w:color w:val="auto"/>
        </w:rPr>
        <w:t>. Each Party shall, at its own expense, procure and maintain during the Term and for a period of five (5) years thereafter, insurance policy/policies, including product liability insurance, adequate to cover its obligations hereunder and which are consistent with normal business practices of prudent companies similarly situated; provided, that each Party shall procure and maintain a minimum $5,000,000 Commercial and General Liability and $5,000,000 Product Liability. Such insurance shall not be construed to create a limit of a Party’s liability with respect to its indemnification obligations under this Article 13. Each Party shall provide the other Party with written evidence of such insurance upon request. Each Party shall provide the other Party with prompt written notice of cancellation, non-renewal or material change in such insurance that could materially adversely affect the rights of such other Party hereunder, and shall provide such notice within thirty (30) days after any such cancellation, non-renewal or material change.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spacing w:after="0" w:line="25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A PARTY’S INDEMNIFICATION OBLIGATIONS SET FORTH IN THIS ARTICLE 13, AND ANY BREACH OF ARTICLE 10 (CONFIDENTIALITY)</w:t>
      </w:r>
      <w:r>
        <w:rPr>
          <w:rFonts w:ascii="Arial" w:cs="Arial" w:eastAsia="Arial" w:hAnsi="Arial"/>
          <w:sz w:val="18"/>
          <w:szCs w:val="18"/>
          <w:b w:val="1"/>
          <w:bCs w:val="1"/>
          <w:color w:val="auto"/>
        </w:rPr>
        <w:t>,</w:t>
      </w:r>
      <w:r>
        <w:rPr>
          <w:rFonts w:ascii="Arial" w:cs="Arial" w:eastAsia="Arial" w:hAnsi="Arial"/>
          <w:sz w:val="18"/>
          <w:szCs w:val="18"/>
          <w:color w:val="auto"/>
        </w:rPr>
        <w:t xml:space="preserve"> IN NO EVENT WILL EITHER PARTY BE LIABLE TO THE OTHER PARTY (OR THE OTHER PARTY’S AFFILIATES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Designation of Affiliates</w:t>
      </w:r>
      <w:r>
        <w:rPr>
          <w:rFonts w:ascii="Arial" w:cs="Arial" w:eastAsia="Arial" w:hAnsi="Arial"/>
          <w:sz w:val="18"/>
          <w:szCs w:val="18"/>
          <w:color w:val="auto"/>
        </w:rPr>
        <w:t>. Each Party may discharge any obligations and exercise any rights hereunder through delegation of its obligations or rights to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hereto shall be in writing and shall be deemed to have been duly given on the date delivered, if delivered personally, or on the second Business Day after being sent by reputable overnight courier (with delivery tracking provided, signature required and delivery prepaid), in each case, to the parties at the following addresses, or on the date sent and confirmed by electronic transmission to the telecopier number specified below or confirmatory return email to the email address specified below (or at such other address, telecopier number or email address for a party as shall be specified by notice given in accordance with this Section 14.2).</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Harrow:</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Harrow Health,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Nashville, TN 37205 USA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CFO</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ind w:left="2120"/>
        <w:spacing w:after="0"/>
        <w:rPr>
          <w:sz w:val="20"/>
          <w:szCs w:val="20"/>
          <w:color w:val="auto"/>
        </w:rPr>
      </w:pPr>
      <w:r>
        <w:rPr>
          <w:rFonts w:ascii="Arial" w:cs="Arial" w:eastAsia="Arial" w:hAnsi="Arial"/>
          <w:sz w:val="18"/>
          <w:szCs w:val="18"/>
          <w:color w:val="auto"/>
        </w:rPr>
        <w:t>with copies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Polsinelli PC</w:t>
      </w:r>
    </w:p>
    <w:p>
      <w:pPr>
        <w:ind w:left="2600"/>
        <w:spacing w:after="0" w:line="192" w:lineRule="auto"/>
        <w:rPr>
          <w:sz w:val="20"/>
          <w:szCs w:val="20"/>
          <w:color w:val="auto"/>
        </w:rPr>
      </w:pPr>
      <w:r>
        <w:rPr>
          <w:rFonts w:ascii="Arial" w:cs="Arial" w:eastAsia="Arial" w:hAnsi="Arial"/>
          <w:sz w:val="18"/>
          <w:szCs w:val="18"/>
          <w:color w:val="auto"/>
        </w:rPr>
        <w:t>100 N.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2600"/>
        <w:spacing w:after="0"/>
        <w:rPr>
          <w:sz w:val="20"/>
          <w:szCs w:val="20"/>
          <w:color w:val="auto"/>
        </w:rPr>
      </w:pPr>
      <w:r>
        <w:rPr>
          <w:rFonts w:ascii="Arial" w:cs="Arial" w:eastAsia="Arial" w:hAnsi="Arial"/>
          <w:sz w:val="18"/>
          <w:szCs w:val="18"/>
          <w:color w:val="auto"/>
        </w:rPr>
        <w:t>Suite 1000</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63102</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Andrew M. Solomon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asolomon@polsinelli.com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Sintetica:</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Sintetica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Via Penate 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6850 Mendrisio, Switzerland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CEO</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with copies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Sintetica S.A.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Via Penate 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6850 Mendrisio, Switzerland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Legal Affairs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Force Majeure</w:t>
      </w:r>
      <w:r>
        <w:rPr>
          <w:rFonts w:ascii="Arial" w:cs="Arial" w:eastAsia="Arial" w:hAnsi="Arial"/>
          <w:sz w:val="16"/>
          <w:szCs w:val="16"/>
          <w:color w:val="auto"/>
        </w:rPr>
        <w:t>. A Party shall be excused from the performance of their obligations under this 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Notwithstanding the foregoing, a Party shall not be excused from making payments owed hereunder because of a Force Majeure affecting such Party. If a Force Majeure persists for more than ninety (90) days, then the Parties shall discuss in good faith the modification of the Parties’ obligations under this Agreement in order to mitigate the delays caused by such Force Majeure, without prejudice to the rights set forth in Section 11.3. The Parties agree the effects of the COVID-19 pandemic that is ongoing as of the Effective Date (including related government orders) may be invoked as a Force Majeure for the purposes of this Agreement even though the pandemic is ongoing and those effects may be reasonably foreseeable (but are not known for certain) as of the Effective Date. In addition, a Force Majeure may include reasonable measures affirmatively taken by a Party to respond to any epidemic, pandemic, or spread of infectious disease (including the COVID-19 pandemic), such as requiring employees to stay home, closures of facilities, delays of Clinical Trials, or cessation of activities in response to an epidemic or other Force Majeure event.</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or transfer this Agreement or any rights or obligations hereunder without the prior written consent of the other, except that a Party may make such an assignment without the other Party’s consent to Affiliates or to a successor to substantially all of the business of such Party to which this Agreement relates, whether in a merger, sale of stock, sale of assets or other transaction.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shall be null, void and of no legal effect.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jc w:val="both"/>
        <w:spacing w:after="0" w:line="25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English Language</w:t>
      </w:r>
      <w:r>
        <w:rPr>
          <w:rFonts w:ascii="Arial" w:cs="Arial" w:eastAsia="Arial" w:hAnsi="Arial"/>
          <w:sz w:val="18"/>
          <w:szCs w:val="18"/>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Waiver and Non-Exclusion of Remedies</w:t>
      </w:r>
      <w:r>
        <w:rPr>
          <w:rFonts w:ascii="Arial" w:cs="Arial" w:eastAsia="Arial" w:hAnsi="Arial"/>
          <w:sz w:val="18"/>
          <w:szCs w:val="18"/>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Further Assurance</w:t>
      </w:r>
      <w:r>
        <w:rPr>
          <w:rFonts w:ascii="Arial" w:cs="Arial" w:eastAsia="Arial" w:hAnsi="Arial"/>
          <w:sz w:val="16"/>
          <w:szCs w:val="16"/>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It is expressly agreed that Sintetica, on the one hand, and Harrow, on the other hand, shall be independent contractors and that the relationship between the two Parties shall not constitute a partnership, joint venture or agency, including for tax purposes. Neither Sintetica nor Harrow shall have 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expenses and obligations incurred by reason of such employment shall be for the account and expense of such Party.</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u w:val="single" w:color="auto"/>
          <w:color w:val="auto"/>
        </w:rPr>
        <w:t>Construction</w:t>
      </w:r>
      <w:r>
        <w:rPr>
          <w:rFonts w:ascii="Arial" w:cs="Arial" w:eastAsia="Arial" w:hAnsi="Arial"/>
          <w:sz w:val="16"/>
          <w:szCs w:val="16"/>
          <w:color w:val="auto"/>
        </w:rPr>
        <w:t>. Except where the context otherwise requires, wherever used, the singular shall include the plural, the plural shall include the singular, and the use of any gender shall be applicable to all genders. Whenever this Agreement refers to a number of days without using a term otherwise defined herein, such number refers to calendar days. The captions of this Agreement are for the convenience of reference only and in no way define, describe, extend, or limit the scope or intent of this Agreement or the intent of any provision contained in this Agreement. The terms “including,” “include,” “includes” or “for example” shall not limit the generality of any description preceding such term and as used herein shall have the same meaning as “including, but not limited to” or “including, without limitation.”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Governing Laws</w:t>
      </w:r>
      <w:r>
        <w:rPr>
          <w:rFonts w:ascii="Arial" w:cs="Arial" w:eastAsia="Arial" w:hAnsi="Arial"/>
          <w:sz w:val="18"/>
          <w:szCs w:val="18"/>
          <w:color w:val="auto"/>
        </w:rPr>
        <w:t>. This Agreement was prepared in the English language, which language shall govern the interpretation of, and any dispute regarding, the terms of this Agreement. This Agreement and all disputes arising out of or related to this Agreement or any breach hereof shall be governed by and construed under the laws of the State of Delaware, USA without giving effect to any choice of law principles that would require the application of the laws of a different state.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14.12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Exhibits to this Agreement, sets 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provided, that the Prior Confidentiality Agreement shall continue in full force and effect in accordance with its terms.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 In the event of any inconsistency between the body of this Agreement and either any Exhibits to this Agreement or any subsequent agreements ancillary to this Agreement, unless otherwise expressly stated to the contrary in such Exhibit or ancillary agreement, the terms contained in this Agreement shall control.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each Article and Section in this Agreement have been inserted for convenience of reference only and are not intended to limit or expand on the meaning of the language contained in the particular Article or Section.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 This Agreement may be executed by facsimile, .pdf or other electronically transmitted signatures and such signatures shall be deemed to bind each Party hereto as if they were the original signatures.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signed by their duly authorized representatives as of the date indicated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7/24/2021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SINTETICA S.A.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Miro Venturi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Miro Venturi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Corporate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7/25/2021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SINTETICA S.A.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Rocco Arcidiacono</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Rocco Arcidiacono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7/25/2021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96" w:name="page97"/>
    <w:bookmarkEnd w:id="96"/>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920" w:hanging="453"/>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91" w:lineRule="auto"/>
        <w:tabs>
          <w:tab w:leader="none" w:pos="9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260" w:hanging="456"/>
        <w:spacing w:after="0" w:line="263"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60" w:hanging="456"/>
        <w:spacing w:after="0" w:line="263"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hanging="456"/>
        <w:spacing w:after="0" w:line="342" w:lineRule="auto"/>
        <w:tabs>
          <w:tab w:leader="none" w:pos="12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56"/>
        <w:spacing w:after="0" w:line="263"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hanging="456"/>
        <w:spacing w:after="0" w:line="308" w:lineRule="auto"/>
        <w:tabs>
          <w:tab w:leader="none" w:pos="12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56"/>
        <w:spacing w:after="0" w:line="277"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left="101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920" w:hanging="453"/>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91"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260" w:hanging="456"/>
        <w:spacing w:after="0" w:line="263"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60" w:hanging="456"/>
        <w:spacing w:after="0" w:line="263"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hanging="456"/>
        <w:spacing w:after="0" w:line="342"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56"/>
        <w:spacing w:after="0" w:line="263"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hanging="456"/>
        <w:spacing w:after="0" w:line="308" w:lineRule="auto"/>
        <w:tabs>
          <w:tab w:leader="none" w:pos="12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56"/>
        <w:spacing w:after="0" w:line="277"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June 30, 2021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 L. Baum </w:t>
      </w: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04"/>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1)"/>
      <w:numFmt w:val="lowerLetter"/>
      <w:start w:val="2"/>
    </w:lvl>
  </w:abstractNum>
  <w:abstractNum w:abstractNumId="17">
    <w:nsid w:val="725A06FB"/>
    <w:multiLevelType w:val="hybridMultilevel"/>
    <w:lvl w:ilvl="0">
      <w:lvlJc w:val="left"/>
      <w:lvlText w:val="(%1)"/>
      <w:numFmt w:val="lowerLetter"/>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upperLetter"/>
      <w:start w:val="1"/>
    </w:lvl>
    <w:lvl w:ilvl="1">
      <w:lvlJc w:val="left"/>
      <w:lvlText w:val="(%2)"/>
      <w:numFmt w:val="lowerLetter"/>
      <w:start w:val="1"/>
    </w:lvl>
  </w:abstractNum>
  <w:abstractNum w:abstractNumId="20">
    <w:nsid w:val="7A6D8D3C"/>
    <w:multiLevelType w:val="hybridMultilevel"/>
    <w:lvl w:ilvl="0">
      <w:lvlJc w:val="left"/>
      <w:lvlText w:val="(%1)"/>
      <w:numFmt w:val="upperLetter"/>
      <w:start w:val="3"/>
    </w:lvl>
    <w:lvl w:ilvl="1">
      <w:lvlJc w:val="left"/>
      <w:lvlText w:val="%2"/>
      <w:numFmt w:val="lowerLetter"/>
      <w:start w:val="1"/>
    </w:lvl>
  </w:abstractNum>
  <w:abstractNum w:abstractNumId="21">
    <w:nsid w:val="4B588F54"/>
    <w:multiLevelType w:val="hybridMultilevel"/>
    <w:lvl w:ilvl="0">
      <w:lvlJc w:val="left"/>
      <w:lvlText w:val="(%1)"/>
      <w:numFmt w:val="lowerLetter"/>
      <w:start w:val="1"/>
    </w:lvl>
  </w:abstractNum>
  <w:abstractNum w:abstractNumId="22">
    <w:nsid w:val="542289EC"/>
    <w:multiLevelType w:val="hybridMultilevel"/>
    <w:lvl w:ilvl="0">
      <w:lvlJc w:val="left"/>
      <w:lvlText w:val="(%1)"/>
      <w:numFmt w:val="lowerLetter"/>
      <w:start w:val="2"/>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
      <w:numFmt w:val="bullet"/>
      <w:start w:val="1"/>
    </w:lvl>
    <w:lvl w:ilvl="1">
      <w:lvlJc w:val="left"/>
      <w:lvlText w:val="(%2)"/>
      <w:numFmt w:val="lowerLetter"/>
      <w:start w:val="2"/>
    </w:lvl>
  </w:abstractNum>
  <w:abstractNum w:abstractNumId="26">
    <w:nsid w:val="32FFF902"/>
    <w:multiLevelType w:val="hybridMultilevel"/>
    <w:lvl w:ilvl="0">
      <w:lvlJc w:val="left"/>
      <w:lvlText w:val="(%1)"/>
      <w:numFmt w:val="lowerLetter"/>
      <w:start w:val="4"/>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2"/>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decimal"/>
      <w:start w:val="30"/>
    </w:lvl>
  </w:abstractNum>
  <w:abstractNum w:abstractNumId="31">
    <w:nsid w:val="1BA026FA"/>
    <w:multiLevelType w:val="hybridMultilevel"/>
    <w:lvl w:ilvl="0">
      <w:lvlJc w:val="left"/>
      <w:lvlText w:val="%1"/>
      <w:numFmt w:val="decimal"/>
      <w:start w:val="1"/>
    </w:lvl>
    <w:lvl w:ilvl="1">
      <w:lvlJc w:val="left"/>
      <w:lvlText w:val="(%2)"/>
      <w:numFmt w:val="lowerLetter"/>
      <w:start w:val="1"/>
    </w:lvl>
  </w:abstractNum>
  <w:abstractNum w:abstractNumId="32">
    <w:nsid w:val="79A1DEAA"/>
    <w:multiLevelType w:val="hybridMultilevel"/>
    <w:lvl w:ilvl="0">
      <w:lvlJc w:val="left"/>
      <w:lvlText w:val="(%1)"/>
      <w:numFmt w:val="decimal"/>
      <w:start w:val="30"/>
    </w:lvl>
    <w:lvl w:ilvl="1">
      <w:lvlJc w:val="left"/>
      <w:lvlText w:val="(%2)"/>
      <w:numFmt w:val="lowerLetter"/>
      <w:start w:val="3"/>
    </w:lvl>
  </w:abstractNum>
  <w:abstractNum w:abstractNumId="33">
    <w:nsid w:val="75C6C33A"/>
    <w:multiLevelType w:val="hybridMultilevel"/>
    <w:lvl w:ilvl="0">
      <w:lvlJc w:val="left"/>
      <w:lvlText w:val="(%1)"/>
      <w:numFmt w:val="lowerLetter"/>
      <w:start w:val="4"/>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bullet"/>
      <w:start w:val="1"/>
    </w:lvl>
  </w:abstractNum>
  <w:abstractNum w:abstractNumId="36">
    <w:nsid w:val="520EEDD1"/>
    <w:multiLevelType w:val="hybridMultilevel"/>
    <w:lvl w:ilvl="0">
      <w:lvlJc w:val="left"/>
      <w:lvlText w:val="(%1)"/>
      <w:numFmt w:val="lowerLetter"/>
      <w:start w:val="2"/>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3"/>
    </w:lvl>
  </w:abstractNum>
  <w:abstractNum w:abstractNumId="42">
    <w:nsid w:val="39386575"/>
    <w:multiLevelType w:val="hybridMultilevel"/>
    <w:lvl w:ilvl="0">
      <w:lvlJc w:val="left"/>
      <w:lvlText w:val="(%1)"/>
      <w:numFmt w:val="lowerLetter"/>
      <w:start w:val="4"/>
    </w:lvl>
    <w:lvl w:ilvl="1">
      <w:lvlJc w:val="left"/>
      <w:lvlText w:val="(%2)"/>
      <w:numFmt w:val="lowerRoman"/>
      <w:start w:val="1"/>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lowerLetter"/>
      <w:start w:val="1"/>
    </w:lvl>
    <w:lvl w:ilvl="1">
      <w:lvlJc w:val="left"/>
      <w:lvlText w:val="(%2)"/>
      <w:numFmt w:val="lowerRoman"/>
      <w:start w:val="1"/>
    </w:lvl>
  </w:abstractNum>
  <w:abstractNum w:abstractNumId="45">
    <w:nsid w:val="235BA861"/>
    <w:multiLevelType w:val="hybridMultilevel"/>
    <w:lvl w:ilvl="0">
      <w:lvlJc w:val="left"/>
      <w:lvlText w:val="%1"/>
      <w:numFmt w:val="lowerLetter"/>
      <w:start w:val="1"/>
    </w:lvl>
    <w:lvl w:ilvl="1">
      <w:lvlJc w:val="left"/>
      <w:lvlText w:val="(%2)"/>
      <w:numFmt w:val="lowerRoman"/>
      <w:start w:val="4"/>
    </w:lvl>
  </w:abstractNum>
  <w:abstractNum w:abstractNumId="46">
    <w:nsid w:val="47398C89"/>
    <w:multiLevelType w:val="hybridMultilevel"/>
    <w:lvl w:ilvl="0">
      <w:lvlJc w:val="left"/>
      <w:lvlText w:val="(%1)"/>
      <w:numFmt w:val="lowerLetter"/>
      <w:start w:val="3"/>
    </w:lvl>
    <w:lvl w:ilvl="1">
      <w:lvlJc w:val="left"/>
      <w:lvlText w:val="%2"/>
      <w:numFmt w:val="lowerRoman"/>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2"/>
    </w:lvl>
  </w:abstractNum>
  <w:abstractNum w:abstractNumId="49">
    <w:nsid w:val="741226BB"/>
    <w:multiLevelType w:val="hybridMultilevel"/>
    <w:lvl w:ilvl="0">
      <w:lvlJc w:val="left"/>
      <w:lvlText w:val="%1"/>
      <w:numFmt w:val="decimal"/>
      <w:start w:val="1"/>
    </w:lvl>
    <w:lvl w:ilvl="1">
      <w:lvlJc w:val="left"/>
      <w:lvlText w:val="(%2)"/>
      <w:numFmt w:val="lowerLetter"/>
      <w:start w:val="1"/>
    </w:lvl>
  </w:abstractNum>
  <w:abstractNum w:abstractNumId="50">
    <w:nsid w:val="D34B6A8"/>
    <w:multiLevelType w:val="hybridMultilevel"/>
    <w:lvl w:ilvl="0">
      <w:lvlJc w:val="left"/>
      <w:lvlText w:val="(%1)"/>
      <w:numFmt w:val="decimal"/>
      <w:start w:val="90"/>
    </w:lvl>
    <w:lvl w:ilvl="1">
      <w:lvlJc w:val="left"/>
      <w:lvlText w:val="(%2)"/>
      <w:numFmt w:val="lowerLetter"/>
      <w:start w:val="2"/>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3"/>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3"/>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2"/>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Roman"/>
      <w:start w:val="1"/>
    </w:lvl>
  </w:abstractNum>
  <w:abstractNum w:abstractNumId="64">
    <w:nsid w:val="1381823A"/>
    <w:multiLevelType w:val="hybridMultilevel"/>
    <w:lvl w:ilvl="0">
      <w:lvlJc w:val="left"/>
      <w:lvlText w:val="%1"/>
      <w:numFmt w:val="lowerLetter"/>
      <w:start w:val="1"/>
    </w:lvl>
    <w:lvl w:ilvl="1">
      <w:lvlJc w:val="left"/>
      <w:lvlText w:val="(%2)"/>
      <w:numFmt w:val="lowerRoman"/>
      <w:start w:val="1"/>
    </w:lvl>
  </w:abstractNum>
  <w:abstractNum w:abstractNumId="65">
    <w:nsid w:val="5DB70AE5"/>
    <w:multiLevelType w:val="hybridMultilevel"/>
    <w:lvl w:ilvl="0">
      <w:lvlJc w:val="left"/>
      <w:lvlText w:val="(%1)"/>
      <w:numFmt w:val="lowerLetter"/>
      <w:start w:val="4"/>
    </w:lvl>
    <w:lvl w:ilvl="1">
      <w:lvlJc w:val="left"/>
      <w:lvlText w:val="%2"/>
      <w:numFmt w:val="lowerRoman"/>
      <w:start w:val="1"/>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47" Type="http://schemas.openxmlformats.org/officeDocument/2006/relationships/hyperlink" Target="https://www.sec.gov/Archives/edgar/data/1360214/000149315221010520/ex3-1.htm" TargetMode="External"/><Relationship Id="rId48" Type="http://schemas.openxmlformats.org/officeDocument/2006/relationships/hyperlink" Target="https://www.sec.gov/Archives/edgar/data/1360214/000149315221009249/ex4-1.htm" TargetMode="External"/><Relationship Id="rId49" Type="http://schemas.openxmlformats.org/officeDocument/2006/relationships/hyperlink" Target="https://www.sec.gov/Archives/edgar/data/1360214/000149315221009249/ex4-2.htm" TargetMode="External"/><Relationship Id="rId50" Type="http://schemas.openxmlformats.org/officeDocument/2006/relationships/hyperlink" Target="https://www.sec.gov/Archives/edgar/data/1360214/000149315221010520/ex10-1.htm" TargetMode="External"/><Relationship Id="rId51" Type="http://schemas.openxmlformats.org/officeDocument/2006/relationships/hyperlink" Target="https://www.sec.gov/Archives/edgar/data/1360214/000149315221009572/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2021-08-10T15:54:16Z</dcterms:created>
  <dcterms:modified xsi:type="dcterms:W3CDTF">2021-08-10T15:54:16Z</dcterms:modified>
</cp:coreProperties>
</file>