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Date of Report (Date of earliest event reported): October 7, 2011</w:t>
      </w:r>
    </w:p>
    <w:p>
      <w:pPr>
        <w:spacing w:after="0" w:line="238" w:lineRule="exact"/>
        <w:rPr>
          <w:sz w:val="24"/>
          <w:szCs w:val="24"/>
          <w:color w:val="auto"/>
        </w:rPr>
      </w:pPr>
    </w:p>
    <w:p>
      <w:pPr>
        <w:jc w:val="center"/>
        <w:ind w:right="479"/>
        <w:spacing w:after="0"/>
        <w:rPr>
          <w:sz w:val="20"/>
          <w:szCs w:val="20"/>
          <w:color w:val="auto"/>
        </w:rPr>
      </w:pPr>
      <w:r>
        <w:rPr>
          <w:rFonts w:ascii="Arial" w:cs="Arial" w:eastAsia="Arial" w:hAnsi="Arial"/>
          <w:sz w:val="25"/>
          <w:szCs w:val="25"/>
          <w:b w:val="1"/>
          <w:bCs w:val="1"/>
          <w:color w:val="auto"/>
        </w:rPr>
        <w:t>TRANSDEL PHARMACEUTICALS, INC.</w:t>
      </w:r>
    </w:p>
    <w:p>
      <w:pPr>
        <w:spacing w:after="0" w:line="29" w:lineRule="exact"/>
        <w:rPr>
          <w:sz w:val="24"/>
          <w:szCs w:val="24"/>
          <w:color w:val="auto"/>
        </w:rPr>
      </w:pPr>
    </w:p>
    <w:p>
      <w:pPr>
        <w:ind w:left="2640"/>
        <w:spacing w:after="0"/>
        <w:rPr>
          <w:sz w:val="20"/>
          <w:szCs w:val="20"/>
          <w:color w:val="auto"/>
        </w:rPr>
      </w:pPr>
      <w:r>
        <w:rPr>
          <w:rFonts w:ascii="Arial" w:cs="Arial" w:eastAsia="Arial" w:hAnsi="Arial"/>
          <w:sz w:val="22"/>
          <w:szCs w:val="22"/>
          <w:color w:val="auto"/>
        </w:rPr>
        <w:t>(Exact name of registrant as specified in its charter)</w:t>
      </w:r>
    </w:p>
    <w:p>
      <w:pPr>
        <w:spacing w:after="0" w:line="218" w:lineRule="exact"/>
        <w:rPr>
          <w:sz w:val="24"/>
          <w:szCs w:val="24"/>
          <w:color w:val="auto"/>
        </w:rPr>
      </w:pPr>
    </w:p>
    <w:tbl>
      <w:tblPr>
        <w:tblLayout w:type="fixed"/>
        <w:tblInd w:w="540" w:type="dxa"/>
        <w:tblCellMar>
          <w:top w:w="0" w:type="dxa"/>
          <w:left w:w="0" w:type="dxa"/>
          <w:bottom w:w="0" w:type="dxa"/>
          <w:right w:w="0" w:type="dxa"/>
        </w:tblCellMar>
      </w:tblPr>
      <w:tr>
        <w:trPr>
          <w:trHeight w:val="234"/>
        </w:trPr>
        <w:tc>
          <w:tcPr>
            <w:tcW w:w="3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1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000-52998</w:t>
            </w:r>
          </w:p>
        </w:tc>
        <w:tc>
          <w:tcPr>
            <w:tcW w:w="200" w:type="dxa"/>
            <w:vAlign w:val="bottom"/>
          </w:tcPr>
          <w:p>
            <w:pPr>
              <w:spacing w:after="0"/>
              <w:rPr>
                <w:sz w:val="20"/>
                <w:szCs w:val="20"/>
                <w:color w:val="auto"/>
              </w:rPr>
            </w:pPr>
          </w:p>
        </w:tc>
        <w:tc>
          <w:tcPr>
            <w:tcW w:w="292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45-0567010</w:t>
            </w:r>
          </w:p>
        </w:tc>
      </w:tr>
      <w:tr>
        <w:trPr>
          <w:trHeight w:val="224"/>
        </w:trPr>
        <w:tc>
          <w:tcPr>
            <w:tcW w:w="33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00" w:type="dxa"/>
            <w:vAlign w:val="bottom"/>
          </w:tcPr>
          <w:p>
            <w:pPr>
              <w:spacing w:after="0"/>
              <w:rPr>
                <w:sz w:val="19"/>
                <w:szCs w:val="19"/>
                <w:color w:val="auto"/>
              </w:rPr>
            </w:pPr>
          </w:p>
        </w:tc>
        <w:tc>
          <w:tcPr>
            <w:tcW w:w="2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9"/>
                <w:szCs w:val="19"/>
                <w:color w:val="auto"/>
              </w:rPr>
            </w:pPr>
          </w:p>
        </w:tc>
        <w:tc>
          <w:tcPr>
            <w:tcW w:w="270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(IRS Employer Identification No.)</w:t>
            </w:r>
          </w:p>
        </w:tc>
      </w:tr>
      <w:tr>
        <w:trPr>
          <w:trHeight w:val="445"/>
        </w:trPr>
        <w:tc>
          <w:tcPr>
            <w:tcW w:w="1920" w:type="dxa"/>
            <w:vAlign w:val="bottom"/>
          </w:tcPr>
          <w:p>
            <w:pPr>
              <w:spacing w:after="0"/>
              <w:rPr>
                <w:sz w:val="24"/>
                <w:szCs w:val="24"/>
                <w:color w:val="auto"/>
              </w:rPr>
            </w:pPr>
          </w:p>
        </w:tc>
        <w:tc>
          <w:tcPr>
            <w:tcW w:w="38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601-C East Palomar Street, Chula Vista, CA</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91911</w:t>
            </w:r>
          </w:p>
        </w:tc>
        <w:tc>
          <w:tcPr>
            <w:tcW w:w="1920" w:type="dxa"/>
            <w:vAlign w:val="bottom"/>
          </w:tcPr>
          <w:p>
            <w:pPr>
              <w:spacing w:after="0"/>
              <w:rPr>
                <w:sz w:val="24"/>
                <w:szCs w:val="24"/>
                <w:color w:val="auto"/>
              </w:rPr>
            </w:pPr>
          </w:p>
        </w:tc>
      </w:tr>
      <w:tr>
        <w:trPr>
          <w:trHeight w:val="224"/>
        </w:trPr>
        <w:tc>
          <w:tcPr>
            <w:tcW w:w="1920" w:type="dxa"/>
            <w:vAlign w:val="bottom"/>
          </w:tcPr>
          <w:p>
            <w:pPr>
              <w:spacing w:after="0"/>
              <w:rPr>
                <w:sz w:val="19"/>
                <w:szCs w:val="19"/>
                <w:color w:val="auto"/>
              </w:rPr>
            </w:pPr>
          </w:p>
        </w:tc>
        <w:tc>
          <w:tcPr>
            <w:tcW w:w="3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4"/>
              </w:rPr>
              <w:t>(Zip Code)</w:t>
            </w:r>
          </w:p>
        </w:tc>
        <w:tc>
          <w:tcPr>
            <w:tcW w:w="1920" w:type="dxa"/>
            <w:vAlign w:val="bottom"/>
          </w:tcPr>
          <w:p>
            <w:pPr>
              <w:spacing w:after="0"/>
              <w:rPr>
                <w:sz w:val="19"/>
                <w:szCs w:val="19"/>
                <w:color w:val="auto"/>
              </w:rPr>
            </w:pPr>
          </w:p>
        </w:tc>
      </w:tr>
    </w:tbl>
    <w:p>
      <w:pPr>
        <w:spacing w:after="0" w:line="201"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(858) 457-5300</w:t>
      </w:r>
    </w:p>
    <w:p>
      <w:pPr>
        <w:spacing w:after="0" w:line="242"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-130810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4" w:lineRule="exact"/>
        <w:rPr>
          <w:sz w:val="24"/>
          <w:szCs w:val="24"/>
          <w:color w:val="auto"/>
        </w:rPr>
      </w:pPr>
    </w:p>
    <w:p>
      <w:pPr>
        <w:ind w:right="479"/>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0"/>
        <w:spacing w:after="0"/>
        <w:tabs>
          <w:tab w:leader="none" w:pos="380" w:val="left"/>
        </w:tabs>
        <w:rPr>
          <w:sz w:val="20"/>
          <w:szCs w:val="20"/>
          <w:color w:val="auto"/>
        </w:rPr>
      </w:pPr>
      <w:r>
        <w:rPr>
          <w:sz w:val="1"/>
          <w:szCs w:val="1"/>
          <w:color w:val="auto"/>
        </w:rPr>
        <w:drawing>
          <wp:inline distT="0" distB="0" distL="0" distR="0">
            <wp:extent cx="107315" cy="1073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073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107315"/>
                    </a:xfrm>
                    <a:prstGeom prst="rect">
                      <a:avLst/>
                    </a:prstGeom>
                    <a:noFill/>
                    <a:ln>
                      <a:noFill/>
                    </a:ln>
                  </pic:spPr>
                </pic:pic>
              </a:graphicData>
            </a:graphic>
          </wp:inline>
        </w:drawing>
      </w:r>
      <w:r>
        <w:rPr>
          <w:rFonts w:ascii="Arial" w:cs="Arial" w:eastAsia="Arial" w:hAnsi="Arial"/>
          <w:sz w:val="11"/>
          <w:szCs w:val="11"/>
          <w:color w:val="FFFFFF"/>
        </w:rPr>
        <w:t>.</w:t>
      </w:r>
      <w:r>
        <w:rPr>
          <w:sz w:val="20"/>
          <w:szCs w:val="20"/>
          <w:color w:val="auto"/>
        </w:rPr>
        <w:tab/>
      </w:r>
      <w:r>
        <w:rPr>
          <w:rFonts w:ascii="Arial" w:cs="Arial" w:eastAsia="Arial" w:hAnsi="Arial"/>
          <w:sz w:val="19"/>
          <w:szCs w:val="19"/>
          <w:color w:val="auto"/>
        </w:rPr>
        <w:t>Written communications pursuant to Rule 425 under the Securities Act (17 CFR 230.425)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10160</wp:posOffset>
            </wp:positionV>
            <wp:extent cx="107315"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315" cy="12700"/>
                    </a:xfrm>
                    <a:prstGeom prst="rect">
                      <a:avLst/>
                    </a:prstGeom>
                    <a:noFill/>
                  </pic:spPr>
                </pic:pic>
              </a:graphicData>
            </a:graphic>
          </wp:anchor>
        </w:drawing>
      </w:r>
    </w:p>
    <w:p>
      <w:pPr>
        <w:spacing w:after="0" w:line="224" w:lineRule="exact"/>
        <w:rPr>
          <w:sz w:val="24"/>
          <w:szCs w:val="24"/>
          <w:color w:val="auto"/>
        </w:rPr>
      </w:pPr>
    </w:p>
    <w:p>
      <w:pPr>
        <w:ind w:left="60"/>
        <w:spacing w:after="0"/>
        <w:tabs>
          <w:tab w:leader="none" w:pos="400" w:val="left"/>
        </w:tabs>
        <w:rPr>
          <w:sz w:val="20"/>
          <w:szCs w:val="20"/>
          <w:color w:val="auto"/>
        </w:rPr>
      </w:pPr>
      <w:r>
        <w:rPr>
          <w:sz w:val="1"/>
          <w:szCs w:val="1"/>
          <w:color w:val="auto"/>
        </w:rPr>
        <w:drawing>
          <wp:inline distT="0" distB="0" distL="0" distR="0">
            <wp:extent cx="107315" cy="1073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073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107315"/>
                    </a:xfrm>
                    <a:prstGeom prst="rect">
                      <a:avLst/>
                    </a:prstGeom>
                    <a:noFill/>
                    <a:ln>
                      <a:noFill/>
                    </a:ln>
                  </pic:spPr>
                </pic:pic>
              </a:graphicData>
            </a:graphic>
          </wp:inline>
        </w:drawing>
      </w:r>
      <w:r>
        <w:rPr>
          <w:rFonts w:ascii="Arial" w:cs="Arial" w:eastAsia="Arial" w:hAnsi="Arial"/>
          <w:sz w:val="11"/>
          <w:szCs w:val="11"/>
          <w:color w:val="FFFFFF"/>
        </w:rPr>
        <w:t>.</w:t>
      </w:r>
      <w:r>
        <w:rPr>
          <w:sz w:val="20"/>
          <w:szCs w:val="20"/>
          <w:color w:val="auto"/>
        </w:rPr>
        <w:tab/>
      </w:r>
      <w:r>
        <w:rPr>
          <w:rFonts w:ascii="Arial" w:cs="Arial" w:eastAsia="Arial" w:hAnsi="Arial"/>
          <w:sz w:val="19"/>
          <w:szCs w:val="19"/>
          <w:color w:val="auto"/>
        </w:rPr>
        <w:t>Soliciting material pursuant to Rule 14a-12 under the Exchange Act (17 CFR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10160</wp:posOffset>
            </wp:positionV>
            <wp:extent cx="10731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315" cy="12700"/>
                    </a:xfrm>
                    <a:prstGeom prst="rect">
                      <a:avLst/>
                    </a:prstGeom>
                    <a:noFill/>
                  </pic:spPr>
                </pic:pic>
              </a:graphicData>
            </a:graphic>
          </wp:anchor>
        </w:drawing>
      </w:r>
    </w:p>
    <w:p>
      <w:pPr>
        <w:spacing w:after="0" w:line="248" w:lineRule="exact"/>
        <w:rPr>
          <w:sz w:val="24"/>
          <w:szCs w:val="24"/>
          <w:color w:val="auto"/>
        </w:rPr>
      </w:pPr>
    </w:p>
    <w:p>
      <w:pPr>
        <w:ind w:right="539" w:firstLine="51"/>
        <w:spacing w:after="0" w:line="274" w:lineRule="auto"/>
        <w:rPr>
          <w:sz w:val="20"/>
          <w:szCs w:val="20"/>
          <w:color w:val="auto"/>
        </w:rPr>
      </w:pPr>
      <w:r>
        <w:rPr>
          <w:sz w:val="1"/>
          <w:szCs w:val="1"/>
          <w:color w:val="auto"/>
        </w:rPr>
        <w:drawing>
          <wp:inline distT="0" distB="0" distL="0" distR="0">
            <wp:extent cx="107315" cy="1073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r>
      <w:r>
        <w:rPr>
          <w:rFonts w:ascii="Arial" w:cs="Arial" w:eastAsia="Arial" w:hAnsi="Arial"/>
          <w:sz w:val="11"/>
          <w:szCs w:val="11"/>
          <w:color w:val="FFFFFF"/>
        </w:rPr>
        <w:t xml:space="preserve">. </w:t>
      </w:r>
      <w:r>
        <w:rPr>
          <w:rFonts w:ascii="Arial" w:cs="Arial" w:eastAsia="Arial" w:hAnsi="Arial"/>
          <w:sz w:val="21"/>
          <w:szCs w:val="21"/>
          <w:color w:val="000000"/>
        </w:rPr>
        <w:t>Pre-commencement communications pursuant to Rule 14d-2(b) under the Exchange Act (17 CFR 240.14d-2(b))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-200660</wp:posOffset>
            </wp:positionV>
            <wp:extent cx="107315"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315" cy="12700"/>
                    </a:xfrm>
                    <a:prstGeom prst="rect">
                      <a:avLst/>
                    </a:prstGeom>
                    <a:noFill/>
                  </pic:spPr>
                </pic:pic>
              </a:graphicData>
            </a:graphic>
          </wp:anchor>
        </w:drawing>
      </w:r>
    </w:p>
    <w:p>
      <w:pPr>
        <w:spacing w:after="0" w:line="158" w:lineRule="exact"/>
        <w:rPr>
          <w:sz w:val="24"/>
          <w:szCs w:val="24"/>
          <w:color w:val="auto"/>
        </w:rPr>
      </w:pPr>
    </w:p>
    <w:p>
      <w:pPr>
        <w:ind w:right="579" w:firstLine="51"/>
        <w:spacing w:after="0" w:line="274" w:lineRule="auto"/>
        <w:rPr>
          <w:sz w:val="20"/>
          <w:szCs w:val="20"/>
          <w:color w:val="auto"/>
        </w:rPr>
      </w:pPr>
      <w:r>
        <w:rPr>
          <w:sz w:val="1"/>
          <w:szCs w:val="1"/>
          <w:color w:val="auto"/>
        </w:rPr>
        <w:drawing>
          <wp:inline distT="0" distB="0" distL="0" distR="0">
            <wp:extent cx="107315" cy="1073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r>
      <w:r>
        <w:rPr>
          <w:rFonts w:ascii="Arial" w:cs="Arial" w:eastAsia="Arial" w:hAnsi="Arial"/>
          <w:sz w:val="11"/>
          <w:szCs w:val="11"/>
          <w:color w:val="FFFFFF"/>
        </w:rPr>
        <w:t xml:space="preserve">. </w:t>
      </w:r>
      <w:r>
        <w:rPr>
          <w:rFonts w:ascii="Arial" w:cs="Arial" w:eastAsia="Arial" w:hAnsi="Arial"/>
          <w:sz w:val="21"/>
          <w:szCs w:val="21"/>
          <w:color w:val="000000"/>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617474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4740" cy="9461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-200660</wp:posOffset>
            </wp:positionV>
            <wp:extent cx="10731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315" cy="12700"/>
                    </a:xfrm>
                    <a:prstGeom prst="rect">
                      <a:avLst/>
                    </a:prstGeom>
                    <a:noFill/>
                  </pic:spPr>
                </pic:pic>
              </a:graphicData>
            </a:graphic>
          </wp:anchor>
        </w:drawing>
      </w:r>
    </w:p>
    <w:p>
      <w:pPr>
        <w:sectPr>
          <w:pgSz w:w="11900" w:h="16838" w:orient="portrait"/>
          <w:cols w:equalWidth="0" w:num="1">
            <w:col w:w="10219"/>
          </w:cols>
          <w:pgMar w:left="240" w:top="220"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40" w:lineRule="exact"/>
        <w:rPr>
          <w:sz w:val="20"/>
          <w:szCs w:val="20"/>
          <w:color w:val="auto"/>
        </w:rPr>
      </w:pPr>
    </w:p>
    <w:p>
      <w:pPr>
        <w:jc w:val="both"/>
        <w:ind w:right="479" w:firstLine="648"/>
        <w:spacing w:after="0" w:line="244" w:lineRule="auto"/>
        <w:rPr>
          <w:sz w:val="20"/>
          <w:szCs w:val="20"/>
          <w:color w:val="auto"/>
        </w:rPr>
      </w:pPr>
      <w:r>
        <w:rPr>
          <w:rFonts w:ascii="Arial" w:cs="Arial" w:eastAsia="Arial" w:hAnsi="Arial"/>
          <w:sz w:val="21"/>
          <w:szCs w:val="21"/>
          <w:color w:val="auto"/>
        </w:rPr>
        <w:t>As previously disclosed by Transdel Pharmaceuticals, Inc. (the “Company”), on June 26, 2011, the Company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the transactions described below, the Company requested that the Bankruptcy Court dismiss the Chapter 11 Case, and on December 9, 2011, the Bankruptcy Court entered an order dismissing the Chapter 11 Case. In connection with the dismissal of the Chapter 11 Case, the Bankruptcy Court, among other things, declined to retain jurisdiction over claim objection proceedings and found moot the Company’s objection to the claims of Cardium Therapeutics, Inc. (“Cardium”) and Cardium Healthcare, Inc. (“Cardium Healthcare”), a wholly owned subsidiary of Cardium. The dismissal of the Chapter 11 Case is based upon the provisions of both 11 U.S.C. Sections 305(a) and 1112(b).</w:t>
      </w:r>
    </w:p>
    <w:p>
      <w:pPr>
        <w:spacing w:after="0" w:line="217" w:lineRule="exact"/>
        <w:rPr>
          <w:sz w:val="20"/>
          <w:szCs w:val="20"/>
          <w:color w:val="auto"/>
        </w:rPr>
      </w:pPr>
    </w:p>
    <w:p>
      <w:pPr>
        <w:jc w:val="both"/>
        <w:ind w:right="479" w:firstLine="648"/>
        <w:spacing w:after="0" w:line="234" w:lineRule="auto"/>
        <w:rPr>
          <w:sz w:val="20"/>
          <w:szCs w:val="20"/>
          <w:color w:val="auto"/>
        </w:rPr>
      </w:pPr>
      <w:r>
        <w:rPr>
          <w:rFonts w:ascii="Arial" w:cs="Arial" w:eastAsia="Arial" w:hAnsi="Arial"/>
          <w:sz w:val="22"/>
          <w:szCs w:val="22"/>
          <w:color w:val="auto"/>
        </w:rPr>
        <w:t>On November 21, 2011, the Company entered into a Secured Line of Credit Letter Agreement (the “Line of Credit Agreement”) with DermaStar International, LLC (“DermaStar”). The Line of Credit Agreement became effective on December 9, 2011, in connection with the dismissal of the Chapter 11 Case by the Bankruptcy Court. On December 9, 2011, as required by the Line of Credit Agreement, the Company entered into a Security Agreement and an Intellectual Property Security Agreement with DermaStar, pursuant to which the Company granted to DermaStar a blanket security interest in all of its assets, including its intellectual property.</w:t>
      </w:r>
    </w:p>
    <w:p>
      <w:pPr>
        <w:spacing w:after="0" w:line="218" w:lineRule="exact"/>
        <w:rPr>
          <w:sz w:val="20"/>
          <w:szCs w:val="20"/>
          <w:color w:val="auto"/>
        </w:rPr>
      </w:pPr>
    </w:p>
    <w:p>
      <w:pPr>
        <w:jc w:val="both"/>
        <w:ind w:right="479" w:firstLine="648"/>
        <w:spacing w:after="0" w:line="271" w:lineRule="auto"/>
        <w:rPr>
          <w:sz w:val="20"/>
          <w:szCs w:val="20"/>
          <w:color w:val="auto"/>
        </w:rPr>
      </w:pPr>
      <w:r>
        <w:rPr>
          <w:rFonts w:ascii="Arial" w:cs="Arial" w:eastAsia="Arial" w:hAnsi="Arial"/>
          <w:sz w:val="19"/>
          <w:szCs w:val="19"/>
          <w:color w:val="auto"/>
        </w:rPr>
        <w:t>The Line of Credit Agreement provides for advances to the Company of up to an aggregate of $750,000 (each an “Advance” and collectively the “Loan”), subject to the satisfaction by the Company of certain conditions in connection with the initial Advance and each subsequent Advance. Each Advance will be made pursuant to a Promissory Note in favor of DermaStar. On December 12, 2011, the Company requested and received an initial Advance of $150,000 from DermaStar and issued DermaStar a promissory note in the amount of $150,000 (the “Initial Note”). The proceeds received from the Initial Note will be used to satisfy certain administrative and priority claims of the creditors of the Company and pay certain legal and accounting fees and expenses. Future Advances under the Line of Credit Agreement, if any, will be made in $50,000 increments and are expected to be used to pay legal and accounting fees and expenses and for general corporate purposes. The Loan accrues interest at 10% per annum and may be prepaid at any time without penalty. The amounts due under the Loan may accelerate at the option of DermaStar upon the occurrence of certain customary events of default. In addition, the amounts due under the Loan may accelerate if (i) there is a change in the ownership of control of more than 20% of the voting capital stock of the Company (other than purchases of the Company’s capital stock by DermaStar) and (ii) the Company is named as a defendant in any legal action brought by any current or former employee, executive officer or director of the Company or any third party with whom the Company had entered into any agreement prior to the date of the dismissal of the Chapter 11 Case.</w:t>
      </w:r>
    </w:p>
    <w:p>
      <w:pPr>
        <w:spacing w:after="0" w:line="185" w:lineRule="exact"/>
        <w:rPr>
          <w:sz w:val="20"/>
          <w:szCs w:val="20"/>
          <w:color w:val="auto"/>
        </w:rPr>
      </w:pPr>
    </w:p>
    <w:p>
      <w:pPr>
        <w:jc w:val="both"/>
        <w:ind w:right="499" w:firstLine="648"/>
        <w:spacing w:after="0" w:line="271" w:lineRule="auto"/>
        <w:rPr>
          <w:sz w:val="20"/>
          <w:szCs w:val="20"/>
          <w:color w:val="auto"/>
        </w:rPr>
      </w:pPr>
      <w:r>
        <w:rPr>
          <w:rFonts w:ascii="Arial" w:cs="Arial" w:eastAsia="Arial" w:hAnsi="Arial"/>
          <w:sz w:val="19"/>
          <w:szCs w:val="19"/>
          <w:color w:val="auto"/>
        </w:rPr>
        <w:t>In partial consideration for and in connection with the Line of Credit Agreement, on November 21, 2011, the Company entered into a Securities Purchase Agreement (the “Purchase Agreement”) with DermaStar, pursuant to which the Company agreed to issue ten (10) shares of newly-designated Series A Convertible Preferred Stock (the “Series A Preferred Stock”) to DermaStar for an aggregate purchase price of $100,000.</w:t>
      </w:r>
    </w:p>
    <w:p>
      <w:pPr>
        <w:spacing w:after="0" w:line="4" w:lineRule="exact"/>
        <w:rPr>
          <w:sz w:val="20"/>
          <w:szCs w:val="20"/>
          <w:color w:val="auto"/>
        </w:rPr>
      </w:pPr>
    </w:p>
    <w:p>
      <w:pPr>
        <w:jc w:val="both"/>
        <w:ind w:right="499" w:firstLine="169"/>
        <w:spacing w:after="0" w:line="273" w:lineRule="auto"/>
        <w:rPr>
          <w:sz w:val="20"/>
          <w:szCs w:val="20"/>
          <w:color w:val="auto"/>
        </w:rPr>
      </w:pPr>
      <w:r>
        <w:rPr>
          <w:rFonts w:ascii="Arial" w:cs="Arial" w:eastAsia="Arial" w:hAnsi="Arial"/>
          <w:sz w:val="19"/>
          <w:szCs w:val="19"/>
          <w:color w:val="auto"/>
        </w:rPr>
        <w:t>The Purchase Agreement became effective on December 9, 2011, in connection with the dismissal of the Chapter 11 Case by the Bankruptcy Court. On December 12, 2011, the Company and DermaStar consummated the transactions contemplated by the Purchase Agreement. The shares of Series A Preferred Stock issued to DermaStar in the offering are convertible into 59,988,002 shares of the Company’s Common Stock. Certain of the rights and preferences of the Series A Preferred Stock are summarized in Item 5.03 below. The shares of Series A Preferred Stock were issued in a private placement transaction pursuant to Section 4(2) of the Securities Act of 1933, as amended, and the rules and regulations promulgated thereunder.</w:t>
      </w:r>
    </w:p>
    <w:p>
      <w:pPr>
        <w:spacing w:after="0" w:line="187" w:lineRule="exact"/>
        <w:rPr>
          <w:sz w:val="20"/>
          <w:szCs w:val="20"/>
          <w:color w:val="auto"/>
        </w:rPr>
      </w:pPr>
    </w:p>
    <w:p>
      <w:pPr>
        <w:jc w:val="both"/>
        <w:ind w:right="479" w:firstLine="648"/>
        <w:spacing w:after="0" w:line="287" w:lineRule="auto"/>
        <w:rPr>
          <w:sz w:val="20"/>
          <w:szCs w:val="20"/>
          <w:color w:val="auto"/>
        </w:rPr>
      </w:pPr>
      <w:r>
        <w:rPr>
          <w:rFonts w:ascii="Arial" w:cs="Arial" w:eastAsia="Arial" w:hAnsi="Arial"/>
          <w:sz w:val="19"/>
          <w:szCs w:val="19"/>
          <w:color w:val="auto"/>
        </w:rPr>
        <w:t>As a condition of DermaStar’s purchase of the Series A Preferred Stock, the Company entered into a Mutual General Release Agreement (the “Mutual Release”) with certain former and current employees, officers and directors of the Company (the “Releasors”). The Mutual Release releases the Company and the Releasors thereto from liability for actions and events occurring through the date of the Mutual Release.</w:t>
      </w:r>
    </w:p>
    <w:p>
      <w:pPr>
        <w:spacing w:after="0" w:line="170" w:lineRule="exact"/>
        <w:rPr>
          <w:sz w:val="20"/>
          <w:szCs w:val="20"/>
          <w:color w:val="auto"/>
        </w:rPr>
      </w:pPr>
    </w:p>
    <w:p>
      <w:pPr>
        <w:jc w:val="both"/>
        <w:ind w:right="499" w:firstLine="648"/>
        <w:spacing w:after="0" w:line="236" w:lineRule="auto"/>
        <w:rPr>
          <w:sz w:val="20"/>
          <w:szCs w:val="20"/>
          <w:color w:val="auto"/>
        </w:rPr>
      </w:pPr>
      <w:r>
        <w:rPr>
          <w:rFonts w:ascii="Arial" w:cs="Arial" w:eastAsia="Arial" w:hAnsi="Arial"/>
          <w:sz w:val="22"/>
          <w:szCs w:val="22"/>
          <w:color w:val="auto"/>
        </w:rPr>
        <w:t>The foregoing descriptions of the above documents do not purport to be complete and are qualified in their entirety by the Line of Credit Agreement, the Security Agreement, the Intellectual Property Security Agreement, the Securities Purchase Agreement and the Mutual Release, attached as Exhibit 10.1, Exhibit 10.2, Exhibit 10.3, Exhibit 10.4 and Exhibit 10.5, respectively, to this Current Report on Form 8-K and incorporated herein by reference.</w:t>
      </w:r>
    </w:p>
    <w:p>
      <w:pPr>
        <w:sectPr>
          <w:pgSz w:w="11900" w:h="16838" w:orient="portrait"/>
          <w:cols w:equalWidth="0" w:num="1">
            <w:col w:w="10219"/>
          </w:cols>
          <w:pgMar w:left="240" w:top="111" w:right="1440" w:bottom="4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617474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1" w:right="1440" w:bottom="429"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1.02. Termination of a Material Definitive Agreement.</w:t>
      </w:r>
    </w:p>
    <w:p>
      <w:pPr>
        <w:spacing w:after="0" w:line="239" w:lineRule="exact"/>
        <w:rPr>
          <w:sz w:val="20"/>
          <w:szCs w:val="20"/>
          <w:color w:val="auto"/>
        </w:rPr>
      </w:pPr>
    </w:p>
    <w:p>
      <w:pPr>
        <w:jc w:val="both"/>
        <w:ind w:right="479" w:firstLine="648"/>
        <w:spacing w:after="0" w:line="274" w:lineRule="auto"/>
        <w:rPr>
          <w:sz w:val="20"/>
          <w:szCs w:val="20"/>
          <w:color w:val="auto"/>
        </w:rPr>
      </w:pPr>
      <w:r>
        <w:rPr>
          <w:rFonts w:ascii="Arial" w:cs="Arial" w:eastAsia="Arial" w:hAnsi="Arial"/>
          <w:sz w:val="19"/>
          <w:szCs w:val="19"/>
          <w:color w:val="auto"/>
        </w:rPr>
        <w:t>As previously disclosed by the Company, in connection with the Chapter 11 Case, the Company, as seller, and Cardium Healthcare, Inc., a wholly-owned subsidiary of Cardium, as purchaser, had entered into an Asset Purchase Agreement dated June 26, 2011 pursuant to which the Company agreed to sell substantially all of the assets of the Company to Cardium Healthcare, Inc. pursuant to Sections 105, 363 and 365 of the Bankruptcy Code, subject to court approval and the satisfaction of certain conditions set forth in the Asset Purchase Agreement. Consummation of the sale was subject to obtaining an order of approval from the Bankruptcy Court. On July 26, 2011, the Bankruptcy Court denied the Company’s motion to approve the Asset Purchase Agreement. On October 7, 2011, the Company terminated the Asset Purchase Agreement with Cardium Healthcare, Inc. pursuant to its terms.</w:t>
      </w:r>
    </w:p>
    <w:p>
      <w:pPr>
        <w:spacing w:after="0" w:line="180" w:lineRule="exact"/>
        <w:rPr>
          <w:sz w:val="20"/>
          <w:szCs w:val="20"/>
          <w:color w:val="auto"/>
        </w:rPr>
      </w:pPr>
    </w:p>
    <w:p>
      <w:pPr>
        <w:jc w:val="both"/>
        <w:ind w:right="499"/>
        <w:spacing w:after="0" w:line="256"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pacing w:after="0" w:line="196" w:lineRule="exact"/>
        <w:rPr>
          <w:sz w:val="20"/>
          <w:szCs w:val="20"/>
          <w:color w:val="auto"/>
        </w:rPr>
      </w:pPr>
    </w:p>
    <w:p>
      <w:pPr>
        <w:jc w:val="both"/>
        <w:ind w:right="479" w:firstLine="648"/>
        <w:spacing w:after="0" w:line="251" w:lineRule="auto"/>
        <w:rPr>
          <w:sz w:val="20"/>
          <w:szCs w:val="20"/>
          <w:color w:val="auto"/>
        </w:rPr>
      </w:pPr>
      <w:r>
        <w:rPr>
          <w:rFonts w:ascii="Arial" w:cs="Arial" w:eastAsia="Arial" w:hAnsi="Arial"/>
          <w:sz w:val="22"/>
          <w:szCs w:val="22"/>
          <w:color w:val="auto"/>
        </w:rPr>
        <w:t>The information set forth under Item 1.01 of this Current Report on Form 8-K regarding the Line of Credit and the Loan is hereby incorporated by reference into this Item 2.03.</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3.02. Unregistered Sales of Equity Securities.</w:t>
      </w:r>
    </w:p>
    <w:p>
      <w:pPr>
        <w:spacing w:after="0" w:line="239" w:lineRule="exact"/>
        <w:rPr>
          <w:sz w:val="20"/>
          <w:szCs w:val="20"/>
          <w:color w:val="auto"/>
        </w:rPr>
      </w:pPr>
    </w:p>
    <w:p>
      <w:pPr>
        <w:jc w:val="both"/>
        <w:ind w:right="499" w:firstLine="648"/>
        <w:spacing w:after="0" w:line="251" w:lineRule="auto"/>
        <w:rPr>
          <w:sz w:val="20"/>
          <w:szCs w:val="20"/>
          <w:color w:val="auto"/>
        </w:rPr>
      </w:pPr>
      <w:r>
        <w:rPr>
          <w:rFonts w:ascii="Arial" w:cs="Arial" w:eastAsia="Arial" w:hAnsi="Arial"/>
          <w:sz w:val="22"/>
          <w:szCs w:val="22"/>
          <w:color w:val="auto"/>
        </w:rPr>
        <w:t>The information set forth under Item 1.01 of this Current Report on Form 8-K regarding the issuance of the Series A Preferred Stock is hereby incorporated by reference into this Item 3.02.</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5.01. Changes in Control of Registrant.</w:t>
      </w:r>
    </w:p>
    <w:p>
      <w:pPr>
        <w:spacing w:after="0" w:line="239" w:lineRule="exact"/>
        <w:rPr>
          <w:sz w:val="20"/>
          <w:szCs w:val="20"/>
          <w:color w:val="auto"/>
        </w:rPr>
      </w:pPr>
    </w:p>
    <w:p>
      <w:pPr>
        <w:jc w:val="both"/>
        <w:ind w:right="499" w:firstLine="648"/>
        <w:spacing w:after="0" w:line="273" w:lineRule="auto"/>
        <w:rPr>
          <w:sz w:val="20"/>
          <w:szCs w:val="20"/>
          <w:color w:val="auto"/>
        </w:rPr>
      </w:pPr>
      <w:r>
        <w:rPr>
          <w:rFonts w:ascii="Arial" w:cs="Arial" w:eastAsia="Arial" w:hAnsi="Arial"/>
          <w:sz w:val="19"/>
          <w:szCs w:val="19"/>
          <w:color w:val="auto"/>
        </w:rPr>
        <w:t>The information set forth under Item 1.01 of this Current Report on Form 8-K is hereby incorporated by reference into this Item 5.01. Immediately prior to the issuance of the Series A Preferred Stock as described above, the Company had issued and outstanding approximately 15,882,000 shares of Common Stock and no shares of Preferred Stock. The ten shares of Series A Preferred Stock issued to DermaStar are convertible into 59,988,002 shares of Common Stock. The Company’s Amended and Restated Certificate of Incorporation currently authorizes the Company to issue up to 50,000,000 shares of capital stock. As a result, the Company does not currently have a sufficient number of shares of authorized Common Stock to convert all shares of Series A Preferred Stock into Common Stock. Until the number of authorized shares of Common Stock is increased through an amendment to the Company’s Amended and Restated Certificate of Incorporation, DermaStar has the ability to convert five of its ten shares of Series A Preferred Stock into 29,940,120 shares of Common Stock, representing approximately 65% of the capital stock of the Company on an as-converted basis.</w:t>
      </w:r>
    </w:p>
    <w:p>
      <w:pPr>
        <w:spacing w:after="0" w:line="200" w:lineRule="exact"/>
        <w:rPr>
          <w:sz w:val="20"/>
          <w:szCs w:val="20"/>
          <w:color w:val="auto"/>
        </w:rPr>
      </w:pPr>
    </w:p>
    <w:p>
      <w:pPr>
        <w:spacing w:after="0" w:line="226" w:lineRule="exact"/>
        <w:rPr>
          <w:sz w:val="20"/>
          <w:szCs w:val="20"/>
          <w:color w:val="auto"/>
        </w:rPr>
      </w:pPr>
    </w:p>
    <w:p>
      <w:pPr>
        <w:jc w:val="both"/>
        <w:ind w:right="479" w:firstLine="648"/>
        <w:spacing w:after="0" w:line="273" w:lineRule="auto"/>
        <w:rPr>
          <w:sz w:val="20"/>
          <w:szCs w:val="20"/>
          <w:color w:val="auto"/>
        </w:rPr>
      </w:pPr>
      <w:r>
        <w:rPr>
          <w:rFonts w:ascii="Arial" w:cs="Arial" w:eastAsia="Arial" w:hAnsi="Arial"/>
          <w:sz w:val="19"/>
          <w:szCs w:val="19"/>
          <w:color w:val="auto"/>
        </w:rPr>
        <w:t>The Company expects to seek stockholder approval of an amendment to its Amended and Restated Certificate of Incorporation to increase the number of authorized shares of capital stock of the Company sufficient to permit DermaStar to convert all ten shares of Series A Preferred Stock into Common Stock. Following approval of such an amendment DermaStar would be able to convert all ten shares of Series A Preferred Stock into 59,988,002 shares of Common Stock, representing approximately 79% of the capital stock of the Company on an as-converted basis. In addition, because the Series A Preferred Stock votes on an as-converted basis together with the Common Stock, DermaStar has control over approximately 79% of the voting securities of the Company. The separate approval of the Series A Preferred Stock is also required for the approval of certain matters, some of which are summarized in Item 5.03 below. As a result, DermaStar has sufficient voting power to direct the affairs of the Company.</w:t>
      </w:r>
    </w:p>
    <w:p>
      <w:pPr>
        <w:spacing w:after="0" w:line="189" w:lineRule="exact"/>
        <w:rPr>
          <w:sz w:val="20"/>
          <w:szCs w:val="20"/>
          <w:color w:val="auto"/>
        </w:rPr>
      </w:pPr>
    </w:p>
    <w:p>
      <w:pPr>
        <w:jc w:val="both"/>
        <w:ind w:right="499" w:firstLine="648"/>
        <w:spacing w:after="0"/>
        <w:rPr>
          <w:sz w:val="20"/>
          <w:szCs w:val="20"/>
          <w:color w:val="auto"/>
        </w:rPr>
      </w:pPr>
      <w:r>
        <w:rPr>
          <w:rFonts w:ascii="Arial" w:cs="Arial" w:eastAsia="Arial" w:hAnsi="Arial"/>
          <w:sz w:val="22"/>
          <w:szCs w:val="22"/>
          <w:color w:val="auto"/>
        </w:rPr>
        <w:t>DermaStar’s investment in Transdel was made out of its available funds. There are no understandings or arrangements between the Company’s board of directors and management and DermaStar with respect to the election of directors.</w:t>
      </w:r>
    </w:p>
    <w:p>
      <w:pPr>
        <w:spacing w:after="0" w:line="207" w:lineRule="exact"/>
        <w:rPr>
          <w:sz w:val="20"/>
          <w:szCs w:val="20"/>
          <w:color w:val="auto"/>
        </w:rPr>
      </w:pPr>
    </w:p>
    <w:p>
      <w:pPr>
        <w:ind w:right="879"/>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jc w:val="both"/>
        <w:ind w:right="479" w:firstLine="656"/>
        <w:spacing w:after="0" w:line="238" w:lineRule="auto"/>
        <w:tabs>
          <w:tab w:leader="none" w:pos="1270" w:val="left"/>
        </w:tabs>
        <w:numPr>
          <w:ilvl w:val="0"/>
          <w:numId w:val="1"/>
        </w:numPr>
        <w:rPr>
          <w:rFonts w:ascii="Arial" w:cs="Arial" w:eastAsia="Arial" w:hAnsi="Arial"/>
          <w:sz w:val="22"/>
          <w:szCs w:val="22"/>
          <w:color w:val="auto"/>
        </w:rPr>
      </w:pPr>
      <w:r>
        <w:rPr>
          <w:rFonts w:ascii="Arial" w:cs="Arial" w:eastAsia="Arial" w:hAnsi="Arial"/>
          <w:sz w:val="22"/>
          <w:szCs w:val="22"/>
          <w:color w:val="auto"/>
        </w:rPr>
        <w:t>Effective December 16, 2011, Anthony S. Thornley resigned as a director from the Company’s Board of Directors. Mr. Thornley’s resignation was not in connection with any known disagreement with the Company on any matter. Effective December 16, 2011, Terry Nida resigned as principle executive officer and principle financial officer of the Company.</w:t>
      </w:r>
    </w:p>
    <w:p>
      <w:pPr>
        <w:spacing w:after="0" w:line="212" w:lineRule="exact"/>
        <w:rPr>
          <w:sz w:val="20"/>
          <w:szCs w:val="20"/>
          <w:color w:val="auto"/>
        </w:rPr>
      </w:pPr>
    </w:p>
    <w:p>
      <w:pPr>
        <w:jc w:val="both"/>
        <w:ind w:right="479" w:firstLine="656"/>
        <w:spacing w:after="0" w:line="282" w:lineRule="auto"/>
        <w:tabs>
          <w:tab w:leader="none" w:pos="1270" w:val="left"/>
        </w:tabs>
        <w:numPr>
          <w:ilvl w:val="0"/>
          <w:numId w:val="2"/>
        </w:numPr>
        <w:rPr>
          <w:rFonts w:ascii="Arial" w:cs="Arial" w:eastAsia="Arial" w:hAnsi="Arial"/>
          <w:sz w:val="19"/>
          <w:szCs w:val="19"/>
          <w:color w:val="auto"/>
        </w:rPr>
      </w:pPr>
      <w:r>
        <w:rPr>
          <w:rFonts w:ascii="Arial" w:cs="Arial" w:eastAsia="Arial" w:hAnsi="Arial"/>
          <w:sz w:val="19"/>
          <w:szCs w:val="19"/>
          <w:color w:val="auto"/>
        </w:rPr>
        <w:t>Effective December 16, 2011, upon the unanimous consent of the Company’s Board of Directors, Mark L. Baum and Dr. Robert J. Kammer joined the Board of Directors, each to serve until his resignation or removal or until his successor is duly elected and qualified. Mr. Baum and Dr. Kammer are the Managing Members of DermaStar and both Dr. Kammer and Mr. Baum hold ownership interests in DermaStar. There are no arrangements or understandings between either Mr. Baum or Dr. Kammer and any other persons pursuant to</w:t>
      </w:r>
    </w:p>
    <w:p>
      <w:pPr>
        <w:sectPr>
          <w:pgSz w:w="11900" w:h="16838" w:orient="portrait"/>
          <w:cols w:equalWidth="0" w:num="1">
            <w:col w:w="10219"/>
          </w:cols>
          <w:pgMar w:left="240" w:top="355" w:right="1440" w:bottom="0" w:gutter="0" w:footer="0" w:header="0"/>
        </w:sectPr>
      </w:pPr>
    </w:p>
    <w:bookmarkStart w:id="3" w:name="page4"/>
    <w:bookmarkEnd w:id="3"/>
    <w:p>
      <w:pPr>
        <w:ind w:right="499"/>
        <w:spacing w:after="0" w:line="274" w:lineRule="auto"/>
        <w:rPr>
          <w:sz w:val="20"/>
          <w:szCs w:val="20"/>
          <w:color w:val="auto"/>
        </w:rPr>
      </w:pPr>
      <w:r>
        <w:rPr>
          <w:rFonts w:ascii="Arial" w:cs="Arial" w:eastAsia="Arial" w:hAnsi="Arial"/>
          <w:sz w:val="21"/>
          <w:szCs w:val="21"/>
          <w:color w:val="auto"/>
        </w:rPr>
        <w:t>which either Mr. Baum or Dr. Kammer was elected as a director. The information set forth under Item 1.01 of this Current Report on Form 8-K is hereby incorporated by reference into this Item 5.02(d).</w:t>
      </w:r>
    </w:p>
    <w:p>
      <w:pPr>
        <w:spacing w:after="0" w:line="395"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6174740"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4" w:name="page5"/>
    <w:bookmarkEnd w:id="4"/>
    <w:p>
      <w:pPr>
        <w:jc w:val="both"/>
        <w:ind w:right="499" w:firstLine="648"/>
        <w:spacing w:after="0" w:line="271" w:lineRule="auto"/>
        <w:rPr>
          <w:sz w:val="20"/>
          <w:szCs w:val="20"/>
          <w:color w:val="auto"/>
        </w:rPr>
      </w:pPr>
      <w:r>
        <w:rPr>
          <w:rFonts w:ascii="Arial" w:cs="Arial" w:eastAsia="Arial" w:hAnsi="Arial"/>
          <w:sz w:val="19"/>
          <w:szCs w:val="19"/>
          <w:color w:val="auto"/>
        </w:rPr>
        <w:t>Mark L. Baum, Esq. is a 39 year old executive with more than 15 years experience in financing, operating and advising small capitalization publicly traded enterprises, with a particular focus on restructured or reorganized businesses. As a manager of capital, he has completed more than 125 rounds of financing for more than 40 publicly traded companies. As a securities attorney, Mr. Baum has focused his practice on US securities laws, reporting requirements and public company finance-related issues that affect small capitalization public companies. Mr. Baum has actively participated in numerous public company spin-offs, restructurings and recapitalizations, venture fundings, private-to-public mergers, asset acquisitions and divestitures. In additional to his fund management and legal experience, Mr. Baum has operational experience in the following industries: life science and diagnostics, closed door pharmacies, cleaner and renewable energy and retail home furnishings. Mr. Baum has served on numerous boards of directors, including Chembio Diagnostic Systems, Inc., Applied Natural Gas Fuels, Inc., Shrink Nanotechnologies, Inc. and You on Demand, Inc., as well as Boards of Advisors for domestic and international private and public companies. Mr. Baum founded and capitalized the Mark L. Baum Scholarship which has funded tuition grants to college students in Texas. He is a trustee of the Collier de Bleu Trust, based out of San Miguel de Allende, Mexico, which is dedicated to funding educational opportunities for non-English speaking children in and around the greater San Miguel de Allende area. Mr. Baum is a published inventor and a licensed attorney in California and Texas.</w:t>
      </w:r>
    </w:p>
    <w:p>
      <w:pPr>
        <w:spacing w:after="0" w:line="185" w:lineRule="exact"/>
        <w:rPr>
          <w:sz w:val="20"/>
          <w:szCs w:val="20"/>
          <w:color w:val="auto"/>
        </w:rPr>
      </w:pPr>
    </w:p>
    <w:p>
      <w:pPr>
        <w:jc w:val="both"/>
        <w:ind w:right="479" w:firstLine="648"/>
        <w:spacing w:after="0" w:line="272" w:lineRule="auto"/>
        <w:rPr>
          <w:sz w:val="20"/>
          <w:szCs w:val="20"/>
          <w:color w:val="auto"/>
        </w:rPr>
      </w:pPr>
      <w:r>
        <w:rPr>
          <w:rFonts w:ascii="Arial" w:cs="Arial" w:eastAsia="Arial" w:hAnsi="Arial"/>
          <w:sz w:val="19"/>
          <w:szCs w:val="19"/>
          <w:color w:val="auto"/>
        </w:rPr>
        <w:t xml:space="preserve">Dr. Kammer, 62, received his Bachelor of Science Degree in 1971 from Xavier University, Cincinnati, Ohio. He received his Doctor of Dental Surgery Degree from the University of Iowa in 1974. Dr. Kammer is a Diplomat of The American Board of Orofacial Pain and a Founding Charter Member of The Academy for Sports Dentistry and Colorado Osseointegration Study Club. From 1979 to 1996, Dr. Kammer was an Associate Professor and Course Director of Orofacial Pain Section in the Department of Restorative Dentistry at The University of Colorado Health Science Center. From 1982 through 1993, he served on the Sports Medicine Advisory Committee at The University of Colorado Intercollegiate Athletics and was the Team Dentist for Football and Basketball. From 1983 to 1990, Dr. Kammer was a consultant to the Boulder-Denver Pain Control Center and from 1988 through 1991, he served as a Referee and Editorial Staff Consultant of the Journal of Orofacial Pain. Dr. Kammer recently contributed a chapter to the groundbreaking text </w:t>
      </w:r>
      <w:r>
        <w:rPr>
          <w:rFonts w:ascii="Arial" w:cs="Arial" w:eastAsia="Arial" w:hAnsi="Arial"/>
          <w:sz w:val="19"/>
          <w:szCs w:val="19"/>
          <w:u w:val="single" w:color="auto"/>
          <w:color w:val="auto"/>
        </w:rPr>
        <w:t>Osteoperiosteal Flap</w:t>
      </w:r>
      <w:r>
        <w:rPr>
          <w:rFonts w:ascii="Arial" w:cs="Arial" w:eastAsia="Arial" w:hAnsi="Arial"/>
          <w:sz w:val="19"/>
          <w:szCs w:val="19"/>
          <w:i w:val="1"/>
          <w:iCs w:val="1"/>
          <w:u w:val="single" w:color="auto"/>
          <w:color w:val="auto"/>
        </w:rPr>
        <w:t>,</w:t>
      </w:r>
      <w:r>
        <w:rPr>
          <w:rFonts w:ascii="Arial" w:cs="Arial" w:eastAsia="Arial" w:hAnsi="Arial"/>
          <w:sz w:val="19"/>
          <w:szCs w:val="19"/>
          <w:color w:val="auto"/>
        </w:rPr>
        <w:t xml:space="preserve"> is consulting for Clear Choice Dental Implant Centers, co-authoring scientific papers and is a co-investigator for a landmark study of Titanium Implant Prostheses at the Mayo Institute.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5.03. Amendments to Articles of Incorporation or Bylaws; Change in Fiscal Year.</w:t>
      </w:r>
    </w:p>
    <w:p>
      <w:pPr>
        <w:spacing w:after="0" w:line="239" w:lineRule="exact"/>
        <w:rPr>
          <w:sz w:val="20"/>
          <w:szCs w:val="20"/>
          <w:color w:val="auto"/>
        </w:rPr>
      </w:pPr>
    </w:p>
    <w:p>
      <w:pPr>
        <w:jc w:val="both"/>
        <w:ind w:right="479" w:firstLine="648"/>
        <w:spacing w:after="0" w:line="269" w:lineRule="auto"/>
        <w:rPr>
          <w:sz w:val="20"/>
          <w:szCs w:val="20"/>
          <w:color w:val="auto"/>
        </w:rPr>
      </w:pPr>
      <w:r>
        <w:rPr>
          <w:rFonts w:ascii="Arial" w:cs="Arial" w:eastAsia="Arial" w:hAnsi="Arial"/>
          <w:sz w:val="19"/>
          <w:szCs w:val="19"/>
          <w:color w:val="auto"/>
        </w:rPr>
        <w:t>On December 9, 2011, the Company filed a Certificate of Designation to its Amended and Restated Certificate of Incorporation with the Secretary of State of the State of Delaware (the “Certificate of Designation”), setting forth the rights and preferences of the Series A Preferred Stock. Among other things, the Certificate of Designation (i) authorizes ten (10) shares of the Company’s preferred stock to be designated as “Series A Convertible Preferred Stock”; (ii) grants the holders of the Series A Preferred Stock the right to convert into the Company’s Common Stock at a conversion price of $0.001667, as adjusted; (iii) grants a liquidation preference of $10,000 per share of Series A Preferred Stock; (iv) provides that the holders of Series A Preferred Stock shall vote with the holders of the Company’s common stock on an “as converted basis”; and</w:t>
      </w:r>
    </w:p>
    <w:p>
      <w:pPr>
        <w:spacing w:after="0" w:line="4" w:lineRule="exact"/>
        <w:rPr>
          <w:sz w:val="20"/>
          <w:szCs w:val="20"/>
          <w:color w:val="auto"/>
        </w:rPr>
      </w:pPr>
    </w:p>
    <w:p>
      <w:pPr>
        <w:jc w:val="both"/>
        <w:ind w:right="479" w:firstLine="8"/>
        <w:spacing w:after="0" w:line="275" w:lineRule="auto"/>
        <w:tabs>
          <w:tab w:leader="none" w:pos="317" w:val="left"/>
        </w:tabs>
        <w:numPr>
          <w:ilvl w:val="0"/>
          <w:numId w:val="3"/>
        </w:numPr>
        <w:rPr>
          <w:rFonts w:ascii="Arial" w:cs="Arial" w:eastAsia="Arial" w:hAnsi="Arial"/>
          <w:sz w:val="19"/>
          <w:szCs w:val="19"/>
          <w:color w:val="auto"/>
        </w:rPr>
      </w:pPr>
      <w:r>
        <w:rPr>
          <w:rFonts w:ascii="Arial" w:cs="Arial" w:eastAsia="Arial" w:hAnsi="Arial"/>
          <w:sz w:val="19"/>
          <w:szCs w:val="19"/>
          <w:color w:val="auto"/>
        </w:rPr>
        <w:t>provides that the affirmative vote of a majority of the outstanding shares of the Series A Preferred Stock is required to approve certain other corporate matters including, among other things, changes to the rights of the holders of the Series A Preferred Stock, amendments to the Company’s Certificate of Incorporation or Bylaws, issuance of priority or parity securities, issuance of debt securities, entry into certain fundamental transactions and increase or decrease the size of the Board of Directors of the Company. A copy of the Certificate of Designation is listed as Exhibit 3.1 to this Form 8-K and is incorporated herein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9140" w:type="dxa"/>
            <w:vAlign w:val="bottom"/>
          </w:tcPr>
          <w:p>
            <w:pPr>
              <w:spacing w:after="0"/>
              <w:rPr>
                <w:sz w:val="18"/>
                <w:szCs w:val="18"/>
                <w:color w:val="auto"/>
              </w:rPr>
            </w:pPr>
          </w:p>
        </w:tc>
      </w:tr>
      <w:tr>
        <w:trPr>
          <w:trHeight w:val="220"/>
        </w:trPr>
        <w:tc>
          <w:tcPr>
            <w:tcW w:w="780" w:type="dxa"/>
            <w:vAlign w:val="bottom"/>
          </w:tcPr>
          <w:p>
            <w:pPr>
              <w:spacing w:after="0"/>
              <w:rPr>
                <w:sz w:val="20"/>
                <w:szCs w:val="20"/>
                <w:color w:val="auto"/>
              </w:rPr>
            </w:pPr>
            <w:r>
              <w:rPr>
                <w:rFonts w:ascii="Arial" w:cs="Arial" w:eastAsia="Arial" w:hAnsi="Arial"/>
                <w:sz w:val="18"/>
                <w:szCs w:val="18"/>
                <w:b w:val="1"/>
                <w:bCs w:val="1"/>
                <w:color w:val="auto"/>
              </w:rPr>
              <w:t>No.</w:t>
            </w:r>
          </w:p>
        </w:tc>
        <w:tc>
          <w:tcPr>
            <w:tcW w:w="914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9140" w:type="dxa"/>
            <w:vAlign w:val="bottom"/>
          </w:tcPr>
          <w:p>
            <w:pPr>
              <w:ind w:left="180"/>
              <w:spacing w:after="0"/>
              <w:rPr>
                <w:sz w:val="20"/>
                <w:szCs w:val="20"/>
                <w:color w:val="auto"/>
              </w:rPr>
            </w:pPr>
            <w:r>
              <w:rPr>
                <w:rFonts w:ascii="Arial" w:cs="Arial" w:eastAsia="Arial" w:hAnsi="Arial"/>
                <w:sz w:val="18"/>
                <w:szCs w:val="18"/>
                <w:color w:val="auto"/>
              </w:rPr>
              <w:t>Certificate of Designation of Series A Convertible Preferred Stock of Transdel Pharmaceuticals, Inc.</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9140" w:type="dxa"/>
            <w:vAlign w:val="bottom"/>
          </w:tcPr>
          <w:p>
            <w:pPr>
              <w:ind w:left="180"/>
              <w:spacing w:after="0"/>
              <w:rPr>
                <w:sz w:val="20"/>
                <w:szCs w:val="20"/>
                <w:color w:val="auto"/>
              </w:rPr>
            </w:pPr>
            <w:r>
              <w:rPr>
                <w:rFonts w:ascii="Arial" w:cs="Arial" w:eastAsia="Arial" w:hAnsi="Arial"/>
                <w:sz w:val="18"/>
                <w:szCs w:val="18"/>
                <w:color w:val="auto"/>
                <w:w w:val="91"/>
              </w:rPr>
              <w:t>Secured Line of Credit Letter Agreement, dated as of November 21, 2011, by and between Transdel Pharmaceuticals, Inc.</w:t>
            </w:r>
          </w:p>
        </w:tc>
      </w:tr>
      <w:tr>
        <w:trPr>
          <w:trHeight w:val="216"/>
        </w:trPr>
        <w:tc>
          <w:tcPr>
            <w:tcW w:w="780" w:type="dxa"/>
            <w:vAlign w:val="bottom"/>
          </w:tcPr>
          <w:p>
            <w:pPr>
              <w:spacing w:after="0"/>
              <w:rPr>
                <w:sz w:val="18"/>
                <w:szCs w:val="18"/>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and DermaStar International, LLC</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9140" w:type="dxa"/>
            <w:vAlign w:val="bottom"/>
          </w:tcPr>
          <w:p>
            <w:pPr>
              <w:ind w:left="180"/>
              <w:spacing w:after="0"/>
              <w:rPr>
                <w:sz w:val="20"/>
                <w:szCs w:val="20"/>
                <w:color w:val="auto"/>
              </w:rPr>
            </w:pPr>
            <w:r>
              <w:rPr>
                <w:rFonts w:ascii="Arial" w:cs="Arial" w:eastAsia="Arial" w:hAnsi="Arial"/>
                <w:sz w:val="18"/>
                <w:szCs w:val="18"/>
                <w:color w:val="auto"/>
                <w:w w:val="96"/>
              </w:rPr>
              <w:t>Security Agreement, dated as of December 9, 2011, by and between Transdel Pharmaceuticals, Inc. and DermaStar</w:t>
            </w:r>
          </w:p>
        </w:tc>
      </w:tr>
      <w:tr>
        <w:trPr>
          <w:trHeight w:val="216"/>
        </w:trPr>
        <w:tc>
          <w:tcPr>
            <w:tcW w:w="780" w:type="dxa"/>
            <w:vAlign w:val="bottom"/>
          </w:tcPr>
          <w:p>
            <w:pPr>
              <w:spacing w:after="0"/>
              <w:rPr>
                <w:sz w:val="18"/>
                <w:szCs w:val="18"/>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International, LLC</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9140" w:type="dxa"/>
            <w:vAlign w:val="bottom"/>
          </w:tcPr>
          <w:p>
            <w:pPr>
              <w:ind w:left="180"/>
              <w:spacing w:after="0"/>
              <w:rPr>
                <w:sz w:val="20"/>
                <w:szCs w:val="20"/>
                <w:color w:val="auto"/>
              </w:rPr>
            </w:pPr>
            <w:r>
              <w:rPr>
                <w:rFonts w:ascii="Arial" w:cs="Arial" w:eastAsia="Arial" w:hAnsi="Arial"/>
                <w:sz w:val="18"/>
                <w:szCs w:val="18"/>
                <w:color w:val="auto"/>
                <w:w w:val="92"/>
              </w:rPr>
              <w:t>Intellectual Property Security Agreement, dated as of December 9, 2011, by and between Transdel Pharmaceuticals, Inc.</w:t>
            </w:r>
          </w:p>
        </w:tc>
      </w:tr>
      <w:tr>
        <w:trPr>
          <w:trHeight w:val="216"/>
        </w:trPr>
        <w:tc>
          <w:tcPr>
            <w:tcW w:w="780" w:type="dxa"/>
            <w:vAlign w:val="bottom"/>
          </w:tcPr>
          <w:p>
            <w:pPr>
              <w:spacing w:after="0"/>
              <w:rPr>
                <w:sz w:val="18"/>
                <w:szCs w:val="18"/>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and DermaStar International, LLC</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9140" w:type="dxa"/>
            <w:vAlign w:val="bottom"/>
          </w:tcPr>
          <w:p>
            <w:pPr>
              <w:ind w:left="180"/>
              <w:spacing w:after="0"/>
              <w:rPr>
                <w:sz w:val="20"/>
                <w:szCs w:val="20"/>
                <w:color w:val="auto"/>
              </w:rPr>
            </w:pPr>
            <w:r>
              <w:rPr>
                <w:rFonts w:ascii="Arial" w:cs="Arial" w:eastAsia="Arial" w:hAnsi="Arial"/>
                <w:sz w:val="18"/>
                <w:szCs w:val="18"/>
                <w:color w:val="auto"/>
                <w:w w:val="95"/>
              </w:rPr>
              <w:t>Securities Purchase Agreement, dated as of November 21, 2011, by and between Transdel Pharmaceuticals, Inc. and</w:t>
            </w:r>
          </w:p>
        </w:tc>
      </w:tr>
      <w:tr>
        <w:trPr>
          <w:trHeight w:val="216"/>
        </w:trPr>
        <w:tc>
          <w:tcPr>
            <w:tcW w:w="780" w:type="dxa"/>
            <w:vAlign w:val="bottom"/>
          </w:tcPr>
          <w:p>
            <w:pPr>
              <w:spacing w:after="0"/>
              <w:rPr>
                <w:sz w:val="18"/>
                <w:szCs w:val="18"/>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DermaStar International, LLC</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9140" w:type="dxa"/>
            <w:vAlign w:val="bottom"/>
          </w:tcPr>
          <w:p>
            <w:pPr>
              <w:ind w:left="180"/>
              <w:spacing w:after="0"/>
              <w:rPr>
                <w:sz w:val="20"/>
                <w:szCs w:val="20"/>
                <w:color w:val="auto"/>
              </w:rPr>
            </w:pPr>
            <w:r>
              <w:rPr>
                <w:rFonts w:ascii="Arial" w:cs="Arial" w:eastAsia="Arial" w:hAnsi="Arial"/>
                <w:sz w:val="18"/>
                <w:szCs w:val="18"/>
                <w:color w:val="auto"/>
                <w:w w:val="93"/>
              </w:rPr>
              <w:t>Mutual General Release Agreement, dated December 13, 2011, by and between Transdel Pharmaceuticals, Inc. and the</w:t>
            </w:r>
          </w:p>
        </w:tc>
      </w:tr>
      <w:tr>
        <w:trPr>
          <w:trHeight w:val="230"/>
        </w:trPr>
        <w:tc>
          <w:tcPr>
            <w:tcW w:w="780" w:type="dxa"/>
            <w:vAlign w:val="bottom"/>
          </w:tcPr>
          <w:p>
            <w:pPr>
              <w:spacing w:after="0"/>
              <w:rPr>
                <w:sz w:val="20"/>
                <w:szCs w:val="20"/>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other signatories thereto</w:t>
            </w:r>
          </w:p>
        </w:tc>
      </w:tr>
    </w:tbl>
    <w:p>
      <w:pPr>
        <w:spacing w:after="0" w:line="200" w:lineRule="exact"/>
        <w:rPr>
          <w:sz w:val="20"/>
          <w:szCs w:val="20"/>
          <w:color w:val="auto"/>
        </w:rPr>
      </w:pPr>
    </w:p>
    <w:p>
      <w:pPr>
        <w:sectPr>
          <w:pgSz w:w="11900" w:h="16838" w:orient="portrait"/>
          <w:cols w:equalWidth="0" w:num="1">
            <w:col w:w="10219"/>
          </w:cols>
          <w:pgMar w:left="240" w:top="361" w:right="144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19"/>
          </w:cols>
          <w:pgMar w:left="240" w:top="361" w:right="1440" w:bottom="0" w:gutter="0" w:footer="0" w:header="0"/>
          <w:type w:val="continuous"/>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ind w:left="4180"/>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499"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300" w:type="dxa"/>
            <w:vAlign w:val="bottom"/>
          </w:tcPr>
          <w:p>
            <w:pPr>
              <w:spacing w:after="0"/>
              <w:rPr>
                <w:sz w:val="24"/>
                <w:szCs w:val="24"/>
                <w:color w:val="auto"/>
              </w:rPr>
            </w:pPr>
          </w:p>
        </w:tc>
        <w:tc>
          <w:tcPr>
            <w:tcW w:w="5160" w:type="dxa"/>
            <w:vAlign w:val="bottom"/>
            <w:gridSpan w:val="3"/>
          </w:tcPr>
          <w:p>
            <w:pPr>
              <w:ind w:left="920"/>
              <w:spacing w:after="0"/>
              <w:rPr>
                <w:sz w:val="20"/>
                <w:szCs w:val="20"/>
                <w:color w:val="auto"/>
              </w:rPr>
            </w:pPr>
            <w:r>
              <w:rPr>
                <w:rFonts w:ascii="Arial" w:cs="Arial" w:eastAsia="Arial" w:hAnsi="Arial"/>
                <w:sz w:val="22"/>
                <w:szCs w:val="22"/>
                <w:b w:val="1"/>
                <w:bCs w:val="1"/>
                <w:color w:val="auto"/>
              </w:rPr>
              <w:t>TRANSDEL PHARMACEUTICALS, INC.</w:t>
            </w:r>
          </w:p>
        </w:tc>
      </w:tr>
      <w:tr>
        <w:trPr>
          <w:trHeight w:val="436"/>
        </w:trPr>
        <w:tc>
          <w:tcPr>
            <w:tcW w:w="3300" w:type="dxa"/>
            <w:vAlign w:val="bottom"/>
          </w:tcPr>
          <w:p>
            <w:pPr>
              <w:spacing w:after="0"/>
              <w:rPr>
                <w:sz w:val="20"/>
                <w:szCs w:val="20"/>
                <w:color w:val="auto"/>
              </w:rPr>
            </w:pPr>
            <w:r>
              <w:rPr>
                <w:rFonts w:ascii="Arial" w:cs="Arial" w:eastAsia="Arial" w:hAnsi="Arial"/>
                <w:sz w:val="22"/>
                <w:szCs w:val="22"/>
                <w:color w:val="auto"/>
              </w:rPr>
              <w:t>Dated: December 19, 2011</w:t>
            </w:r>
          </w:p>
        </w:tc>
        <w:tc>
          <w:tcPr>
            <w:tcW w:w="5160" w:type="dxa"/>
            <w:vAlign w:val="bottom"/>
            <w:gridSpan w:val="3"/>
          </w:tcPr>
          <w:p>
            <w:pPr>
              <w:ind w:left="10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Mark L. Baum</w:t>
            </w:r>
          </w:p>
        </w:tc>
      </w:tr>
      <w:tr>
        <w:trPr>
          <w:trHeight w:val="242"/>
        </w:trPr>
        <w:tc>
          <w:tcPr>
            <w:tcW w:w="3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980" w:type="dxa"/>
            <w:vAlign w:val="bottom"/>
            <w:tcBorders>
              <w:top w:val="single" w:sz="8" w:color="auto"/>
            </w:tcBorders>
          </w:tcPr>
          <w:p>
            <w:pPr>
              <w:ind w:left="40"/>
              <w:spacing w:after="0" w:line="242" w:lineRule="exact"/>
              <w:rPr>
                <w:sz w:val="20"/>
                <w:szCs w:val="20"/>
                <w:color w:val="auto"/>
              </w:rPr>
            </w:pPr>
            <w:r>
              <w:rPr>
                <w:rFonts w:ascii="Arial" w:cs="Arial" w:eastAsia="Arial" w:hAnsi="Arial"/>
                <w:sz w:val="22"/>
                <w:szCs w:val="22"/>
                <w:color w:val="auto"/>
              </w:rPr>
              <w:t>Name: Mark L. Baum</w:t>
            </w:r>
          </w:p>
        </w:tc>
        <w:tc>
          <w:tcPr>
            <w:tcW w:w="640" w:type="dxa"/>
            <w:vAlign w:val="bottom"/>
          </w:tcPr>
          <w:p>
            <w:pPr>
              <w:spacing w:after="0"/>
              <w:rPr>
                <w:sz w:val="21"/>
                <w:szCs w:val="21"/>
                <w:color w:val="auto"/>
              </w:rPr>
            </w:pPr>
          </w:p>
        </w:tc>
      </w:tr>
      <w:tr>
        <w:trPr>
          <w:trHeight w:val="275"/>
        </w:trPr>
        <w:tc>
          <w:tcPr>
            <w:tcW w:w="3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620" w:type="dxa"/>
            <w:vAlign w:val="bottom"/>
            <w:gridSpan w:val="2"/>
          </w:tcPr>
          <w:p>
            <w:pPr>
              <w:ind w:left="40"/>
              <w:spacing w:after="0"/>
              <w:rPr>
                <w:sz w:val="20"/>
                <w:szCs w:val="20"/>
                <w:color w:val="auto"/>
              </w:rPr>
            </w:pPr>
            <w:r>
              <w:rPr>
                <w:rFonts w:ascii="Arial" w:cs="Arial" w:eastAsia="Arial" w:hAnsi="Arial"/>
                <w:sz w:val="22"/>
                <w:szCs w:val="22"/>
                <w:color w:val="auto"/>
                <w:w w:val="90"/>
              </w:rPr>
              <w:t>Title: Chairman of the Board of Directors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617474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780" w:type="dxa"/>
            <w:vAlign w:val="bottom"/>
          </w:tcPr>
          <w:p>
            <w:pPr>
              <w:spacing w:after="0"/>
              <w:rPr>
                <w:sz w:val="24"/>
                <w:szCs w:val="24"/>
                <w:color w:val="auto"/>
              </w:rPr>
            </w:pPr>
          </w:p>
        </w:tc>
        <w:tc>
          <w:tcPr>
            <w:tcW w:w="9140" w:type="dxa"/>
            <w:vAlign w:val="bottom"/>
          </w:tcPr>
          <w:p>
            <w:pPr>
              <w:ind w:left="3260"/>
              <w:spacing w:after="0"/>
              <w:rPr>
                <w:sz w:val="20"/>
                <w:szCs w:val="20"/>
                <w:color w:val="auto"/>
              </w:rPr>
            </w:pPr>
            <w:r>
              <w:rPr>
                <w:rFonts w:ascii="Arial" w:cs="Arial" w:eastAsia="Arial" w:hAnsi="Arial"/>
                <w:sz w:val="22"/>
                <w:szCs w:val="22"/>
                <w:b w:val="1"/>
                <w:bCs w:val="1"/>
                <w:color w:val="auto"/>
              </w:rPr>
              <w:t>EXHIBIT INDEX</w:t>
            </w:r>
          </w:p>
        </w:tc>
      </w:tr>
      <w:tr>
        <w:trPr>
          <w:trHeight w:val="431"/>
        </w:trPr>
        <w:tc>
          <w:tcPr>
            <w:tcW w:w="7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9140" w:type="dxa"/>
            <w:vAlign w:val="bottom"/>
          </w:tcPr>
          <w:p>
            <w:pPr>
              <w:spacing w:after="0"/>
              <w:rPr>
                <w:sz w:val="24"/>
                <w:szCs w:val="24"/>
                <w:color w:val="auto"/>
              </w:rPr>
            </w:pPr>
          </w:p>
        </w:tc>
      </w:tr>
      <w:tr>
        <w:trPr>
          <w:trHeight w:val="220"/>
        </w:trPr>
        <w:tc>
          <w:tcPr>
            <w:tcW w:w="780" w:type="dxa"/>
            <w:vAlign w:val="bottom"/>
          </w:tcPr>
          <w:p>
            <w:pPr>
              <w:spacing w:after="0"/>
              <w:rPr>
                <w:sz w:val="20"/>
                <w:szCs w:val="20"/>
                <w:color w:val="auto"/>
              </w:rPr>
            </w:pPr>
            <w:r>
              <w:rPr>
                <w:rFonts w:ascii="Arial" w:cs="Arial" w:eastAsia="Arial" w:hAnsi="Arial"/>
                <w:sz w:val="18"/>
                <w:szCs w:val="18"/>
                <w:b w:val="1"/>
                <w:bCs w:val="1"/>
                <w:color w:val="auto"/>
              </w:rPr>
              <w:t>No.</w:t>
            </w:r>
          </w:p>
        </w:tc>
        <w:tc>
          <w:tcPr>
            <w:tcW w:w="914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9140" w:type="dxa"/>
            <w:vAlign w:val="bottom"/>
          </w:tcPr>
          <w:p>
            <w:pPr>
              <w:ind w:left="180"/>
              <w:spacing w:after="0"/>
              <w:rPr>
                <w:sz w:val="20"/>
                <w:szCs w:val="20"/>
                <w:color w:val="auto"/>
              </w:rPr>
            </w:pPr>
            <w:r>
              <w:rPr>
                <w:rFonts w:ascii="Arial" w:cs="Arial" w:eastAsia="Arial" w:hAnsi="Arial"/>
                <w:sz w:val="18"/>
                <w:szCs w:val="18"/>
                <w:color w:val="auto"/>
              </w:rPr>
              <w:t>Certificate of Designation of Series A Convertible Preferred Stock of Transdel Pharmaceuticals, Inc.</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9140" w:type="dxa"/>
            <w:vAlign w:val="bottom"/>
          </w:tcPr>
          <w:p>
            <w:pPr>
              <w:ind w:left="180"/>
              <w:spacing w:after="0"/>
              <w:rPr>
                <w:sz w:val="20"/>
                <w:szCs w:val="20"/>
                <w:color w:val="auto"/>
              </w:rPr>
            </w:pPr>
            <w:r>
              <w:rPr>
                <w:rFonts w:ascii="Arial" w:cs="Arial" w:eastAsia="Arial" w:hAnsi="Arial"/>
                <w:sz w:val="18"/>
                <w:szCs w:val="18"/>
                <w:color w:val="auto"/>
                <w:w w:val="91"/>
              </w:rPr>
              <w:t>Secured Line of Credit Letter Agreement, dated as of November 21, 2011, by and between Transdel Pharmaceuticals, Inc.</w:t>
            </w:r>
          </w:p>
        </w:tc>
      </w:tr>
      <w:tr>
        <w:trPr>
          <w:trHeight w:val="216"/>
        </w:trPr>
        <w:tc>
          <w:tcPr>
            <w:tcW w:w="780" w:type="dxa"/>
            <w:vAlign w:val="bottom"/>
          </w:tcPr>
          <w:p>
            <w:pPr>
              <w:spacing w:after="0"/>
              <w:rPr>
                <w:sz w:val="18"/>
                <w:szCs w:val="18"/>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and DermaStar International, LLC</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9140" w:type="dxa"/>
            <w:vAlign w:val="bottom"/>
          </w:tcPr>
          <w:p>
            <w:pPr>
              <w:ind w:left="180"/>
              <w:spacing w:after="0"/>
              <w:rPr>
                <w:sz w:val="20"/>
                <w:szCs w:val="20"/>
                <w:color w:val="auto"/>
              </w:rPr>
            </w:pPr>
            <w:r>
              <w:rPr>
                <w:rFonts w:ascii="Arial" w:cs="Arial" w:eastAsia="Arial" w:hAnsi="Arial"/>
                <w:sz w:val="18"/>
                <w:szCs w:val="18"/>
                <w:color w:val="auto"/>
                <w:w w:val="96"/>
              </w:rPr>
              <w:t>Security Agreement, dated as of December 9, 2011, by and between Transdel Pharmaceuticals, Inc. and DermaStar</w:t>
            </w:r>
          </w:p>
        </w:tc>
      </w:tr>
      <w:tr>
        <w:trPr>
          <w:trHeight w:val="216"/>
        </w:trPr>
        <w:tc>
          <w:tcPr>
            <w:tcW w:w="780" w:type="dxa"/>
            <w:vAlign w:val="bottom"/>
          </w:tcPr>
          <w:p>
            <w:pPr>
              <w:spacing w:after="0"/>
              <w:rPr>
                <w:sz w:val="18"/>
                <w:szCs w:val="18"/>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International, LLC</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9140" w:type="dxa"/>
            <w:vAlign w:val="bottom"/>
          </w:tcPr>
          <w:p>
            <w:pPr>
              <w:ind w:left="180"/>
              <w:spacing w:after="0"/>
              <w:rPr>
                <w:sz w:val="20"/>
                <w:szCs w:val="20"/>
                <w:color w:val="auto"/>
              </w:rPr>
            </w:pPr>
            <w:r>
              <w:rPr>
                <w:rFonts w:ascii="Arial" w:cs="Arial" w:eastAsia="Arial" w:hAnsi="Arial"/>
                <w:sz w:val="18"/>
                <w:szCs w:val="18"/>
                <w:color w:val="auto"/>
                <w:w w:val="92"/>
              </w:rPr>
              <w:t>Intellectual Property Security Agreement, dated as of December 9, 2011, by and between Transdel Pharmaceuticals, Inc.</w:t>
            </w:r>
          </w:p>
        </w:tc>
      </w:tr>
      <w:tr>
        <w:trPr>
          <w:trHeight w:val="216"/>
        </w:trPr>
        <w:tc>
          <w:tcPr>
            <w:tcW w:w="780" w:type="dxa"/>
            <w:vAlign w:val="bottom"/>
          </w:tcPr>
          <w:p>
            <w:pPr>
              <w:spacing w:after="0"/>
              <w:rPr>
                <w:sz w:val="18"/>
                <w:szCs w:val="18"/>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and DermaStar International, LLC</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9140" w:type="dxa"/>
            <w:vAlign w:val="bottom"/>
          </w:tcPr>
          <w:p>
            <w:pPr>
              <w:ind w:left="180"/>
              <w:spacing w:after="0"/>
              <w:rPr>
                <w:sz w:val="20"/>
                <w:szCs w:val="20"/>
                <w:color w:val="auto"/>
              </w:rPr>
            </w:pPr>
            <w:r>
              <w:rPr>
                <w:rFonts w:ascii="Arial" w:cs="Arial" w:eastAsia="Arial" w:hAnsi="Arial"/>
                <w:sz w:val="18"/>
                <w:szCs w:val="18"/>
                <w:color w:val="auto"/>
                <w:w w:val="95"/>
              </w:rPr>
              <w:t>Securities Purchase Agreement, dated as of November 21, 2011, by and between Transdel Pharmaceuticals, Inc. and</w:t>
            </w:r>
          </w:p>
        </w:tc>
      </w:tr>
      <w:tr>
        <w:trPr>
          <w:trHeight w:val="216"/>
        </w:trPr>
        <w:tc>
          <w:tcPr>
            <w:tcW w:w="780" w:type="dxa"/>
            <w:vAlign w:val="bottom"/>
          </w:tcPr>
          <w:p>
            <w:pPr>
              <w:spacing w:after="0"/>
              <w:rPr>
                <w:sz w:val="18"/>
                <w:szCs w:val="18"/>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DermaStar International, LLC</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9140" w:type="dxa"/>
            <w:vAlign w:val="bottom"/>
          </w:tcPr>
          <w:p>
            <w:pPr>
              <w:ind w:left="180"/>
              <w:spacing w:after="0"/>
              <w:rPr>
                <w:sz w:val="20"/>
                <w:szCs w:val="20"/>
                <w:color w:val="auto"/>
              </w:rPr>
            </w:pPr>
            <w:r>
              <w:rPr>
                <w:rFonts w:ascii="Arial" w:cs="Arial" w:eastAsia="Arial" w:hAnsi="Arial"/>
                <w:sz w:val="18"/>
                <w:szCs w:val="18"/>
                <w:color w:val="auto"/>
                <w:w w:val="93"/>
              </w:rPr>
              <w:t>Mutual General Release Agreement, dated December 13, 2011, by and between Transdel Pharmaceuticals, Inc. and the</w:t>
            </w:r>
          </w:p>
        </w:tc>
      </w:tr>
      <w:tr>
        <w:trPr>
          <w:trHeight w:val="230"/>
        </w:trPr>
        <w:tc>
          <w:tcPr>
            <w:tcW w:w="780" w:type="dxa"/>
            <w:vAlign w:val="bottom"/>
          </w:tcPr>
          <w:p>
            <w:pPr>
              <w:spacing w:after="0"/>
              <w:rPr>
                <w:sz w:val="20"/>
                <w:szCs w:val="20"/>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other signatories thereto</w:t>
            </w:r>
          </w:p>
        </w:tc>
      </w:tr>
      <w:tr>
        <w:trPr>
          <w:trHeight w:val="955"/>
        </w:trPr>
        <w:tc>
          <w:tcPr>
            <w:tcW w:w="780" w:type="dxa"/>
            <w:vAlign w:val="bottom"/>
          </w:tcPr>
          <w:p>
            <w:pPr>
              <w:spacing w:after="0"/>
              <w:rPr>
                <w:sz w:val="24"/>
                <w:szCs w:val="24"/>
                <w:color w:val="auto"/>
              </w:rPr>
            </w:pPr>
          </w:p>
        </w:tc>
        <w:tc>
          <w:tcPr>
            <w:tcW w:w="9140" w:type="dxa"/>
            <w:vAlign w:val="bottom"/>
          </w:tcPr>
          <w:p>
            <w:pPr>
              <w:ind w:left="4040"/>
              <w:spacing w:after="0"/>
              <w:rPr>
                <w:sz w:val="20"/>
                <w:szCs w:val="20"/>
                <w:color w:val="auto"/>
              </w:rPr>
            </w:pPr>
            <w:r>
              <w:rPr>
                <w:rFonts w:ascii="Arial" w:cs="Arial" w:eastAsia="Arial" w:hAnsi="Arial"/>
                <w:sz w:val="22"/>
                <w:szCs w:val="22"/>
                <w:color w:val="auto"/>
              </w:rPr>
              <w:t>6</w:t>
            </w:r>
          </w:p>
        </w:tc>
      </w:tr>
    </w:tbl>
    <w:p>
      <w:pPr>
        <w:sectPr>
          <w:pgSz w:w="11900" w:h="16838" w:orient="portrait"/>
          <w:cols w:equalWidth="0" w:num="1">
            <w:col w:w="10219"/>
          </w:cols>
          <w:pgMar w:left="240" w:top="111" w:right="1440" w:bottom="1440" w:gutter="0" w:footer="0" w:header="0"/>
        </w:sectPr>
      </w:pPr>
    </w:p>
    <w:bookmarkStart w:id="8" w:name="page9"/>
    <w:bookmarkEnd w:id="8"/>
    <w:p>
      <w:pPr>
        <w:jc w:val="center"/>
        <w:ind w:right="479"/>
        <w:spacing w:after="0"/>
        <w:rPr>
          <w:sz w:val="20"/>
          <w:szCs w:val="20"/>
          <w:color w:val="auto"/>
        </w:rPr>
      </w:pPr>
      <w:r>
        <w:rPr>
          <w:rFonts w:ascii="Arial" w:cs="Arial" w:eastAsia="Arial" w:hAnsi="Arial"/>
          <w:sz w:val="22"/>
          <w:szCs w:val="22"/>
          <w:color w:val="auto"/>
        </w:rPr>
        <w:t>Exhibit 3.1</w:t>
      </w:r>
    </w:p>
    <w:p>
      <w:pPr>
        <w:spacing w:after="0" w:line="228"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CERTIFICATE OF DESIGNATION</w:t>
      </w:r>
    </w:p>
    <w:p>
      <w:pPr>
        <w:spacing w:after="0" w:line="4"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OF</w:t>
      </w:r>
    </w:p>
    <w:p>
      <w:pPr>
        <w:jc w:val="center"/>
        <w:ind w:right="479"/>
        <w:spacing w:after="0" w:line="230" w:lineRule="auto"/>
        <w:rPr>
          <w:sz w:val="20"/>
          <w:szCs w:val="20"/>
          <w:color w:val="auto"/>
        </w:rPr>
      </w:pPr>
      <w:r>
        <w:rPr>
          <w:rFonts w:ascii="Arial" w:cs="Arial" w:eastAsia="Arial" w:hAnsi="Arial"/>
          <w:sz w:val="22"/>
          <w:szCs w:val="22"/>
          <w:b w:val="1"/>
          <w:bCs w:val="1"/>
          <w:color w:val="auto"/>
        </w:rPr>
        <w:t>SERIES A CONVERTIBLE PREFERRED STOCK</w:t>
      </w:r>
    </w:p>
    <w:p>
      <w:pPr>
        <w:jc w:val="center"/>
        <w:ind w:right="479"/>
        <w:spacing w:after="0" w:line="231" w:lineRule="auto"/>
        <w:rPr>
          <w:sz w:val="20"/>
          <w:szCs w:val="20"/>
          <w:color w:val="auto"/>
        </w:rPr>
      </w:pPr>
      <w:r>
        <w:rPr>
          <w:rFonts w:ascii="Arial" w:cs="Arial" w:eastAsia="Arial" w:hAnsi="Arial"/>
          <w:sz w:val="22"/>
          <w:szCs w:val="22"/>
          <w:b w:val="1"/>
          <w:bCs w:val="1"/>
          <w:color w:val="auto"/>
        </w:rPr>
        <w:t>OF</w:t>
      </w:r>
    </w:p>
    <w:p>
      <w:pPr>
        <w:jc w:val="center"/>
        <w:ind w:right="479"/>
        <w:spacing w:after="0"/>
        <w:rPr>
          <w:sz w:val="20"/>
          <w:szCs w:val="20"/>
          <w:color w:val="auto"/>
        </w:rPr>
      </w:pPr>
      <w:r>
        <w:rPr>
          <w:rFonts w:ascii="Arial" w:cs="Arial" w:eastAsia="Arial" w:hAnsi="Arial"/>
          <w:sz w:val="22"/>
          <w:szCs w:val="22"/>
          <w:b w:val="1"/>
          <w:bCs w:val="1"/>
          <w:color w:val="auto"/>
        </w:rPr>
        <w:t>TRANSDEL PHARMACEUTICALS, INC.</w:t>
      </w:r>
    </w:p>
    <w:p>
      <w:pPr>
        <w:spacing w:after="0" w:line="215"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PURSUANT TO SECTION 151 OF THE</w:t>
      </w:r>
    </w:p>
    <w:p>
      <w:pPr>
        <w:spacing w:after="0" w:line="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DELAWARE GENERAL CORPORATION LAW</w:t>
      </w:r>
    </w:p>
    <w:p>
      <w:pPr>
        <w:spacing w:after="0" w:line="209" w:lineRule="exact"/>
        <w:rPr>
          <w:sz w:val="20"/>
          <w:szCs w:val="20"/>
          <w:color w:val="auto"/>
        </w:rPr>
      </w:pPr>
    </w:p>
    <w:p>
      <w:pPr>
        <w:jc w:val="both"/>
        <w:ind w:right="499" w:firstLine="648"/>
        <w:spacing w:after="0" w:line="236" w:lineRule="auto"/>
        <w:rPr>
          <w:sz w:val="20"/>
          <w:szCs w:val="20"/>
          <w:color w:val="auto"/>
        </w:rPr>
      </w:pPr>
      <w:r>
        <w:rPr>
          <w:rFonts w:ascii="Arial" w:cs="Arial" w:eastAsia="Arial" w:hAnsi="Arial"/>
          <w:sz w:val="22"/>
          <w:szCs w:val="22"/>
          <w:b w:val="1"/>
          <w:bCs w:val="1"/>
          <w:color w:val="auto"/>
        </w:rPr>
        <w:t>TRANSDEL PHARMACEUTICALS, INC.</w:t>
      </w:r>
      <w:r>
        <w:rPr>
          <w:rFonts w:ascii="Arial" w:cs="Arial" w:eastAsia="Arial" w:hAnsi="Arial"/>
          <w:sz w:val="22"/>
          <w:szCs w:val="22"/>
          <w:color w:val="auto"/>
        </w:rPr>
        <w:t>, a Delaware corporation (the “</w:t>
      </w:r>
      <w:r>
        <w:rPr>
          <w:rFonts w:ascii="Arial" w:cs="Arial" w:eastAsia="Arial" w:hAnsi="Arial"/>
          <w:sz w:val="22"/>
          <w:szCs w:val="22"/>
          <w:b w:val="1"/>
          <w:bCs w:val="1"/>
          <w:u w:val="single" w:color="auto"/>
          <w:color w:val="auto"/>
        </w:rPr>
        <w:t>Corporation</w:t>
      </w:r>
      <w:r>
        <w:rPr>
          <w:rFonts w:ascii="Arial" w:cs="Arial" w:eastAsia="Arial" w:hAnsi="Arial"/>
          <w:sz w:val="22"/>
          <w:szCs w:val="22"/>
          <w:color w:val="auto"/>
        </w:rPr>
        <w: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provisions of Section 103 of the Delaware General Corporation Law (the “</w:t>
      </w:r>
      <w:r>
        <w:rPr>
          <w:rFonts w:ascii="Arial" w:cs="Arial" w:eastAsia="Arial" w:hAnsi="Arial"/>
          <w:sz w:val="22"/>
          <w:szCs w:val="22"/>
          <w:b w:val="1"/>
          <w:bCs w:val="1"/>
          <w:u w:val="single" w:color="auto"/>
          <w:color w:val="auto"/>
        </w:rPr>
        <w:t>DGCL</w:t>
      </w:r>
      <w:r>
        <w:rPr>
          <w:rFonts w:ascii="Arial" w:cs="Arial" w:eastAsia="Arial" w:hAnsi="Arial"/>
          <w:sz w:val="22"/>
          <w:szCs w:val="22"/>
          <w:color w:val="auto"/>
        </w:rPr>
        <w:t>”) does hereby certify that, in accordance with Sections 141(c) and 151 of the DGCL, the following resolution was duly adopted by the Board of Directors of the Corporation at a duly called meeting held on November 18, 2011, at which a quorum was present and acted throughout, which resolution remains in full force and effect on the date hereof:</w:t>
      </w:r>
    </w:p>
    <w:p>
      <w:pPr>
        <w:spacing w:after="0" w:line="209" w:lineRule="exact"/>
        <w:rPr>
          <w:sz w:val="20"/>
          <w:szCs w:val="20"/>
          <w:color w:val="auto"/>
        </w:rPr>
      </w:pPr>
    </w:p>
    <w:p>
      <w:pPr>
        <w:jc w:val="both"/>
        <w:ind w:right="479" w:firstLine="648"/>
        <w:spacing w:after="0" w:line="247" w:lineRule="auto"/>
        <w:rPr>
          <w:sz w:val="20"/>
          <w:szCs w:val="20"/>
          <w:color w:val="auto"/>
        </w:rPr>
      </w:pPr>
      <w:r>
        <w:rPr>
          <w:rFonts w:ascii="Arial" w:cs="Arial" w:eastAsia="Arial" w:hAnsi="Arial"/>
          <w:sz w:val="21"/>
          <w:szCs w:val="21"/>
          <w:b w:val="1"/>
          <w:bCs w:val="1"/>
          <w:color w:val="auto"/>
        </w:rPr>
        <w:t>RESOLVED</w:t>
      </w:r>
      <w:r>
        <w:rPr>
          <w:rFonts w:ascii="Arial" w:cs="Arial" w:eastAsia="Arial" w:hAnsi="Arial"/>
          <w:sz w:val="21"/>
          <w:szCs w:val="21"/>
          <w:color w:val="auto"/>
        </w:rPr>
        <w:t>, that pursuant to the authority granted to and vested in the Board of Directors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in accordance with the provisions of the Amended and Restated Certificate of Incorporation of the Corporation (the “</w:t>
      </w:r>
      <w:r>
        <w:rPr>
          <w:rFonts w:ascii="Arial" w:cs="Arial" w:eastAsia="Arial" w:hAnsi="Arial"/>
          <w:sz w:val="21"/>
          <w:szCs w:val="21"/>
          <w:b w:val="1"/>
          <w:bCs w:val="1"/>
          <w:u w:val="single" w:color="auto"/>
          <w:color w:val="auto"/>
        </w:rPr>
        <w:t>Certificate of Incorporation</w:t>
      </w:r>
      <w:r>
        <w:rPr>
          <w:rFonts w:ascii="Arial" w:cs="Arial" w:eastAsia="Arial" w:hAnsi="Arial"/>
          <w:sz w:val="21"/>
          <w:szCs w:val="21"/>
          <w:color w:val="auto"/>
        </w:rPr>
        <w:t>”), there is hereby established a series of the Corporation’s authorized Preferred Stock, par value $.001 per share, which series shall be designated as the Series A Convertible Preferred Stock, par value $.001 per share, of the Corporation, with the designation, number of shares, powers, preferences, rights, qualifications, limitations and restrictions thereof (in addition to any provisions set forth in the Certificate of Incorporation of the Corporation which are applicable to the Preferred Stock of all classes and series) as follows:</w:t>
      </w:r>
    </w:p>
    <w:p>
      <w:pPr>
        <w:spacing w:after="0" w:line="200"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SERIES A CONVERTIBLE PREFERRED STOCK</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1. Definitions</w:t>
      </w:r>
      <w:r>
        <w:rPr>
          <w:rFonts w:ascii="Arial" w:cs="Arial" w:eastAsia="Arial" w:hAnsi="Arial"/>
          <w:sz w:val="21"/>
          <w:szCs w:val="21"/>
          <w:color w:val="auto"/>
        </w:rPr>
        <w:t>. For the purposes hereof, the following terms shall have the following meanings:</w:t>
      </w:r>
    </w:p>
    <w:p>
      <w:pPr>
        <w:spacing w:after="0" w:line="239" w:lineRule="exact"/>
        <w:rPr>
          <w:sz w:val="20"/>
          <w:szCs w:val="20"/>
          <w:color w:val="auto"/>
        </w:rPr>
      </w:pPr>
    </w:p>
    <w:p>
      <w:pPr>
        <w:jc w:val="both"/>
        <w:ind w:left="660" w:right="499"/>
        <w:spacing w:after="0" w:line="251"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Affiliate</w:t>
      </w:r>
      <w:r>
        <w:rPr>
          <w:rFonts w:ascii="Arial" w:cs="Arial" w:eastAsia="Arial" w:hAnsi="Arial"/>
          <w:sz w:val="21"/>
          <w:szCs w:val="21"/>
          <w:b w:val="1"/>
          <w:bCs w:val="1"/>
          <w:color w:val="auto"/>
        </w:rPr>
        <w:t xml:space="preserve">” </w:t>
      </w:r>
      <w:r>
        <w:rPr>
          <w:rFonts w:ascii="Arial" w:cs="Arial" w:eastAsia="Arial" w:hAnsi="Arial"/>
          <w:sz w:val="21"/>
          <w:szCs w:val="21"/>
          <w:color w:val="auto"/>
        </w:rPr>
        <w:t>means any person or entity that, directly or indirectly through one or more intermediaries,</w:t>
      </w:r>
      <w:r>
        <w:rPr>
          <w:rFonts w:ascii="Arial" w:cs="Arial" w:eastAsia="Arial" w:hAnsi="Arial"/>
          <w:sz w:val="21"/>
          <w:szCs w:val="21"/>
          <w:b w:val="1"/>
          <w:bCs w:val="1"/>
          <w:color w:val="auto"/>
        </w:rPr>
        <w:t xml:space="preserve"> </w:t>
      </w:r>
      <w:r>
        <w:rPr>
          <w:rFonts w:ascii="Arial" w:cs="Arial" w:eastAsia="Arial" w:hAnsi="Arial"/>
          <w:sz w:val="21"/>
          <w:szCs w:val="21"/>
          <w:color w:val="auto"/>
        </w:rPr>
        <w:t>controls or is controlled by or is under common control with a person or entity, as such terms are used in and construed under Rule 144 under the Securities Act . With respect to a Holder, any investment fund or managed account that is managed on a discretionary basis by the same investment manager as such Holder will be deemed to be an Affiliate of such Holder.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Alternate 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Section 7(b).</w:t>
      </w:r>
    </w:p>
    <w:p>
      <w:pPr>
        <w:spacing w:after="0" w:line="233" w:lineRule="exact"/>
        <w:rPr>
          <w:sz w:val="20"/>
          <w:szCs w:val="20"/>
          <w:color w:val="auto"/>
        </w:rPr>
      </w:pPr>
    </w:p>
    <w:p>
      <w:pPr>
        <w:jc w:val="both"/>
        <w:ind w:left="660" w:right="499"/>
        <w:spacing w:after="0" w:line="243"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Business Day</w:t>
      </w:r>
      <w:r>
        <w:rPr>
          <w:rFonts w:ascii="Arial" w:cs="Arial" w:eastAsia="Arial" w:hAnsi="Arial"/>
          <w:sz w:val="22"/>
          <w:szCs w:val="22"/>
          <w:color w:val="auto"/>
        </w:rPr>
        <w:t>” means any day except Saturday, Sunday, any day which shall be a federal legal holiday</w:t>
      </w:r>
      <w:r>
        <w:rPr>
          <w:rFonts w:ascii="Arial" w:cs="Arial" w:eastAsia="Arial" w:hAnsi="Arial"/>
          <w:sz w:val="22"/>
          <w:szCs w:val="22"/>
          <w:b w:val="1"/>
          <w:bCs w:val="1"/>
          <w:color w:val="auto"/>
        </w:rPr>
        <w:t xml:space="preserve"> </w:t>
      </w:r>
      <w:r>
        <w:rPr>
          <w:rFonts w:ascii="Arial" w:cs="Arial" w:eastAsia="Arial" w:hAnsi="Arial"/>
          <w:sz w:val="22"/>
          <w:szCs w:val="22"/>
          <w:color w:val="auto"/>
        </w:rPr>
        <w:t>in the United States or any day on which banking institutions in the State of New York are authorized or required by law or other governmental action to close.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Buy-In</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Section 6(c)(iii).</w:t>
      </w:r>
    </w:p>
    <w:p>
      <w:pPr>
        <w:spacing w:after="0" w:line="233" w:lineRule="exact"/>
        <w:rPr>
          <w:sz w:val="20"/>
          <w:szCs w:val="20"/>
          <w:color w:val="auto"/>
        </w:rPr>
      </w:pPr>
    </w:p>
    <w:p>
      <w:pPr>
        <w:jc w:val="both"/>
        <w:ind w:left="660" w:right="479"/>
        <w:spacing w:after="0" w:line="273"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Closing Sale Price</w:t>
      </w:r>
      <w:r>
        <w:rPr>
          <w:rFonts w:ascii="Arial" w:cs="Arial" w:eastAsia="Arial" w:hAnsi="Arial"/>
          <w:sz w:val="19"/>
          <w:szCs w:val="19"/>
          <w:b w:val="1"/>
          <w:bCs w:val="1"/>
          <w:color w:val="auto"/>
        </w:rPr>
        <w:t xml:space="preserve">” </w:t>
      </w:r>
      <w:r>
        <w:rPr>
          <w:rFonts w:ascii="Arial" w:cs="Arial" w:eastAsia="Arial" w:hAnsi="Arial"/>
          <w:sz w:val="19"/>
          <w:szCs w:val="19"/>
          <w:color w:val="auto"/>
        </w:rPr>
        <w:t>means, for any security as of any date, the last closing trade price for such security</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4:00 p.m., New York City time, on the principal securities exchange or trading market where such security is listed or traded, as reported by Bloomberg, L.P. (or an equivalent, reliable reporting service mutually acceptable to and hereafter designated by Holders of a majority of the then-outstanding Series A Preferred Stock and the Corporation),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Commission</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Securities and Exchange Commission.</w:t>
      </w:r>
    </w:p>
    <w:p>
      <w:pPr>
        <w:spacing w:after="0" w:line="233" w:lineRule="exact"/>
        <w:rPr>
          <w:sz w:val="20"/>
          <w:szCs w:val="20"/>
          <w:color w:val="auto"/>
        </w:rPr>
      </w:pPr>
    </w:p>
    <w:p>
      <w:pPr>
        <w:jc w:val="both"/>
        <w:ind w:left="660" w:right="499"/>
        <w:spacing w:after="0" w:line="33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the Corporation’s Common Stock, par value $.001 per share, and stock of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class of securities into which such securities may hereafter be reclassified or changed into.</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Conversion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Section 6(a).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Conversion Price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$0.001667, as adjusted pursuant to paragraph 7 hereof.</w:t>
      </w:r>
    </w:p>
    <w:p>
      <w:pPr>
        <w:sectPr>
          <w:pgSz w:w="11900" w:h="16838" w:orient="portrait"/>
          <w:cols w:equalWidth="0" w:num="1">
            <w:col w:w="10219"/>
          </w:cols>
          <w:pgMar w:left="240" w:top="118" w:right="1440" w:bottom="350"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617474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Conversion Ratio</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Section 6(b).</w:t>
      </w:r>
    </w:p>
    <w:p>
      <w:pPr>
        <w:spacing w:after="0" w:line="233" w:lineRule="exact"/>
        <w:rPr>
          <w:sz w:val="20"/>
          <w:szCs w:val="20"/>
          <w:color w:val="auto"/>
        </w:rPr>
      </w:pPr>
    </w:p>
    <w:p>
      <w:pPr>
        <w:jc w:val="both"/>
        <w:ind w:left="660" w:right="499"/>
        <w:spacing w:after="0" w:line="256"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Conversion Shares</w:t>
      </w:r>
      <w:r>
        <w:rPr>
          <w:rFonts w:ascii="Arial" w:cs="Arial" w:eastAsia="Arial" w:hAnsi="Arial"/>
          <w:sz w:val="22"/>
          <w:szCs w:val="22"/>
          <w:b w:val="1"/>
          <w:bCs w:val="1"/>
          <w:color w:val="auto"/>
        </w:rPr>
        <w:t xml:space="preserve">” </w:t>
      </w:r>
      <w:r>
        <w:rPr>
          <w:rFonts w:ascii="Arial" w:cs="Arial" w:eastAsia="Arial" w:hAnsi="Arial"/>
          <w:sz w:val="22"/>
          <w:szCs w:val="22"/>
          <w:color w:val="auto"/>
        </w:rPr>
        <w:t>means, collectively, the shares of Common Stock issuable upon conversion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of Series A Preferred Stock in accordance with the terms hereof.</w:t>
      </w:r>
    </w:p>
    <w:p>
      <w:pPr>
        <w:spacing w:after="0" w:line="190" w:lineRule="exact"/>
        <w:rPr>
          <w:sz w:val="20"/>
          <w:szCs w:val="20"/>
          <w:color w:val="auto"/>
        </w:rPr>
      </w:pPr>
    </w:p>
    <w:p>
      <w:pPr>
        <w:jc w:val="both"/>
        <w:ind w:left="660" w:right="499"/>
        <w:spacing w:after="0" w:line="256"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Daily Failure Amount</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product of (x) .005 multiplied by (y) the Closing Sale Price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on the applicable Share Delivery Date.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DGCL</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Delaware General Corporation Law.</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Distributions</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Section 5(a).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DWAC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Section 6(a).</w:t>
      </w:r>
    </w:p>
    <w:p>
      <w:pPr>
        <w:spacing w:after="0" w:line="233" w:lineRule="exact"/>
        <w:rPr>
          <w:sz w:val="20"/>
          <w:szCs w:val="20"/>
          <w:color w:val="auto"/>
        </w:rPr>
      </w:pPr>
    </w:p>
    <w:p>
      <w:pPr>
        <w:jc w:val="both"/>
        <w:ind w:left="660" w:right="499"/>
        <w:spacing w:after="0" w:line="256"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Exchange Act</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Securities Exchange Act of 1934, as amended, and the rules and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thereunder.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Fundamental 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Section 7(b).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Holder</w:t>
      </w:r>
      <w:r>
        <w:rPr>
          <w:rFonts w:ascii="Arial" w:cs="Arial" w:eastAsia="Arial" w:hAnsi="Arial"/>
          <w:sz w:val="22"/>
          <w:szCs w:val="22"/>
          <w:b w:val="1"/>
          <w:bCs w:val="1"/>
          <w:color w:val="auto"/>
        </w:rPr>
        <w:t xml:space="preserve">” </w:t>
      </w:r>
      <w:r>
        <w:rPr>
          <w:rFonts w:ascii="Arial" w:cs="Arial" w:eastAsia="Arial" w:hAnsi="Arial"/>
          <w:sz w:val="22"/>
          <w:szCs w:val="22"/>
          <w:color w:val="auto"/>
        </w:rPr>
        <w:t>means any holder of Series A Preferred Stock.</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Junior Securities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Section 5(a).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Notice of Conversion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Section 6(a).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Parity Securities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Section 5(a).</w:t>
      </w:r>
    </w:p>
    <w:p>
      <w:pPr>
        <w:spacing w:after="0" w:line="233" w:lineRule="exact"/>
        <w:rPr>
          <w:sz w:val="20"/>
          <w:szCs w:val="20"/>
          <w:color w:val="auto"/>
        </w:rPr>
      </w:pPr>
    </w:p>
    <w:p>
      <w:pPr>
        <w:jc w:val="both"/>
        <w:ind w:left="660" w:right="499"/>
        <w:spacing w:after="0" w:line="243"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Person</w:t>
      </w:r>
      <w:r>
        <w:rPr>
          <w:rFonts w:ascii="Arial" w:cs="Arial" w:eastAsia="Arial" w:hAnsi="Arial"/>
          <w:sz w:val="22"/>
          <w:szCs w:val="22"/>
          <w:b w:val="1"/>
          <w:bCs w:val="1"/>
          <w:color w:val="auto"/>
        </w:rPr>
        <w:t xml:space="preserve">” </w:t>
      </w:r>
      <w:r>
        <w:rPr>
          <w:rFonts w:ascii="Arial" w:cs="Arial" w:eastAsia="Arial" w:hAnsi="Arial"/>
          <w:sz w:val="22"/>
          <w:szCs w:val="22"/>
          <w:color w:val="auto"/>
        </w:rPr>
        <w:t>means any individual or corporation, partnership, trust, incorporated or unincorporated</w:t>
      </w:r>
      <w:r>
        <w:rPr>
          <w:rFonts w:ascii="Arial" w:cs="Arial" w:eastAsia="Arial" w:hAnsi="Arial"/>
          <w:sz w:val="22"/>
          <w:szCs w:val="22"/>
          <w:b w:val="1"/>
          <w:bCs w:val="1"/>
          <w:color w:val="auto"/>
        </w:rPr>
        <w:t xml:space="preserve"> </w:t>
      </w:r>
      <w:r>
        <w:rPr>
          <w:rFonts w:ascii="Arial" w:cs="Arial" w:eastAsia="Arial" w:hAnsi="Arial"/>
          <w:sz w:val="22"/>
          <w:szCs w:val="22"/>
          <w:color w:val="auto"/>
        </w:rPr>
        <w:t>association, joint venture, limited liability company, joint stock company, government (or an agency or subdivision thereof) or other entity of any kind.</w:t>
      </w:r>
    </w:p>
    <w:p>
      <w:pPr>
        <w:spacing w:after="0" w:line="204" w:lineRule="exact"/>
        <w:rPr>
          <w:sz w:val="20"/>
          <w:szCs w:val="20"/>
          <w:color w:val="auto"/>
        </w:rPr>
      </w:pPr>
    </w:p>
    <w:p>
      <w:pPr>
        <w:jc w:val="both"/>
        <w:ind w:left="660" w:right="499"/>
        <w:spacing w:after="0" w:line="256"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Securities Act</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Securities Act of 1933, as amended, and the rules and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thereunder.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Senior Securities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Section 5(a).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Series A Preferred Stock Register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Section 2(b).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Share Delivery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Section 6(c).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Stated Value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$10,000.</w:t>
      </w:r>
    </w:p>
    <w:p>
      <w:pPr>
        <w:spacing w:after="0" w:line="233" w:lineRule="exact"/>
        <w:rPr>
          <w:sz w:val="20"/>
          <w:szCs w:val="20"/>
          <w:color w:val="auto"/>
        </w:rPr>
      </w:pPr>
    </w:p>
    <w:p>
      <w:pPr>
        <w:jc w:val="both"/>
        <w:ind w:left="660" w:right="499"/>
        <w:spacing w:after="0" w:line="23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Trading Day</w:t>
      </w:r>
      <w:r>
        <w:rPr>
          <w:rFonts w:ascii="Arial" w:cs="Arial" w:eastAsia="Arial" w:hAnsi="Arial"/>
          <w:sz w:val="22"/>
          <w:szCs w:val="22"/>
          <w:b w:val="1"/>
          <w:bCs w:val="1"/>
          <w:color w:val="auto"/>
        </w:rPr>
        <w:t xml:space="preserve">” </w:t>
      </w:r>
      <w:r>
        <w:rPr>
          <w:rFonts w:ascii="Arial" w:cs="Arial" w:eastAsia="Arial" w:hAnsi="Arial"/>
          <w:sz w:val="22"/>
          <w:szCs w:val="22"/>
          <w:color w:val="auto"/>
        </w:rPr>
        <w:t>means a day on which the Common Stock is traded for any period on the principal</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exchange or if the Common Stock is not traded on a principal securities exchange, on a day that the Common Stock is traded on another securities market on which the Common Stock is then being traded.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2. Designation, Amount and Par Value; Assignment</w:t>
      </w:r>
      <w:r>
        <w:rPr>
          <w:rFonts w:ascii="Arial" w:cs="Arial" w:eastAsia="Arial" w:hAnsi="Arial"/>
          <w:sz w:val="22"/>
          <w:szCs w:val="22"/>
          <w:color w:val="auto"/>
        </w:rPr>
        <w:t>.</w:t>
      </w:r>
    </w:p>
    <w:p>
      <w:pPr>
        <w:spacing w:after="0" w:line="233" w:lineRule="exact"/>
        <w:rPr>
          <w:sz w:val="20"/>
          <w:szCs w:val="20"/>
          <w:color w:val="auto"/>
        </w:rPr>
      </w:pPr>
    </w:p>
    <w:p>
      <w:pPr>
        <w:jc w:val="both"/>
        <w:ind w:right="499" w:firstLine="1305"/>
        <w:spacing w:after="0" w:line="238" w:lineRule="auto"/>
        <w:tabs>
          <w:tab w:leader="none" w:pos="1918"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series of preferred stock designated by this Certificate shall be designated as the Corporation’s “Series A Convertible Preferred Stock” (the “</w:t>
      </w:r>
      <w:r>
        <w:rPr>
          <w:rFonts w:ascii="Arial" w:cs="Arial" w:eastAsia="Arial" w:hAnsi="Arial"/>
          <w:sz w:val="22"/>
          <w:szCs w:val="22"/>
          <w:b w:val="1"/>
          <w:bCs w:val="1"/>
          <w:u w:val="single" w:color="auto"/>
          <w:color w:val="auto"/>
        </w:rPr>
        <w:t>Series A Preferred Stock</w:t>
      </w:r>
      <w:r>
        <w:rPr>
          <w:rFonts w:ascii="Arial" w:cs="Arial" w:eastAsia="Arial" w:hAnsi="Arial"/>
          <w:sz w:val="22"/>
          <w:szCs w:val="22"/>
          <w:color w:val="auto"/>
        </w:rPr>
        <w:t>”) and the number of shares so designated shall be 10. Each share of Series A Preferred Stock shall have a par value of $.001 per share.</w:t>
      </w:r>
    </w:p>
    <w:p>
      <w:pPr>
        <w:spacing w:after="0" w:line="212" w:lineRule="exact"/>
        <w:rPr>
          <w:rFonts w:ascii="Arial" w:cs="Arial" w:eastAsia="Arial" w:hAnsi="Arial"/>
          <w:sz w:val="22"/>
          <w:szCs w:val="22"/>
          <w:color w:val="auto"/>
        </w:rPr>
      </w:pPr>
    </w:p>
    <w:p>
      <w:pPr>
        <w:jc w:val="both"/>
        <w:ind w:right="479" w:firstLine="1305"/>
        <w:spacing w:after="0" w:line="272" w:lineRule="auto"/>
        <w:tabs>
          <w:tab w:leader="none" w:pos="1918"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Corporation shall register shares of the Series A Preferred Stock, upon records to be maintained by the Corporation for that purpose (the “</w:t>
      </w:r>
      <w:r>
        <w:rPr>
          <w:rFonts w:ascii="Arial" w:cs="Arial" w:eastAsia="Arial" w:hAnsi="Arial"/>
          <w:sz w:val="19"/>
          <w:szCs w:val="19"/>
          <w:b w:val="1"/>
          <w:bCs w:val="1"/>
          <w:u w:val="single" w:color="auto"/>
          <w:color w:val="auto"/>
        </w:rPr>
        <w:t>Series A Preferred Stock Register</w:t>
      </w:r>
      <w:r>
        <w:rPr>
          <w:rFonts w:ascii="Arial" w:cs="Arial" w:eastAsia="Arial" w:hAnsi="Arial"/>
          <w:sz w:val="19"/>
          <w:szCs w:val="19"/>
          <w:color w:val="auto"/>
        </w:rPr>
        <w:t>”), in the name of the Holders thereof from time to time. The Corporation may deem and treat the registered Holder of shares of Series A Preferred Stock as the absolute owner thereof for the purpose of any conversion thereof and for all other purposes. The Corporation shall register, or cause the Corporation’s transfer agent to register, the transfer of any shares of Series A Preferred Stock in the Series A Preferred Stock Register, upon surrender of the certificates evidencing such shares to be transferred, duly endorsed by the Holder thereof, to the Corporation at its principal place of business. Upon any such registration or transfer, a new certificate evidencing the shares of Series A Preferred Stock so transferred shall be issued to the transferee and a new certificate evidencing the remaining portion of the shares not so transferred, if any, shall be issued to the transferring Holder, in each case, within three Business Days. The provisions of this Certificate are intended to be for the benefit of all Holders from time to time and shall be enforceable by any such Holder.</w:t>
      </w:r>
    </w:p>
    <w:p>
      <w:pPr>
        <w:sectPr>
          <w:pgSz w:w="11900" w:h="16838" w:orient="portrait"/>
          <w:cols w:equalWidth="0" w:num="1">
            <w:col w:w="10219"/>
          </w:cols>
          <w:pgMar w:left="240" w:top="355" w:right="1440" w:bottom="0" w:gutter="0" w:footer="0" w:header="0"/>
        </w:sectPr>
      </w:pPr>
    </w:p>
    <w:bookmarkStart w:id="11" w:name="page12"/>
    <w:bookmarkEnd w:id="11"/>
    <w:p>
      <w:pPr>
        <w:jc w:val="both"/>
        <w:spacing w:after="0" w:line="272" w:lineRule="auto"/>
        <w:tabs>
          <w:tab w:leader="none" w:pos="191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617474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79" w:lineRule="exact"/>
        <w:rPr>
          <w:sz w:val="20"/>
          <w:szCs w:val="20"/>
          <w:color w:val="auto"/>
        </w:rPr>
      </w:pPr>
    </w:p>
    <w:p>
      <w:pPr>
        <w:jc w:val="both"/>
        <w:ind w:right="479"/>
        <w:spacing w:after="0" w:line="270" w:lineRule="auto"/>
        <w:rPr>
          <w:sz w:val="20"/>
          <w:szCs w:val="20"/>
          <w:color w:val="auto"/>
        </w:rPr>
      </w:pPr>
      <w:r>
        <w:rPr>
          <w:rFonts w:ascii="Arial" w:cs="Arial" w:eastAsia="Arial" w:hAnsi="Arial"/>
          <w:sz w:val="19"/>
          <w:szCs w:val="19"/>
          <w:u w:val="single" w:color="auto"/>
          <w:color w:val="auto"/>
        </w:rPr>
        <w:t>Section 3. Dividends</w:t>
      </w:r>
      <w:r>
        <w:rPr>
          <w:rFonts w:ascii="Arial" w:cs="Arial" w:eastAsia="Arial" w:hAnsi="Arial"/>
          <w:sz w:val="19"/>
          <w:szCs w:val="19"/>
          <w:color w:val="auto"/>
        </w:rPr>
        <w:t>. The Corporation shall not declare, pay or set aside any dividends on shares of any other class or series of capital stock of the Corporation (other than dividends on shares of Common Stock payable in shares of Common Stock) unless the holders of the Series A Preferred Stock then outstanding shall first receive, or simultaneously receive, a dividend on each outstanding share of Series A Preferred Stock in an amount at least equal to (i) in the case of a dividend on Common Stock or any class or series that is convertible into Common Stock, that dividend per share of Series A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Series A Preferred Stock, in each case calculated on the record date for determination of holders entitled to receive such dividend or (ii) in the case of a dividend on any class or series that is not convertible into Common Stock, at a rate per share of Series A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Series A Original Issue Price (as defined below); provided that, if the Corporation declares, pays or sets aside, on the same date, a dividend on shares of more than one class or series of capital stock of the Corporation, the dividend payable to the holders of Series A Preferred Stock pursuant to this Section 3 shall be calculated based upon the dividend on the class or series of capital stock that would result in the highest Series A Preferred Stock dividend. The “</w:t>
      </w:r>
      <w:r>
        <w:rPr>
          <w:rFonts w:ascii="Arial" w:cs="Arial" w:eastAsia="Arial" w:hAnsi="Arial"/>
          <w:sz w:val="19"/>
          <w:szCs w:val="19"/>
          <w:b w:val="1"/>
          <w:bCs w:val="1"/>
          <w:u w:val="single" w:color="auto"/>
          <w:color w:val="auto"/>
        </w:rPr>
        <w:t>Series A Original Issue Price</w:t>
      </w:r>
      <w:r>
        <w:rPr>
          <w:rFonts w:ascii="Arial" w:cs="Arial" w:eastAsia="Arial" w:hAnsi="Arial"/>
          <w:sz w:val="19"/>
          <w:szCs w:val="19"/>
          <w:color w:val="auto"/>
        </w:rPr>
        <w:t>” shall mean $10,000 per share, subject to appropriate adjustment in the event of any stock dividend, stock split, combination or other similar recapitalization with respect to the Series A Preferred Stock.</w:t>
      </w:r>
    </w:p>
    <w:p>
      <w:pPr>
        <w:spacing w:after="0" w:line="186" w:lineRule="exact"/>
        <w:rPr>
          <w:sz w:val="20"/>
          <w:szCs w:val="20"/>
          <w:color w:val="auto"/>
        </w:rPr>
      </w:pPr>
    </w:p>
    <w:p>
      <w:pPr>
        <w:jc w:val="both"/>
        <w:ind w:right="499"/>
        <w:spacing w:after="0" w:line="269" w:lineRule="auto"/>
        <w:rPr>
          <w:sz w:val="20"/>
          <w:szCs w:val="20"/>
          <w:color w:val="auto"/>
        </w:rPr>
      </w:pPr>
      <w:r>
        <w:rPr>
          <w:rFonts w:ascii="Arial" w:cs="Arial" w:eastAsia="Arial" w:hAnsi="Arial"/>
          <w:sz w:val="19"/>
          <w:szCs w:val="19"/>
          <w:u w:val="single" w:color="auto"/>
          <w:color w:val="auto"/>
        </w:rPr>
        <w:t>Section 4. Voting Rights</w:t>
      </w:r>
      <w:r>
        <w:rPr>
          <w:rFonts w:ascii="Arial" w:cs="Arial" w:eastAsia="Arial" w:hAnsi="Arial"/>
          <w:sz w:val="19"/>
          <w:szCs w:val="19"/>
          <w:color w:val="auto"/>
        </w:rPr>
        <w:t>. On any matter presented to the stockholders of the Corporation for their action or consideration at any meeting of stockholders of the Corporation (or by written consent of stockholders in lieu of meeting), each holder of outstanding shares of Series A Preferred Stock shall be entitled to cast the number of votes equal to the number of whole shares of Common Stock into which the shares of Series A Preferred Stock held by such holder are convertible as of the record date for determining stockholders entitled to vote on such matter. Except as provided by law or by the other provisions of the Certificate of Incorporation, holders of Series A Preferred Stock shall vote together with the holders of Common Stock as a single class. However, as long as any shares of Series A Preferred Stock are outstanding, the Corporation shall not, without the affirmative vote of the Holders of a majority of the then outstanding shares of the Series A Preferred Stock:</w:t>
      </w:r>
    </w:p>
    <w:p>
      <w:pPr>
        <w:spacing w:after="0" w:line="2" w:lineRule="exact"/>
        <w:rPr>
          <w:sz w:val="20"/>
          <w:szCs w:val="20"/>
          <w:color w:val="auto"/>
        </w:rPr>
      </w:pPr>
    </w:p>
    <w:p>
      <w:pPr>
        <w:jc w:val="both"/>
        <w:ind w:right="499" w:firstLine="8"/>
        <w:spacing w:after="0" w:line="267" w:lineRule="auto"/>
        <w:tabs>
          <w:tab w:leader="none" w:pos="305" w:val="left"/>
        </w:tabs>
        <w:numPr>
          <w:ilvl w:val="0"/>
          <w:numId w:val="5"/>
        </w:numPr>
        <w:rPr>
          <w:rFonts w:ascii="Arial" w:cs="Arial" w:eastAsia="Arial" w:hAnsi="Arial"/>
          <w:sz w:val="19"/>
          <w:szCs w:val="19"/>
          <w:color w:val="auto"/>
        </w:rPr>
      </w:pPr>
      <w:r>
        <w:rPr>
          <w:rFonts w:ascii="Arial" w:cs="Arial" w:eastAsia="Arial" w:hAnsi="Arial"/>
          <w:sz w:val="19"/>
          <w:szCs w:val="19"/>
          <w:color w:val="auto"/>
        </w:rPr>
        <w:t>alter or change adversely the powers, preferences or rights given to the Series A Preferred Stock or alter or amend this Certificate of Designation; (b) increase the number of authorized shares of Series A Preferred Stock;</w:t>
      </w:r>
    </w:p>
    <w:p>
      <w:pPr>
        <w:jc w:val="both"/>
        <w:ind w:right="479" w:firstLine="8"/>
        <w:spacing w:after="0" w:line="267" w:lineRule="auto"/>
        <w:tabs>
          <w:tab w:leader="none" w:pos="330" w:val="left"/>
        </w:tabs>
        <w:numPr>
          <w:ilvl w:val="0"/>
          <w:numId w:val="6"/>
        </w:numPr>
        <w:rPr>
          <w:rFonts w:ascii="Arial" w:cs="Arial" w:eastAsia="Arial" w:hAnsi="Arial"/>
          <w:sz w:val="19"/>
          <w:szCs w:val="19"/>
          <w:color w:val="auto"/>
        </w:rPr>
      </w:pPr>
      <w:r>
        <w:rPr>
          <w:rFonts w:ascii="Arial" w:cs="Arial" w:eastAsia="Arial" w:hAnsi="Arial"/>
          <w:sz w:val="19"/>
          <w:szCs w:val="19"/>
          <w:color w:val="auto"/>
        </w:rPr>
        <w:t>amend, alter or repeal any provision of the Certificate of Incorporation (as amended) or Bylaws of the Corporation; (d) authorize or issue, or obligate itself to issue, whether by merger, consolidation or otherwise, any equity security (other than Series A Preferred Stock), including any security convertible into or exercisable for any equity security, having a preference over, or being on a parity with, the Series A Preferred Stock with respect to dividends, liquidation, redemption or otherwise; (e) authorize or issue, or obligated itself to issue, any Common Stock, including any security convertible into or exercisable for Common Stock, at a conversion price, exercise price or exchange rate or other purchase price that is lower than the Closing Sale Price of the Common Stock on the date of such issuance; (f) effect any reclassification or recapitalization of the outstanding capital stock of the Corporation; (g) effect any Fundamental Transaction; (h) enter into any material related party transactions; (i) purchase or redeem (or permit any subsidiary to purchase or redeem) or pay or declare any dividend or make any distribution on, any shares of capital stock of the Corporation other than (A) redemptions of or dividends or distributions on the Series A Preferred Stock as expressly authorized herein, (B) dividends or other distributions payable on the Common Stock solely in the form of additional shares of Common Stock and</w:t>
      </w:r>
    </w:p>
    <w:p>
      <w:pPr>
        <w:jc w:val="both"/>
        <w:ind w:right="499"/>
        <w:spacing w:after="0" w:line="242" w:lineRule="auto"/>
        <w:rPr>
          <w:rFonts w:ascii="Arial" w:cs="Arial" w:eastAsia="Arial" w:hAnsi="Arial"/>
          <w:sz w:val="19"/>
          <w:szCs w:val="19"/>
          <w:color w:val="auto"/>
        </w:rPr>
      </w:pPr>
      <w:r>
        <w:rPr>
          <w:rFonts w:ascii="Arial" w:cs="Arial" w:eastAsia="Arial" w:hAnsi="Arial"/>
          <w:sz w:val="21"/>
          <w:szCs w:val="21"/>
          <w:color w:val="auto"/>
        </w:rPr>
        <w:t>(C)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 (j) create, or authorize the creation of, or issue, or authorize the issuance of any debt security, or permit any subsidiary to take any such action with respect to any debt security, if the aggregate indebtedness of the Corporation and its subsidiaries for borrowed money following such action would exceed $100,000 other than equipment leases or bank lines of credit; (k) create, or hold capital stock in, any subsidiary that is not wholly owned (either directly or through one or more other subsidiaries) by the Corporation,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(l) increase or decrease the authorized number of directors constituting the Board of Directors; or (m) enter into any agreement with respect to any of the foregoing.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5. Rank; Liquidation</w:t>
      </w:r>
      <w:r>
        <w:rPr>
          <w:rFonts w:ascii="Arial" w:cs="Arial" w:eastAsia="Arial" w:hAnsi="Arial"/>
          <w:sz w:val="22"/>
          <w:szCs w:val="22"/>
          <w:color w:val="auto"/>
        </w:rPr>
        <w:t>.</w:t>
      </w:r>
    </w:p>
    <w:p>
      <w:pPr>
        <w:spacing w:after="0" w:line="233" w:lineRule="exact"/>
        <w:rPr>
          <w:sz w:val="20"/>
          <w:szCs w:val="20"/>
          <w:color w:val="auto"/>
        </w:rPr>
      </w:pPr>
    </w:p>
    <w:p>
      <w:pPr>
        <w:jc w:val="both"/>
        <w:ind w:right="479" w:firstLine="1305"/>
        <w:spacing w:after="0" w:line="282" w:lineRule="auto"/>
        <w:tabs>
          <w:tab w:leader="none" w:pos="1918"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Series A Preferred Stock shall rank (i) senior to all of the Common Stock; (ii) senior to any class or series of capital stock of the Corporation hereafter created specifically ranking by its terms junior to any Series A Preferred Stock (“</w:t>
      </w:r>
      <w:r>
        <w:rPr>
          <w:rFonts w:ascii="Arial" w:cs="Arial" w:eastAsia="Arial" w:hAnsi="Arial"/>
          <w:sz w:val="19"/>
          <w:szCs w:val="19"/>
          <w:b w:val="1"/>
          <w:bCs w:val="1"/>
          <w:u w:val="single" w:color="auto"/>
          <w:color w:val="auto"/>
        </w:rPr>
        <w:t>Junior Securities</w:t>
      </w:r>
      <w:r>
        <w:rPr>
          <w:rFonts w:ascii="Arial" w:cs="Arial" w:eastAsia="Arial" w:hAnsi="Arial"/>
          <w:sz w:val="19"/>
          <w:szCs w:val="19"/>
          <w:color w:val="auto"/>
        </w:rPr>
        <w:t>”); (iii) on parity with any class or series of capital stock of the Corporation hereafter created specifically ranking by its terms on parity with the Series A Preferred Stock (“</w:t>
      </w:r>
      <w:r>
        <w:rPr>
          <w:rFonts w:ascii="Arial" w:cs="Arial" w:eastAsia="Arial" w:hAnsi="Arial"/>
          <w:sz w:val="19"/>
          <w:szCs w:val="19"/>
          <w:b w:val="1"/>
          <w:bCs w:val="1"/>
          <w:u w:val="single" w:color="auto"/>
          <w:color w:val="auto"/>
        </w:rPr>
        <w:t>Parity Securities</w:t>
      </w:r>
      <w:r>
        <w:rPr>
          <w:rFonts w:ascii="Arial" w:cs="Arial" w:eastAsia="Arial" w:hAnsi="Arial"/>
          <w:sz w:val="19"/>
          <w:szCs w:val="19"/>
          <w:color w:val="auto"/>
        </w:rPr>
        <w:t>”); and (iv) junior to any class or series of capital stock of the Corporation hereafter created</w:t>
      </w:r>
    </w:p>
    <w:p>
      <w:pPr>
        <w:sectPr>
          <w:pgSz w:w="11900" w:h="16917" w:orient="portrait"/>
          <w:cols w:equalWidth="0" w:num="1">
            <w:col w:w="10219"/>
          </w:cols>
          <w:pgMar w:left="240" w:top="361" w:right="1440" w:bottom="0" w:gutter="0" w:footer="0" w:header="0"/>
        </w:sectPr>
      </w:pPr>
    </w:p>
    <w:bookmarkStart w:id="13" w:name="page14"/>
    <w:bookmarkEnd w:id="13"/>
    <w:p>
      <w:pPr>
        <w:jc w:val="both"/>
        <w:ind w:right="499"/>
        <w:spacing w:after="0" w:line="301" w:lineRule="auto"/>
        <w:rPr>
          <w:sz w:val="20"/>
          <w:szCs w:val="20"/>
          <w:color w:val="auto"/>
        </w:rPr>
      </w:pPr>
      <w:r>
        <w:rPr>
          <w:rFonts w:ascii="Arial" w:cs="Arial" w:eastAsia="Arial" w:hAnsi="Arial"/>
          <w:sz w:val="19"/>
          <w:szCs w:val="19"/>
          <w:color w:val="auto"/>
        </w:rPr>
        <w:t>specifically ranking by its terms senior to any Series A Preferred Stock (“</w:t>
      </w:r>
      <w:r>
        <w:rPr>
          <w:rFonts w:ascii="Arial" w:cs="Arial" w:eastAsia="Arial" w:hAnsi="Arial"/>
          <w:sz w:val="19"/>
          <w:szCs w:val="19"/>
          <w:b w:val="1"/>
          <w:bCs w:val="1"/>
          <w:u w:val="single" w:color="auto"/>
          <w:color w:val="auto"/>
        </w:rPr>
        <w:t>Senior Securities</w:t>
      </w:r>
      <w:r>
        <w:rPr>
          <w:rFonts w:ascii="Arial" w:cs="Arial" w:eastAsia="Arial" w:hAnsi="Arial"/>
          <w:sz w:val="19"/>
          <w:szCs w:val="19"/>
          <w:color w:val="auto"/>
        </w:rPr>
        <w:t>”), in each case, as to dividends, distributions of assets upon liquidation, dissolution or winding up of the Corporation, whether voluntarily or involuntarily (all such distributions being referred to collectively as “</w:t>
      </w:r>
      <w:r>
        <w:rPr>
          <w:rFonts w:ascii="Arial" w:cs="Arial" w:eastAsia="Arial" w:hAnsi="Arial"/>
          <w:sz w:val="19"/>
          <w:szCs w:val="19"/>
          <w:b w:val="1"/>
          <w:bCs w:val="1"/>
          <w:u w:val="single" w:color="auto"/>
          <w:color w:val="auto"/>
        </w:rPr>
        <w:t>Distributions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6174740"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14" w:name="page15"/>
    <w:bookmarkEnd w:id="14"/>
    <w:p>
      <w:pPr>
        <w:jc w:val="both"/>
        <w:ind w:right="479" w:firstLine="1305"/>
        <w:spacing w:after="0" w:line="273" w:lineRule="auto"/>
        <w:tabs>
          <w:tab w:leader="none" w:pos="1918" w:val="left"/>
        </w:tabs>
        <w:numPr>
          <w:ilvl w:val="0"/>
          <w:numId w:val="8"/>
        </w:numPr>
        <w:rPr>
          <w:rFonts w:ascii="Arial" w:cs="Arial" w:eastAsia="Arial" w:hAnsi="Arial"/>
          <w:sz w:val="19"/>
          <w:szCs w:val="19"/>
          <w:color w:val="auto"/>
        </w:rPr>
      </w:pPr>
      <w:r>
        <w:rPr>
          <w:rFonts w:ascii="Arial" w:cs="Arial" w:eastAsia="Arial" w:hAnsi="Arial"/>
          <w:sz w:val="19"/>
          <w:szCs w:val="19"/>
          <w:color w:val="auto"/>
        </w:rPr>
        <w:t>Subject to the prior and superior rights of the holders of any Senior Securities of the Corporation, upon liquidation, dissolution or winding up of the Corporation, whether voluntary or involuntary (each, a “</w:t>
      </w:r>
      <w:r>
        <w:rPr>
          <w:rFonts w:ascii="Arial" w:cs="Arial" w:eastAsia="Arial" w:hAnsi="Arial"/>
          <w:sz w:val="19"/>
          <w:szCs w:val="19"/>
          <w:b w:val="1"/>
          <w:bCs w:val="1"/>
          <w:u w:val="single" w:color="auto"/>
          <w:color w:val="auto"/>
        </w:rPr>
        <w:t>Liquidation Event</w:t>
      </w:r>
      <w:r>
        <w:rPr>
          <w:rFonts w:ascii="Arial" w:cs="Arial" w:eastAsia="Arial" w:hAnsi="Arial"/>
          <w:sz w:val="19"/>
          <w:szCs w:val="19"/>
          <w:color w:val="auto"/>
        </w:rPr>
        <w:t>”), each holder of shares of Series A Preferred Stock shall be entitled to receive, in preference to any distributions of any of the assets or surplus funds of the Corporation to the holders of the Common Stock and Junior Securities and pari passu with any distribution to the holders of Parity Securities, an amount equal to $10,000 per share of Series A Preferred Stock, plus an additional amount equal to any dividends declared but unpaid on such shares, before any payments shall be made or any assets distributed to holders of any class of Common Stock or Junior Securities. If, upon any such Liquidation Event, the assets of the Corporation shall be insufficient to pay the holders of shares of the Series A Preferred Stock the amount required under the preceding sentence, then all remaining assets of the Corporation shall be distributed ratably to holders of the shares of the Series A Preferred Stock and Parity Securities.</w:t>
      </w:r>
    </w:p>
    <w:p>
      <w:pPr>
        <w:spacing w:after="0" w:line="183" w:lineRule="exact"/>
        <w:rPr>
          <w:rFonts w:ascii="Arial" w:cs="Arial" w:eastAsia="Arial" w:hAnsi="Arial"/>
          <w:sz w:val="19"/>
          <w:szCs w:val="19"/>
          <w:color w:val="auto"/>
        </w:rPr>
      </w:pPr>
    </w:p>
    <w:p>
      <w:pPr>
        <w:jc w:val="both"/>
        <w:ind w:right="479" w:firstLine="1305"/>
        <w:spacing w:after="0" w:line="277" w:lineRule="auto"/>
        <w:tabs>
          <w:tab w:leader="none" w:pos="1918" w:val="left"/>
        </w:tabs>
        <w:numPr>
          <w:ilvl w:val="0"/>
          <w:numId w:val="8"/>
        </w:numPr>
        <w:rPr>
          <w:rFonts w:ascii="Arial" w:cs="Arial" w:eastAsia="Arial" w:hAnsi="Arial"/>
          <w:sz w:val="19"/>
          <w:szCs w:val="19"/>
          <w:color w:val="auto"/>
        </w:rPr>
      </w:pPr>
      <w:r>
        <w:rPr>
          <w:rFonts w:ascii="Arial" w:cs="Arial" w:eastAsia="Arial" w:hAnsi="Arial"/>
          <w:sz w:val="19"/>
          <w:szCs w:val="19"/>
          <w:color w:val="auto"/>
        </w:rPr>
        <w:t>After payment to the holders of shares of the Series A Preferred Stock of the amount required under Section 5(b) and subject to the prior and superior rights of the holders of any Senior Securities of the Corporation, the remaining assets or surplus funds of the Corporation, if any, available for distribution to stockholders shall be distributed ratably among the holders of the Series A Preferred Stock, any other class or series of capital stock that participates with the Common Stock in the distribution of assets upon any Liquidation Event and the Common Stock, with the holders of the Series A Preferred Stock deemed to hold that number of shares of Common Stock into which such shares of Series A Preferred Stock are then convertible.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6. Conversion</w:t>
      </w:r>
      <w:r>
        <w:rPr>
          <w:rFonts w:ascii="Arial" w:cs="Arial" w:eastAsia="Arial" w:hAnsi="Arial"/>
          <w:sz w:val="22"/>
          <w:szCs w:val="22"/>
          <w:color w:val="auto"/>
        </w:rPr>
        <w:t>.</w:t>
      </w:r>
    </w:p>
    <w:p>
      <w:pPr>
        <w:spacing w:after="0" w:line="233" w:lineRule="exact"/>
        <w:rPr>
          <w:sz w:val="20"/>
          <w:szCs w:val="20"/>
          <w:color w:val="auto"/>
        </w:rPr>
      </w:pPr>
    </w:p>
    <w:p>
      <w:pPr>
        <w:jc w:val="both"/>
        <w:ind w:right="479" w:firstLine="1305"/>
        <w:spacing w:after="0" w:line="270" w:lineRule="auto"/>
        <w:tabs>
          <w:tab w:leader="none" w:pos="1918"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Conversions at Option of Holder</w:t>
      </w:r>
      <w:r>
        <w:rPr>
          <w:rFonts w:ascii="Arial" w:cs="Arial" w:eastAsia="Arial" w:hAnsi="Arial"/>
          <w:sz w:val="19"/>
          <w:szCs w:val="19"/>
          <w:color w:val="auto"/>
        </w:rPr>
        <w:t xml:space="preserve">. Each share of Series A Preferred Stock shall be convertible, at any time and from time to time from and after the date of the issuance thereof, at the option of the Holder thereof, into a number of shares of Common Stock equal to the Conversion Ratio in effect at the time of such conversion. Holders shall effect conversions by providing the Corporation with the form of conversion notice attached hereto as </w:t>
      </w:r>
      <w:r>
        <w:rPr>
          <w:rFonts w:ascii="Arial" w:cs="Arial" w:eastAsia="Arial" w:hAnsi="Arial"/>
          <w:sz w:val="19"/>
          <w:szCs w:val="19"/>
          <w:b w:val="1"/>
          <w:bCs w:val="1"/>
          <w:u w:val="single" w:color="auto"/>
          <w:color w:val="auto"/>
        </w:rPr>
        <w:t>Annex A</w:t>
      </w:r>
      <w:r>
        <w:rPr>
          <w:rFonts w:ascii="Arial" w:cs="Arial" w:eastAsia="Arial" w:hAnsi="Arial"/>
          <w:sz w:val="19"/>
          <w:szCs w:val="19"/>
          <w:color w:val="auto"/>
        </w:rPr>
        <w:t xml:space="preserve"> (a “</w:t>
      </w:r>
      <w:r>
        <w:rPr>
          <w:rFonts w:ascii="Arial" w:cs="Arial" w:eastAsia="Arial" w:hAnsi="Arial"/>
          <w:sz w:val="19"/>
          <w:szCs w:val="19"/>
          <w:b w:val="1"/>
          <w:bCs w:val="1"/>
          <w:u w:val="single" w:color="auto"/>
          <w:color w:val="auto"/>
        </w:rPr>
        <w:t>Notice of Conversion</w:t>
      </w:r>
      <w:r>
        <w:rPr>
          <w:rFonts w:ascii="Arial" w:cs="Arial" w:eastAsia="Arial" w:hAnsi="Arial"/>
          <w:sz w:val="19"/>
          <w:szCs w:val="19"/>
          <w:color w:val="auto"/>
        </w:rPr>
        <w:t>”), duly completed and executed. Provided the Corporation’s transfer agent is participating in the Depository Trust Company (“</w:t>
      </w:r>
      <w:r>
        <w:rPr>
          <w:rFonts w:ascii="Arial" w:cs="Arial" w:eastAsia="Arial" w:hAnsi="Arial"/>
          <w:sz w:val="19"/>
          <w:szCs w:val="19"/>
          <w:b w:val="1"/>
          <w:bCs w:val="1"/>
          <w:u w:val="single" w:color="auto"/>
          <w:color w:val="auto"/>
        </w:rPr>
        <w:t>DTC</w:t>
      </w:r>
      <w:r>
        <w:rPr>
          <w:rFonts w:ascii="Arial" w:cs="Arial" w:eastAsia="Arial" w:hAnsi="Arial"/>
          <w:sz w:val="19"/>
          <w:szCs w:val="19"/>
          <w:color w:val="auto"/>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Arial" w:cs="Arial" w:eastAsia="Arial" w:hAnsi="Arial"/>
          <w:sz w:val="19"/>
          <w:szCs w:val="19"/>
          <w:b w:val="1"/>
          <w:bCs w:val="1"/>
          <w:u w:val="single" w:color="auto"/>
          <w:color w:val="auto"/>
        </w:rPr>
        <w:t>DWAC Delivery</w:t>
      </w:r>
      <w:r>
        <w:rPr>
          <w:rFonts w:ascii="Arial" w:cs="Arial" w:eastAsia="Arial" w:hAnsi="Arial"/>
          <w:sz w:val="19"/>
          <w:szCs w:val="19"/>
          <w:color w:val="auto"/>
        </w:rPr>
        <w:t>”). The “</w:t>
      </w:r>
      <w:r>
        <w:rPr>
          <w:rFonts w:ascii="Arial" w:cs="Arial" w:eastAsia="Arial" w:hAnsi="Arial"/>
          <w:sz w:val="19"/>
          <w:szCs w:val="19"/>
          <w:b w:val="1"/>
          <w:bCs w:val="1"/>
          <w:u w:val="single" w:color="auto"/>
          <w:color w:val="auto"/>
        </w:rPr>
        <w:t>Conversion Date</w:t>
      </w:r>
      <w:r>
        <w:rPr>
          <w:rFonts w:ascii="Arial" w:cs="Arial" w:eastAsia="Arial" w:hAnsi="Arial"/>
          <w:sz w:val="19"/>
          <w:szCs w:val="19"/>
          <w:color w:val="auto"/>
        </w:rPr>
        <w:t>”, or the date on which a conversion shall be deemed effective, shall be defined as the Trading Day that the Notice of Conversion, completed and executed, is sent by facsimile to, and received during regular business hours by, the Corporation; provided that the original certificate(s) representing such shares of Series A Preferred Stock being converted, duly endorsed, and the accompanying Notice of Conversion, are received by the Corporation within two (2) Trading Days thereafter. In all other cases, the Conversion Date shall be defined as the Trading Day on which the original stock certificates representing the shares of Series A Preferred Stock being converted, duly endorsed, and the accompanying Notice of Conversion, are received by the Corporation. The calculations set forth in the Notice of Conversion shall control in the absence of manifest or mathematical error.</w:t>
      </w:r>
    </w:p>
    <w:p>
      <w:pPr>
        <w:spacing w:after="0" w:line="191" w:lineRule="exact"/>
        <w:rPr>
          <w:rFonts w:ascii="Arial" w:cs="Arial" w:eastAsia="Arial" w:hAnsi="Arial"/>
          <w:sz w:val="19"/>
          <w:szCs w:val="19"/>
          <w:color w:val="auto"/>
        </w:rPr>
      </w:pPr>
    </w:p>
    <w:p>
      <w:pPr>
        <w:ind w:right="499" w:firstLine="1305"/>
        <w:spacing w:after="0" w:line="256" w:lineRule="auto"/>
        <w:tabs>
          <w:tab w:leader="none" w:pos="1918"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Conversion Ratio</w:t>
      </w:r>
      <w:r>
        <w:rPr>
          <w:rFonts w:ascii="Arial" w:cs="Arial" w:eastAsia="Arial" w:hAnsi="Arial"/>
          <w:sz w:val="22"/>
          <w:szCs w:val="22"/>
          <w:color w:val="auto"/>
        </w:rPr>
        <w:t>. The “</w:t>
      </w:r>
      <w:r>
        <w:rPr>
          <w:rFonts w:ascii="Arial" w:cs="Arial" w:eastAsia="Arial" w:hAnsi="Arial"/>
          <w:sz w:val="22"/>
          <w:szCs w:val="22"/>
          <w:b w:val="1"/>
          <w:bCs w:val="1"/>
          <w:u w:val="single" w:color="auto"/>
          <w:color w:val="auto"/>
        </w:rPr>
        <w:t>Conversion Ratio</w:t>
      </w:r>
      <w:r>
        <w:rPr>
          <w:rFonts w:ascii="Arial" w:cs="Arial" w:eastAsia="Arial" w:hAnsi="Arial"/>
          <w:sz w:val="22"/>
          <w:szCs w:val="22"/>
          <w:color w:val="auto"/>
        </w:rPr>
        <w:t>” for each share of Series A Preferred Stock shall be equal to the Stated Value divided by the Conversion Price.</w:t>
      </w:r>
    </w:p>
    <w:p>
      <w:pPr>
        <w:spacing w:after="0" w:line="195" w:lineRule="exact"/>
        <w:rPr>
          <w:rFonts w:ascii="Arial" w:cs="Arial" w:eastAsia="Arial" w:hAnsi="Arial"/>
          <w:sz w:val="22"/>
          <w:szCs w:val="22"/>
          <w:color w:val="auto"/>
        </w:rPr>
      </w:pPr>
    </w:p>
    <w:p>
      <w:pPr>
        <w:ind w:left="1920" w:hanging="615"/>
        <w:spacing w:after="0"/>
        <w:tabs>
          <w:tab w:leader="none" w:pos="192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Mechanics of Conversion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right="479" w:firstLine="1953"/>
        <w:spacing w:after="0" w:line="270" w:lineRule="auto"/>
        <w:tabs>
          <w:tab w:leader="none" w:pos="2566"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Delivery of Certificate or Electronic Issuance Upon Conversion</w:t>
      </w:r>
      <w:r>
        <w:rPr>
          <w:rFonts w:ascii="Arial" w:cs="Arial" w:eastAsia="Arial" w:hAnsi="Arial"/>
          <w:sz w:val="19"/>
          <w:szCs w:val="19"/>
          <w:color w:val="auto"/>
        </w:rPr>
        <w:t>. Not later than three Trading Days after the applicable Conversion Date, or if the Holder requests the issuance of physical certificate(s), two Trading Days after receipt by the Corporation of the original certificate(s) representing such shares of Series A Preferred Stock being converted, duly endorsed, and the accompanying Notice of Conversion (the “</w:t>
      </w:r>
      <w:r>
        <w:rPr>
          <w:rFonts w:ascii="Arial" w:cs="Arial" w:eastAsia="Arial" w:hAnsi="Arial"/>
          <w:sz w:val="19"/>
          <w:szCs w:val="19"/>
          <w:b w:val="1"/>
          <w:bCs w:val="1"/>
          <w:u w:val="single" w:color="auto"/>
          <w:color w:val="auto"/>
        </w:rPr>
        <w:t>Share Delivery Date</w:t>
      </w:r>
      <w:r>
        <w:rPr>
          <w:rFonts w:ascii="Arial" w:cs="Arial" w:eastAsia="Arial" w:hAnsi="Arial"/>
          <w:sz w:val="19"/>
          <w:szCs w:val="19"/>
          <w:color w:val="auto"/>
        </w:rPr>
        <w:t>”), the Corporation shall (a) deliver, or cause to be delivered, to the converting Holder a physical certificate or certificates representing the number of Conversion Shares being acquired upon the conversion of shares of Series A Preferred Stock (which certificate or certificates shall not have any legends on it) or (b) in the case of a DWAC Delivery, electronically transfer such Conversion Shares by crediting the account of the Holder’s prime broker with DTC through its DWAC system. If in the case of any Notice of Conversion such certificate or certificates are not delivered to or as directed by or, in the case of a DWAC Delivery, such shares are not electronically delivered to or as directed by, the applicable Holder by the Share Delivery Date, the applicable Holder shall be entitled to elect to rescind such Conversion Notice by written notice to the Corporation at any time on or before its receipt of such certificate or certificates for Conversion Shares or electronic receipt of such shares, as applicable, in which event the Corporation shall promptly return to such Holder any original Series A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A Preferred Stock unsuccessfully tendered for conversion to the Corporation.</w:t>
      </w:r>
    </w:p>
    <w:p>
      <w:pPr>
        <w:sectPr>
          <w:pgSz w:w="11900" w:h="16838" w:orient="portrait"/>
          <w:cols w:equalWidth="0" w:num="1">
            <w:col w:w="10219"/>
          </w:cols>
          <w:pgMar w:left="240" w:top="361" w:right="1440" w:bottom="794" w:gutter="0" w:footer="0" w:header="0"/>
        </w:sectPr>
      </w:pPr>
    </w:p>
    <w:bookmarkStart w:id="15" w:name="page16"/>
    <w:bookmarkEnd w:id="15"/>
    <w:p>
      <w:pPr>
        <w:jc w:val="both"/>
        <w:spacing w:after="0" w:line="270" w:lineRule="auto"/>
        <w:tabs>
          <w:tab w:leader="none" w:pos="256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61" w:lineRule="exact"/>
        <w:rPr>
          <w:sz w:val="20"/>
          <w:szCs w:val="20"/>
          <w:color w:val="auto"/>
        </w:rPr>
      </w:pPr>
    </w:p>
    <w:p>
      <w:pPr>
        <w:jc w:val="both"/>
        <w:ind w:left="-8" w:right="479" w:firstLine="1953"/>
        <w:spacing w:after="0" w:line="268" w:lineRule="auto"/>
        <w:tabs>
          <w:tab w:leader="none" w:pos="2558"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Obligation Absolute</w:t>
      </w:r>
      <w:r>
        <w:rPr>
          <w:rFonts w:ascii="Arial" w:cs="Arial" w:eastAsia="Arial" w:hAnsi="Arial"/>
          <w:sz w:val="19"/>
          <w:szCs w:val="19"/>
          <w:color w:val="auto"/>
        </w:rPr>
        <w:t>. Subject to Section 6(c) hereof and subject to Holder’s right to rescind a Conversion Notice pursuant to Section 6(c)(i) above, the Corporation’s obligation to issue and deliver the Conversion Shares upon conversion of Series A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Section 6(c) hereof and subject to a Holder’s right to rescind a Conversion Notice pursuant to Section 6(c)(i) above, in the event a Holder shall elect to convert any or all of its Series A Preferred Stock, the Corporation may not refuse conversion based on any claim that such Holder or any one associated or affiliated with such Holder has been engaged in any violation of law, agreement or for any other reason, unless an injunction from a court, on notice to such Holder, restraining and/or enjoining conversion of all or part of the Series A Preferred Stock of such Holder shall have been sought and obtained by the Corporation, and the Corporation posts a surety bond for the benefit of such Holder in the amount of 150% of the value of the Conversion Shares into which would be converted the Series A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Section 6(c) hereof and subject to a Holder’s right to rescind a Conversion Notice pursuant to Section 6(c)(i) above, issue Conversion Shares upon a properly noticed conversion. If the Corporation fails to deliver to a Holder such certificate or certificates, or electronically deliver (or cause its transfer agent to electronically deliver) such shares in the case of a DWAC Delivery, pursuant to Section 6(c)(i) on or prior to the fifth (5th) Trading Day after the Share Delivery Date applicable to such conversion (other than a failure caused by incorrect or incomplete information provided by such Holder to the Corporation), then, unless the Holder has rescinded the applicable Conversion Notice pursuant to Section 6(c)(i) above, the Corporation shall pay (as liquidated damages and not as a penalty) to such Holder an amount payable, at the Corporation’s option, either (a) in cash or (b) in shares of Common Stock that are valued for these purposes at the Closing Sale Price on the date of such calculation, in each case equal to the product of (x) the number of Conversion Shares required to have been issued by the Corporation on such Share Delivery Date, (y) an amount equal to the Daily Failure Amount and (z) the number of Trading Days actually lapsed after such fifth (5th) Trading Day after the Share Delivery Date during which such certificates have not been delivered, or, in the case of a DWAC Delivery, such shares have not been electronically delivered.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provided that Holder shall not receive duplicate damages for the Corporation’s failure to deliver Conversion Shares within the period specified herein. The exercise of any such rights shall not prohibit a Holder from seeking to enforce damages pursuant to any other Section hereof or under applicable law.</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jc w:val="both"/>
        <w:ind w:left="-8" w:right="499" w:firstLine="1953"/>
        <w:spacing w:after="0" w:line="269" w:lineRule="auto"/>
        <w:tabs>
          <w:tab w:leader="none" w:pos="2558"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Compensation for Buy-In on Failure to Timely Deliver Certificates Upon Conversion</w:t>
      </w:r>
      <w:r>
        <w:rPr>
          <w:rFonts w:ascii="Arial" w:cs="Arial" w:eastAsia="Arial" w:hAnsi="Arial"/>
          <w:sz w:val="19"/>
          <w:szCs w:val="19"/>
          <w:color w:val="auto"/>
        </w:rPr>
        <w:t>. If the Corporation fails to deliver to a Holder the applicable certificate or certificates or to effect a DWAC Delivery, as applicable, by the Share Delivery Date pursuant to Section 6(c)(i) (other than a failure caused by incorrect or incomplete information provided by such Holder to the Corporation),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Arial" w:cs="Arial" w:eastAsia="Arial" w:hAnsi="Arial"/>
          <w:sz w:val="19"/>
          <w:szCs w:val="19"/>
          <w:b w:val="1"/>
          <w:bCs w:val="1"/>
          <w:u w:val="single" w:color="auto"/>
          <w:color w:val="auto"/>
        </w:rPr>
        <w:t>Buy-In</w:t>
      </w:r>
      <w:r>
        <w:rPr>
          <w:rFonts w:ascii="Arial" w:cs="Arial" w:eastAsia="Arial" w:hAnsi="Arial"/>
          <w:sz w:val="19"/>
          <w:szCs w:val="19"/>
          <w:color w:val="auto"/>
        </w:rPr>
        <w:t>”), then the Corporation shall (A) pay in cash to such Holder (in addition to any other remedies available to or elected by such Holder) the amount by which</w:t>
      </w:r>
    </w:p>
    <w:p>
      <w:pPr>
        <w:spacing w:after="0" w:line="1" w:lineRule="exact"/>
        <w:rPr>
          <w:rFonts w:ascii="Arial" w:cs="Arial" w:eastAsia="Arial" w:hAnsi="Arial"/>
          <w:sz w:val="19"/>
          <w:szCs w:val="19"/>
          <w:color w:val="auto"/>
        </w:rPr>
      </w:pPr>
    </w:p>
    <w:p>
      <w:pPr>
        <w:jc w:val="both"/>
        <w:ind w:left="-8" w:right="479" w:firstLine="8"/>
        <w:spacing w:after="0" w:line="269" w:lineRule="auto"/>
        <w:tabs>
          <w:tab w:leader="none" w:pos="306" w:val="left"/>
        </w:tabs>
        <w:numPr>
          <w:ilvl w:val="0"/>
          <w:numId w:val="11"/>
        </w:numPr>
        <w:rPr>
          <w:rFonts w:ascii="Arial" w:cs="Arial" w:eastAsia="Arial" w:hAnsi="Arial"/>
          <w:sz w:val="19"/>
          <w:szCs w:val="19"/>
          <w:color w:val="auto"/>
        </w:rPr>
      </w:pPr>
      <w:r>
        <w:rPr>
          <w:rFonts w:ascii="Arial" w:cs="Arial" w:eastAsia="Arial" w:hAnsi="Arial"/>
          <w:sz w:val="19"/>
          <w:szCs w:val="19"/>
          <w:color w:val="auto"/>
        </w:rPr>
        <w:t>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 Preferred Stock equal to the number of shares of Series A Preferred Stock submitted for conversion or deliver to such Holder the number of shares of Common Stock that would have been issued if the Corporation had timely complied with its delivery requirements under Section 6(c)(i). For example, if a Holder purchases shares of Common Stock having a total purchase price of $11,000 to cover a Buy-In with respect to an attempted conversion of shares of Series A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A Preferred Stock as required pursuant to the terms</w:t>
      </w:r>
    </w:p>
    <w:p>
      <w:pPr>
        <w:sectPr>
          <w:pgSz w:w="11900" w:h="16899" w:orient="portrait"/>
          <w:cols w:equalWidth="0" w:num="1">
            <w:col w:w="10211"/>
          </w:cols>
          <w:pgMar w:left="248" w:top="361" w:right="1440" w:bottom="0" w:gutter="0" w:footer="0" w:header="0"/>
        </w:sectPr>
      </w:pPr>
    </w:p>
    <w:bookmarkStart w:id="17" w:name="page18"/>
    <w:bookmarkEnd w:id="17"/>
    <w:p>
      <w:pPr>
        <w:ind w:right="479"/>
        <w:spacing w:after="0" w:line="277" w:lineRule="auto"/>
        <w:rPr>
          <w:sz w:val="20"/>
          <w:szCs w:val="20"/>
          <w:color w:val="auto"/>
        </w:rPr>
      </w:pPr>
      <w:r>
        <w:rPr>
          <w:rFonts w:ascii="Arial" w:cs="Arial" w:eastAsia="Arial" w:hAnsi="Arial"/>
          <w:sz w:val="19"/>
          <w:szCs w:val="19"/>
          <w:color w:val="auto"/>
        </w:rPr>
        <w:t>hereof; provided, however, that the Holder shall not be entitled to both (i) require the reissuance of the shares of Series A Preferred Stock submitted for conversion for which such conversion was not timely honored and</w:t>
      </w:r>
    </w:p>
    <w:p>
      <w:pPr>
        <w:ind w:right="499" w:firstLine="8"/>
        <w:spacing w:after="0" w:line="237" w:lineRule="auto"/>
        <w:tabs>
          <w:tab w:leader="none" w:pos="330"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receive the number of shares of Common Stock that would have been issued if the Corporation had timely complied with its delivery requirements under Section 6(c)(i).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6174740"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18" w:name="page19"/>
    <w:bookmarkEnd w:id="18"/>
    <w:p>
      <w:pPr>
        <w:jc w:val="both"/>
        <w:ind w:right="499" w:firstLine="1953"/>
        <w:spacing w:after="0" w:line="275" w:lineRule="auto"/>
        <w:tabs>
          <w:tab w:leader="none" w:pos="2566"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Reservation of Shares Issuable Upon Conversion</w:t>
      </w:r>
      <w:r>
        <w:rPr>
          <w:rFonts w:ascii="Arial" w:cs="Arial" w:eastAsia="Arial" w:hAnsi="Arial"/>
          <w:sz w:val="19"/>
          <w:szCs w:val="19"/>
          <w:color w:val="auto"/>
        </w:rPr>
        <w:t>. The Corporation covenants that it will at all times reserve and keep available out of its authorized and unissued shares of Common Stock for the sole purpose of issuance upon conversion of the Series A Preferred Stock, free from preemptive rights or any other actual contingent purchase rights of Persons other than the Holders of the Series A Preferred Stock, not less than such aggregate number of shares of the Common Stock as shall be issuable (taking into account the adjustments of Section 7) upon the conversion of all outstanding shares of Series A Preferred Stock. The Corporation covenants that all shares of Common Stock that shall be so issuable shall, upon issue, be duly authorized, validly issued, fully paid and nonassessable.</w:t>
      </w:r>
    </w:p>
    <w:p>
      <w:pPr>
        <w:spacing w:after="0" w:line="185" w:lineRule="exact"/>
        <w:rPr>
          <w:rFonts w:ascii="Arial" w:cs="Arial" w:eastAsia="Arial" w:hAnsi="Arial"/>
          <w:sz w:val="19"/>
          <w:szCs w:val="19"/>
          <w:color w:val="auto"/>
        </w:rPr>
      </w:pPr>
    </w:p>
    <w:p>
      <w:pPr>
        <w:jc w:val="both"/>
        <w:ind w:right="499" w:firstLine="1953"/>
        <w:spacing w:after="0" w:line="249" w:lineRule="auto"/>
        <w:tabs>
          <w:tab w:leader="none" w:pos="2566" w:val="left"/>
        </w:tabs>
        <w:numPr>
          <w:ilvl w:val="1"/>
          <w:numId w:val="13"/>
        </w:numPr>
        <w:rPr>
          <w:rFonts w:ascii="Arial" w:cs="Arial" w:eastAsia="Arial" w:hAnsi="Arial"/>
          <w:sz w:val="21"/>
          <w:szCs w:val="21"/>
          <w:color w:val="auto"/>
        </w:rPr>
      </w:pPr>
      <w:r>
        <w:rPr>
          <w:rFonts w:ascii="Arial" w:cs="Arial" w:eastAsia="Arial" w:hAnsi="Arial"/>
          <w:sz w:val="21"/>
          <w:szCs w:val="21"/>
          <w:u w:val="single" w:color="auto"/>
          <w:color w:val="auto"/>
        </w:rPr>
        <w:t>Fractional Shares</w:t>
      </w:r>
      <w:r>
        <w:rPr>
          <w:rFonts w:ascii="Arial" w:cs="Arial" w:eastAsia="Arial" w:hAnsi="Arial"/>
          <w:sz w:val="21"/>
          <w:szCs w:val="21"/>
          <w:color w:val="auto"/>
        </w:rPr>
        <w:t>. No fractional shares or scrip representing fractional shares of Common Stock shall be issued upon the conversion of the Series A Preferred Stock. As to any fraction of a share which a Holder would otherwise be entitled to receive upon such conversion, the Corporation shall at its election, either pay a cash adjustment in respect of such final fraction in an amount equal to such fraction multiplied by the Conversion Price or round up to the next whole share.</w:t>
      </w:r>
    </w:p>
    <w:p>
      <w:pPr>
        <w:spacing w:after="0" w:line="205" w:lineRule="exact"/>
        <w:rPr>
          <w:rFonts w:ascii="Arial" w:cs="Arial" w:eastAsia="Arial" w:hAnsi="Arial"/>
          <w:sz w:val="21"/>
          <w:szCs w:val="21"/>
          <w:color w:val="auto"/>
        </w:rPr>
      </w:pPr>
    </w:p>
    <w:p>
      <w:pPr>
        <w:jc w:val="both"/>
        <w:ind w:right="479" w:firstLine="1953"/>
        <w:spacing w:after="0" w:line="245" w:lineRule="auto"/>
        <w:tabs>
          <w:tab w:leader="none" w:pos="2566" w:val="left"/>
        </w:tabs>
        <w:numPr>
          <w:ilvl w:val="1"/>
          <w:numId w:val="13"/>
        </w:numPr>
        <w:rPr>
          <w:rFonts w:ascii="Arial" w:cs="Arial" w:eastAsia="Arial" w:hAnsi="Arial"/>
          <w:sz w:val="21"/>
          <w:szCs w:val="21"/>
          <w:color w:val="auto"/>
        </w:rPr>
      </w:pPr>
      <w:r>
        <w:rPr>
          <w:rFonts w:ascii="Arial" w:cs="Arial" w:eastAsia="Arial" w:hAnsi="Arial"/>
          <w:sz w:val="21"/>
          <w:szCs w:val="21"/>
          <w:u w:val="single" w:color="auto"/>
          <w:color w:val="auto"/>
        </w:rPr>
        <w:t>Transfer Taxes</w:t>
      </w:r>
      <w:r>
        <w:rPr>
          <w:rFonts w:ascii="Arial" w:cs="Arial" w:eastAsia="Arial" w:hAnsi="Arial"/>
          <w:sz w:val="21"/>
          <w:szCs w:val="21"/>
          <w:color w:val="auto"/>
        </w:rPr>
        <w:t>. The issuance of certificates for shares of the Common Stock upon conversion of the Series A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A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212" w:lineRule="exact"/>
        <w:rPr>
          <w:rFonts w:ascii="Arial" w:cs="Arial" w:eastAsia="Arial" w:hAnsi="Arial"/>
          <w:sz w:val="21"/>
          <w:szCs w:val="21"/>
          <w:color w:val="auto"/>
        </w:rPr>
      </w:pPr>
    </w:p>
    <w:p>
      <w:pPr>
        <w:jc w:val="both"/>
        <w:ind w:right="479" w:firstLine="1305"/>
        <w:spacing w:after="0" w:line="247" w:lineRule="auto"/>
        <w:tabs>
          <w:tab w:leader="none" w:pos="1918"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Status as Stockholder</w:t>
      </w:r>
      <w:r>
        <w:rPr>
          <w:rFonts w:ascii="Arial" w:cs="Arial" w:eastAsia="Arial" w:hAnsi="Arial"/>
          <w:sz w:val="21"/>
          <w:szCs w:val="21"/>
          <w:color w:val="auto"/>
        </w:rPr>
        <w:t>. Upon each Conversion Date, (i) the shares of Series A Preferred Stock being converted shall be deemed converted into shares of Common Stock and (ii) the Holder’s rights as a holder of such converted shares of Series A Preferred Stock shall cease and terminate, excepting only the right to receive certificates for such shares of Common Stock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A Preferred Stock.</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7. Certain Adjustments</w:t>
      </w:r>
      <w:r>
        <w:rPr>
          <w:rFonts w:ascii="Arial" w:cs="Arial" w:eastAsia="Arial" w:hAnsi="Arial"/>
          <w:sz w:val="22"/>
          <w:szCs w:val="22"/>
          <w:color w:val="auto"/>
        </w:rPr>
        <w:t>.</w:t>
      </w:r>
    </w:p>
    <w:p>
      <w:pPr>
        <w:spacing w:after="0" w:line="233" w:lineRule="exact"/>
        <w:rPr>
          <w:sz w:val="20"/>
          <w:szCs w:val="20"/>
          <w:color w:val="auto"/>
        </w:rPr>
      </w:pPr>
    </w:p>
    <w:p>
      <w:pPr>
        <w:jc w:val="both"/>
        <w:ind w:right="479" w:firstLine="1305"/>
        <w:spacing w:after="0" w:line="272" w:lineRule="auto"/>
        <w:tabs>
          <w:tab w:leader="none" w:pos="191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Stock Dividends and Stock Splits</w:t>
      </w:r>
      <w:r>
        <w:rPr>
          <w:rFonts w:ascii="Arial" w:cs="Arial" w:eastAsia="Arial" w:hAnsi="Arial"/>
          <w:sz w:val="19"/>
          <w:szCs w:val="19"/>
          <w:color w:val="auto"/>
        </w:rPr>
        <w:t>. If the Corporation, at any time while the Series A Preferred Stock is outstanding: (A) pays a stock dividend or otherwise makes a distribution or distributions payable in shares of Common Stock (which, for avoidance of doubt, shall not include any shares of Common Stock issued by the Corporation upon conversion of shares of Series A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(excluding any treasury shares of the Corporation).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6174740" cy="94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19" w:name="page20"/>
    <w:bookmarkEnd w:id="19"/>
    <w:p>
      <w:pPr>
        <w:spacing w:after="0" w:line="61" w:lineRule="exact"/>
        <w:rPr>
          <w:sz w:val="20"/>
          <w:szCs w:val="20"/>
          <w:color w:val="auto"/>
        </w:rPr>
      </w:pPr>
    </w:p>
    <w:p>
      <w:pPr>
        <w:jc w:val="both"/>
        <w:ind w:left="-8" w:right="479" w:firstLine="1305"/>
        <w:spacing w:after="0" w:line="268" w:lineRule="auto"/>
        <w:tabs>
          <w:tab w:leader="none" w:pos="1910"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Fundamental Transaction</w:t>
      </w:r>
      <w:r>
        <w:rPr>
          <w:rFonts w:ascii="Arial" w:cs="Arial" w:eastAsia="Arial" w:hAnsi="Arial"/>
          <w:sz w:val="19"/>
          <w:szCs w:val="19"/>
          <w:color w:val="auto"/>
        </w:rPr>
        <w:t>. If, at any time while the Series A Preferred Stock is outstanding, (A) the Corporation effects any merger or consolidation of the Corporation with or into another Person (other than a merger in which the Corporation is the surviving or continuing entity and its Common Stock is not exchanged for or converted into other securities, cash or property), (B) the Corporation effects any sale of all or substantially all of its assets in one transaction or a series of related transactions, (C) any tender offer or exchange offer (whether by the Corporation or another Person) is completed pursuant to which all of the Common Stock is exchanged for or converted into other securities, cash or property, or (D) the Corporation effects any reclassification of the Common Stock or any compulsory share exchange pursuant (other than as a result of a dividend, subdivision or combination covered by Section 7(a) above) to which the Common Stock is effectively converted into or exchanged for other securities, cash or property (in any such case, a “</w:t>
      </w:r>
      <w:r>
        <w:rPr>
          <w:rFonts w:ascii="Arial" w:cs="Arial" w:eastAsia="Arial" w:hAnsi="Arial"/>
          <w:sz w:val="19"/>
          <w:szCs w:val="19"/>
          <w:b w:val="1"/>
          <w:bCs w:val="1"/>
          <w:u w:val="single" w:color="auto"/>
          <w:color w:val="auto"/>
        </w:rPr>
        <w:t>Fundamental Transaction</w:t>
      </w:r>
      <w:r>
        <w:rPr>
          <w:rFonts w:ascii="Arial" w:cs="Arial" w:eastAsia="Arial" w:hAnsi="Arial"/>
          <w:sz w:val="19"/>
          <w:szCs w:val="19"/>
          <w:color w:val="auto"/>
        </w:rPr>
        <w:t>”), then, upon any subsequent conversion of this Series A Preferred Stock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Arial" w:cs="Arial" w:eastAsia="Arial" w:hAnsi="Arial"/>
          <w:sz w:val="19"/>
          <w:szCs w:val="19"/>
          <w:b w:val="1"/>
          <w:bCs w:val="1"/>
          <w:u w:val="single" w:color="auto"/>
          <w:color w:val="auto"/>
        </w:rPr>
        <w:t>Alternate Consideration</w:t>
      </w:r>
      <w:r>
        <w:rPr>
          <w:rFonts w:ascii="Arial" w:cs="Arial" w:eastAsia="Arial" w:hAnsi="Arial"/>
          <w:sz w:val="19"/>
          <w:szCs w:val="19"/>
          <w:color w:val="auto"/>
        </w:rPr>
        <w:t>”). For 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A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Section 7(b) and ensuring that the Series A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left="-8" w:right="499" w:firstLine="1305"/>
        <w:spacing w:after="0" w:line="287" w:lineRule="auto"/>
        <w:tabs>
          <w:tab w:leader="none" w:pos="1910"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Calculations</w:t>
      </w:r>
      <w:r>
        <w:rPr>
          <w:rFonts w:ascii="Arial" w:cs="Arial" w:eastAsia="Arial" w:hAnsi="Arial"/>
          <w:sz w:val="19"/>
          <w:szCs w:val="19"/>
          <w:color w:val="auto"/>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spacing w:after="0" w:line="170" w:lineRule="exact"/>
        <w:rPr>
          <w:rFonts w:ascii="Arial" w:cs="Arial" w:eastAsia="Arial" w:hAnsi="Arial"/>
          <w:sz w:val="19"/>
          <w:szCs w:val="19"/>
          <w:color w:val="auto"/>
        </w:rPr>
      </w:pPr>
    </w:p>
    <w:p>
      <w:pPr>
        <w:ind w:left="1912" w:hanging="615"/>
        <w:spacing w:after="0"/>
        <w:tabs>
          <w:tab w:leader="none" w:pos="1912"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Notice to the Holders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8" w:right="499" w:firstLine="1953"/>
        <w:spacing w:after="0" w:line="238" w:lineRule="auto"/>
        <w:tabs>
          <w:tab w:leader="none" w:pos="2558" w:val="left"/>
        </w:tabs>
        <w:numPr>
          <w:ilvl w:val="2"/>
          <w:numId w:val="16"/>
        </w:numPr>
        <w:rPr>
          <w:rFonts w:ascii="Arial" w:cs="Arial" w:eastAsia="Arial" w:hAnsi="Arial"/>
          <w:sz w:val="22"/>
          <w:szCs w:val="22"/>
          <w:color w:val="auto"/>
        </w:rPr>
      </w:pPr>
      <w:r>
        <w:rPr>
          <w:rFonts w:ascii="Arial" w:cs="Arial" w:eastAsia="Arial" w:hAnsi="Arial"/>
          <w:sz w:val="22"/>
          <w:szCs w:val="22"/>
          <w:u w:val="single" w:color="auto"/>
          <w:color w:val="auto"/>
        </w:rPr>
        <w:t>Adjustment to Conversion Price</w:t>
      </w:r>
      <w:r>
        <w:rPr>
          <w:rFonts w:ascii="Arial" w:cs="Arial" w:eastAsia="Arial" w:hAnsi="Arial"/>
          <w:sz w:val="22"/>
          <w:szCs w:val="22"/>
          <w:color w:val="auto"/>
        </w:rPr>
        <w:t>. Whenever the Conversion Price is adjusted pursuant to any provision of this Section 7, the Corporation shall promptly deliver to each Holder a notice setting forth the Conversion Ratio after such adjustment and setting forth a brief statement of the facts requiring such adjustment.</w:t>
      </w:r>
    </w:p>
    <w:p>
      <w:pPr>
        <w:spacing w:after="0" w:line="212" w:lineRule="exact"/>
        <w:rPr>
          <w:rFonts w:ascii="Arial" w:cs="Arial" w:eastAsia="Arial" w:hAnsi="Arial"/>
          <w:sz w:val="22"/>
          <w:szCs w:val="22"/>
          <w:color w:val="auto"/>
        </w:rPr>
      </w:pPr>
    </w:p>
    <w:p>
      <w:pPr>
        <w:jc w:val="both"/>
        <w:ind w:left="-8" w:right="499" w:firstLine="1953"/>
        <w:spacing w:after="0" w:line="269" w:lineRule="auto"/>
        <w:tabs>
          <w:tab w:leader="none" w:pos="2558" w:val="left"/>
        </w:tabs>
        <w:numPr>
          <w:ilvl w:val="2"/>
          <w:numId w:val="16"/>
        </w:numPr>
        <w:rPr>
          <w:rFonts w:ascii="Arial" w:cs="Arial" w:eastAsia="Arial" w:hAnsi="Arial"/>
          <w:sz w:val="19"/>
          <w:szCs w:val="19"/>
          <w:color w:val="auto"/>
        </w:rPr>
      </w:pPr>
      <w:r>
        <w:rPr>
          <w:rFonts w:ascii="Arial" w:cs="Arial" w:eastAsia="Arial" w:hAnsi="Arial"/>
          <w:sz w:val="19"/>
          <w:szCs w:val="19"/>
          <w:u w:val="single" w:color="auto"/>
          <w:color w:val="auto"/>
        </w:rPr>
        <w:t>Other Notices</w:t>
      </w:r>
      <w:r>
        <w:rPr>
          <w:rFonts w:ascii="Arial" w:cs="Arial" w:eastAsia="Arial" w:hAnsi="Arial"/>
          <w:sz w:val="19"/>
          <w:szCs w:val="19"/>
          <w:color w:val="auto"/>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of any compulsory share exchange whereby the Common Stock is converted into other securities, cash or property or</w:t>
      </w:r>
    </w:p>
    <w:p>
      <w:pPr>
        <w:spacing w:after="0" w:line="3" w:lineRule="exact"/>
        <w:rPr>
          <w:rFonts w:ascii="Arial" w:cs="Arial" w:eastAsia="Arial" w:hAnsi="Arial"/>
          <w:sz w:val="19"/>
          <w:szCs w:val="19"/>
          <w:color w:val="auto"/>
        </w:rPr>
      </w:pPr>
    </w:p>
    <w:p>
      <w:pPr>
        <w:jc w:val="both"/>
        <w:ind w:left="-8" w:right="499" w:firstLine="8"/>
        <w:spacing w:after="0" w:line="270" w:lineRule="auto"/>
        <w:tabs>
          <w:tab w:leader="none" w:pos="345"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Corporation shall authorize the voluntary or involuntary dissolution, liquidation or winding up of the affairs of the Corporation, then, in each case, the Corporation shall cause to be filed at each office or agency maintained for the purpose of conversion of this Series A Preferred Stock, and shall cause to be delivered to each Holder at its last address as it shall appear upon the stock books of the Corporation,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w:t>
      </w:r>
    </w:p>
    <w:p>
      <w:pPr>
        <w:sectPr>
          <w:pgSz w:w="11900" w:h="16899" w:orient="portrait"/>
          <w:cols w:equalWidth="0" w:num="1">
            <w:col w:w="10211"/>
          </w:cols>
          <w:pgMar w:left="248" w:top="361" w:right="1440" w:bottom="0" w:gutter="0" w:footer="0" w:header="0"/>
        </w:sectPr>
      </w:pPr>
    </w:p>
    <w:bookmarkStart w:id="20" w:name="page21"/>
    <w:bookmarkEnd w:id="20"/>
    <w:p>
      <w:pPr>
        <w:ind w:right="479"/>
        <w:spacing w:after="0" w:line="251" w:lineRule="auto"/>
        <w:rPr>
          <w:sz w:val="20"/>
          <w:szCs w:val="20"/>
          <w:color w:val="auto"/>
        </w:rPr>
      </w:pPr>
      <w:r>
        <w:rPr>
          <w:rFonts w:ascii="Arial" w:cs="Arial" w:eastAsia="Arial" w:hAnsi="Arial"/>
          <w:sz w:val="22"/>
          <w:szCs w:val="22"/>
          <w:color w:val="auto"/>
        </w:rPr>
        <w:t>defect therein or in the delivery thereof shall not affect the validity of the corporate action required to be specified in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6174740"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1" w:name="page22"/>
    <w:bookmarkEnd w:id="21"/>
    <w:p>
      <w:pPr>
        <w:spacing w:after="0"/>
        <w:rPr>
          <w:sz w:val="20"/>
          <w:szCs w:val="20"/>
          <w:color w:val="auto"/>
        </w:rPr>
      </w:pPr>
      <w:r>
        <w:rPr>
          <w:rFonts w:ascii="Arial" w:cs="Arial" w:eastAsia="Arial" w:hAnsi="Arial"/>
          <w:sz w:val="22"/>
          <w:szCs w:val="22"/>
          <w:u w:val="single" w:color="auto"/>
          <w:color w:val="auto"/>
        </w:rPr>
        <w:t>Section 8. Miscellaneous</w:t>
      </w:r>
      <w:r>
        <w:rPr>
          <w:rFonts w:ascii="Arial" w:cs="Arial" w:eastAsia="Arial" w:hAnsi="Arial"/>
          <w:sz w:val="22"/>
          <w:szCs w:val="22"/>
          <w:color w:val="auto"/>
        </w:rPr>
        <w:t>.</w:t>
      </w:r>
    </w:p>
    <w:p>
      <w:pPr>
        <w:spacing w:after="0" w:line="233" w:lineRule="exact"/>
        <w:rPr>
          <w:sz w:val="20"/>
          <w:szCs w:val="20"/>
          <w:color w:val="auto"/>
        </w:rPr>
      </w:pPr>
    </w:p>
    <w:p>
      <w:pPr>
        <w:jc w:val="both"/>
        <w:ind w:right="479" w:firstLine="1305"/>
        <w:spacing w:after="0" w:line="270" w:lineRule="auto"/>
        <w:tabs>
          <w:tab w:leader="none" w:pos="1918"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and all notices or other communications or deliveries to be provided by the Holders hereunder including, without limitation, any Notice of Conversion, shall be in writing and delivered personally, by facsimile, or sent by a nationally recognized overnight courier service, addressed to the Corporation, at 601-C East Palomar Street, Chula Vista, CA 91911, or such facsimile number or address as the Corporation may specify for such purposes by notice to the Holders delivered in accordance with this Section. Any and all notices or other communications or deliveries to be provided by the Corporation hereunder shall be in writing and delivered personally, by facsimile, or sent by a nationally recognized overnight courier service addressed to each Holder at the facsimile number or address of such Holder appearing on the books of the Corporation, or if no such facsimile number or address appears on the books of the Corporation, at the principal place of business of such Holder. Any notice or other communication or deliveries hereunder shall be deemed given and effective on the earliest of (i) the date of transmission, if such notice or communication is delivered via facsimile at the facsimile number specified in this Section prior to 5:30 p.m. (New York City time) on any date, (ii) the date immediately following the date of transmission, if such notice or communication is delivered via facsimile at the facsimile number specified in this Section between 5:30 p.m. and 11:59 p.m. (New York City time) on any date, (iii) the second Business Day following the date of mailing, if sent by nationally recognized overnight courier service, or (iv) upon actual receipt by the party to whom such notice is required to be given.</w:t>
      </w: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jc w:val="both"/>
        <w:ind w:right="479" w:firstLine="1305"/>
        <w:spacing w:after="0" w:line="245" w:lineRule="auto"/>
        <w:tabs>
          <w:tab w:leader="none" w:pos="1918"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Lost or Mutilated Series A Preferred Stock Certificate</w:t>
      </w:r>
      <w:r>
        <w:rPr>
          <w:rFonts w:ascii="Arial" w:cs="Arial" w:eastAsia="Arial" w:hAnsi="Arial"/>
          <w:sz w:val="21"/>
          <w:szCs w:val="21"/>
          <w:color w:val="auto"/>
        </w:rPr>
        <w:t>. If a Holder’s Series A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A Preferred Stock so mutilated, lost, stolen or destroyed, but only upon receipt of evidence of such loss, theft or destruction of such certificate, and of the ownership thereof, reasonably satisfactory to the Corporation and, in each case, customary and reasonable indemnity, if requested. Applicants for a new certificate under such circumstances shall also comply with such other reasonable regulations and procedures and pay such other reasonable third-party costs as the Corporation may prescribe.</w:t>
      </w:r>
    </w:p>
    <w:p>
      <w:pPr>
        <w:spacing w:after="0" w:line="212" w:lineRule="exact"/>
        <w:rPr>
          <w:rFonts w:ascii="Arial" w:cs="Arial" w:eastAsia="Arial" w:hAnsi="Arial"/>
          <w:sz w:val="21"/>
          <w:szCs w:val="21"/>
          <w:color w:val="auto"/>
        </w:rPr>
      </w:pPr>
    </w:p>
    <w:p>
      <w:pPr>
        <w:jc w:val="both"/>
        <w:ind w:right="479" w:firstLine="1305"/>
        <w:spacing w:after="0" w:line="277" w:lineRule="auto"/>
        <w:tabs>
          <w:tab w:leader="none" w:pos="1918"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w:t>
      </w:r>
    </w:p>
    <w:p>
      <w:pPr>
        <w:spacing w:after="0" w:line="179" w:lineRule="exact"/>
        <w:rPr>
          <w:rFonts w:ascii="Arial" w:cs="Arial" w:eastAsia="Arial" w:hAnsi="Arial"/>
          <w:sz w:val="19"/>
          <w:szCs w:val="19"/>
          <w:color w:val="auto"/>
        </w:rPr>
      </w:pPr>
    </w:p>
    <w:p>
      <w:pPr>
        <w:jc w:val="both"/>
        <w:ind w:right="479" w:firstLine="1305"/>
        <w:spacing w:after="0" w:line="248" w:lineRule="auto"/>
        <w:tabs>
          <w:tab w:leader="none" w:pos="1918"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204" w:lineRule="exact"/>
        <w:rPr>
          <w:rFonts w:ascii="Arial" w:cs="Arial" w:eastAsia="Arial" w:hAnsi="Arial"/>
          <w:sz w:val="21"/>
          <w:szCs w:val="21"/>
          <w:color w:val="auto"/>
        </w:rPr>
      </w:pPr>
    </w:p>
    <w:p>
      <w:pPr>
        <w:jc w:val="both"/>
        <w:ind w:right="499" w:firstLine="1305"/>
        <w:spacing w:after="0"/>
        <w:tabs>
          <w:tab w:leader="none" w:pos="1918"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Next Business or Trading Day</w:t>
      </w:r>
      <w:r>
        <w:rPr>
          <w:rFonts w:ascii="Arial" w:cs="Arial" w:eastAsia="Arial" w:hAnsi="Arial"/>
          <w:sz w:val="22"/>
          <w:szCs w:val="22"/>
          <w:color w:val="auto"/>
        </w:rPr>
        <w:t>. Whenever any payment or other obligation hereunder shall be due on a day other than a Business Day or a Trading Day, such payment shall be made on the next succeeding Business Day or Trading Day, as the case may be.</w:t>
      </w:r>
    </w:p>
    <w:p>
      <w:pPr>
        <w:spacing w:after="0" w:line="213" w:lineRule="exact"/>
        <w:rPr>
          <w:rFonts w:ascii="Arial" w:cs="Arial" w:eastAsia="Arial" w:hAnsi="Arial"/>
          <w:sz w:val="22"/>
          <w:szCs w:val="22"/>
          <w:color w:val="auto"/>
        </w:rPr>
      </w:pPr>
    </w:p>
    <w:p>
      <w:pPr>
        <w:ind w:right="499" w:firstLine="1305"/>
        <w:spacing w:after="0" w:line="276" w:lineRule="auto"/>
        <w:tabs>
          <w:tab w:leader="none" w:pos="1918"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contained herein are for convenience only, do not constitute a part of this Certificate of Designation and shall not be deemed to limit or affect any of the provisions hereof.</w:t>
      </w:r>
    </w:p>
    <w:p>
      <w:pPr>
        <w:ind w:left="1300"/>
        <w:spacing w:after="0" w:line="232" w:lineRule="auto"/>
        <w:rPr>
          <w:sz w:val="20"/>
          <w:szCs w:val="20"/>
          <w:color w:val="auto"/>
        </w:rPr>
      </w:pPr>
      <w:r>
        <w:rPr>
          <w:rFonts w:ascii="Arial" w:cs="Arial" w:eastAsia="Arial" w:hAnsi="Arial"/>
          <w:sz w:val="22"/>
          <w:szCs w:val="22"/>
          <w:color w:val="auto"/>
        </w:rPr>
        <w:t>(g)</w:t>
      </w:r>
    </w:p>
    <w:p>
      <w:pPr>
        <w:jc w:val="both"/>
        <w:ind w:right="499" w:firstLine="1305"/>
        <w:spacing w:after="0" w:line="287" w:lineRule="auto"/>
        <w:tabs>
          <w:tab w:leader="none" w:pos="1918"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Staus of Converted Series A Preferred Stock</w:t>
      </w:r>
      <w:r>
        <w:rPr>
          <w:rFonts w:ascii="Arial" w:cs="Arial" w:eastAsia="Arial" w:hAnsi="Arial"/>
          <w:sz w:val="19"/>
          <w:szCs w:val="19"/>
          <w:color w:val="auto"/>
        </w:rPr>
        <w:t>. If any shares of Series A Preferred Stock shall be converted or reacquired by the Corporation, such shares shall resume the status of authorized but unissued shares of preferred stock and shall no longer be designated as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902335</wp:posOffset>
            </wp:positionV>
            <wp:extent cx="6174740" cy="9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2" w:name="page23"/>
    <w:bookmarkEnd w:id="22"/>
    <w:p>
      <w:pPr>
        <w:ind w:left="3780"/>
        <w:spacing w:after="0"/>
        <w:rPr>
          <w:sz w:val="20"/>
          <w:szCs w:val="20"/>
          <w:color w:val="auto"/>
        </w:rPr>
      </w:pPr>
      <w:r>
        <w:rPr>
          <w:rFonts w:ascii="Arial" w:cs="Arial" w:eastAsia="Arial" w:hAnsi="Arial"/>
          <w:sz w:val="22"/>
          <w:szCs w:val="22"/>
          <w:color w:val="auto"/>
        </w:rPr>
        <w:t>********************</w:t>
      </w:r>
    </w:p>
    <w:p>
      <w:pPr>
        <w:spacing w:after="0" w:line="228" w:lineRule="exact"/>
        <w:rPr>
          <w:sz w:val="20"/>
          <w:szCs w:val="20"/>
          <w:color w:val="auto"/>
        </w:rPr>
      </w:pPr>
    </w:p>
    <w:p>
      <w:pPr>
        <w:ind w:right="619"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Certificate of Designation to be signed by</w:t>
      </w:r>
      <w:r>
        <w:rPr>
          <w:rFonts w:ascii="Arial" w:cs="Arial" w:eastAsia="Arial" w:hAnsi="Arial"/>
          <w:sz w:val="22"/>
          <w:szCs w:val="22"/>
          <w:b w:val="1"/>
          <w:bCs w:val="1"/>
          <w:color w:val="auto"/>
        </w:rPr>
        <w:t xml:space="preserve"> </w:t>
      </w:r>
      <w:r>
        <w:rPr>
          <w:rFonts w:ascii="Arial" w:cs="Arial" w:eastAsia="Arial" w:hAnsi="Arial"/>
          <w:sz w:val="22"/>
          <w:szCs w:val="22"/>
          <w:color w:val="auto"/>
        </w:rPr>
        <w:t>its duly authorized officer this 9th day of December 2011.</w:t>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TRANSDEL PHARMACEUTICALS,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40"/>
        <w:spacing w:after="0"/>
        <w:tabs>
          <w:tab w:leader="none" w:pos="51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Terry Nida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-17780</wp:posOffset>
            </wp:positionV>
            <wp:extent cx="1683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83385" cy="8890"/>
                    </a:xfrm>
                    <a:prstGeom prst="rect">
                      <a:avLst/>
                    </a:prstGeom>
                    <a:noFill/>
                  </pic:spPr>
                </pic:pic>
              </a:graphicData>
            </a:graphic>
          </wp:anchor>
        </w:drawing>
      </w:r>
    </w:p>
    <w:p>
      <w:pPr>
        <w:ind w:left="5200"/>
        <w:spacing w:after="0" w:line="238" w:lineRule="auto"/>
        <w:rPr>
          <w:sz w:val="20"/>
          <w:szCs w:val="20"/>
          <w:color w:val="auto"/>
        </w:rPr>
      </w:pPr>
      <w:r>
        <w:rPr>
          <w:rFonts w:ascii="Arial" w:cs="Arial" w:eastAsia="Arial" w:hAnsi="Arial"/>
          <w:sz w:val="22"/>
          <w:szCs w:val="22"/>
          <w:color w:val="auto"/>
        </w:rPr>
        <w:t>Name: Terry Nida</w:t>
      </w:r>
    </w:p>
    <w:p>
      <w:pPr>
        <w:ind w:left="5200"/>
        <w:spacing w:after="0" w:line="230" w:lineRule="auto"/>
        <w:rPr>
          <w:sz w:val="20"/>
          <w:szCs w:val="20"/>
          <w:color w:val="auto"/>
        </w:rPr>
      </w:pPr>
      <w:r>
        <w:rPr>
          <w:rFonts w:ascii="Arial" w:cs="Arial" w:eastAsia="Arial" w:hAnsi="Arial"/>
          <w:sz w:val="22"/>
          <w:szCs w:val="22"/>
          <w:color w:val="auto"/>
        </w:rPr>
        <w:t>Title: Principal Executive Officer, Principal</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793750</wp:posOffset>
            </wp:positionV>
            <wp:extent cx="6174740" cy="9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3" w:name="page24"/>
    <w:bookmarkEnd w:id="23"/>
    <w:p>
      <w:pPr>
        <w:jc w:val="center"/>
        <w:ind w:right="479"/>
        <w:spacing w:after="0"/>
        <w:rPr>
          <w:sz w:val="20"/>
          <w:szCs w:val="20"/>
          <w:color w:val="auto"/>
        </w:rPr>
      </w:pPr>
      <w:r>
        <w:rPr>
          <w:rFonts w:ascii="Arial" w:cs="Arial" w:eastAsia="Arial" w:hAnsi="Arial"/>
          <w:sz w:val="22"/>
          <w:szCs w:val="22"/>
          <w:b w:val="1"/>
          <w:bCs w:val="1"/>
          <w:color w:val="auto"/>
        </w:rPr>
        <w:t>ANNEX A</w:t>
      </w:r>
    </w:p>
    <w:p>
      <w:pPr>
        <w:spacing w:after="0" w:line="239"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NOTICE OF CONVERSION</w:t>
      </w:r>
    </w:p>
    <w:p>
      <w:pPr>
        <w:spacing w:after="0" w:line="233"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(TO BE EXECUTED BY THE REGISTERED HOLDER IN ORDER TO</w:t>
      </w:r>
    </w:p>
    <w:p>
      <w:pPr>
        <w:spacing w:after="0" w:line="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CONVERT SHARES OF SERIES A PREFERRED STOCK)</w:t>
      </w:r>
    </w:p>
    <w:p>
      <w:pPr>
        <w:spacing w:after="0" w:line="215" w:lineRule="exact"/>
        <w:rPr>
          <w:sz w:val="20"/>
          <w:szCs w:val="20"/>
          <w:color w:val="auto"/>
        </w:rPr>
      </w:pPr>
    </w:p>
    <w:p>
      <w:pPr>
        <w:jc w:val="both"/>
        <w:ind w:right="499"/>
        <w:spacing w:after="0" w:line="276" w:lineRule="auto"/>
        <w:rPr>
          <w:sz w:val="20"/>
          <w:szCs w:val="20"/>
          <w:color w:val="auto"/>
        </w:rPr>
      </w:pPr>
      <w:r>
        <w:rPr>
          <w:rFonts w:ascii="Arial" w:cs="Arial" w:eastAsia="Arial" w:hAnsi="Arial"/>
          <w:sz w:val="19"/>
          <w:szCs w:val="19"/>
          <w:color w:val="auto"/>
        </w:rPr>
        <w:t>The undersigned Holder hereby irrevocably elects to convert the number of shares of Series A Convertible Preferred Stock indicated below, represented by stock certificate No(s). _______________ (the “</w:t>
      </w:r>
      <w:r>
        <w:rPr>
          <w:rFonts w:ascii="Arial" w:cs="Arial" w:eastAsia="Arial" w:hAnsi="Arial"/>
          <w:sz w:val="19"/>
          <w:szCs w:val="19"/>
          <w:u w:val="single" w:color="auto"/>
          <w:color w:val="auto"/>
        </w:rPr>
        <w:t>Preferred</w:t>
      </w:r>
    </w:p>
    <w:p>
      <w:pPr>
        <w:spacing w:after="0" w:line="2" w:lineRule="exact"/>
        <w:rPr>
          <w:sz w:val="20"/>
          <w:szCs w:val="20"/>
          <w:color w:val="auto"/>
        </w:rPr>
      </w:pPr>
    </w:p>
    <w:p>
      <w:pPr>
        <w:jc w:val="both"/>
        <w:ind w:right="479"/>
        <w:spacing w:after="0" w:line="267" w:lineRule="auto"/>
        <w:rPr>
          <w:sz w:val="20"/>
          <w:szCs w:val="20"/>
          <w:color w:val="auto"/>
        </w:rPr>
      </w:pPr>
      <w:r>
        <w:rPr>
          <w:rFonts w:ascii="Arial" w:cs="Arial" w:eastAsia="Arial" w:hAnsi="Arial"/>
          <w:sz w:val="19"/>
          <w:szCs w:val="19"/>
          <w:u w:val="single" w:color="auto"/>
          <w:color w:val="auto"/>
        </w:rPr>
        <w:t>Stock Certificates</w:t>
      </w:r>
      <w:r>
        <w:rPr>
          <w:rFonts w:ascii="Arial" w:cs="Arial" w:eastAsia="Arial" w:hAnsi="Arial"/>
          <w:sz w:val="19"/>
          <w:szCs w:val="19"/>
          <w:color w:val="auto"/>
        </w:rPr>
        <w:t>”), into shares of common stock, par value $0.001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of Transdel Pharmaceuticals, Inc., a Delaware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A Convertible Preferred Stock (the “</w:t>
      </w:r>
      <w:r>
        <w:rPr>
          <w:rFonts w:ascii="Arial" w:cs="Arial" w:eastAsia="Arial" w:hAnsi="Arial"/>
          <w:sz w:val="19"/>
          <w:szCs w:val="19"/>
          <w:u w:val="single" w:color="auto"/>
          <w:color w:val="auto"/>
        </w:rPr>
        <w:t>Certificate of Designation</w:t>
      </w:r>
      <w:r>
        <w:rPr>
          <w:rFonts w:ascii="Arial" w:cs="Arial" w:eastAsia="Arial" w:hAnsi="Arial"/>
          <w:sz w:val="19"/>
          <w:szCs w:val="19"/>
          <w:color w:val="auto"/>
        </w:rPr>
        <w:t>”) filed by the Corporation on</w:t>
      </w:r>
    </w:p>
    <w:p>
      <w:pPr>
        <w:spacing w:after="0"/>
        <w:rPr>
          <w:sz w:val="20"/>
          <w:szCs w:val="20"/>
          <w:color w:val="auto"/>
        </w:rPr>
      </w:pPr>
      <w:r>
        <w:rPr>
          <w:rFonts w:ascii="Arial" w:cs="Arial" w:eastAsia="Arial" w:hAnsi="Arial"/>
          <w:sz w:val="22"/>
          <w:szCs w:val="22"/>
          <w:color w:val="auto"/>
        </w:rPr>
        <w:t>_______________, 2011.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Conversion calculations: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to Effect Conversion: _______________</w:t>
      </w:r>
    </w:p>
    <w:p>
      <w:pPr>
        <w:ind w:left="660"/>
        <w:spacing w:after="0" w:line="238" w:lineRule="auto"/>
        <w:rPr>
          <w:sz w:val="20"/>
          <w:szCs w:val="20"/>
          <w:color w:val="auto"/>
        </w:rPr>
      </w:pPr>
      <w:r>
        <w:rPr>
          <w:rFonts w:ascii="Arial" w:cs="Arial" w:eastAsia="Arial" w:hAnsi="Arial"/>
          <w:sz w:val="22"/>
          <w:szCs w:val="22"/>
          <w:color w:val="auto"/>
        </w:rPr>
        <w:t>Number of shares of Series A Preferred Stock owned prior to Conversion: _______________</w:t>
      </w:r>
    </w:p>
    <w:p>
      <w:pPr>
        <w:ind w:left="660"/>
        <w:spacing w:after="0" w:line="230" w:lineRule="auto"/>
        <w:rPr>
          <w:sz w:val="20"/>
          <w:szCs w:val="20"/>
          <w:color w:val="auto"/>
        </w:rPr>
      </w:pPr>
      <w:r>
        <w:rPr>
          <w:rFonts w:ascii="Arial" w:cs="Arial" w:eastAsia="Arial" w:hAnsi="Arial"/>
          <w:sz w:val="22"/>
          <w:szCs w:val="22"/>
          <w:color w:val="auto"/>
        </w:rPr>
        <w:t>Number of shares of Series A Preferred Stock to be Converted: _______________</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Number of shares of Common Stock to be Issued: _______________</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Address for delivery of physical certificates: 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Or for DWAC Delivery: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DWAC Instructions:</w:t>
      </w:r>
    </w:p>
    <w:p>
      <w:pPr>
        <w:ind w:left="1300"/>
        <w:spacing w:after="0"/>
        <w:tabs>
          <w:tab w:leader="none" w:pos="2440" w:val="left"/>
        </w:tabs>
        <w:rPr>
          <w:sz w:val="20"/>
          <w:szCs w:val="20"/>
          <w:color w:val="auto"/>
        </w:rPr>
      </w:pPr>
      <w:r>
        <w:rPr>
          <w:rFonts w:ascii="Arial" w:cs="Arial" w:eastAsia="Arial" w:hAnsi="Arial"/>
          <w:sz w:val="22"/>
          <w:szCs w:val="22"/>
          <w:color w:val="auto"/>
        </w:rPr>
        <w:t>Broker no:</w:t>
      </w:r>
      <w:r>
        <w:rPr>
          <w:sz w:val="20"/>
          <w:szCs w:val="20"/>
          <w:color w:val="auto"/>
        </w:rPr>
        <w:tab/>
      </w:r>
      <w:r>
        <w:rPr>
          <w:rFonts w:ascii="Arial" w:cs="Arial" w:eastAsia="Arial" w:hAnsi="Arial"/>
          <w:sz w:val="19"/>
          <w:szCs w:val="19"/>
          <w:color w:val="auto"/>
        </w:rPr>
        <w:t>__________________________</w:t>
      </w:r>
    </w:p>
    <w:p>
      <w:pPr>
        <w:ind w:left="1300"/>
        <w:spacing w:after="0"/>
        <w:rPr>
          <w:sz w:val="20"/>
          <w:szCs w:val="20"/>
          <w:color w:val="auto"/>
        </w:rPr>
      </w:pPr>
      <w:r>
        <w:rPr>
          <w:rFonts w:ascii="Arial" w:cs="Arial" w:eastAsia="Arial" w:hAnsi="Arial"/>
          <w:sz w:val="22"/>
          <w:szCs w:val="22"/>
          <w:color w:val="auto"/>
        </w:rPr>
        <w:t>Account no.:  __________________________</w:t>
      </w:r>
    </w:p>
    <w:p>
      <w:pPr>
        <w:spacing w:after="0" w:line="21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By:__________________________</w:t>
      </w:r>
    </w:p>
    <w:p>
      <w:pPr>
        <w:ind w:left="5520"/>
        <w:spacing w:after="0" w:line="238" w:lineRule="auto"/>
        <w:rPr>
          <w:sz w:val="20"/>
          <w:szCs w:val="20"/>
          <w:color w:val="auto"/>
        </w:rPr>
      </w:pPr>
      <w:r>
        <w:rPr>
          <w:rFonts w:ascii="Arial" w:cs="Arial" w:eastAsia="Arial" w:hAnsi="Arial"/>
          <w:sz w:val="22"/>
          <w:szCs w:val="22"/>
          <w:color w:val="auto"/>
        </w:rPr>
        <w:t>Name:</w:t>
      </w:r>
    </w:p>
    <w:p>
      <w:pPr>
        <w:ind w:left="5520"/>
        <w:spacing w:after="0" w:line="230" w:lineRule="auto"/>
        <w:rPr>
          <w:sz w:val="20"/>
          <w:szCs w:val="20"/>
          <w:color w:val="auto"/>
        </w:rPr>
      </w:pPr>
      <w:r>
        <w:rPr>
          <w:rFonts w:ascii="Arial" w:cs="Arial" w:eastAsia="Arial" w:hAnsi="Arial"/>
          <w:sz w:val="22"/>
          <w:szCs w:val="22"/>
          <w:color w:val="auto"/>
        </w:rPr>
        <w:t>Title:</w:t>
      </w:r>
    </w:p>
    <w:p>
      <w:pPr>
        <w:spacing w:after="0" w:line="1"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0219"/>
          </w:cols>
          <w:pgMar w:left="240" w:top="598" w:right="1440" w:bottom="1440" w:gutter="0" w:footer="0" w:header="0"/>
        </w:sectPr>
      </w:pPr>
    </w:p>
    <w:bookmarkStart w:id="24" w:name="page25"/>
    <w:bookmarkEnd w:id="24"/>
    <w:p>
      <w:pPr>
        <w:ind w:left="4340"/>
        <w:spacing w:after="0"/>
        <w:rPr>
          <w:sz w:val="20"/>
          <w:szCs w:val="20"/>
          <w:color w:val="auto"/>
        </w:rPr>
      </w:pPr>
      <w:r>
        <w:rPr>
          <w:rFonts w:ascii="Arial" w:cs="Arial" w:eastAsia="Arial" w:hAnsi="Arial"/>
          <w:sz w:val="22"/>
          <w:szCs w:val="22"/>
          <w:color w:val="auto"/>
        </w:rPr>
        <w:t>Exhibit 10.1</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November 21, 2011</w:t>
      </w:r>
    </w:p>
    <w:p>
      <w:pPr>
        <w:spacing w:after="0" w:line="238" w:lineRule="auto"/>
        <w:rPr>
          <w:sz w:val="20"/>
          <w:szCs w:val="20"/>
          <w:color w:val="auto"/>
        </w:rPr>
      </w:pPr>
      <w:r>
        <w:rPr>
          <w:rFonts w:ascii="Arial" w:cs="Arial" w:eastAsia="Arial" w:hAnsi="Arial"/>
          <w:sz w:val="22"/>
          <w:szCs w:val="22"/>
          <w:color w:val="auto"/>
        </w:rPr>
        <w:t>Transdel Pharmaceuticals, Inc.</w:t>
      </w:r>
    </w:p>
    <w:p>
      <w:pPr>
        <w:spacing w:after="0" w:line="230" w:lineRule="auto"/>
        <w:rPr>
          <w:sz w:val="20"/>
          <w:szCs w:val="20"/>
          <w:color w:val="auto"/>
        </w:rPr>
      </w:pPr>
      <w:r>
        <w:rPr>
          <w:rFonts w:ascii="Arial" w:cs="Arial" w:eastAsia="Arial" w:hAnsi="Arial"/>
          <w:sz w:val="22"/>
          <w:szCs w:val="22"/>
          <w:color w:val="auto"/>
        </w:rPr>
        <w:t>610-C East Palomar Street</w:t>
      </w:r>
    </w:p>
    <w:p>
      <w:pPr>
        <w:spacing w:after="0" w:line="231" w:lineRule="auto"/>
        <w:rPr>
          <w:sz w:val="20"/>
          <w:szCs w:val="20"/>
          <w:color w:val="auto"/>
        </w:rPr>
      </w:pPr>
      <w:r>
        <w:rPr>
          <w:rFonts w:ascii="Arial" w:cs="Arial" w:eastAsia="Arial" w:hAnsi="Arial"/>
          <w:sz w:val="22"/>
          <w:szCs w:val="22"/>
          <w:color w:val="auto"/>
        </w:rPr>
        <w:t>Chula Vista, CA 91911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Terry Nida, Interim Chief Executive Officer</w:t>
      </w:r>
    </w:p>
    <w:p>
      <w:pPr>
        <w:spacing w:after="0" w:line="215"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Secured Line of Credit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right="499" w:firstLine="648"/>
        <w:spacing w:after="0" w:line="287" w:lineRule="auto"/>
        <w:rPr>
          <w:sz w:val="20"/>
          <w:szCs w:val="20"/>
          <w:color w:val="auto"/>
        </w:rPr>
      </w:pPr>
      <w:r>
        <w:rPr>
          <w:rFonts w:ascii="Arial" w:cs="Arial" w:eastAsia="Arial" w:hAnsi="Arial"/>
          <w:sz w:val="19"/>
          <w:szCs w:val="19"/>
          <w:color w:val="auto"/>
        </w:rPr>
        <w:t>We advise you that DermaStar International, LLC (“</w:t>
      </w:r>
      <w:r>
        <w:rPr>
          <w:rFonts w:ascii="Arial" w:cs="Arial" w:eastAsia="Arial" w:hAnsi="Arial"/>
          <w:sz w:val="19"/>
          <w:szCs w:val="19"/>
          <w:u w:val="single" w:color="auto"/>
          <w:color w:val="auto"/>
        </w:rPr>
        <w:t>Lender</w:t>
      </w:r>
      <w:r>
        <w:rPr>
          <w:rFonts w:ascii="Arial" w:cs="Arial" w:eastAsia="Arial" w:hAnsi="Arial"/>
          <w:sz w:val="19"/>
          <w:szCs w:val="19"/>
          <w:color w:val="auto"/>
        </w:rPr>
        <w:t>”) is prepared to make a secured line of credit available to Transdel Pharmaceuticals, Inc., a Delaware corporation (“</w:t>
      </w:r>
      <w:r>
        <w:rPr>
          <w:rFonts w:ascii="Arial" w:cs="Arial" w:eastAsia="Arial" w:hAnsi="Arial"/>
          <w:sz w:val="19"/>
          <w:szCs w:val="19"/>
          <w:u w:val="single" w:color="auto"/>
          <w:color w:val="auto"/>
        </w:rPr>
        <w:t>Borrower</w:t>
      </w:r>
      <w:r>
        <w:rPr>
          <w:rFonts w:ascii="Arial" w:cs="Arial" w:eastAsia="Arial" w:hAnsi="Arial"/>
          <w:sz w:val="19"/>
          <w:szCs w:val="19"/>
          <w:color w:val="auto"/>
        </w:rPr>
        <w:t>”), with aggregate advances (each an “</w:t>
      </w:r>
      <w:r>
        <w:rPr>
          <w:rFonts w:ascii="Arial" w:cs="Arial" w:eastAsia="Arial" w:hAnsi="Arial"/>
          <w:sz w:val="19"/>
          <w:szCs w:val="19"/>
          <w:u w:val="single" w:color="auto"/>
          <w:color w:val="auto"/>
        </w:rPr>
        <w:t>Advance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Loan</w:t>
      </w:r>
      <w:r>
        <w:rPr>
          <w:rFonts w:ascii="Arial" w:cs="Arial" w:eastAsia="Arial" w:hAnsi="Arial"/>
          <w:sz w:val="19"/>
          <w:szCs w:val="19"/>
          <w:color w:val="auto"/>
        </w:rPr>
        <w:t>”) thereunder up to (but not exceeding) an aggregate principal amount of $750,000. The terms and conditions of the line of credit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20" w:type="dxa"/>
            <w:vAlign w:val="bottom"/>
          </w:tcPr>
          <w:p>
            <w:pPr>
              <w:spacing w:after="0"/>
              <w:rPr>
                <w:sz w:val="20"/>
                <w:szCs w:val="20"/>
                <w:color w:val="auto"/>
              </w:rPr>
            </w:pPr>
            <w:r>
              <w:rPr>
                <w:rFonts w:ascii="Arial" w:cs="Arial" w:eastAsia="Arial" w:hAnsi="Arial"/>
                <w:sz w:val="22"/>
                <w:szCs w:val="22"/>
                <w:color w:val="auto"/>
              </w:rPr>
              <w:t>Availability:</w:t>
            </w:r>
          </w:p>
        </w:tc>
        <w:tc>
          <w:tcPr>
            <w:tcW w:w="8220" w:type="dxa"/>
            <w:vAlign w:val="bottom"/>
            <w:gridSpan w:val="11"/>
          </w:tcPr>
          <w:p>
            <w:pPr>
              <w:ind w:left="400"/>
              <w:spacing w:after="0"/>
              <w:rPr>
                <w:sz w:val="20"/>
                <w:szCs w:val="20"/>
                <w:color w:val="auto"/>
              </w:rPr>
            </w:pPr>
            <w:r>
              <w:rPr>
                <w:rFonts w:ascii="Arial" w:cs="Arial" w:eastAsia="Arial" w:hAnsi="Arial"/>
                <w:sz w:val="22"/>
                <w:szCs w:val="22"/>
                <w:color w:val="auto"/>
                <w:w w:val="90"/>
              </w:rPr>
              <w:t>The Loan may be drawn down under this line of credit during the period beginning on the</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0"/>
              </w:rPr>
              <w:t>date of the Final Dismissal Order through November 21, 2012, subject to prior receipt of</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4"/>
              </w:rPr>
              <w:t>any required documentation specified herein and satisfaction of any other conditions.</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500"/>
              <w:spacing w:after="0" w:line="243" w:lineRule="exact"/>
              <w:rPr>
                <w:sz w:val="20"/>
                <w:szCs w:val="20"/>
                <w:color w:val="auto"/>
              </w:rPr>
            </w:pPr>
            <w:r>
              <w:rPr>
                <w:rFonts w:ascii="Arial" w:cs="Arial" w:eastAsia="Arial" w:hAnsi="Arial"/>
                <w:sz w:val="22"/>
                <w:szCs w:val="22"/>
                <w:color w:val="auto"/>
                <w:w w:val="96"/>
              </w:rPr>
              <w:t>Advances shall be in a minimum of $50,000 and in multiples thereof.  This is not a</w:t>
            </w:r>
          </w:p>
        </w:tc>
      </w:tr>
      <w:tr>
        <w:trPr>
          <w:trHeight w:val="275"/>
        </w:trPr>
        <w:tc>
          <w:tcPr>
            <w:tcW w:w="1520" w:type="dxa"/>
            <w:vAlign w:val="bottom"/>
          </w:tcPr>
          <w:p>
            <w:pPr>
              <w:spacing w:after="0"/>
              <w:rPr>
                <w:sz w:val="23"/>
                <w:szCs w:val="23"/>
                <w:color w:val="auto"/>
              </w:rPr>
            </w:pPr>
          </w:p>
        </w:tc>
        <w:tc>
          <w:tcPr>
            <w:tcW w:w="8220" w:type="dxa"/>
            <w:vAlign w:val="bottom"/>
            <w:gridSpan w:val="11"/>
          </w:tcPr>
          <w:p>
            <w:pPr>
              <w:ind w:left="440"/>
              <w:spacing w:after="0"/>
              <w:rPr>
                <w:sz w:val="20"/>
                <w:szCs w:val="20"/>
                <w:color w:val="auto"/>
              </w:rPr>
            </w:pPr>
            <w:r>
              <w:rPr>
                <w:rFonts w:ascii="Arial" w:cs="Arial" w:eastAsia="Arial" w:hAnsi="Arial"/>
                <w:sz w:val="22"/>
                <w:szCs w:val="22"/>
                <w:color w:val="auto"/>
                <w:w w:val="96"/>
              </w:rPr>
              <w:t>revolving line of credit, and any amount of the Loan repaid may not be reborrowed.</w:t>
            </w:r>
          </w:p>
        </w:tc>
      </w:tr>
      <w:tr>
        <w:trPr>
          <w:trHeight w:val="436"/>
        </w:trPr>
        <w:tc>
          <w:tcPr>
            <w:tcW w:w="1520" w:type="dxa"/>
            <w:vAlign w:val="bottom"/>
          </w:tcPr>
          <w:p>
            <w:pPr>
              <w:spacing w:after="0"/>
              <w:rPr>
                <w:sz w:val="24"/>
                <w:szCs w:val="24"/>
                <w:color w:val="auto"/>
              </w:rPr>
            </w:pPr>
          </w:p>
        </w:tc>
        <w:tc>
          <w:tcPr>
            <w:tcW w:w="8220" w:type="dxa"/>
            <w:vAlign w:val="bottom"/>
            <w:gridSpan w:val="11"/>
          </w:tcPr>
          <w:p>
            <w:pPr>
              <w:ind w:left="440"/>
              <w:spacing w:after="0"/>
              <w:rPr>
                <w:sz w:val="20"/>
                <w:szCs w:val="20"/>
                <w:color w:val="auto"/>
              </w:rPr>
            </w:pPr>
            <w:r>
              <w:rPr>
                <w:rFonts w:ascii="Arial" w:cs="Arial" w:eastAsia="Arial" w:hAnsi="Arial"/>
                <w:sz w:val="22"/>
                <w:szCs w:val="22"/>
                <w:color w:val="auto"/>
                <w:w w:val="93"/>
              </w:rPr>
              <w:t>“Final Dismissal Order” shall mean an order entered by the U.S. Bankruptcy Court for</w:t>
            </w:r>
          </w:p>
        </w:tc>
      </w:tr>
      <w:tr>
        <w:trPr>
          <w:trHeight w:val="20"/>
        </w:trPr>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2"/>
        </w:trPr>
        <w:tc>
          <w:tcPr>
            <w:tcW w:w="1520" w:type="dxa"/>
            <w:vAlign w:val="bottom"/>
          </w:tcPr>
          <w:p>
            <w:pPr>
              <w:spacing w:after="0"/>
              <w:rPr>
                <w:sz w:val="21"/>
                <w:szCs w:val="21"/>
                <w:color w:val="auto"/>
              </w:rPr>
            </w:pPr>
          </w:p>
        </w:tc>
        <w:tc>
          <w:tcPr>
            <w:tcW w:w="8220" w:type="dxa"/>
            <w:vAlign w:val="bottom"/>
            <w:gridSpan w:val="11"/>
          </w:tcPr>
          <w:p>
            <w:pPr>
              <w:ind w:left="440"/>
              <w:spacing w:after="0" w:line="242" w:lineRule="exact"/>
              <w:rPr>
                <w:sz w:val="20"/>
                <w:szCs w:val="20"/>
                <w:color w:val="auto"/>
              </w:rPr>
            </w:pPr>
            <w:r>
              <w:rPr>
                <w:rFonts w:ascii="Arial" w:cs="Arial" w:eastAsia="Arial" w:hAnsi="Arial"/>
                <w:sz w:val="22"/>
                <w:szCs w:val="22"/>
                <w:color w:val="auto"/>
                <w:w w:val="96"/>
              </w:rPr>
              <w:t>the  Southern  District  of  California  dismissing  Borrower’s  voluntary  petition  for</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1"/>
              </w:rPr>
              <w:t>reorganization relief under Chapter 11 of the United States Bankruptcy Code, Case No.</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4"/>
              </w:rPr>
              <w:t>11-10497-11, and for which no appeal has been timely filed, or if a timely appeal or a</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89"/>
              </w:rPr>
              <w:t>request for extension of time within which to file such an appeal has been filed, no stay of</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2"/>
              </w:rPr>
              <w:t>enforcement or effectiveness of such order has been entered within the initial period to</w:t>
            </w:r>
          </w:p>
        </w:tc>
      </w:tr>
      <w:tr>
        <w:trPr>
          <w:trHeight w:val="275"/>
        </w:trPr>
        <w:tc>
          <w:tcPr>
            <w:tcW w:w="1520" w:type="dxa"/>
            <w:vAlign w:val="bottom"/>
          </w:tcPr>
          <w:p>
            <w:pPr>
              <w:spacing w:after="0"/>
              <w:rPr>
                <w:sz w:val="23"/>
                <w:szCs w:val="23"/>
                <w:color w:val="auto"/>
              </w:rPr>
            </w:pPr>
          </w:p>
        </w:tc>
        <w:tc>
          <w:tcPr>
            <w:tcW w:w="8220" w:type="dxa"/>
            <w:vAlign w:val="bottom"/>
            <w:gridSpan w:val="11"/>
          </w:tcPr>
          <w:p>
            <w:pPr>
              <w:ind w:left="440"/>
              <w:spacing w:after="0"/>
              <w:rPr>
                <w:sz w:val="20"/>
                <w:szCs w:val="20"/>
                <w:color w:val="auto"/>
              </w:rPr>
            </w:pPr>
            <w:r>
              <w:rPr>
                <w:rFonts w:ascii="Arial" w:cs="Arial" w:eastAsia="Arial" w:hAnsi="Arial"/>
                <w:sz w:val="22"/>
                <w:szCs w:val="22"/>
                <w:color w:val="auto"/>
              </w:rPr>
              <w:t>timely file such appeal.</w:t>
            </w:r>
          </w:p>
        </w:tc>
      </w:tr>
      <w:tr>
        <w:trPr>
          <w:trHeight w:val="455"/>
        </w:trPr>
        <w:tc>
          <w:tcPr>
            <w:tcW w:w="1520" w:type="dxa"/>
            <w:vAlign w:val="bottom"/>
          </w:tcPr>
          <w:p>
            <w:pPr>
              <w:spacing w:after="0"/>
              <w:rPr>
                <w:sz w:val="20"/>
                <w:szCs w:val="20"/>
                <w:color w:val="auto"/>
              </w:rPr>
            </w:pPr>
            <w:r>
              <w:rPr>
                <w:rFonts w:ascii="Arial" w:cs="Arial" w:eastAsia="Arial" w:hAnsi="Arial"/>
                <w:sz w:val="22"/>
                <w:szCs w:val="22"/>
                <w:color w:val="auto"/>
              </w:rPr>
              <w:t>Repayment:</w:t>
            </w:r>
          </w:p>
        </w:tc>
        <w:tc>
          <w:tcPr>
            <w:tcW w:w="8220" w:type="dxa"/>
            <w:vAlign w:val="bottom"/>
            <w:gridSpan w:val="11"/>
          </w:tcPr>
          <w:p>
            <w:pPr>
              <w:ind w:left="400"/>
              <w:spacing w:after="0"/>
              <w:rPr>
                <w:sz w:val="20"/>
                <w:szCs w:val="20"/>
                <w:color w:val="auto"/>
              </w:rPr>
            </w:pPr>
            <w:r>
              <w:rPr>
                <w:rFonts w:ascii="Arial" w:cs="Arial" w:eastAsia="Arial" w:hAnsi="Arial"/>
                <w:sz w:val="22"/>
                <w:szCs w:val="22"/>
                <w:color w:val="auto"/>
                <w:w w:val="98"/>
              </w:rPr>
              <w:t>The outstanding principal of the Loan will be due and payable on the earlier of (a)</w:t>
            </w:r>
          </w:p>
        </w:tc>
      </w:tr>
      <w:tr>
        <w:trPr>
          <w:trHeight w:val="275"/>
        </w:trPr>
        <w:tc>
          <w:tcPr>
            <w:tcW w:w="1520" w:type="dxa"/>
            <w:vAlign w:val="bottom"/>
          </w:tcPr>
          <w:p>
            <w:pPr>
              <w:spacing w:after="0"/>
              <w:rPr>
                <w:sz w:val="23"/>
                <w:szCs w:val="23"/>
                <w:color w:val="auto"/>
              </w:rPr>
            </w:pPr>
          </w:p>
        </w:tc>
        <w:tc>
          <w:tcPr>
            <w:tcW w:w="8220" w:type="dxa"/>
            <w:vAlign w:val="bottom"/>
            <w:gridSpan w:val="11"/>
          </w:tcPr>
          <w:p>
            <w:pPr>
              <w:ind w:left="440"/>
              <w:spacing w:after="0"/>
              <w:rPr>
                <w:sz w:val="20"/>
                <w:szCs w:val="20"/>
                <w:color w:val="auto"/>
              </w:rPr>
            </w:pPr>
            <w:r>
              <w:rPr>
                <w:rFonts w:ascii="Arial" w:cs="Arial" w:eastAsia="Arial" w:hAnsi="Arial"/>
                <w:sz w:val="22"/>
                <w:szCs w:val="22"/>
                <w:color w:val="auto"/>
              </w:rPr>
              <w:t>November 21, 2012 or (b) upon the occurrence of an Event of Default.</w:t>
            </w:r>
          </w:p>
        </w:tc>
      </w:tr>
      <w:tr>
        <w:trPr>
          <w:trHeight w:val="455"/>
        </w:trPr>
        <w:tc>
          <w:tcPr>
            <w:tcW w:w="1520" w:type="dxa"/>
            <w:vAlign w:val="bottom"/>
          </w:tcPr>
          <w:p>
            <w:pPr>
              <w:spacing w:after="0"/>
              <w:rPr>
                <w:sz w:val="20"/>
                <w:szCs w:val="20"/>
                <w:color w:val="auto"/>
              </w:rPr>
            </w:pPr>
            <w:r>
              <w:rPr>
                <w:rFonts w:ascii="Arial" w:cs="Arial" w:eastAsia="Arial" w:hAnsi="Arial"/>
                <w:sz w:val="22"/>
                <w:szCs w:val="22"/>
                <w:color w:val="auto"/>
              </w:rPr>
              <w:t>Optional</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1520" w:type="dxa"/>
            <w:vAlign w:val="bottom"/>
          </w:tcPr>
          <w:p>
            <w:pPr>
              <w:spacing w:after="0" w:line="243" w:lineRule="exact"/>
              <w:rPr>
                <w:sz w:val="20"/>
                <w:szCs w:val="20"/>
                <w:color w:val="auto"/>
              </w:rPr>
            </w:pPr>
            <w:r>
              <w:rPr>
                <w:rFonts w:ascii="Arial" w:cs="Arial" w:eastAsia="Arial" w:hAnsi="Arial"/>
                <w:sz w:val="22"/>
                <w:szCs w:val="22"/>
                <w:color w:val="auto"/>
              </w:rPr>
              <w:t>Prepayment:</w:t>
            </w:r>
          </w:p>
        </w:tc>
        <w:tc>
          <w:tcPr>
            <w:tcW w:w="8220" w:type="dxa"/>
            <w:vAlign w:val="bottom"/>
            <w:gridSpan w:val="11"/>
          </w:tcPr>
          <w:p>
            <w:pPr>
              <w:ind w:left="400"/>
              <w:spacing w:after="0" w:line="243" w:lineRule="exact"/>
              <w:rPr>
                <w:sz w:val="20"/>
                <w:szCs w:val="20"/>
                <w:color w:val="auto"/>
              </w:rPr>
            </w:pPr>
            <w:r>
              <w:rPr>
                <w:rFonts w:ascii="Arial" w:cs="Arial" w:eastAsia="Arial" w:hAnsi="Arial"/>
                <w:sz w:val="22"/>
                <w:szCs w:val="22"/>
                <w:color w:val="auto"/>
                <w:w w:val="94"/>
              </w:rPr>
              <w:t>Borrower may prepay the Loan, together with accrued interest, in full or in part at any</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9"/>
              </w:rPr>
              <w:t>time without any prepayment penalty or premium.  Borrower shall indicate which</w:t>
            </w:r>
          </w:p>
        </w:tc>
      </w:tr>
      <w:tr>
        <w:trPr>
          <w:trHeight w:val="275"/>
        </w:trPr>
        <w:tc>
          <w:tcPr>
            <w:tcW w:w="1520" w:type="dxa"/>
            <w:vAlign w:val="bottom"/>
          </w:tcPr>
          <w:p>
            <w:pPr>
              <w:spacing w:after="0"/>
              <w:rPr>
                <w:sz w:val="23"/>
                <w:szCs w:val="23"/>
                <w:color w:val="auto"/>
              </w:rPr>
            </w:pPr>
          </w:p>
        </w:tc>
        <w:tc>
          <w:tcPr>
            <w:tcW w:w="8220" w:type="dxa"/>
            <w:vAlign w:val="bottom"/>
            <w:gridSpan w:val="11"/>
          </w:tcPr>
          <w:p>
            <w:pPr>
              <w:ind w:left="440"/>
              <w:spacing w:after="0"/>
              <w:rPr>
                <w:sz w:val="20"/>
                <w:szCs w:val="20"/>
                <w:color w:val="auto"/>
              </w:rPr>
            </w:pPr>
            <w:r>
              <w:rPr>
                <w:rFonts w:ascii="Arial" w:cs="Arial" w:eastAsia="Arial" w:hAnsi="Arial"/>
                <w:sz w:val="22"/>
                <w:szCs w:val="22"/>
                <w:color w:val="auto"/>
              </w:rPr>
              <w:t>Advances are being prepaid in connection with any partial prepayment.</w:t>
            </w:r>
          </w:p>
        </w:tc>
      </w:tr>
      <w:tr>
        <w:trPr>
          <w:trHeight w:val="455"/>
        </w:trPr>
        <w:tc>
          <w:tcPr>
            <w:tcW w:w="1520" w:type="dxa"/>
            <w:vAlign w:val="bottom"/>
          </w:tcPr>
          <w:p>
            <w:pPr>
              <w:spacing w:after="0"/>
              <w:rPr>
                <w:sz w:val="20"/>
                <w:szCs w:val="20"/>
                <w:color w:val="auto"/>
              </w:rPr>
            </w:pPr>
            <w:r>
              <w:rPr>
                <w:rFonts w:ascii="Arial" w:cs="Arial" w:eastAsia="Arial" w:hAnsi="Arial"/>
                <w:sz w:val="22"/>
                <w:szCs w:val="22"/>
                <w:color w:val="auto"/>
              </w:rPr>
              <w:t>Interest:</w:t>
            </w:r>
          </w:p>
        </w:tc>
        <w:tc>
          <w:tcPr>
            <w:tcW w:w="8220" w:type="dxa"/>
            <w:vAlign w:val="bottom"/>
            <w:gridSpan w:val="11"/>
          </w:tcPr>
          <w:p>
            <w:pPr>
              <w:ind w:left="400"/>
              <w:spacing w:after="0"/>
              <w:rPr>
                <w:sz w:val="20"/>
                <w:szCs w:val="20"/>
                <w:color w:val="auto"/>
              </w:rPr>
            </w:pPr>
            <w:r>
              <w:rPr>
                <w:rFonts w:ascii="Arial" w:cs="Arial" w:eastAsia="Arial" w:hAnsi="Arial"/>
                <w:sz w:val="22"/>
                <w:szCs w:val="22"/>
                <w:color w:val="auto"/>
                <w:w w:val="89"/>
              </w:rPr>
              <w:t>The Loan will bear interest at the rate of 10% per annum. Borrower agrees to pay interest</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1"/>
              </w:rPr>
              <w:t>on the Loan on the date of any prepayment, on the last Business Day of each calendar</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0"/>
              </w:rPr>
              <w:t>quarter, and at maturity. If any principal or other amount payable by Borrower under this</w:t>
            </w:r>
          </w:p>
        </w:tc>
      </w:tr>
      <w:tr>
        <w:trPr>
          <w:trHeight w:val="224"/>
        </w:trPr>
        <w:tc>
          <w:tcPr>
            <w:tcW w:w="1520" w:type="dxa"/>
            <w:vAlign w:val="bottom"/>
          </w:tcPr>
          <w:p>
            <w:pPr>
              <w:spacing w:after="0"/>
              <w:rPr>
                <w:sz w:val="19"/>
                <w:szCs w:val="19"/>
                <w:color w:val="auto"/>
              </w:rPr>
            </w:pPr>
          </w:p>
        </w:tc>
        <w:tc>
          <w:tcPr>
            <w:tcW w:w="8220" w:type="dxa"/>
            <w:vAlign w:val="bottom"/>
            <w:gridSpan w:val="11"/>
          </w:tcPr>
          <w:p>
            <w:pPr>
              <w:ind w:left="440"/>
              <w:spacing w:after="0" w:line="224" w:lineRule="exact"/>
              <w:rPr>
                <w:sz w:val="20"/>
                <w:szCs w:val="20"/>
                <w:color w:val="auto"/>
              </w:rPr>
            </w:pPr>
            <w:r>
              <w:rPr>
                <w:rFonts w:ascii="Arial" w:cs="Arial" w:eastAsia="Arial" w:hAnsi="Arial"/>
                <w:sz w:val="22"/>
                <w:szCs w:val="22"/>
                <w:color w:val="auto"/>
                <w:w w:val="96"/>
              </w:rPr>
              <w:t>letter agreement (this “Agreement”) or under any other Loan Document (as defined</w:t>
            </w:r>
          </w:p>
        </w:tc>
      </w:tr>
      <w:tr>
        <w:trPr>
          <w:trHeight w:val="20"/>
        </w:trPr>
        <w:tc>
          <w:tcPr>
            <w:tcW w:w="15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2"/>
        </w:trPr>
        <w:tc>
          <w:tcPr>
            <w:tcW w:w="1520" w:type="dxa"/>
            <w:vAlign w:val="bottom"/>
          </w:tcPr>
          <w:p>
            <w:pPr>
              <w:spacing w:after="0"/>
              <w:rPr>
                <w:sz w:val="21"/>
                <w:szCs w:val="21"/>
                <w:color w:val="auto"/>
              </w:rPr>
            </w:pPr>
          </w:p>
        </w:tc>
        <w:tc>
          <w:tcPr>
            <w:tcW w:w="8220" w:type="dxa"/>
            <w:vAlign w:val="bottom"/>
            <w:gridSpan w:val="11"/>
          </w:tcPr>
          <w:p>
            <w:pPr>
              <w:ind w:left="440"/>
              <w:spacing w:after="0" w:line="242" w:lineRule="exact"/>
              <w:rPr>
                <w:sz w:val="20"/>
                <w:szCs w:val="20"/>
                <w:color w:val="auto"/>
              </w:rPr>
            </w:pPr>
            <w:r>
              <w:rPr>
                <w:rFonts w:ascii="Arial" w:cs="Arial" w:eastAsia="Arial" w:hAnsi="Arial"/>
                <w:sz w:val="22"/>
                <w:szCs w:val="22"/>
                <w:color w:val="auto"/>
                <w:w w:val="99"/>
              </w:rPr>
              <w:t>below) is not paid in full when due (whether at stated maturity, by acceleration or</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1"/>
              </w:rPr>
              <w:t>otherwise), Borrower agrees to pay interest on such unpaid amount, from the date such</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88"/>
              </w:rPr>
              <w:t>amount becomes due until the date such amount is paid in full, on demand of Lender, at a</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0"/>
              </w:rPr>
              <w:t>rate per annum which is 2% higher than the rate of interest set forth in the first sentence</w:t>
            </w:r>
          </w:p>
        </w:tc>
      </w:tr>
      <w:tr>
        <w:trPr>
          <w:trHeight w:val="224"/>
        </w:trPr>
        <w:tc>
          <w:tcPr>
            <w:tcW w:w="1520" w:type="dxa"/>
            <w:vAlign w:val="bottom"/>
          </w:tcPr>
          <w:p>
            <w:pPr>
              <w:spacing w:after="0"/>
              <w:rPr>
                <w:sz w:val="19"/>
                <w:szCs w:val="19"/>
                <w:color w:val="auto"/>
              </w:rPr>
            </w:pPr>
          </w:p>
        </w:tc>
        <w:tc>
          <w:tcPr>
            <w:tcW w:w="8220" w:type="dxa"/>
            <w:vAlign w:val="bottom"/>
            <w:gridSpan w:val="11"/>
          </w:tcPr>
          <w:p>
            <w:pPr>
              <w:ind w:left="440"/>
              <w:spacing w:after="0" w:line="224" w:lineRule="exact"/>
              <w:rPr>
                <w:sz w:val="20"/>
                <w:szCs w:val="20"/>
                <w:color w:val="auto"/>
              </w:rPr>
            </w:pPr>
            <w:r>
              <w:rPr>
                <w:rFonts w:ascii="Arial" w:cs="Arial" w:eastAsia="Arial" w:hAnsi="Arial"/>
                <w:sz w:val="22"/>
                <w:szCs w:val="22"/>
                <w:color w:val="auto"/>
                <w:w w:val="96"/>
              </w:rPr>
              <w:t>above  (the  “Default  Rate”).   Additionally,  upon  the  occurrence  and  during  the</w:t>
            </w:r>
          </w:p>
        </w:tc>
      </w:tr>
      <w:tr>
        <w:trPr>
          <w:trHeight w:val="20"/>
        </w:trPr>
        <w:tc>
          <w:tcPr>
            <w:tcW w:w="15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2"/>
        </w:trPr>
        <w:tc>
          <w:tcPr>
            <w:tcW w:w="1520" w:type="dxa"/>
            <w:vAlign w:val="bottom"/>
          </w:tcPr>
          <w:p>
            <w:pPr>
              <w:spacing w:after="0"/>
              <w:rPr>
                <w:sz w:val="21"/>
                <w:szCs w:val="21"/>
                <w:color w:val="auto"/>
              </w:rPr>
            </w:pPr>
          </w:p>
        </w:tc>
        <w:tc>
          <w:tcPr>
            <w:tcW w:w="8220" w:type="dxa"/>
            <w:vAlign w:val="bottom"/>
            <w:gridSpan w:val="11"/>
          </w:tcPr>
          <w:p>
            <w:pPr>
              <w:ind w:left="440"/>
              <w:spacing w:after="0" w:line="242" w:lineRule="exact"/>
              <w:rPr>
                <w:sz w:val="20"/>
                <w:szCs w:val="20"/>
                <w:color w:val="auto"/>
              </w:rPr>
            </w:pPr>
            <w:r>
              <w:rPr>
                <w:rFonts w:ascii="Arial" w:cs="Arial" w:eastAsia="Arial" w:hAnsi="Arial"/>
                <w:sz w:val="22"/>
                <w:szCs w:val="22"/>
                <w:color w:val="auto"/>
                <w:w w:val="96"/>
              </w:rPr>
              <w:t>continuation of any Event of Default (as defined in the Notes referred to below), the</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rPr>
              <w:t>interest rate hereunder will be increased to the Default Rate.  All interest will be</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3"/>
              </w:rPr>
              <w:t>computed on the basis of a 365-day (or 366-day) year and the actual number of days</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1"/>
              </w:rPr>
              <w:t>elapsed. Payment of any such interest at the Default Rate will not constitute a waiver of</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2"/>
              </w:rPr>
              <w:t>any Event of Default and will be without prejudice to the right of Lender to exercise any</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6"/>
              </w:rPr>
              <w:t>of its rights and remedies under the Loan Documents.  In no event will Borrower be</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2"/>
              </w:rPr>
              <w:t>obligated to pay Lender interest, charges or fees at a rate in excess of the highest rate</w:t>
            </w:r>
          </w:p>
        </w:tc>
      </w:tr>
      <w:tr>
        <w:trPr>
          <w:trHeight w:val="224"/>
        </w:trPr>
        <w:tc>
          <w:tcPr>
            <w:tcW w:w="1520" w:type="dxa"/>
            <w:vAlign w:val="bottom"/>
          </w:tcPr>
          <w:p>
            <w:pPr>
              <w:spacing w:after="0"/>
              <w:rPr>
                <w:sz w:val="19"/>
                <w:szCs w:val="19"/>
                <w:color w:val="auto"/>
              </w:rPr>
            </w:pPr>
          </w:p>
        </w:tc>
        <w:tc>
          <w:tcPr>
            <w:tcW w:w="8220" w:type="dxa"/>
            <w:vAlign w:val="bottom"/>
            <w:gridSpan w:val="11"/>
          </w:tcPr>
          <w:p>
            <w:pPr>
              <w:ind w:left="440"/>
              <w:spacing w:after="0" w:line="224" w:lineRule="exact"/>
              <w:rPr>
                <w:sz w:val="20"/>
                <w:szCs w:val="20"/>
                <w:color w:val="auto"/>
              </w:rPr>
            </w:pPr>
            <w:r>
              <w:rPr>
                <w:rFonts w:ascii="Arial" w:cs="Arial" w:eastAsia="Arial" w:hAnsi="Arial"/>
                <w:sz w:val="22"/>
                <w:szCs w:val="22"/>
                <w:color w:val="auto"/>
                <w:w w:val="90"/>
              </w:rPr>
              <w:t>permitted by applicable law. (As used herein, “Loan Documents” means this Agreement,</w:t>
            </w:r>
          </w:p>
        </w:tc>
      </w:tr>
      <w:tr>
        <w:trPr>
          <w:trHeight w:val="20"/>
        </w:trPr>
        <w:tc>
          <w:tcPr>
            <w:tcW w:w="1520" w:type="dxa"/>
            <w:vAlign w:val="bottom"/>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2"/>
        </w:trPr>
        <w:tc>
          <w:tcPr>
            <w:tcW w:w="1520" w:type="dxa"/>
            <w:vAlign w:val="bottom"/>
          </w:tcPr>
          <w:p>
            <w:pPr>
              <w:spacing w:after="0"/>
              <w:rPr>
                <w:sz w:val="21"/>
                <w:szCs w:val="21"/>
                <w:color w:val="auto"/>
              </w:rPr>
            </w:pPr>
          </w:p>
        </w:tc>
        <w:tc>
          <w:tcPr>
            <w:tcW w:w="8220" w:type="dxa"/>
            <w:vAlign w:val="bottom"/>
            <w:gridSpan w:val="11"/>
          </w:tcPr>
          <w:p>
            <w:pPr>
              <w:ind w:left="440"/>
              <w:spacing w:after="0" w:line="242" w:lineRule="exact"/>
              <w:rPr>
                <w:sz w:val="20"/>
                <w:szCs w:val="20"/>
                <w:color w:val="auto"/>
              </w:rPr>
            </w:pPr>
            <w:r>
              <w:rPr>
                <w:rFonts w:ascii="Arial" w:cs="Arial" w:eastAsia="Arial" w:hAnsi="Arial"/>
                <w:sz w:val="22"/>
                <w:szCs w:val="22"/>
                <w:color w:val="auto"/>
                <w:w w:val="88"/>
              </w:rPr>
              <w:t>the Notes, the Collateral Documents referred to below, any guaranty, any subordination or</w:t>
            </w:r>
          </w:p>
        </w:tc>
      </w:tr>
      <w:tr>
        <w:trPr>
          <w:trHeight w:val="243"/>
        </w:trPr>
        <w:tc>
          <w:tcPr>
            <w:tcW w:w="1520" w:type="dxa"/>
            <w:vAlign w:val="bottom"/>
          </w:tcPr>
          <w:p>
            <w:pPr>
              <w:spacing w:after="0"/>
              <w:rPr>
                <w:sz w:val="21"/>
                <w:szCs w:val="21"/>
                <w:color w:val="auto"/>
              </w:rPr>
            </w:pPr>
          </w:p>
        </w:tc>
        <w:tc>
          <w:tcPr>
            <w:tcW w:w="8220" w:type="dxa"/>
            <w:vAlign w:val="bottom"/>
            <w:gridSpan w:val="11"/>
          </w:tcPr>
          <w:p>
            <w:pPr>
              <w:ind w:left="440"/>
              <w:spacing w:after="0" w:line="243" w:lineRule="exact"/>
              <w:rPr>
                <w:sz w:val="20"/>
                <w:szCs w:val="20"/>
                <w:color w:val="auto"/>
              </w:rPr>
            </w:pPr>
            <w:r>
              <w:rPr>
                <w:rFonts w:ascii="Arial" w:cs="Arial" w:eastAsia="Arial" w:hAnsi="Arial"/>
                <w:sz w:val="22"/>
                <w:szCs w:val="22"/>
                <w:color w:val="auto"/>
                <w:w w:val="94"/>
              </w:rPr>
              <w:t>intercreditor  agreements,  and  all  other  certificates,  documents,  agreements  and</w:t>
            </w:r>
          </w:p>
        </w:tc>
      </w:tr>
      <w:tr>
        <w:trPr>
          <w:trHeight w:val="224"/>
        </w:trPr>
        <w:tc>
          <w:tcPr>
            <w:tcW w:w="1520" w:type="dxa"/>
            <w:vAlign w:val="bottom"/>
          </w:tcPr>
          <w:p>
            <w:pPr>
              <w:spacing w:after="0"/>
              <w:rPr>
                <w:sz w:val="19"/>
                <w:szCs w:val="19"/>
                <w:color w:val="auto"/>
              </w:rPr>
            </w:pPr>
          </w:p>
        </w:tc>
        <w:tc>
          <w:tcPr>
            <w:tcW w:w="8220" w:type="dxa"/>
            <w:vAlign w:val="bottom"/>
            <w:gridSpan w:val="11"/>
          </w:tcPr>
          <w:p>
            <w:pPr>
              <w:ind w:left="440"/>
              <w:spacing w:after="0" w:line="224" w:lineRule="exact"/>
              <w:rPr>
                <w:sz w:val="20"/>
                <w:szCs w:val="20"/>
                <w:color w:val="auto"/>
              </w:rPr>
            </w:pPr>
            <w:r>
              <w:rPr>
                <w:rFonts w:ascii="Arial" w:cs="Arial" w:eastAsia="Arial" w:hAnsi="Arial"/>
                <w:sz w:val="22"/>
                <w:szCs w:val="22"/>
                <w:color w:val="auto"/>
                <w:w w:val="94"/>
              </w:rPr>
              <w:t>instruments delivered by Borrower or any other person or entity (“Person”) to Lender</w:t>
            </w:r>
          </w:p>
        </w:tc>
      </w:tr>
      <w:tr>
        <w:trPr>
          <w:trHeight w:val="274"/>
        </w:trPr>
        <w:tc>
          <w:tcPr>
            <w:tcW w:w="1520" w:type="dxa"/>
            <w:vAlign w:val="bottom"/>
          </w:tcPr>
          <w:p>
            <w:pPr>
              <w:spacing w:after="0"/>
              <w:rPr>
                <w:sz w:val="23"/>
                <w:szCs w:val="23"/>
                <w:color w:val="auto"/>
              </w:rPr>
            </w:pPr>
          </w:p>
        </w:tc>
        <w:tc>
          <w:tcPr>
            <w:tcW w:w="6500" w:type="dxa"/>
            <w:vAlign w:val="bottom"/>
            <w:gridSpan w:val="9"/>
          </w:tcPr>
          <w:p>
            <w:pPr>
              <w:ind w:left="440"/>
              <w:spacing w:after="0"/>
              <w:rPr>
                <w:sz w:val="20"/>
                <w:szCs w:val="20"/>
                <w:color w:val="auto"/>
              </w:rPr>
            </w:pPr>
            <w:r>
              <w:rPr>
                <w:rFonts w:ascii="Arial" w:cs="Arial" w:eastAsia="Arial" w:hAnsi="Arial"/>
                <w:sz w:val="22"/>
                <w:szCs w:val="22"/>
                <w:color w:val="auto"/>
              </w:rPr>
              <w:t>under or in connection with this Agreement).</w:t>
            </w:r>
          </w:p>
        </w:tc>
        <w:tc>
          <w:tcPr>
            <w:tcW w:w="580" w:type="dxa"/>
            <w:vAlign w:val="bottom"/>
            <w:tcBorders>
              <w:top w:val="single" w:sz="8" w:color="auto"/>
            </w:tcBorders>
          </w:tcPr>
          <w:p>
            <w:pPr>
              <w:spacing w:after="0"/>
              <w:rPr>
                <w:sz w:val="23"/>
                <w:szCs w:val="23"/>
                <w:color w:val="auto"/>
              </w:rPr>
            </w:pPr>
          </w:p>
        </w:tc>
        <w:tc>
          <w:tcPr>
            <w:tcW w:w="1140" w:type="dxa"/>
            <w:vAlign w:val="bottom"/>
          </w:tcPr>
          <w:p>
            <w:pPr>
              <w:spacing w:after="0"/>
              <w:rPr>
                <w:sz w:val="23"/>
                <w:szCs w:val="23"/>
                <w:color w:val="auto"/>
              </w:rPr>
            </w:pPr>
          </w:p>
        </w:tc>
      </w:tr>
      <w:tr>
        <w:trPr>
          <w:trHeight w:val="584"/>
        </w:trPr>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9"/>
        </w:trPr>
        <w:tc>
          <w:tcPr>
            <w:tcW w:w="1520" w:type="dxa"/>
            <w:vAlign w:val="bottom"/>
            <w:shd w:val="clear" w:color="auto" w:fill="808080"/>
          </w:tcPr>
          <w:p>
            <w:pPr>
              <w:spacing w:after="0"/>
              <w:rPr>
                <w:sz w:val="12"/>
                <w:szCs w:val="12"/>
                <w:color w:val="auto"/>
              </w:rPr>
            </w:pPr>
          </w:p>
        </w:tc>
        <w:tc>
          <w:tcPr>
            <w:tcW w:w="520" w:type="dxa"/>
            <w:vAlign w:val="bottom"/>
            <w:shd w:val="clear" w:color="auto" w:fill="808080"/>
          </w:tcPr>
          <w:p>
            <w:pPr>
              <w:spacing w:after="0"/>
              <w:rPr>
                <w:sz w:val="12"/>
                <w:szCs w:val="12"/>
                <w:color w:val="auto"/>
              </w:rPr>
            </w:pPr>
          </w:p>
        </w:tc>
        <w:tc>
          <w:tcPr>
            <w:tcW w:w="1160" w:type="dxa"/>
            <w:vAlign w:val="bottom"/>
            <w:shd w:val="clear" w:color="auto" w:fill="808080"/>
          </w:tcPr>
          <w:p>
            <w:pPr>
              <w:spacing w:after="0"/>
              <w:rPr>
                <w:sz w:val="12"/>
                <w:szCs w:val="12"/>
                <w:color w:val="auto"/>
              </w:rPr>
            </w:pPr>
          </w:p>
        </w:tc>
        <w:tc>
          <w:tcPr>
            <w:tcW w:w="800" w:type="dxa"/>
            <w:vAlign w:val="bottom"/>
            <w:shd w:val="clear" w:color="auto" w:fill="808080"/>
          </w:tcPr>
          <w:p>
            <w:pPr>
              <w:spacing w:after="0"/>
              <w:rPr>
                <w:sz w:val="12"/>
                <w:szCs w:val="12"/>
                <w:color w:val="auto"/>
              </w:rPr>
            </w:pPr>
          </w:p>
        </w:tc>
        <w:tc>
          <w:tcPr>
            <w:tcW w:w="80" w:type="dxa"/>
            <w:vAlign w:val="bottom"/>
            <w:shd w:val="clear" w:color="auto" w:fill="808080"/>
          </w:tcPr>
          <w:p>
            <w:pPr>
              <w:spacing w:after="0"/>
              <w:rPr>
                <w:sz w:val="12"/>
                <w:szCs w:val="12"/>
                <w:color w:val="auto"/>
              </w:rPr>
            </w:pPr>
          </w:p>
        </w:tc>
        <w:tc>
          <w:tcPr>
            <w:tcW w:w="320" w:type="dxa"/>
            <w:vAlign w:val="bottom"/>
            <w:shd w:val="clear" w:color="auto" w:fill="808080"/>
          </w:tcPr>
          <w:p>
            <w:pPr>
              <w:spacing w:after="0"/>
              <w:rPr>
                <w:sz w:val="12"/>
                <w:szCs w:val="12"/>
                <w:color w:val="auto"/>
              </w:rPr>
            </w:pPr>
          </w:p>
        </w:tc>
        <w:tc>
          <w:tcPr>
            <w:tcW w:w="640" w:type="dxa"/>
            <w:vAlign w:val="bottom"/>
            <w:shd w:val="clear" w:color="auto" w:fill="808080"/>
          </w:tcPr>
          <w:p>
            <w:pPr>
              <w:spacing w:after="0"/>
              <w:rPr>
                <w:sz w:val="12"/>
                <w:szCs w:val="12"/>
                <w:color w:val="auto"/>
              </w:rPr>
            </w:pPr>
          </w:p>
        </w:tc>
        <w:tc>
          <w:tcPr>
            <w:tcW w:w="1060" w:type="dxa"/>
            <w:vAlign w:val="bottom"/>
            <w:shd w:val="clear" w:color="auto" w:fill="808080"/>
          </w:tcPr>
          <w:p>
            <w:pPr>
              <w:spacing w:after="0"/>
              <w:rPr>
                <w:sz w:val="12"/>
                <w:szCs w:val="12"/>
                <w:color w:val="auto"/>
              </w:rPr>
            </w:pPr>
          </w:p>
        </w:tc>
        <w:tc>
          <w:tcPr>
            <w:tcW w:w="1480" w:type="dxa"/>
            <w:vAlign w:val="bottom"/>
            <w:shd w:val="clear" w:color="auto" w:fill="808080"/>
          </w:tcPr>
          <w:p>
            <w:pPr>
              <w:spacing w:after="0"/>
              <w:rPr>
                <w:sz w:val="12"/>
                <w:szCs w:val="12"/>
                <w:color w:val="auto"/>
              </w:rPr>
            </w:pPr>
          </w:p>
        </w:tc>
        <w:tc>
          <w:tcPr>
            <w:tcW w:w="440" w:type="dxa"/>
            <w:vAlign w:val="bottom"/>
            <w:shd w:val="clear" w:color="auto" w:fill="808080"/>
          </w:tcPr>
          <w:p>
            <w:pPr>
              <w:spacing w:after="0"/>
              <w:rPr>
                <w:sz w:val="12"/>
                <w:szCs w:val="12"/>
                <w:color w:val="auto"/>
              </w:rPr>
            </w:pPr>
          </w:p>
        </w:tc>
        <w:tc>
          <w:tcPr>
            <w:tcW w:w="580" w:type="dxa"/>
            <w:vAlign w:val="bottom"/>
            <w:shd w:val="clear" w:color="auto" w:fill="808080"/>
          </w:tcPr>
          <w:p>
            <w:pPr>
              <w:spacing w:after="0"/>
              <w:rPr>
                <w:sz w:val="12"/>
                <w:szCs w:val="12"/>
                <w:color w:val="auto"/>
              </w:rPr>
            </w:pPr>
          </w:p>
        </w:tc>
        <w:tc>
          <w:tcPr>
            <w:tcW w:w="1140" w:type="dxa"/>
            <w:vAlign w:val="bottom"/>
            <w:shd w:val="clear" w:color="auto" w:fill="808080"/>
          </w:tcPr>
          <w:p>
            <w:pPr>
              <w:spacing w:after="0"/>
              <w:rPr>
                <w:sz w:val="12"/>
                <w:szCs w:val="12"/>
                <w:color w:val="auto"/>
              </w:rPr>
            </w:pPr>
          </w:p>
        </w:tc>
      </w:tr>
    </w:tbl>
    <w:p>
      <w:pPr>
        <w:sectPr>
          <w:pgSz w:w="11900" w:h="16838" w:orient="portrait"/>
          <w:cols w:equalWidth="0" w:num="1">
            <w:col w:w="10219"/>
          </w:cols>
          <w:pgMar w:left="240" w:top="118" w:right="1440" w:bottom="805" w:gutter="0" w:footer="0" w:header="0"/>
        </w:sectPr>
      </w:pPr>
    </w:p>
    <w:bookmarkStart w:id="25" w:name="page26"/>
    <w:bookmarkEnd w:id="25"/>
    <w:p>
      <w:pPr>
        <w:spacing w:after="0"/>
        <w:rPr>
          <w:sz w:val="20"/>
          <w:szCs w:val="20"/>
          <w:color w:val="auto"/>
        </w:rPr>
      </w:pPr>
      <w:r>
        <w:rPr>
          <w:rFonts w:ascii="Arial" w:cs="Arial" w:eastAsia="Arial" w:hAnsi="Arial"/>
          <w:sz w:val="22"/>
          <w:szCs w:val="22"/>
          <w:color w:val="auto"/>
        </w:rPr>
        <w:t>Transdel Pharmaceuticals, Inc.</w:t>
      </w:r>
    </w:p>
    <w:p>
      <w:pPr>
        <w:spacing w:after="0" w:line="238" w:lineRule="auto"/>
        <w:rPr>
          <w:sz w:val="20"/>
          <w:szCs w:val="20"/>
          <w:color w:val="auto"/>
        </w:rPr>
      </w:pPr>
      <w:r>
        <w:rPr>
          <w:rFonts w:ascii="Arial" w:cs="Arial" w:eastAsia="Arial" w:hAnsi="Arial"/>
          <w:sz w:val="22"/>
          <w:szCs w:val="22"/>
          <w:color w:val="auto"/>
        </w:rPr>
        <w:t>November 21, 2011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Use of Proceeds:</w:t>
      </w:r>
      <w:r>
        <w:rPr>
          <w:sz w:val="20"/>
          <w:szCs w:val="20"/>
          <w:color w:val="auto"/>
        </w:rPr>
        <w:tab/>
      </w:r>
      <w:r>
        <w:rPr>
          <w:rFonts w:ascii="Arial" w:cs="Arial" w:eastAsia="Arial" w:hAnsi="Arial"/>
          <w:sz w:val="19"/>
          <w:szCs w:val="19"/>
          <w:color w:val="auto"/>
        </w:rPr>
        <w:t>Borrower agrees to use the proceeds of the Loan only for the following purposes:</w:t>
      </w:r>
    </w:p>
    <w:p>
      <w:pPr>
        <w:spacing w:after="0" w:line="233" w:lineRule="exact"/>
        <w:rPr>
          <w:sz w:val="20"/>
          <w:szCs w:val="20"/>
          <w:color w:val="auto"/>
        </w:rPr>
      </w:pPr>
    </w:p>
    <w:p>
      <w:pPr>
        <w:ind w:left="2580" w:hanging="627"/>
        <w:spacing w:after="0"/>
        <w:tabs>
          <w:tab w:leader="none" w:pos="25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with respect to the first three Advances:</w:t>
      </w:r>
    </w:p>
    <w:p>
      <w:pPr>
        <w:spacing w:after="0" w:line="233" w:lineRule="exact"/>
        <w:rPr>
          <w:sz w:val="20"/>
          <w:szCs w:val="20"/>
          <w:color w:val="auto"/>
        </w:rPr>
      </w:pPr>
    </w:p>
    <w:p>
      <w:pPr>
        <w:ind w:left="2600" w:right="499" w:hanging="647"/>
        <w:spacing w:after="0" w:line="251" w:lineRule="auto"/>
        <w:tabs>
          <w:tab w:leader="none" w:pos="2573" w:val="left"/>
        </w:tabs>
        <w:numPr>
          <w:ilvl w:val="0"/>
          <w:numId w:val="21"/>
        </w:numPr>
        <w:rPr>
          <w:rFonts w:ascii="Arial" w:cs="Arial" w:eastAsia="Arial" w:hAnsi="Arial"/>
          <w:sz w:val="22"/>
          <w:szCs w:val="22"/>
          <w:color w:val="auto"/>
        </w:rPr>
      </w:pPr>
      <w:r>
        <w:rPr>
          <w:rFonts w:ascii="Arial" w:cs="Arial" w:eastAsia="Arial" w:hAnsi="Arial"/>
          <w:sz w:val="22"/>
          <w:szCs w:val="22"/>
          <w:color w:val="auto"/>
        </w:rPr>
        <w:t>payment of administrative claims in connection with the Dismissal and the Chapter 11 Case;</w:t>
      </w:r>
    </w:p>
    <w:p>
      <w:pPr>
        <w:spacing w:after="0" w:line="200" w:lineRule="exact"/>
        <w:rPr>
          <w:rFonts w:ascii="Arial" w:cs="Arial" w:eastAsia="Arial" w:hAnsi="Arial"/>
          <w:sz w:val="22"/>
          <w:szCs w:val="22"/>
          <w:color w:val="auto"/>
        </w:rPr>
      </w:pPr>
    </w:p>
    <w:p>
      <w:pPr>
        <w:jc w:val="both"/>
        <w:ind w:left="2600" w:right="499" w:hanging="647"/>
        <w:spacing w:after="0" w:line="273" w:lineRule="auto"/>
        <w:tabs>
          <w:tab w:leader="none" w:pos="2573" w:val="left"/>
        </w:tabs>
        <w:numPr>
          <w:ilvl w:val="0"/>
          <w:numId w:val="21"/>
        </w:numPr>
        <w:rPr>
          <w:rFonts w:ascii="Arial" w:cs="Arial" w:eastAsia="Arial" w:hAnsi="Arial"/>
          <w:sz w:val="19"/>
          <w:szCs w:val="19"/>
          <w:color w:val="auto"/>
        </w:rPr>
      </w:pPr>
      <w:r>
        <w:rPr>
          <w:rFonts w:ascii="Arial" w:cs="Arial" w:eastAsia="Arial" w:hAnsi="Arial"/>
          <w:sz w:val="19"/>
          <w:szCs w:val="19"/>
          <w:color w:val="auto"/>
        </w:rPr>
        <w:t>payment of priority claims to the following creditors of Borrower in connection with the Dismissal, conditioned upon receipt by Lender of a Mutual General Release of Claims executed by each such creditor, in a form acceptable to Lender:</w:t>
      </w:r>
    </w:p>
    <w:p>
      <w:pPr>
        <w:spacing w:after="0" w:line="1" w:lineRule="exact"/>
        <w:rPr>
          <w:rFonts w:ascii="Arial" w:cs="Arial" w:eastAsia="Arial" w:hAnsi="Arial"/>
          <w:sz w:val="19"/>
          <w:szCs w:val="19"/>
          <w:color w:val="auto"/>
        </w:rPr>
      </w:pPr>
    </w:p>
    <w:p>
      <w:pPr>
        <w:ind w:left="2600" w:right="499" w:firstLine="133"/>
        <w:spacing w:after="0" w:line="237" w:lineRule="auto"/>
        <w:rPr>
          <w:rFonts w:ascii="Arial" w:cs="Arial" w:eastAsia="Arial" w:hAnsi="Arial"/>
          <w:sz w:val="19"/>
          <w:szCs w:val="19"/>
          <w:color w:val="auto"/>
        </w:rPr>
      </w:pPr>
      <w:r>
        <w:rPr>
          <w:rFonts w:ascii="Arial" w:cs="Arial" w:eastAsia="Arial" w:hAnsi="Arial"/>
          <w:sz w:val="22"/>
          <w:szCs w:val="22"/>
          <w:color w:val="auto"/>
        </w:rPr>
        <w:t>Schupp, $8,852.02; Bonfliglio, $11,725; Lomoro, $11,725; Nida, $11,725; Fernando, $3,995.42;</w:t>
      </w:r>
    </w:p>
    <w:p>
      <w:pPr>
        <w:spacing w:after="0" w:line="211" w:lineRule="exact"/>
        <w:rPr>
          <w:rFonts w:ascii="Arial" w:cs="Arial" w:eastAsia="Arial" w:hAnsi="Arial"/>
          <w:sz w:val="19"/>
          <w:szCs w:val="19"/>
          <w:color w:val="auto"/>
        </w:rPr>
      </w:pPr>
    </w:p>
    <w:p>
      <w:pPr>
        <w:jc w:val="both"/>
        <w:ind w:left="2600" w:right="499" w:hanging="647"/>
        <w:spacing w:after="0"/>
        <w:tabs>
          <w:tab w:leader="none" w:pos="2573" w:val="left"/>
        </w:tabs>
        <w:numPr>
          <w:ilvl w:val="0"/>
          <w:numId w:val="21"/>
        </w:numPr>
        <w:rPr>
          <w:rFonts w:ascii="Arial" w:cs="Arial" w:eastAsia="Arial" w:hAnsi="Arial"/>
          <w:sz w:val="22"/>
          <w:szCs w:val="22"/>
          <w:color w:val="auto"/>
        </w:rPr>
      </w:pPr>
      <w:r>
        <w:rPr>
          <w:rFonts w:ascii="Arial" w:cs="Arial" w:eastAsia="Arial" w:hAnsi="Arial"/>
          <w:sz w:val="22"/>
          <w:szCs w:val="22"/>
          <w:color w:val="auto"/>
        </w:rPr>
        <w:t>payment of taxes and other charges and assessments to the U.S. Internal Revenue Service, including the reservation of $32,482.04 for payment of such taxes which are being contested in good faith; and</w:t>
      </w:r>
    </w:p>
    <w:p>
      <w:pPr>
        <w:spacing w:after="0" w:line="213" w:lineRule="exact"/>
        <w:rPr>
          <w:rFonts w:ascii="Arial" w:cs="Arial" w:eastAsia="Arial" w:hAnsi="Arial"/>
          <w:sz w:val="22"/>
          <w:szCs w:val="22"/>
          <w:color w:val="auto"/>
        </w:rPr>
      </w:pPr>
    </w:p>
    <w:p>
      <w:pPr>
        <w:jc w:val="both"/>
        <w:ind w:left="2600" w:right="479" w:hanging="647"/>
        <w:spacing w:after="0" w:line="275" w:lineRule="auto"/>
        <w:tabs>
          <w:tab w:leader="none" w:pos="2573" w:val="left"/>
        </w:tabs>
        <w:numPr>
          <w:ilvl w:val="0"/>
          <w:numId w:val="21"/>
        </w:numPr>
        <w:rPr>
          <w:rFonts w:ascii="Arial" w:cs="Arial" w:eastAsia="Arial" w:hAnsi="Arial"/>
          <w:sz w:val="19"/>
          <w:szCs w:val="19"/>
          <w:color w:val="auto"/>
        </w:rPr>
      </w:pPr>
      <w:r>
        <w:rPr>
          <w:rFonts w:ascii="Arial" w:cs="Arial" w:eastAsia="Arial" w:hAnsi="Arial"/>
          <w:sz w:val="19"/>
          <w:szCs w:val="19"/>
          <w:color w:val="auto"/>
        </w:rPr>
        <w:t>(i) payment of legal and accounting fees and expenses of Lender as provided in “</w:t>
      </w:r>
      <w:r>
        <w:rPr>
          <w:rFonts w:ascii="Arial" w:cs="Arial" w:eastAsia="Arial" w:hAnsi="Arial"/>
          <w:sz w:val="19"/>
          <w:szCs w:val="19"/>
          <w:u w:val="single" w:color="auto"/>
          <w:color w:val="auto"/>
        </w:rPr>
        <w:t>Expenses</w:t>
      </w:r>
      <w:r>
        <w:rPr>
          <w:rFonts w:ascii="Arial" w:cs="Arial" w:eastAsia="Arial" w:hAnsi="Arial"/>
          <w:sz w:val="19"/>
          <w:szCs w:val="19"/>
          <w:color w:val="auto"/>
        </w:rPr>
        <w:t>” below and as provided in Section 5.2 of that certain Securities Purchaser Agreement by and between Borrower and Lender dated of even date herewith, and (ii) payment of legal and accounting fees and expenses of Borrower in connection with the preparation, review and audit of Borrower’s financial statements and the preparation and filing of any reports, forms, schedules, statements and other documents required by be filed by Borrower under U.S. federal and state securities laws and regulations; and</w:t>
      </w:r>
    </w:p>
    <w:p>
      <w:pPr>
        <w:spacing w:after="0" w:line="185" w:lineRule="exact"/>
        <w:rPr>
          <w:sz w:val="20"/>
          <w:szCs w:val="20"/>
          <w:color w:val="auto"/>
        </w:rPr>
      </w:pPr>
    </w:p>
    <w:p>
      <w:pPr>
        <w:ind w:left="1960" w:right="499" w:hanging="7"/>
        <w:spacing w:after="0" w:line="251" w:lineRule="auto"/>
        <w:tabs>
          <w:tab w:leader="none" w:pos="2581" w:val="left"/>
        </w:tabs>
        <w:numPr>
          <w:ilvl w:val="0"/>
          <w:numId w:val="22"/>
        </w:numPr>
        <w:rPr>
          <w:rFonts w:ascii="Arial" w:cs="Arial" w:eastAsia="Arial" w:hAnsi="Arial"/>
          <w:sz w:val="22"/>
          <w:szCs w:val="22"/>
          <w:color w:val="auto"/>
        </w:rPr>
      </w:pPr>
      <w:r>
        <w:rPr>
          <w:rFonts w:ascii="Arial" w:cs="Arial" w:eastAsia="Arial" w:hAnsi="Arial"/>
          <w:sz w:val="22"/>
          <w:szCs w:val="22"/>
          <w:color w:val="auto"/>
        </w:rPr>
        <w:t>with respect to each subsequent Advance, for other working capital and general business purposes, as approved in advance by Lender.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Requests for</w:t>
      </w:r>
    </w:p>
    <w:p>
      <w:pPr>
        <w:spacing w:after="0" w:line="8" w:lineRule="exact"/>
        <w:rPr>
          <w:sz w:val="20"/>
          <w:szCs w:val="20"/>
          <w:color w:val="auto"/>
        </w:rPr>
      </w:pPr>
    </w:p>
    <w:p>
      <w:pPr>
        <w:jc w:val="both"/>
        <w:ind w:left="1920" w:right="479" w:hanging="1944"/>
        <w:spacing w:after="0" w:line="272" w:lineRule="auto"/>
        <w:tabs>
          <w:tab w:leader="none" w:pos="1900" w:val="left"/>
        </w:tabs>
        <w:rPr>
          <w:sz w:val="20"/>
          <w:szCs w:val="20"/>
          <w:color w:val="auto"/>
        </w:rPr>
      </w:pPr>
      <w:r>
        <w:rPr>
          <w:rFonts w:ascii="Arial" w:cs="Arial" w:eastAsia="Arial" w:hAnsi="Arial"/>
          <w:sz w:val="22"/>
          <w:szCs w:val="22"/>
          <w:color w:val="auto"/>
        </w:rPr>
        <w:t>Advances</w:t>
      </w:r>
      <w:r>
        <w:rPr>
          <w:sz w:val="20"/>
          <w:szCs w:val="20"/>
          <w:color w:val="auto"/>
        </w:rPr>
        <w:tab/>
      </w:r>
      <w:r>
        <w:rPr>
          <w:rFonts w:ascii="Arial" w:cs="Arial" w:eastAsia="Arial" w:hAnsi="Arial"/>
          <w:sz w:val="19"/>
          <w:szCs w:val="19"/>
          <w:color w:val="auto"/>
        </w:rPr>
        <w:t xml:space="preserve">Each Advance request must be in writing and received by Lender by 12:00 noon Pacific time at least three Business Days prior to the Business Day of the requested Advance. Lender will have the right to request that Borrower furnish Lender with such additional information and documentation with respect to the Advance as Lender requests. Upon fulfillment of the applicable conditions set forth herein, Lender will make the requested Advance available to Borrower in accordance with the payment instructions provided to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Lender reserves the right to make direct payment to any intended recipient of proceeds of the Advances. (As used herein, a “</w:t>
      </w:r>
      <w:r>
        <w:rPr>
          <w:rFonts w:ascii="Arial" w:cs="Arial" w:eastAsia="Arial" w:hAnsi="Arial"/>
          <w:sz w:val="19"/>
          <w:szCs w:val="19"/>
          <w:u w:val="single" w:color="auto"/>
          <w:color w:val="auto"/>
        </w:rPr>
        <w:t>Business Day</w:t>
      </w:r>
      <w:r>
        <w:rPr>
          <w:rFonts w:ascii="Arial" w:cs="Arial" w:eastAsia="Arial" w:hAnsi="Arial"/>
          <w:sz w:val="19"/>
          <w:szCs w:val="19"/>
          <w:color w:val="auto"/>
        </w:rPr>
        <w:t>” is a day other than a Saturday or a Sunday on which banks are open for business in California.)</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Conditions to First</w:t>
      </w:r>
    </w:p>
    <w:p>
      <w:pPr>
        <w:spacing w:after="0" w:line="8" w:lineRule="exact"/>
        <w:rPr>
          <w:sz w:val="20"/>
          <w:szCs w:val="20"/>
          <w:color w:val="auto"/>
        </w:rPr>
      </w:pPr>
    </w:p>
    <w:p>
      <w:pPr>
        <w:jc w:val="both"/>
        <w:ind w:left="1920" w:right="499" w:hanging="1944"/>
        <w:spacing w:after="0" w:line="256" w:lineRule="auto"/>
        <w:tabs>
          <w:tab w:leader="none" w:pos="1900" w:val="left"/>
        </w:tabs>
        <w:rPr>
          <w:sz w:val="20"/>
          <w:szCs w:val="20"/>
          <w:color w:val="auto"/>
        </w:rPr>
      </w:pPr>
      <w:r>
        <w:rPr>
          <w:rFonts w:ascii="Arial" w:cs="Arial" w:eastAsia="Arial" w:hAnsi="Arial"/>
          <w:sz w:val="22"/>
          <w:szCs w:val="22"/>
          <w:color w:val="auto"/>
        </w:rPr>
        <w:t>Advance:</w:t>
      </w:r>
      <w:r>
        <w:rPr>
          <w:sz w:val="20"/>
          <w:szCs w:val="20"/>
          <w:color w:val="auto"/>
        </w:rPr>
        <w:tab/>
      </w:r>
      <w:r>
        <w:rPr>
          <w:rFonts w:ascii="Arial" w:cs="Arial" w:eastAsia="Arial" w:hAnsi="Arial"/>
          <w:sz w:val="21"/>
          <w:szCs w:val="21"/>
          <w:color w:val="auto"/>
        </w:rPr>
        <w:t>Before Lender is required to make the first Advance to Borrower hereunder, Lender must have received, the items below, in form and substance satisfactory to Lender:</w:t>
      </w:r>
    </w:p>
    <w:p>
      <w:pPr>
        <w:spacing w:after="0" w:line="196" w:lineRule="exact"/>
        <w:rPr>
          <w:sz w:val="20"/>
          <w:szCs w:val="20"/>
          <w:color w:val="auto"/>
        </w:rPr>
      </w:pPr>
    </w:p>
    <w:p>
      <w:pPr>
        <w:jc w:val="both"/>
        <w:ind w:left="1960" w:right="479" w:hanging="7"/>
        <w:spacing w:after="0" w:line="245" w:lineRule="auto"/>
        <w:tabs>
          <w:tab w:leader="none" w:pos="2581"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following documents duly exected by Borrower (together with any other agreement pursuant to which Borrower or any other Person provides a lien on its assets in favor of Lender (or any collateral agent on its behalf), and all filings, documents and agreements made or delivered pursuant thereto, the “</w:t>
      </w:r>
      <w:r>
        <w:rPr>
          <w:rFonts w:ascii="Arial" w:cs="Arial" w:eastAsia="Arial" w:hAnsi="Arial"/>
          <w:sz w:val="21"/>
          <w:szCs w:val="21"/>
          <w:u w:val="single" w:color="auto"/>
          <w:color w:val="auto"/>
        </w:rPr>
        <w:t>Collateral Documents</w:t>
      </w:r>
      <w:r>
        <w:rPr>
          <w:rFonts w:ascii="Arial" w:cs="Arial" w:eastAsia="Arial" w:hAnsi="Arial"/>
          <w:sz w:val="21"/>
          <w:szCs w:val="21"/>
          <w:color w:val="auto"/>
        </w:rPr>
        <w:t>”): (i) a security agreement (the “</w:t>
      </w:r>
      <w:r>
        <w:rPr>
          <w:rFonts w:ascii="Arial" w:cs="Arial" w:eastAsia="Arial" w:hAnsi="Arial"/>
          <w:sz w:val="21"/>
          <w:szCs w:val="21"/>
          <w:u w:val="single" w:color="auto"/>
          <w:color w:val="auto"/>
        </w:rPr>
        <w:t>Security Agreement</w:t>
      </w:r>
      <w:r>
        <w:rPr>
          <w:rFonts w:ascii="Arial" w:cs="Arial" w:eastAsia="Arial" w:hAnsi="Arial"/>
          <w:sz w:val="21"/>
          <w:szCs w:val="21"/>
          <w:color w:val="auto"/>
        </w:rPr>
        <w:t>”) under which Borrower grants to Lender (or any collateral agent on its behalf) a blanket security interest in its property; and (ii) an intellectual property security agreement (the “</w:t>
      </w:r>
      <w:r>
        <w:rPr>
          <w:rFonts w:ascii="Arial" w:cs="Arial" w:eastAsia="Arial" w:hAnsi="Arial"/>
          <w:sz w:val="21"/>
          <w:szCs w:val="21"/>
          <w:u w:val="single" w:color="auto"/>
          <w:color w:val="auto"/>
        </w:rPr>
        <w:t>Intellectual Property Security Agreement</w:t>
      </w:r>
      <w:r>
        <w:rPr>
          <w:rFonts w:ascii="Arial" w:cs="Arial" w:eastAsia="Arial" w:hAnsi="Arial"/>
          <w:sz w:val="21"/>
          <w:szCs w:val="21"/>
          <w:color w:val="auto"/>
        </w:rPr>
        <w:t>”) under which Borrower grants to Lender a security interest in its copyright registrations, copyright applications, patents, patent applications, trademarks and trademark applications;</w:t>
      </w:r>
    </w:p>
    <w:p>
      <w:pPr>
        <w:sectPr>
          <w:pgSz w:w="11900" w:h="16838" w:orient="portrait"/>
          <w:cols w:equalWidth="0" w:num="1">
            <w:col w:w="10219"/>
          </w:cols>
          <w:pgMar w:left="240" w:top="118" w:right="1440" w:bottom="915"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174740"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915" w:gutter="0" w:footer="0" w:header="0"/>
          <w:type w:val="continuous"/>
        </w:sectPr>
      </w:pPr>
    </w:p>
    <w:bookmarkStart w:id="26" w:name="page27"/>
    <w:bookmarkEnd w:id="26"/>
    <w:p>
      <w:pPr>
        <w:spacing w:after="0"/>
        <w:rPr>
          <w:sz w:val="20"/>
          <w:szCs w:val="20"/>
          <w:color w:val="auto"/>
        </w:rPr>
      </w:pPr>
      <w:r>
        <w:rPr>
          <w:rFonts w:ascii="Arial" w:cs="Arial" w:eastAsia="Arial" w:hAnsi="Arial"/>
          <w:sz w:val="22"/>
          <w:szCs w:val="22"/>
          <w:color w:val="auto"/>
        </w:rPr>
        <w:t>Transdel Pharmaceuticals, Inc.</w:t>
      </w:r>
    </w:p>
    <w:p>
      <w:pPr>
        <w:spacing w:after="0" w:line="238" w:lineRule="auto"/>
        <w:rPr>
          <w:sz w:val="20"/>
          <w:szCs w:val="20"/>
          <w:color w:val="auto"/>
        </w:rPr>
      </w:pPr>
      <w:r>
        <w:rPr>
          <w:rFonts w:ascii="Arial" w:cs="Arial" w:eastAsia="Arial" w:hAnsi="Arial"/>
          <w:sz w:val="22"/>
          <w:szCs w:val="22"/>
          <w:color w:val="auto"/>
        </w:rPr>
        <w:t>November 21, 2011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960" w:right="479" w:hanging="7"/>
        <w:spacing w:after="0" w:line="274" w:lineRule="auto"/>
        <w:tabs>
          <w:tab w:leader="none" w:pos="2581" w:val="left"/>
        </w:tabs>
        <w:numPr>
          <w:ilvl w:val="0"/>
          <w:numId w:val="24"/>
        </w:numPr>
        <w:rPr>
          <w:rFonts w:ascii="Arial" w:cs="Arial" w:eastAsia="Arial" w:hAnsi="Arial"/>
          <w:sz w:val="19"/>
          <w:szCs w:val="19"/>
          <w:color w:val="auto"/>
        </w:rPr>
      </w:pPr>
      <w:r>
        <w:rPr>
          <w:rFonts w:ascii="Arial" w:cs="Arial" w:eastAsia="Arial" w:hAnsi="Arial"/>
          <w:sz w:val="19"/>
          <w:szCs w:val="19"/>
          <w:color w:val="auto"/>
        </w:rPr>
        <w:t>(i) confirmation that all UCC-1 financing statements necessary or appropriate in the opinion of Lender to perfect the lien of Lender (or any collateral agent on its behalf) in the collateral have been accepted for filing; (ii) such lien searches as Lender has requested; (iii) evidence that all other actions necessary or appropriate in the opinion of Lender to perfect and protect its liens on the collateral have been taken (including any account control agreements requested by Lender); and (iv) evidence of satisfactory insurance coverage, together with evidence that Lender (or any collateral agent on its behalf) has been named as loss payee under all policies of property insurance and as additional insured under all policies of liability insurance;</w:t>
      </w:r>
    </w:p>
    <w:p>
      <w:pPr>
        <w:spacing w:after="0" w:line="185" w:lineRule="exact"/>
        <w:rPr>
          <w:rFonts w:ascii="Arial" w:cs="Arial" w:eastAsia="Arial" w:hAnsi="Arial"/>
          <w:sz w:val="19"/>
          <w:szCs w:val="19"/>
          <w:color w:val="auto"/>
        </w:rPr>
      </w:pPr>
    </w:p>
    <w:p>
      <w:pPr>
        <w:ind w:left="2580" w:hanging="627"/>
        <w:spacing w:after="0"/>
        <w:tabs>
          <w:tab w:leader="none" w:pos="25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certificate of the Secretary or other appropriate officer of Borrower, certifying</w:t>
      </w:r>
    </w:p>
    <w:p>
      <w:pPr>
        <w:spacing w:after="0" w:line="42" w:lineRule="exact"/>
        <w:rPr>
          <w:rFonts w:ascii="Arial" w:cs="Arial" w:eastAsia="Arial" w:hAnsi="Arial"/>
          <w:sz w:val="19"/>
          <w:szCs w:val="19"/>
          <w:color w:val="auto"/>
        </w:rPr>
      </w:pPr>
    </w:p>
    <w:p>
      <w:pPr>
        <w:jc w:val="both"/>
        <w:ind w:left="1960" w:right="499" w:hanging="7"/>
        <w:spacing w:after="0" w:line="244" w:lineRule="auto"/>
        <w:tabs>
          <w:tab w:leader="none" w:pos="2246" w:val="left"/>
        </w:tabs>
        <w:numPr>
          <w:ilvl w:val="0"/>
          <w:numId w:val="25"/>
        </w:numPr>
        <w:rPr>
          <w:rFonts w:ascii="Arial" w:cs="Arial" w:eastAsia="Arial" w:hAnsi="Arial"/>
          <w:sz w:val="21"/>
          <w:szCs w:val="21"/>
          <w:color w:val="auto"/>
        </w:rPr>
      </w:pPr>
      <w:r>
        <w:rPr>
          <w:rFonts w:ascii="Arial" w:cs="Arial" w:eastAsia="Arial" w:hAnsi="Arial"/>
          <w:sz w:val="21"/>
          <w:szCs w:val="21"/>
          <w:color w:val="auto"/>
        </w:rPr>
        <w:t>copies of the certificate or articles of incorporation and bylaws, or other applicable organizational documents, of Borrower and the resolutions adopted by Borrower and other actions taken or adopted by Borrower (or any shareholders of Borrower) authorizing the Loan Documents to which it is a party, and (ii) the incumbency, authority and signatures of each officer of Borrower authorized to execute and deliver the Loan Documents and act with respect thereto;</w:t>
      </w:r>
    </w:p>
    <w:p>
      <w:pPr>
        <w:spacing w:after="0" w:line="210" w:lineRule="exact"/>
        <w:rPr>
          <w:rFonts w:ascii="Arial" w:cs="Arial" w:eastAsia="Arial" w:hAnsi="Arial"/>
          <w:sz w:val="21"/>
          <w:szCs w:val="21"/>
          <w:color w:val="auto"/>
        </w:rPr>
      </w:pPr>
    </w:p>
    <w:p>
      <w:pPr>
        <w:jc w:val="both"/>
        <w:ind w:left="1960" w:right="499" w:hanging="7"/>
        <w:spacing w:after="0" w:line="238" w:lineRule="auto"/>
        <w:tabs>
          <w:tab w:leader="none" w:pos="2581"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certificate of status or good standing of Borrower as of a date acceptable to Lender from the jurisdiction of Borrower’s organization and the jurisdiction in which its chief executive office or principal place of business is situated (if different from its jurisdiction of organization);</w:t>
      </w:r>
    </w:p>
    <w:p>
      <w:pPr>
        <w:spacing w:after="0" w:line="212" w:lineRule="exact"/>
        <w:rPr>
          <w:rFonts w:ascii="Arial" w:cs="Arial" w:eastAsia="Arial" w:hAnsi="Arial"/>
          <w:sz w:val="22"/>
          <w:szCs w:val="22"/>
          <w:color w:val="auto"/>
        </w:rPr>
      </w:pPr>
    </w:p>
    <w:p>
      <w:pPr>
        <w:ind w:left="1960" w:right="499" w:hanging="7"/>
        <w:spacing w:after="0" w:line="251" w:lineRule="auto"/>
        <w:tabs>
          <w:tab w:leader="none" w:pos="2581" w:val="left"/>
        </w:tabs>
        <w:numPr>
          <w:ilvl w:val="0"/>
          <w:numId w:val="26"/>
        </w:numPr>
        <w:rPr>
          <w:rFonts w:ascii="Arial" w:cs="Arial" w:eastAsia="Arial" w:hAnsi="Arial"/>
          <w:sz w:val="22"/>
          <w:szCs w:val="22"/>
          <w:color w:val="auto"/>
        </w:rPr>
      </w:pPr>
      <w:r>
        <w:rPr>
          <w:rFonts w:ascii="Arial" w:cs="Arial" w:eastAsia="Arial" w:hAnsi="Arial"/>
          <w:sz w:val="22"/>
          <w:szCs w:val="22"/>
          <w:color w:val="auto"/>
        </w:rPr>
        <w:t>evidence that all approvals or consents of any other Person required in connection with the Loan Documents have been obtained; and</w:t>
      </w:r>
    </w:p>
    <w:p>
      <w:pPr>
        <w:spacing w:after="0" w:line="200" w:lineRule="exact"/>
        <w:rPr>
          <w:rFonts w:ascii="Arial" w:cs="Arial" w:eastAsia="Arial" w:hAnsi="Arial"/>
          <w:sz w:val="22"/>
          <w:szCs w:val="22"/>
          <w:color w:val="auto"/>
        </w:rPr>
      </w:pPr>
    </w:p>
    <w:p>
      <w:pPr>
        <w:ind w:left="2580" w:hanging="627"/>
        <w:spacing w:after="0"/>
        <w:tabs>
          <w:tab w:leader="none" w:pos="25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evidence of the Final Dismissal Order.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Additional</w:t>
      </w:r>
    </w:p>
    <w:p>
      <w:pPr>
        <w:spacing w:after="0" w:line="238" w:lineRule="auto"/>
        <w:rPr>
          <w:sz w:val="20"/>
          <w:szCs w:val="20"/>
          <w:color w:val="auto"/>
        </w:rPr>
      </w:pPr>
      <w:r>
        <w:rPr>
          <w:rFonts w:ascii="Arial" w:cs="Arial" w:eastAsia="Arial" w:hAnsi="Arial"/>
          <w:sz w:val="22"/>
          <w:szCs w:val="22"/>
          <w:color w:val="auto"/>
        </w:rPr>
        <w:t>Conditions for</w:t>
      </w:r>
    </w:p>
    <w:p>
      <w:pPr>
        <w:spacing w:after="0"/>
        <w:tabs>
          <w:tab w:leader="none" w:pos="1900" w:val="left"/>
        </w:tabs>
        <w:rPr>
          <w:sz w:val="20"/>
          <w:szCs w:val="20"/>
          <w:color w:val="auto"/>
        </w:rPr>
      </w:pPr>
      <w:r>
        <w:rPr>
          <w:rFonts w:ascii="Arial" w:cs="Arial" w:eastAsia="Arial" w:hAnsi="Arial"/>
          <w:sz w:val="22"/>
          <w:szCs w:val="22"/>
          <w:color w:val="auto"/>
        </w:rPr>
        <w:t>Each Advance</w:t>
      </w:r>
      <w:r>
        <w:rPr>
          <w:sz w:val="20"/>
          <w:szCs w:val="20"/>
          <w:color w:val="auto"/>
        </w:rPr>
        <w:tab/>
      </w:r>
      <w:r>
        <w:rPr>
          <w:rFonts w:ascii="Arial" w:cs="Arial" w:eastAsia="Arial" w:hAnsi="Arial"/>
          <w:sz w:val="19"/>
          <w:szCs w:val="19"/>
          <w:color w:val="auto"/>
        </w:rPr>
        <w:t>In addition, prior to making any Advance hereunder (including the first Advance):</w:t>
      </w:r>
    </w:p>
    <w:p>
      <w:pPr>
        <w:spacing w:after="0" w:line="215" w:lineRule="exact"/>
        <w:rPr>
          <w:sz w:val="20"/>
          <w:szCs w:val="20"/>
          <w:color w:val="auto"/>
        </w:rPr>
      </w:pPr>
    </w:p>
    <w:p>
      <w:pPr>
        <w:jc w:val="both"/>
        <w:ind w:left="1960" w:right="499" w:hanging="7"/>
        <w:spacing w:after="0"/>
        <w:tabs>
          <w:tab w:leader="none" w:pos="2581"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Borrower must have executed and delivered to Lender any other documents and information (including financial information with respect to Borrower), in form and substance satisfactory to Lender, as it may require;</w:t>
      </w:r>
    </w:p>
    <w:p>
      <w:pPr>
        <w:spacing w:after="0" w:line="213" w:lineRule="exact"/>
        <w:rPr>
          <w:rFonts w:ascii="Arial" w:cs="Arial" w:eastAsia="Arial" w:hAnsi="Arial"/>
          <w:sz w:val="22"/>
          <w:szCs w:val="22"/>
          <w:color w:val="auto"/>
        </w:rPr>
      </w:pPr>
    </w:p>
    <w:p>
      <w:pPr>
        <w:ind w:left="1960" w:right="499" w:hanging="7"/>
        <w:spacing w:after="0" w:line="251" w:lineRule="auto"/>
        <w:tabs>
          <w:tab w:leader="none" w:pos="2581"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the Borrower shall have executed and delivered to Lender a Note in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evidencing such Advance;</w:t>
      </w:r>
    </w:p>
    <w:p>
      <w:pPr>
        <w:spacing w:after="0" w:line="200" w:lineRule="exact"/>
        <w:rPr>
          <w:rFonts w:ascii="Arial" w:cs="Arial" w:eastAsia="Arial" w:hAnsi="Arial"/>
          <w:sz w:val="22"/>
          <w:szCs w:val="22"/>
          <w:color w:val="auto"/>
        </w:rPr>
      </w:pPr>
    </w:p>
    <w:p>
      <w:pPr>
        <w:ind w:left="1960" w:right="479" w:hanging="7"/>
        <w:spacing w:after="0" w:line="274" w:lineRule="auto"/>
        <w:tabs>
          <w:tab w:leader="none" w:pos="2581" w:val="left"/>
        </w:tabs>
        <w:numPr>
          <w:ilvl w:val="0"/>
          <w:numId w:val="27"/>
        </w:numPr>
        <w:rPr>
          <w:rFonts w:ascii="Arial" w:cs="Arial" w:eastAsia="Arial" w:hAnsi="Arial"/>
          <w:sz w:val="21"/>
          <w:szCs w:val="21"/>
          <w:color w:val="auto"/>
        </w:rPr>
      </w:pPr>
      <w:r>
        <w:rPr>
          <w:rFonts w:ascii="Arial" w:cs="Arial" w:eastAsia="Arial" w:hAnsi="Arial"/>
          <w:sz w:val="21"/>
          <w:szCs w:val="21"/>
          <w:color w:val="auto"/>
        </w:rPr>
        <w:t>each representation and warranty set forth in such Note and each existing Note (if any) must be true and correct as if made on the date of such Advance;</w:t>
      </w:r>
    </w:p>
    <w:p>
      <w:pPr>
        <w:spacing w:after="0" w:line="177" w:lineRule="exact"/>
        <w:rPr>
          <w:rFonts w:ascii="Arial" w:cs="Arial" w:eastAsia="Arial" w:hAnsi="Arial"/>
          <w:sz w:val="21"/>
          <w:szCs w:val="21"/>
          <w:color w:val="auto"/>
        </w:rPr>
      </w:pPr>
    </w:p>
    <w:p>
      <w:pPr>
        <w:jc w:val="both"/>
        <w:ind w:left="1960" w:right="479" w:hanging="7"/>
        <w:spacing w:after="0" w:line="297" w:lineRule="auto"/>
        <w:tabs>
          <w:tab w:leader="none" w:pos="2581" w:val="left"/>
        </w:tabs>
        <w:numPr>
          <w:ilvl w:val="0"/>
          <w:numId w:val="27"/>
        </w:numPr>
        <w:rPr>
          <w:rFonts w:ascii="Arial" w:cs="Arial" w:eastAsia="Arial" w:hAnsi="Arial"/>
          <w:sz w:val="19"/>
          <w:szCs w:val="19"/>
          <w:color w:val="auto"/>
        </w:rPr>
      </w:pPr>
      <w:r>
        <w:rPr>
          <w:rFonts w:ascii="Arial" w:cs="Arial" w:eastAsia="Arial" w:hAnsi="Arial"/>
          <w:sz w:val="19"/>
          <w:szCs w:val="19"/>
          <w:color w:val="auto"/>
        </w:rPr>
        <w:t>no Event of Default (as defined in such Note and each existing Note (if any) and the Collateral Documents), or event or condition which with notice or lapse of time or both would constitute an Event of Default, exists on the date of such Advance;</w:t>
      </w:r>
    </w:p>
    <w:p>
      <w:pPr>
        <w:spacing w:after="0" w:line="161" w:lineRule="exact"/>
        <w:rPr>
          <w:rFonts w:ascii="Arial" w:cs="Arial" w:eastAsia="Arial" w:hAnsi="Arial"/>
          <w:sz w:val="19"/>
          <w:szCs w:val="19"/>
          <w:color w:val="auto"/>
        </w:rPr>
      </w:pPr>
    </w:p>
    <w:p>
      <w:pPr>
        <w:ind w:left="1960" w:right="499" w:hanging="7"/>
        <w:spacing w:after="0" w:line="274" w:lineRule="auto"/>
        <w:tabs>
          <w:tab w:leader="none" w:pos="2581" w:val="left"/>
        </w:tabs>
        <w:numPr>
          <w:ilvl w:val="0"/>
          <w:numId w:val="27"/>
        </w:numPr>
        <w:rPr>
          <w:rFonts w:ascii="Arial" w:cs="Arial" w:eastAsia="Arial" w:hAnsi="Arial"/>
          <w:sz w:val="21"/>
          <w:szCs w:val="21"/>
          <w:color w:val="auto"/>
        </w:rPr>
      </w:pPr>
      <w:r>
        <w:rPr>
          <w:rFonts w:ascii="Arial" w:cs="Arial" w:eastAsia="Arial" w:hAnsi="Arial"/>
          <w:sz w:val="21"/>
          <w:szCs w:val="21"/>
          <w:color w:val="auto"/>
        </w:rPr>
        <w:t>no event has occurred that has had or could reasonably be expected to have a Material Adverse Effect (as defined in such Note, each existing Note (if any));</w:t>
      </w:r>
    </w:p>
    <w:p>
      <w:pPr>
        <w:spacing w:after="0" w:line="177" w:lineRule="exact"/>
        <w:rPr>
          <w:rFonts w:ascii="Arial" w:cs="Arial" w:eastAsia="Arial" w:hAnsi="Arial"/>
          <w:sz w:val="21"/>
          <w:szCs w:val="21"/>
          <w:color w:val="auto"/>
        </w:rPr>
      </w:pPr>
    </w:p>
    <w:p>
      <w:pPr>
        <w:ind w:left="2580" w:hanging="627"/>
        <w:spacing w:after="0"/>
        <w:tabs>
          <w:tab w:leader="none" w:pos="25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Borrower shall not have been named as a defendant in any legal action brought by</w:t>
      </w:r>
    </w:p>
    <w:p>
      <w:pPr>
        <w:spacing w:after="0" w:line="42" w:lineRule="exact"/>
        <w:rPr>
          <w:rFonts w:ascii="Arial" w:cs="Arial" w:eastAsia="Arial" w:hAnsi="Arial"/>
          <w:sz w:val="19"/>
          <w:szCs w:val="19"/>
          <w:color w:val="auto"/>
        </w:rPr>
      </w:pPr>
    </w:p>
    <w:p>
      <w:pPr>
        <w:jc w:val="both"/>
        <w:ind w:left="1960" w:right="479" w:hanging="7"/>
        <w:spacing w:after="0" w:line="249" w:lineRule="auto"/>
        <w:tabs>
          <w:tab w:leader="none" w:pos="2233" w:val="left"/>
        </w:tabs>
        <w:numPr>
          <w:ilvl w:val="0"/>
          <w:numId w:val="28"/>
        </w:numPr>
        <w:rPr>
          <w:rFonts w:ascii="Arial" w:cs="Arial" w:eastAsia="Arial" w:hAnsi="Arial"/>
          <w:sz w:val="21"/>
          <w:szCs w:val="21"/>
          <w:color w:val="auto"/>
        </w:rPr>
      </w:pPr>
      <w:r>
        <w:rPr>
          <w:rFonts w:ascii="Arial" w:cs="Arial" w:eastAsia="Arial" w:hAnsi="Arial"/>
          <w:sz w:val="21"/>
          <w:szCs w:val="21"/>
          <w:color w:val="auto"/>
        </w:rPr>
        <w:t>any current or former employee, executive officer or director of Borrower or (ii) any third party with whom Borrower had entered into any agreement or contract (including any oral contract) prior to the date of the Final Dismissal Order;</w:t>
      </w:r>
    </w:p>
    <w:p>
      <w:pPr>
        <w:spacing w:after="0" w:line="202" w:lineRule="exact"/>
        <w:rPr>
          <w:rFonts w:ascii="Arial" w:cs="Arial" w:eastAsia="Arial" w:hAnsi="Arial"/>
          <w:sz w:val="21"/>
          <w:szCs w:val="21"/>
          <w:color w:val="auto"/>
        </w:rPr>
      </w:pPr>
    </w:p>
    <w:p>
      <w:pPr>
        <w:ind w:left="1960" w:right="499" w:hanging="7"/>
        <w:spacing w:after="0" w:line="251" w:lineRule="auto"/>
        <w:tabs>
          <w:tab w:leader="none" w:pos="2581" w:val="left"/>
        </w:tabs>
        <w:numPr>
          <w:ilvl w:val="0"/>
          <w:numId w:val="29"/>
        </w:numPr>
        <w:rPr>
          <w:rFonts w:ascii="Arial" w:cs="Arial" w:eastAsia="Arial" w:hAnsi="Arial"/>
          <w:sz w:val="22"/>
          <w:szCs w:val="22"/>
          <w:color w:val="auto"/>
        </w:rPr>
      </w:pPr>
      <w:r>
        <w:rPr>
          <w:rFonts w:ascii="Arial" w:cs="Arial" w:eastAsia="Arial" w:hAnsi="Arial"/>
          <w:sz w:val="22"/>
          <w:szCs w:val="22"/>
          <w:color w:val="auto"/>
        </w:rPr>
        <w:t>Borrower shall have requested the Advance in compliance with the heading “Requests for Advance”; and</w:t>
      </w:r>
    </w:p>
    <w:p>
      <w:pPr>
        <w:spacing w:after="0" w:line="200" w:lineRule="exact"/>
        <w:rPr>
          <w:rFonts w:ascii="Arial" w:cs="Arial" w:eastAsia="Arial" w:hAnsi="Arial"/>
          <w:sz w:val="22"/>
          <w:szCs w:val="22"/>
          <w:color w:val="auto"/>
        </w:rPr>
      </w:pPr>
    </w:p>
    <w:p>
      <w:pPr>
        <w:ind w:left="1960" w:right="499" w:hanging="7"/>
        <w:spacing w:after="0" w:line="251" w:lineRule="auto"/>
        <w:tabs>
          <w:tab w:leader="none" w:pos="2581" w:val="left"/>
        </w:tabs>
        <w:numPr>
          <w:ilvl w:val="0"/>
          <w:numId w:val="29"/>
        </w:numPr>
        <w:rPr>
          <w:rFonts w:ascii="Arial" w:cs="Arial" w:eastAsia="Arial" w:hAnsi="Arial"/>
          <w:sz w:val="22"/>
          <w:szCs w:val="22"/>
          <w:color w:val="auto"/>
        </w:rPr>
      </w:pPr>
      <w:r>
        <w:rPr>
          <w:rFonts w:ascii="Arial" w:cs="Arial" w:eastAsia="Arial" w:hAnsi="Arial"/>
          <w:sz w:val="22"/>
          <w:szCs w:val="22"/>
          <w:color w:val="auto"/>
        </w:rPr>
        <w:t>Borrower shall have delivered such other documents (including legal opinions) as Lender may request.</w:t>
      </w:r>
    </w:p>
    <w:p>
      <w:pPr>
        <w:sectPr>
          <w:pgSz w:w="11900" w:h="16838" w:orient="portrait"/>
          <w:cols w:equalWidth="0" w:num="1">
            <w:col w:w="10219"/>
          </w:cols>
          <w:pgMar w:left="240" w:top="118" w:right="144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19"/>
          </w:cols>
          <w:pgMar w:left="240" w:top="118" w:right="1440" w:bottom="0" w:gutter="0" w:footer="0" w:header="0"/>
          <w:type w:val="continuous"/>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6174740"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rFonts w:ascii="Arial" w:cs="Arial" w:eastAsia="Arial" w:hAnsi="Arial"/>
          <w:sz w:val="22"/>
          <w:szCs w:val="22"/>
          <w:color w:val="auto"/>
        </w:rPr>
        <w:t>Transdel Pharmaceuticals, Inc.</w:t>
      </w:r>
    </w:p>
    <w:p>
      <w:pPr>
        <w:spacing w:after="0" w:line="238" w:lineRule="auto"/>
        <w:rPr>
          <w:sz w:val="20"/>
          <w:szCs w:val="20"/>
          <w:color w:val="auto"/>
        </w:rPr>
      </w:pPr>
      <w:r>
        <w:rPr>
          <w:rFonts w:ascii="Arial" w:cs="Arial" w:eastAsia="Arial" w:hAnsi="Arial"/>
          <w:sz w:val="22"/>
          <w:szCs w:val="22"/>
          <w:color w:val="auto"/>
        </w:rPr>
        <w:t>November 21, 2011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0"/>
                <w:szCs w:val="20"/>
                <w:color w:val="auto"/>
              </w:rPr>
            </w:pPr>
            <w:r>
              <w:rPr>
                <w:rFonts w:ascii="Arial" w:cs="Arial" w:eastAsia="Arial" w:hAnsi="Arial"/>
                <w:sz w:val="22"/>
                <w:szCs w:val="22"/>
                <w:color w:val="auto"/>
              </w:rPr>
              <w:t>Notices:</w:t>
            </w:r>
          </w:p>
        </w:tc>
        <w:tc>
          <w:tcPr>
            <w:tcW w:w="8320" w:type="dxa"/>
            <w:vAlign w:val="bottom"/>
            <w:gridSpan w:val="5"/>
          </w:tcPr>
          <w:p>
            <w:pPr>
              <w:jc w:val="right"/>
              <w:spacing w:after="0"/>
              <w:rPr>
                <w:sz w:val="20"/>
                <w:szCs w:val="20"/>
                <w:color w:val="auto"/>
              </w:rPr>
            </w:pPr>
            <w:r>
              <w:rPr>
                <w:rFonts w:ascii="Arial" w:cs="Arial" w:eastAsia="Arial" w:hAnsi="Arial"/>
                <w:sz w:val="22"/>
                <w:szCs w:val="22"/>
                <w:color w:val="auto"/>
                <w:w w:val="98"/>
              </w:rPr>
              <w:t>All notices and other communications provided for hereunder and under the other Loan</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9"/>
              </w:rPr>
              <w:t>Documents must, unless otherwise stated herein or therein, be in writing (including by</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facsimile transmission and by electronic mail) and mailed (by certified or registered</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4"/>
              </w:rPr>
              <w:t>mail), sent or delivered to the respective parties hereto at or to their respective addresses,</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5"/>
              </w:rPr>
              <w:t>facsimile numbers or email addresses set forth below their names on the signature pages</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hereof, or at or to such other address, facsimile number or email address as shall be</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6"/>
              </w:rPr>
              <w:t>designated by any party in a written notice to the other party hereto. All such notices and</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7"/>
              </w:rPr>
              <w:t>communications shall be effective (i) if delivered by hand, sent by certified or registered</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8"/>
              </w:rPr>
              <w:t>mail or sent by an overnight courier service, when received; and (ii) if sent by facsimile</w:t>
            </w:r>
          </w:p>
        </w:tc>
      </w:tr>
      <w:tr>
        <w:trPr>
          <w:trHeight w:val="224"/>
        </w:trPr>
        <w:tc>
          <w:tcPr>
            <w:tcW w:w="1400" w:type="dxa"/>
            <w:vAlign w:val="bottom"/>
          </w:tcPr>
          <w:p>
            <w:pPr>
              <w:spacing w:after="0"/>
              <w:rPr>
                <w:sz w:val="19"/>
                <w:szCs w:val="19"/>
                <w:color w:val="auto"/>
              </w:rPr>
            </w:pPr>
          </w:p>
        </w:tc>
        <w:tc>
          <w:tcPr>
            <w:tcW w:w="8320" w:type="dxa"/>
            <w:vAlign w:val="bottom"/>
            <w:gridSpan w:val="5"/>
          </w:tcPr>
          <w:p>
            <w:pPr>
              <w:jc w:val="right"/>
              <w:spacing w:after="0" w:line="224" w:lineRule="exact"/>
              <w:rPr>
                <w:sz w:val="20"/>
                <w:szCs w:val="20"/>
                <w:color w:val="auto"/>
              </w:rPr>
            </w:pPr>
            <w:r>
              <w:rPr>
                <w:rFonts w:ascii="Arial" w:cs="Arial" w:eastAsia="Arial" w:hAnsi="Arial"/>
                <w:sz w:val="22"/>
                <w:szCs w:val="22"/>
                <w:color w:val="auto"/>
              </w:rPr>
              <w:t>transmission or electronic mail, when sent; provided, however, that any notices and</w:t>
            </w:r>
          </w:p>
        </w:tc>
      </w:tr>
      <w:tr>
        <w:trPr>
          <w:trHeight w:val="20"/>
        </w:trPr>
        <w:tc>
          <w:tcPr>
            <w:tcW w:w="1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42"/>
        </w:trPr>
        <w:tc>
          <w:tcPr>
            <w:tcW w:w="1400" w:type="dxa"/>
            <w:vAlign w:val="bottom"/>
          </w:tcPr>
          <w:p>
            <w:pPr>
              <w:spacing w:after="0"/>
              <w:rPr>
                <w:sz w:val="21"/>
                <w:szCs w:val="21"/>
                <w:color w:val="auto"/>
              </w:rPr>
            </w:pPr>
          </w:p>
        </w:tc>
        <w:tc>
          <w:tcPr>
            <w:tcW w:w="8320" w:type="dxa"/>
            <w:vAlign w:val="bottom"/>
            <w:gridSpan w:val="5"/>
          </w:tcPr>
          <w:p>
            <w:pPr>
              <w:jc w:val="right"/>
              <w:spacing w:after="0" w:line="242" w:lineRule="exact"/>
              <w:rPr>
                <w:sz w:val="20"/>
                <w:szCs w:val="20"/>
                <w:color w:val="auto"/>
              </w:rPr>
            </w:pPr>
            <w:r>
              <w:rPr>
                <w:rFonts w:ascii="Arial" w:cs="Arial" w:eastAsia="Arial" w:hAnsi="Arial"/>
                <w:sz w:val="22"/>
                <w:szCs w:val="22"/>
                <w:color w:val="auto"/>
                <w:w w:val="99"/>
              </w:rPr>
              <w:t>communications from Borrower to Lender requesting any Advance will not be effective</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until received.  Electronic mail may be used only for routine communications, such as</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6"/>
              </w:rPr>
              <w:t>financial statements and other information documents, and to distribute Loan Documents</w:t>
            </w:r>
          </w:p>
        </w:tc>
      </w:tr>
      <w:tr>
        <w:trPr>
          <w:trHeight w:val="275"/>
        </w:trPr>
        <w:tc>
          <w:tcPr>
            <w:tcW w:w="1400" w:type="dxa"/>
            <w:vAlign w:val="bottom"/>
          </w:tcPr>
          <w:p>
            <w:pPr>
              <w:spacing w:after="0"/>
              <w:rPr>
                <w:sz w:val="23"/>
                <w:szCs w:val="23"/>
                <w:color w:val="auto"/>
              </w:rPr>
            </w:pPr>
          </w:p>
        </w:tc>
        <w:tc>
          <w:tcPr>
            <w:tcW w:w="8320" w:type="dxa"/>
            <w:vAlign w:val="bottom"/>
            <w:gridSpan w:val="5"/>
          </w:tcPr>
          <w:p>
            <w:pPr>
              <w:jc w:val="right"/>
              <w:ind w:right="900"/>
              <w:spacing w:after="0"/>
              <w:rPr>
                <w:sz w:val="20"/>
                <w:szCs w:val="20"/>
                <w:color w:val="auto"/>
              </w:rPr>
            </w:pPr>
            <w:r>
              <w:rPr>
                <w:rFonts w:ascii="Arial" w:cs="Arial" w:eastAsia="Arial" w:hAnsi="Arial"/>
                <w:sz w:val="22"/>
                <w:szCs w:val="22"/>
                <w:color w:val="auto"/>
                <w:w w:val="95"/>
              </w:rPr>
              <w:t>for execution by the parties thereto, and may not be used for any other purpose.</w:t>
            </w:r>
          </w:p>
        </w:tc>
      </w:tr>
      <w:tr>
        <w:trPr>
          <w:trHeight w:val="455"/>
        </w:trPr>
        <w:tc>
          <w:tcPr>
            <w:tcW w:w="1400" w:type="dxa"/>
            <w:vAlign w:val="bottom"/>
          </w:tcPr>
          <w:p>
            <w:pPr>
              <w:spacing w:after="0"/>
              <w:rPr>
                <w:sz w:val="20"/>
                <w:szCs w:val="20"/>
                <w:color w:val="auto"/>
              </w:rPr>
            </w:pPr>
            <w:r>
              <w:rPr>
                <w:rFonts w:ascii="Arial" w:cs="Arial" w:eastAsia="Arial" w:hAnsi="Arial"/>
                <w:sz w:val="22"/>
                <w:szCs w:val="22"/>
                <w:color w:val="auto"/>
              </w:rPr>
              <w:t>Expenses:</w:t>
            </w:r>
          </w:p>
        </w:tc>
        <w:tc>
          <w:tcPr>
            <w:tcW w:w="8320" w:type="dxa"/>
            <w:vAlign w:val="bottom"/>
            <w:gridSpan w:val="5"/>
          </w:tcPr>
          <w:p>
            <w:pPr>
              <w:jc w:val="right"/>
              <w:spacing w:after="0"/>
              <w:rPr>
                <w:sz w:val="20"/>
                <w:szCs w:val="20"/>
                <w:color w:val="auto"/>
              </w:rPr>
            </w:pPr>
            <w:r>
              <w:rPr>
                <w:rFonts w:ascii="Arial" w:cs="Arial" w:eastAsia="Arial" w:hAnsi="Arial"/>
                <w:sz w:val="22"/>
                <w:szCs w:val="22"/>
                <w:color w:val="auto"/>
                <w:w w:val="96"/>
              </w:rPr>
              <w:t>Borrower agrees to pay on demand: (i) the reasonable out-of-pocket costs and expenses</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6"/>
              </w:rPr>
              <w:t>of Lender, and the reasonable fees and disbursements of its legal counsel, in connection</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8"/>
              </w:rPr>
              <w:t>with the formation of Lender, the negotiation, preparation, execution and delivery of the</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Loan  Documents,  and  any  amendments,  modifications  or  waivers  of  the  Loan</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Documents; (ii) all audits, appraisals, consultants, search, recording, filing and similar</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7"/>
              </w:rPr>
              <w:t>costs, fees and expenses of Lender in connection with the Loan Documents; and (iii) all</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costs and expenses of Lender, and fees and disbursements of its legal counsel, in</w:t>
            </w:r>
          </w:p>
        </w:tc>
      </w:tr>
      <w:tr>
        <w:trPr>
          <w:trHeight w:val="243"/>
        </w:trPr>
        <w:tc>
          <w:tcPr>
            <w:tcW w:w="1400" w:type="dxa"/>
            <w:vAlign w:val="bottom"/>
          </w:tcPr>
          <w:p>
            <w:pPr>
              <w:spacing w:after="0"/>
              <w:rPr>
                <w:sz w:val="21"/>
                <w:szCs w:val="21"/>
                <w:color w:val="auto"/>
              </w:rPr>
            </w:pPr>
          </w:p>
        </w:tc>
        <w:tc>
          <w:tcPr>
            <w:tcW w:w="83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connection  with  (A)  any  Events  of  Default,  (B)  the  enforcement  or  attempted</w:t>
            </w:r>
          </w:p>
        </w:tc>
      </w:tr>
      <w:tr>
        <w:trPr>
          <w:trHeight w:val="261"/>
        </w:trPr>
        <w:tc>
          <w:tcPr>
            <w:tcW w:w="1400" w:type="dxa"/>
            <w:vAlign w:val="bottom"/>
          </w:tcPr>
          <w:p>
            <w:pPr>
              <w:spacing w:after="0"/>
              <w:rPr>
                <w:sz w:val="22"/>
                <w:szCs w:val="22"/>
                <w:color w:val="auto"/>
              </w:rPr>
            </w:pPr>
          </w:p>
        </w:tc>
        <w:tc>
          <w:tcPr>
            <w:tcW w:w="8320" w:type="dxa"/>
            <w:vAlign w:val="bottom"/>
            <w:gridSpan w:val="5"/>
          </w:tcPr>
          <w:p>
            <w:pPr>
              <w:jc w:val="right"/>
              <w:spacing w:after="0"/>
              <w:rPr>
                <w:sz w:val="20"/>
                <w:szCs w:val="20"/>
                <w:color w:val="auto"/>
              </w:rPr>
            </w:pPr>
            <w:r>
              <w:rPr>
                <w:rFonts w:ascii="Arial" w:cs="Arial" w:eastAsia="Arial" w:hAnsi="Arial"/>
                <w:sz w:val="22"/>
                <w:szCs w:val="22"/>
                <w:color w:val="auto"/>
                <w:w w:val="97"/>
              </w:rPr>
              <w:t>enforcement of, and preservation of any rights or interests under, the Loan Documents,</w:t>
            </w:r>
          </w:p>
        </w:tc>
      </w:tr>
    </w:tbl>
    <w:p>
      <w:pPr>
        <w:jc w:val="both"/>
        <w:ind w:left="1960" w:right="479" w:hanging="7"/>
        <w:spacing w:after="0" w:line="245" w:lineRule="auto"/>
        <w:tabs>
          <w:tab w:leader="none" w:pos="2321" w:val="left"/>
        </w:tabs>
        <w:numPr>
          <w:ilvl w:val="0"/>
          <w:numId w:val="30"/>
        </w:numPr>
        <w:rPr>
          <w:rFonts w:ascii="Arial" w:cs="Arial" w:eastAsia="Arial" w:hAnsi="Arial"/>
          <w:sz w:val="21"/>
          <w:szCs w:val="21"/>
          <w:color w:val="auto"/>
        </w:rPr>
      </w:pPr>
      <w:r>
        <w:rPr>
          <w:rFonts w:ascii="Arial" w:cs="Arial" w:eastAsia="Arial" w:hAnsi="Arial"/>
          <w:sz w:val="21"/>
          <w:szCs w:val="21"/>
          <w:color w:val="auto"/>
        </w:rPr>
        <w:t>any out-of-court workout or other refinancing or restructuring or any bankruptcy or insolvency case or proceeding, and (D) the preservation of and realization upon any collateral. Lender may withhold any reasonable fees and expenses described above from any Advance proceeds and may make direct payment of such fees and expenses to any intended recipient of such Advance proceeds.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22"/>
                <w:szCs w:val="22"/>
                <w:color w:val="auto"/>
              </w:rPr>
              <w:t>Governing Law:</w:t>
            </w:r>
          </w:p>
        </w:tc>
        <w:tc>
          <w:tcPr>
            <w:tcW w:w="7980" w:type="dxa"/>
            <w:vAlign w:val="bottom"/>
          </w:tcPr>
          <w:p>
            <w:pPr>
              <w:ind w:left="160"/>
              <w:spacing w:after="0"/>
              <w:rPr>
                <w:sz w:val="20"/>
                <w:szCs w:val="20"/>
                <w:color w:val="auto"/>
              </w:rPr>
            </w:pPr>
            <w:r>
              <w:rPr>
                <w:rFonts w:ascii="Arial" w:cs="Arial" w:eastAsia="Arial" w:hAnsi="Arial"/>
                <w:sz w:val="22"/>
                <w:szCs w:val="22"/>
                <w:color w:val="auto"/>
                <w:w w:val="92"/>
              </w:rPr>
              <w:t>This Agreement will be governed by, and construed in accordance with, California law.</w:t>
            </w:r>
          </w:p>
        </w:tc>
      </w:tr>
      <w:tr>
        <w:trPr>
          <w:trHeight w:val="455"/>
        </w:trPr>
        <w:tc>
          <w:tcPr>
            <w:tcW w:w="1760" w:type="dxa"/>
            <w:vAlign w:val="bottom"/>
          </w:tcPr>
          <w:p>
            <w:pPr>
              <w:spacing w:after="0"/>
              <w:rPr>
                <w:sz w:val="20"/>
                <w:szCs w:val="20"/>
                <w:color w:val="auto"/>
              </w:rPr>
            </w:pPr>
            <w:r>
              <w:rPr>
                <w:rFonts w:ascii="Arial" w:cs="Arial" w:eastAsia="Arial" w:hAnsi="Arial"/>
                <w:sz w:val="22"/>
                <w:szCs w:val="22"/>
                <w:color w:val="auto"/>
              </w:rPr>
              <w:t>Amendments:</w:t>
            </w:r>
          </w:p>
        </w:tc>
        <w:tc>
          <w:tcPr>
            <w:tcW w:w="7980" w:type="dxa"/>
            <w:vAlign w:val="bottom"/>
          </w:tcPr>
          <w:p>
            <w:pPr>
              <w:jc w:val="center"/>
              <w:ind w:left="32"/>
              <w:spacing w:after="0"/>
              <w:rPr>
                <w:sz w:val="20"/>
                <w:szCs w:val="20"/>
                <w:color w:val="auto"/>
              </w:rPr>
            </w:pPr>
            <w:r>
              <w:rPr>
                <w:rFonts w:ascii="Arial" w:cs="Arial" w:eastAsia="Arial" w:hAnsi="Arial"/>
                <w:sz w:val="22"/>
                <w:szCs w:val="22"/>
                <w:color w:val="auto"/>
                <w:w w:val="95"/>
              </w:rPr>
              <w:t>No amendment or waiver of any provision of this Agreement, nor any consent to any</w:t>
            </w:r>
          </w:p>
        </w:tc>
      </w:tr>
      <w:tr>
        <w:trPr>
          <w:trHeight w:val="243"/>
        </w:trPr>
        <w:tc>
          <w:tcPr>
            <w:tcW w:w="1760" w:type="dxa"/>
            <w:vAlign w:val="bottom"/>
          </w:tcPr>
          <w:p>
            <w:pPr>
              <w:spacing w:after="0"/>
              <w:rPr>
                <w:sz w:val="21"/>
                <w:szCs w:val="21"/>
                <w:color w:val="auto"/>
              </w:rPr>
            </w:pPr>
          </w:p>
        </w:tc>
        <w:tc>
          <w:tcPr>
            <w:tcW w:w="798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9"/>
              </w:rPr>
              <w:t>departure by Borrower therefrom, shall in any event be effective unless the same shall be</w:t>
            </w:r>
          </w:p>
        </w:tc>
      </w:tr>
      <w:tr>
        <w:trPr>
          <w:trHeight w:val="243"/>
        </w:trPr>
        <w:tc>
          <w:tcPr>
            <w:tcW w:w="1760" w:type="dxa"/>
            <w:vAlign w:val="bottom"/>
          </w:tcPr>
          <w:p>
            <w:pPr>
              <w:spacing w:after="0"/>
              <w:rPr>
                <w:sz w:val="21"/>
                <w:szCs w:val="21"/>
                <w:color w:val="auto"/>
              </w:rPr>
            </w:pPr>
          </w:p>
        </w:tc>
        <w:tc>
          <w:tcPr>
            <w:tcW w:w="7980" w:type="dxa"/>
            <w:vAlign w:val="bottom"/>
          </w:tcPr>
          <w:p>
            <w:pPr>
              <w:jc w:val="center"/>
              <w:ind w:left="72"/>
              <w:spacing w:after="0" w:line="243" w:lineRule="exact"/>
              <w:rPr>
                <w:sz w:val="20"/>
                <w:szCs w:val="20"/>
                <w:color w:val="auto"/>
              </w:rPr>
            </w:pPr>
            <w:r>
              <w:rPr>
                <w:rFonts w:ascii="Arial" w:cs="Arial" w:eastAsia="Arial" w:hAnsi="Arial"/>
                <w:sz w:val="22"/>
                <w:szCs w:val="22"/>
                <w:color w:val="auto"/>
                <w:w w:val="92"/>
              </w:rPr>
              <w:t>in writing and signed by Lender and then such amendment, waiver or consent shall be</w:t>
            </w:r>
          </w:p>
        </w:tc>
      </w:tr>
      <w:tr>
        <w:trPr>
          <w:trHeight w:val="275"/>
        </w:trPr>
        <w:tc>
          <w:tcPr>
            <w:tcW w:w="1760" w:type="dxa"/>
            <w:vAlign w:val="bottom"/>
          </w:tcPr>
          <w:p>
            <w:pPr>
              <w:spacing w:after="0"/>
              <w:rPr>
                <w:sz w:val="23"/>
                <w:szCs w:val="23"/>
                <w:color w:val="auto"/>
              </w:rPr>
            </w:pPr>
          </w:p>
        </w:tc>
        <w:tc>
          <w:tcPr>
            <w:tcW w:w="7980" w:type="dxa"/>
            <w:vAlign w:val="bottom"/>
          </w:tcPr>
          <w:p>
            <w:pPr>
              <w:ind w:left="200"/>
              <w:spacing w:after="0"/>
              <w:rPr>
                <w:sz w:val="20"/>
                <w:szCs w:val="20"/>
                <w:color w:val="auto"/>
              </w:rPr>
            </w:pPr>
            <w:r>
              <w:rPr>
                <w:rFonts w:ascii="Arial" w:cs="Arial" w:eastAsia="Arial" w:hAnsi="Arial"/>
                <w:sz w:val="22"/>
                <w:szCs w:val="22"/>
                <w:color w:val="auto"/>
                <w:w w:val="98"/>
              </w:rPr>
              <w:t>effective only in the specific instance and for the specific purpose for which given.</w:t>
            </w:r>
          </w:p>
        </w:tc>
      </w:tr>
      <w:tr>
        <w:trPr>
          <w:trHeight w:val="455"/>
        </w:trPr>
        <w:tc>
          <w:tcPr>
            <w:tcW w:w="1760" w:type="dxa"/>
            <w:vAlign w:val="bottom"/>
          </w:tcPr>
          <w:p>
            <w:pPr>
              <w:spacing w:after="0"/>
              <w:rPr>
                <w:sz w:val="20"/>
                <w:szCs w:val="20"/>
                <w:color w:val="auto"/>
              </w:rPr>
            </w:pPr>
            <w:r>
              <w:rPr>
                <w:rFonts w:ascii="Arial" w:cs="Arial" w:eastAsia="Arial" w:hAnsi="Arial"/>
                <w:sz w:val="22"/>
                <w:szCs w:val="22"/>
                <w:color w:val="auto"/>
                <w:w w:val="98"/>
              </w:rPr>
              <w:t>Entire Agreement;</w:t>
            </w:r>
          </w:p>
        </w:tc>
        <w:tc>
          <w:tcPr>
            <w:tcW w:w="7980" w:type="dxa"/>
            <w:vAlign w:val="bottom"/>
          </w:tcPr>
          <w:p>
            <w:pPr>
              <w:spacing w:after="0"/>
              <w:rPr>
                <w:sz w:val="24"/>
                <w:szCs w:val="24"/>
                <w:color w:val="auto"/>
              </w:rPr>
            </w:pPr>
          </w:p>
        </w:tc>
      </w:tr>
      <w:tr>
        <w:trPr>
          <w:trHeight w:val="243"/>
        </w:trPr>
        <w:tc>
          <w:tcPr>
            <w:tcW w:w="1760" w:type="dxa"/>
            <w:vAlign w:val="bottom"/>
          </w:tcPr>
          <w:p>
            <w:pPr>
              <w:spacing w:after="0" w:line="243" w:lineRule="exact"/>
              <w:rPr>
                <w:sz w:val="20"/>
                <w:szCs w:val="20"/>
                <w:color w:val="auto"/>
              </w:rPr>
            </w:pPr>
            <w:r>
              <w:rPr>
                <w:rFonts w:ascii="Arial" w:cs="Arial" w:eastAsia="Arial" w:hAnsi="Arial"/>
                <w:sz w:val="22"/>
                <w:szCs w:val="22"/>
                <w:color w:val="auto"/>
              </w:rPr>
              <w:t>No Assignment:</w:t>
            </w:r>
          </w:p>
        </w:tc>
        <w:tc>
          <w:tcPr>
            <w:tcW w:w="798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3"/>
              </w:rPr>
              <w:t>The Loan Documents reflect the entire agreement between Borrower and Lender with</w:t>
            </w:r>
          </w:p>
        </w:tc>
      </w:tr>
      <w:tr>
        <w:trPr>
          <w:trHeight w:val="243"/>
        </w:trPr>
        <w:tc>
          <w:tcPr>
            <w:tcW w:w="1760" w:type="dxa"/>
            <w:vAlign w:val="bottom"/>
          </w:tcPr>
          <w:p>
            <w:pPr>
              <w:spacing w:after="0"/>
              <w:rPr>
                <w:sz w:val="21"/>
                <w:szCs w:val="21"/>
                <w:color w:val="auto"/>
              </w:rPr>
            </w:pPr>
          </w:p>
        </w:tc>
        <w:tc>
          <w:tcPr>
            <w:tcW w:w="798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7"/>
              </w:rPr>
              <w:t>respect to the matters set forth therein and supersede any prior agreements, commitments,</w:t>
            </w:r>
          </w:p>
        </w:tc>
      </w:tr>
      <w:tr>
        <w:trPr>
          <w:trHeight w:val="243"/>
        </w:trPr>
        <w:tc>
          <w:tcPr>
            <w:tcW w:w="1760" w:type="dxa"/>
            <w:vAlign w:val="bottom"/>
          </w:tcPr>
          <w:p>
            <w:pPr>
              <w:spacing w:after="0"/>
              <w:rPr>
                <w:sz w:val="21"/>
                <w:szCs w:val="21"/>
                <w:color w:val="auto"/>
              </w:rPr>
            </w:pPr>
          </w:p>
        </w:tc>
        <w:tc>
          <w:tcPr>
            <w:tcW w:w="7980" w:type="dxa"/>
            <w:vAlign w:val="bottom"/>
          </w:tcPr>
          <w:p>
            <w:pPr>
              <w:jc w:val="center"/>
              <w:ind w:left="72"/>
              <w:spacing w:after="0" w:line="243" w:lineRule="exact"/>
              <w:rPr>
                <w:sz w:val="20"/>
                <w:szCs w:val="20"/>
                <w:color w:val="auto"/>
              </w:rPr>
            </w:pPr>
            <w:r>
              <w:rPr>
                <w:rFonts w:ascii="Arial" w:cs="Arial" w:eastAsia="Arial" w:hAnsi="Arial"/>
                <w:sz w:val="22"/>
                <w:szCs w:val="22"/>
                <w:color w:val="auto"/>
                <w:w w:val="95"/>
              </w:rPr>
              <w:t>drafts, communication, discussions and understandings, oral or written, with respect</w:t>
            </w:r>
          </w:p>
        </w:tc>
      </w:tr>
      <w:tr>
        <w:trPr>
          <w:trHeight w:val="243"/>
        </w:trPr>
        <w:tc>
          <w:tcPr>
            <w:tcW w:w="1760" w:type="dxa"/>
            <w:vAlign w:val="bottom"/>
          </w:tcPr>
          <w:p>
            <w:pPr>
              <w:spacing w:after="0"/>
              <w:rPr>
                <w:sz w:val="21"/>
                <w:szCs w:val="21"/>
                <w:color w:val="auto"/>
              </w:rPr>
            </w:pPr>
          </w:p>
        </w:tc>
        <w:tc>
          <w:tcPr>
            <w:tcW w:w="7980" w:type="dxa"/>
            <w:vAlign w:val="bottom"/>
          </w:tcPr>
          <w:p>
            <w:pPr>
              <w:jc w:val="center"/>
              <w:ind w:left="72"/>
              <w:spacing w:after="0" w:line="243" w:lineRule="exact"/>
              <w:rPr>
                <w:sz w:val="20"/>
                <w:szCs w:val="20"/>
                <w:color w:val="auto"/>
              </w:rPr>
            </w:pPr>
            <w:r>
              <w:rPr>
                <w:rFonts w:ascii="Arial" w:cs="Arial" w:eastAsia="Arial" w:hAnsi="Arial"/>
                <w:sz w:val="22"/>
                <w:szCs w:val="22"/>
                <w:color w:val="auto"/>
                <w:w w:val="92"/>
              </w:rPr>
              <w:t>thereto.  This Agreement is not assignable by Borrower and is intended to be solely for</w:t>
            </w:r>
          </w:p>
        </w:tc>
      </w:tr>
      <w:tr>
        <w:trPr>
          <w:trHeight w:val="275"/>
        </w:trPr>
        <w:tc>
          <w:tcPr>
            <w:tcW w:w="1760" w:type="dxa"/>
            <w:vAlign w:val="bottom"/>
          </w:tcPr>
          <w:p>
            <w:pPr>
              <w:spacing w:after="0"/>
              <w:rPr>
                <w:sz w:val="23"/>
                <w:szCs w:val="23"/>
                <w:color w:val="auto"/>
              </w:rPr>
            </w:pPr>
          </w:p>
        </w:tc>
        <w:tc>
          <w:tcPr>
            <w:tcW w:w="7980" w:type="dxa"/>
            <w:vAlign w:val="bottom"/>
          </w:tcPr>
          <w:p>
            <w:pPr>
              <w:ind w:left="200"/>
              <w:spacing w:after="0"/>
              <w:rPr>
                <w:sz w:val="20"/>
                <w:szCs w:val="20"/>
                <w:color w:val="auto"/>
              </w:rPr>
            </w:pPr>
            <w:r>
              <w:rPr>
                <w:rFonts w:ascii="Arial" w:cs="Arial" w:eastAsia="Arial" w:hAnsi="Arial"/>
                <w:sz w:val="22"/>
                <w:szCs w:val="22"/>
                <w:color w:val="auto"/>
              </w:rPr>
              <w:t>the benefit of the parties hereto.</w:t>
            </w:r>
          </w:p>
        </w:tc>
      </w:tr>
      <w:tr>
        <w:trPr>
          <w:trHeight w:val="486"/>
        </w:trPr>
        <w:tc>
          <w:tcPr>
            <w:tcW w:w="1760" w:type="dxa"/>
            <w:vAlign w:val="bottom"/>
          </w:tcPr>
          <w:p>
            <w:pPr>
              <w:spacing w:after="0"/>
              <w:rPr>
                <w:sz w:val="24"/>
                <w:szCs w:val="24"/>
                <w:color w:val="auto"/>
              </w:rPr>
            </w:pPr>
          </w:p>
        </w:tc>
        <w:tc>
          <w:tcPr>
            <w:tcW w:w="7980" w:type="dxa"/>
            <w:vAlign w:val="bottom"/>
          </w:tcPr>
          <w:p>
            <w:pPr>
              <w:jc w:val="center"/>
              <w:ind w:left="72"/>
              <w:spacing w:after="0"/>
              <w:rPr>
                <w:sz w:val="20"/>
                <w:szCs w:val="20"/>
                <w:color w:val="auto"/>
              </w:rPr>
            </w:pPr>
            <w:r>
              <w:rPr>
                <w:rFonts w:ascii="Arial" w:cs="Arial" w:eastAsia="Arial" w:hAnsi="Arial"/>
                <w:sz w:val="22"/>
                <w:szCs w:val="22"/>
                <w:i w:val="1"/>
                <w:iCs w:val="1"/>
                <w:color w:val="auto"/>
                <w:w w:val="91"/>
              </w:rPr>
              <w:t>[Signature pages follow.]</w:t>
            </w:r>
          </w:p>
        </w:tc>
      </w:tr>
      <w:tr>
        <w:trPr>
          <w:trHeight w:val="729"/>
        </w:trPr>
        <w:tc>
          <w:tcPr>
            <w:tcW w:w="1760" w:type="dxa"/>
            <w:vAlign w:val="bottom"/>
          </w:tcPr>
          <w:p>
            <w:pPr>
              <w:spacing w:after="0"/>
              <w:rPr>
                <w:sz w:val="24"/>
                <w:szCs w:val="24"/>
                <w:color w:val="auto"/>
              </w:rPr>
            </w:pPr>
          </w:p>
        </w:tc>
        <w:tc>
          <w:tcPr>
            <w:tcW w:w="7980" w:type="dxa"/>
            <w:vAlign w:val="bottom"/>
          </w:tcPr>
          <w:p>
            <w:pPr>
              <w:jc w:val="right"/>
              <w:ind w:right="4712"/>
              <w:spacing w:after="0"/>
              <w:rPr>
                <w:sz w:val="20"/>
                <w:szCs w:val="20"/>
                <w:color w:val="auto"/>
              </w:rPr>
            </w:pPr>
            <w:r>
              <w:rPr>
                <w:rFonts w:ascii="Arial" w:cs="Arial" w:eastAsia="Arial" w:hAnsi="Arial"/>
                <w:sz w:val="22"/>
                <w:szCs w:val="22"/>
                <w:color w:val="auto"/>
              </w:rPr>
              <w:t>4</w:t>
            </w:r>
          </w:p>
        </w:tc>
      </w:tr>
      <w:tr>
        <w:trPr>
          <w:trHeight w:val="274"/>
        </w:trPr>
        <w:tc>
          <w:tcPr>
            <w:tcW w:w="1760" w:type="dxa"/>
            <w:vAlign w:val="bottom"/>
          </w:tcPr>
          <w:p>
            <w:pPr>
              <w:spacing w:after="0"/>
              <w:rPr>
                <w:sz w:val="23"/>
                <w:szCs w:val="23"/>
                <w:color w:val="auto"/>
              </w:rPr>
            </w:pPr>
          </w:p>
        </w:tc>
        <w:tc>
          <w:tcPr>
            <w:tcW w:w="7980" w:type="dxa"/>
            <w:vAlign w:val="bottom"/>
          </w:tcPr>
          <w:p>
            <w:pPr>
              <w:spacing w:after="0"/>
              <w:rPr>
                <w:sz w:val="23"/>
                <w:szCs w:val="23"/>
                <w:color w:val="auto"/>
              </w:rPr>
            </w:pPr>
          </w:p>
        </w:tc>
      </w:tr>
      <w:tr>
        <w:trPr>
          <w:trHeight w:val="149"/>
        </w:trPr>
        <w:tc>
          <w:tcPr>
            <w:tcW w:w="1760" w:type="dxa"/>
            <w:vAlign w:val="bottom"/>
            <w:shd w:val="clear" w:color="auto" w:fill="808080"/>
          </w:tcPr>
          <w:p>
            <w:pPr>
              <w:spacing w:after="0"/>
              <w:rPr>
                <w:sz w:val="12"/>
                <w:szCs w:val="12"/>
                <w:color w:val="auto"/>
              </w:rPr>
            </w:pPr>
          </w:p>
        </w:tc>
        <w:tc>
          <w:tcPr>
            <w:tcW w:w="7980" w:type="dxa"/>
            <w:vAlign w:val="bottom"/>
            <w:shd w:val="clear" w:color="auto" w:fill="808080"/>
          </w:tcPr>
          <w:p>
            <w:pPr>
              <w:spacing w:after="0"/>
              <w:rPr>
                <w:sz w:val="12"/>
                <w:szCs w:val="12"/>
                <w:color w:val="auto"/>
              </w:rPr>
            </w:pPr>
          </w:p>
        </w:tc>
      </w:tr>
    </w:tbl>
    <w:p>
      <w:pPr>
        <w:sectPr>
          <w:pgSz w:w="11900" w:h="16838" w:orient="portrait"/>
          <w:cols w:equalWidth="0" w:num="1">
            <w:col w:w="10219"/>
          </w:cols>
          <w:pgMar w:left="240" w:top="118" w:right="1440" w:bottom="1440" w:gutter="0" w:footer="0" w:header="0"/>
        </w:sectPr>
      </w:pPr>
    </w:p>
    <w:bookmarkStart w:id="29" w:name="page30"/>
    <w:bookmarkEnd w:id="29"/>
    <w:p>
      <w:pPr>
        <w:spacing w:after="0"/>
        <w:rPr>
          <w:sz w:val="20"/>
          <w:szCs w:val="20"/>
          <w:color w:val="auto"/>
        </w:rPr>
      </w:pPr>
      <w:r>
        <w:rPr>
          <w:rFonts w:ascii="Arial" w:cs="Arial" w:eastAsia="Arial" w:hAnsi="Arial"/>
          <w:sz w:val="22"/>
          <w:szCs w:val="22"/>
          <w:color w:val="auto"/>
        </w:rPr>
        <w:t>Transdel Pharmaceuticals, Inc.</w:t>
      </w:r>
    </w:p>
    <w:p>
      <w:pPr>
        <w:spacing w:after="0" w:line="238" w:lineRule="auto"/>
        <w:rPr>
          <w:sz w:val="20"/>
          <w:szCs w:val="20"/>
          <w:color w:val="auto"/>
        </w:rPr>
      </w:pPr>
      <w:r>
        <w:rPr>
          <w:rFonts w:ascii="Arial" w:cs="Arial" w:eastAsia="Arial" w:hAnsi="Arial"/>
          <w:sz w:val="22"/>
          <w:szCs w:val="22"/>
          <w:color w:val="auto"/>
        </w:rPr>
        <w:t>November 21, 2011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99" w:firstLine="648"/>
        <w:spacing w:after="0" w:line="276" w:lineRule="auto"/>
        <w:rPr>
          <w:sz w:val="20"/>
          <w:szCs w:val="20"/>
          <w:color w:val="auto"/>
        </w:rPr>
      </w:pPr>
      <w:r>
        <w:rPr>
          <w:rFonts w:ascii="Arial" w:cs="Arial" w:eastAsia="Arial" w:hAnsi="Arial"/>
          <w:sz w:val="19"/>
          <w:szCs w:val="19"/>
          <w:color w:val="auto"/>
        </w:rPr>
        <w:t>This Agreement shall not become effective unless Lender receives at the address shown below an executed counterpart of this Agreement from Borrower prior to 5:00 p.m. _________ time on _________, ___</w:t>
      </w:r>
    </w:p>
    <w:p>
      <w:pPr>
        <w:spacing w:after="0" w:line="2" w:lineRule="exact"/>
        <w:rPr>
          <w:sz w:val="20"/>
          <w:szCs w:val="20"/>
          <w:color w:val="auto"/>
        </w:rPr>
      </w:pPr>
    </w:p>
    <w:p>
      <w:pPr>
        <w:ind w:right="499"/>
        <w:spacing w:after="0" w:line="237" w:lineRule="auto"/>
        <w:rPr>
          <w:sz w:val="20"/>
          <w:szCs w:val="20"/>
          <w:color w:val="auto"/>
        </w:rPr>
      </w:pPr>
      <w:r>
        <w:rPr>
          <w:rFonts w:ascii="Arial" w:cs="Arial" w:eastAsia="Arial" w:hAnsi="Arial"/>
          <w:sz w:val="22"/>
          <w:szCs w:val="22"/>
          <w:color w:val="auto"/>
        </w:rPr>
        <w:t>(which may be by facsimile transmission). Upon receipt of such executed counterpart, this Agreement shall become a binding agreement between Lender and Borrower.</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3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DERMASTAR INTERNATIONAL, LLC</w:t>
      </w:r>
    </w:p>
    <w:p>
      <w:pPr>
        <w:spacing w:after="0" w:line="229"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By</w:t>
            </w: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Mark. L Baum</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Name</w:t>
            </w: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Mark L. Baum</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Title</w:t>
            </w:r>
          </w:p>
        </w:tc>
        <w:tc>
          <w:tcPr>
            <w:tcW w:w="2140" w:type="dxa"/>
            <w:vAlign w:val="bottom"/>
            <w:gridSpan w:val="2"/>
          </w:tcPr>
          <w:p>
            <w:pPr>
              <w:spacing w:after="0"/>
              <w:rPr>
                <w:sz w:val="20"/>
                <w:szCs w:val="20"/>
                <w:color w:val="auto"/>
              </w:rPr>
            </w:pPr>
            <w:r>
              <w:rPr>
                <w:rFonts w:ascii="Arial" w:cs="Arial" w:eastAsia="Arial" w:hAnsi="Arial"/>
                <w:sz w:val="18"/>
                <w:szCs w:val="18"/>
                <w:color w:val="auto"/>
              </w:rPr>
              <w:t>Managing Member</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Address:</w:t>
            </w:r>
          </w:p>
        </w:tc>
        <w:tc>
          <w:tcPr>
            <w:tcW w:w="20" w:type="dxa"/>
            <w:vAlign w:val="bottom"/>
          </w:tcPr>
          <w:p>
            <w:pPr>
              <w:spacing w:after="0"/>
              <w:rPr>
                <w:sz w:val="18"/>
                <w:szCs w:val="18"/>
                <w:color w:val="auto"/>
              </w:rPr>
            </w:pPr>
          </w:p>
        </w:tc>
        <w:tc>
          <w:tcPr>
            <w:tcW w:w="21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vMerge w:val="restart"/>
          </w:tcPr>
          <w:p>
            <w:pPr>
              <w:spacing w:after="0"/>
              <w:rPr>
                <w:sz w:val="20"/>
                <w:szCs w:val="20"/>
                <w:color w:val="auto"/>
              </w:rPr>
            </w:pPr>
            <w:r>
              <w:rPr>
                <w:rFonts w:ascii="Arial" w:cs="Arial" w:eastAsia="Arial" w:hAnsi="Arial"/>
                <w:sz w:val="18"/>
                <w:szCs w:val="18"/>
                <w:color w:val="auto"/>
              </w:rPr>
              <w:t>Attn.</w:t>
            </w:r>
          </w:p>
        </w:tc>
        <w:tc>
          <w:tcPr>
            <w:tcW w:w="20" w:type="dxa"/>
            <w:vAlign w:val="bottom"/>
            <w:vMerge w:val="restart"/>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L. Baum</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Email:</w:t>
            </w:r>
          </w:p>
        </w:tc>
        <w:tc>
          <w:tcPr>
            <w:tcW w:w="2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Facsimile:</w:t>
            </w:r>
          </w:p>
        </w:tc>
        <w:tc>
          <w:tcPr>
            <w:tcW w:w="2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6174740" cy="94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30" w:name="page31"/>
    <w:bookmarkEnd w:id="30"/>
    <w:p>
      <w:pPr>
        <w:spacing w:after="0"/>
        <w:rPr>
          <w:sz w:val="20"/>
          <w:szCs w:val="20"/>
          <w:color w:val="auto"/>
        </w:rPr>
      </w:pPr>
      <w:r>
        <w:rPr>
          <w:rFonts w:ascii="Arial" w:cs="Arial" w:eastAsia="Arial" w:hAnsi="Arial"/>
          <w:sz w:val="22"/>
          <w:szCs w:val="22"/>
          <w:color w:val="auto"/>
        </w:rPr>
        <w:t>Transdel Pharmaceuticals, Inc.</w:t>
      </w:r>
    </w:p>
    <w:p>
      <w:pPr>
        <w:spacing w:after="0" w:line="238" w:lineRule="auto"/>
        <w:rPr>
          <w:sz w:val="20"/>
          <w:szCs w:val="20"/>
          <w:color w:val="auto"/>
        </w:rPr>
      </w:pPr>
      <w:r>
        <w:rPr>
          <w:rFonts w:ascii="Arial" w:cs="Arial" w:eastAsia="Arial" w:hAnsi="Arial"/>
          <w:sz w:val="22"/>
          <w:szCs w:val="22"/>
          <w:color w:val="auto"/>
        </w:rPr>
        <w:t>November 21, 2011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31" w:lineRule="exact"/>
        <w:rPr>
          <w:sz w:val="20"/>
          <w:szCs w:val="20"/>
          <w:color w:val="auto"/>
        </w:rPr>
      </w:pPr>
    </w:p>
    <w:p>
      <w:pPr>
        <w:ind w:left="1540"/>
        <w:spacing w:after="0"/>
        <w:rPr>
          <w:sz w:val="20"/>
          <w:szCs w:val="20"/>
          <w:color w:val="auto"/>
        </w:rPr>
      </w:pPr>
      <w:r>
        <w:rPr>
          <w:rFonts w:ascii="Arial" w:cs="Arial" w:eastAsia="Arial" w:hAnsi="Arial"/>
          <w:sz w:val="22"/>
          <w:szCs w:val="22"/>
          <w:b w:val="1"/>
          <w:bCs w:val="1"/>
          <w:i w:val="1"/>
          <w:iCs w:val="1"/>
          <w:color w:val="auto"/>
        </w:rPr>
        <w:t>Acknowledged and Agreed:</w:t>
      </w:r>
    </w:p>
    <w:p>
      <w:pPr>
        <w:spacing w:after="0" w:line="236" w:lineRule="exact"/>
        <w:rPr>
          <w:sz w:val="20"/>
          <w:szCs w:val="20"/>
          <w:color w:val="auto"/>
        </w:rPr>
      </w:pPr>
    </w:p>
    <w:p>
      <w:pPr>
        <w:jc w:val="right"/>
        <w:ind w:right="3779"/>
        <w:spacing w:after="0"/>
        <w:rPr>
          <w:sz w:val="20"/>
          <w:szCs w:val="20"/>
          <w:color w:val="auto"/>
        </w:rPr>
      </w:pPr>
      <w:r>
        <w:rPr>
          <w:rFonts w:ascii="Arial" w:cs="Arial" w:eastAsia="Arial" w:hAnsi="Arial"/>
          <w:sz w:val="18"/>
          <w:szCs w:val="18"/>
          <w:b w:val="1"/>
          <w:bCs w:val="1"/>
          <w:color w:val="auto"/>
        </w:rPr>
        <w:t>TRANSDEL PHARMACEUTICALS, INC.</w:t>
      </w:r>
    </w:p>
    <w:p>
      <w:pPr>
        <w:spacing w:after="0" w:line="229" w:lineRule="exact"/>
        <w:rPr>
          <w:sz w:val="20"/>
          <w:szCs w:val="20"/>
          <w:color w:val="auto"/>
        </w:rPr>
      </w:pPr>
    </w:p>
    <w:tbl>
      <w:tblPr>
        <w:tblLayout w:type="fixed"/>
        <w:tblInd w:w="310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Terry Nida</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Terry Nida</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2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Address:</w:t>
            </w:r>
          </w:p>
        </w:tc>
        <w:tc>
          <w:tcPr>
            <w:tcW w:w="2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vMerge w:val="restart"/>
          </w:tcPr>
          <w:p>
            <w:pPr>
              <w:spacing w:after="0"/>
              <w:rPr>
                <w:sz w:val="20"/>
                <w:szCs w:val="20"/>
                <w:color w:val="auto"/>
              </w:rPr>
            </w:pPr>
            <w:r>
              <w:rPr>
                <w:rFonts w:ascii="Arial" w:cs="Arial" w:eastAsia="Arial" w:hAnsi="Arial"/>
                <w:sz w:val="18"/>
                <w:szCs w:val="18"/>
                <w:color w:val="auto"/>
              </w:rPr>
              <w:t>Attn.</w:t>
            </w:r>
          </w:p>
        </w:tc>
        <w:tc>
          <w:tcPr>
            <w:tcW w:w="2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vMerge w:val="continue"/>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Email:</w:t>
            </w:r>
          </w:p>
        </w:tc>
        <w:tc>
          <w:tcPr>
            <w:tcW w:w="2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Facsimile:</w:t>
            </w:r>
          </w:p>
        </w:tc>
        <w:tc>
          <w:tcPr>
            <w:tcW w:w="2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6174740" cy="946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31" w:name="page32"/>
    <w:bookmarkEnd w:id="31"/>
    <w:p>
      <w:pPr>
        <w:jc w:val="center"/>
        <w:ind w:right="479"/>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both"/>
        <w:ind w:left="660" w:right="1139"/>
        <w:spacing w:after="0" w:line="237" w:lineRule="auto"/>
        <w:rPr>
          <w:sz w:val="20"/>
          <w:szCs w:val="20"/>
          <w:color w:val="auto"/>
        </w:rPr>
      </w:pPr>
      <w:r>
        <w:rPr>
          <w:rFonts w:ascii="Arial" w:cs="Arial" w:eastAsia="Arial" w:hAnsi="Arial"/>
          <w:sz w:val="22"/>
          <w:szCs w:val="22"/>
          <w:b w:val="1"/>
          <w:bCs w:val="1"/>
          <w:color w:val="auto"/>
        </w:rPr>
        <w:t>THIS NOTE HAS NOT BEEN REGISTERED UNDER THE SECURITIES ACT OF 1933, AS AMENDED, OR ANY OTHER APPLICABLE SECURITIES LAWS. IT MAY NOT BE SOLD OR OTHERWISE TRANSFERRED UNDER CIRCUMSTANCES THAT WOULD RESULT IN A VIOLATION OF THE REGISTRATION REQUIREMENTS OF THE SECURITIES ACT OF 1933 OR SUCH OTHER LAWS.</w:t>
      </w:r>
    </w:p>
    <w:p>
      <w:pPr>
        <w:spacing w:after="0" w:line="210"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SECURED PROMISSORY NOTE</w:t>
      </w:r>
    </w:p>
    <w:p>
      <w:pPr>
        <w:sectPr>
          <w:pgSz w:w="11900" w:h="16838" w:orient="portrait"/>
          <w:cols w:equalWidth="0" w:num="1">
            <w:col w:w="10219"/>
          </w:cols>
          <w:pgMar w:left="240" w:top="814" w:right="1440" w:bottom="408" w:gutter="0" w:footer="0" w:header="0"/>
        </w:sectPr>
      </w:pPr>
    </w:p>
    <w:p>
      <w:pPr>
        <w:spacing w:after="0" w:line="200" w:lineRule="exact"/>
        <w:rPr>
          <w:sz w:val="20"/>
          <w:szCs w:val="20"/>
          <w:color w:val="auto"/>
        </w:rPr>
      </w:pPr>
    </w:p>
    <w:p>
      <w:pPr>
        <w:spacing w:after="0" w:line="26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right"/>
        <w:ind w:right="1019"/>
        <w:spacing w:after="0"/>
        <w:rPr>
          <w:sz w:val="20"/>
          <w:szCs w:val="20"/>
          <w:color w:val="auto"/>
        </w:rPr>
      </w:pPr>
      <w:r>
        <w:rPr>
          <w:rFonts w:ascii="Arial" w:cs="Arial" w:eastAsia="Arial" w:hAnsi="Arial"/>
          <w:sz w:val="16"/>
          <w:szCs w:val="16"/>
          <w:color w:val="auto"/>
        </w:rPr>
        <w:t>Chula Vista, California</w:t>
      </w:r>
    </w:p>
    <w:p>
      <w:pPr>
        <w:spacing w:after="0" w:line="46" w:lineRule="exact"/>
        <w:rPr>
          <w:sz w:val="20"/>
          <w:szCs w:val="20"/>
          <w:color w:val="auto"/>
        </w:rPr>
      </w:pPr>
    </w:p>
    <w:p>
      <w:pPr>
        <w:jc w:val="right"/>
        <w:ind w:right="1019"/>
        <w:spacing w:after="0"/>
        <w:rPr>
          <w:sz w:val="20"/>
          <w:szCs w:val="20"/>
          <w:color w:val="auto"/>
        </w:rPr>
      </w:pPr>
      <w:r>
        <w:rPr>
          <w:rFonts w:ascii="Arial" w:cs="Arial" w:eastAsia="Arial" w:hAnsi="Arial"/>
          <w:sz w:val="18"/>
          <w:szCs w:val="18"/>
          <w:color w:val="auto"/>
        </w:rPr>
        <w:t>[_______________]</w:t>
      </w:r>
    </w:p>
    <w:p>
      <w:pPr>
        <w:spacing w:after="0" w:line="200" w:lineRule="exact"/>
        <w:rPr>
          <w:sz w:val="20"/>
          <w:szCs w:val="20"/>
          <w:color w:val="auto"/>
        </w:rPr>
      </w:pPr>
    </w:p>
    <w:p>
      <w:pPr>
        <w:sectPr>
          <w:pgSz w:w="11900" w:h="16838" w:orient="portrait"/>
          <w:cols w:equalWidth="0" w:num="2">
            <w:col w:w="6800" w:space="720"/>
            <w:col w:w="2699"/>
          </w:cols>
          <w:pgMar w:left="240" w:top="814" w:right="1440" w:bottom="408" w:gutter="0" w:footer="0" w:header="0"/>
          <w:type w:val="continuous"/>
        </w:sectPr>
      </w:pPr>
    </w:p>
    <w:p>
      <w:pPr>
        <w:spacing w:after="0" w:line="247" w:lineRule="exact"/>
        <w:rPr>
          <w:sz w:val="20"/>
          <w:szCs w:val="20"/>
          <w:color w:val="auto"/>
        </w:rPr>
      </w:pPr>
    </w:p>
    <w:p>
      <w:pPr>
        <w:jc w:val="both"/>
        <w:ind w:right="479" w:firstLine="648"/>
        <w:spacing w:after="0" w:line="273" w:lineRule="auto"/>
        <w:rPr>
          <w:sz w:val="20"/>
          <w:szCs w:val="20"/>
          <w:color w:val="auto"/>
        </w:rPr>
      </w:pPr>
      <w:r>
        <w:rPr>
          <w:rFonts w:ascii="Arial" w:cs="Arial" w:eastAsia="Arial" w:hAnsi="Arial"/>
          <w:sz w:val="19"/>
          <w:szCs w:val="19"/>
          <w:color w:val="auto"/>
        </w:rPr>
        <w:t>FOR VALUE RECEIVED, the undersigned, Transdel Pharmaceuticals, Inc., a Delaware corporation (“</w:t>
      </w:r>
      <w:r>
        <w:rPr>
          <w:rFonts w:ascii="Arial" w:cs="Arial" w:eastAsia="Arial" w:hAnsi="Arial"/>
          <w:sz w:val="19"/>
          <w:szCs w:val="19"/>
          <w:u w:val="single" w:color="auto"/>
          <w:color w:val="auto"/>
        </w:rPr>
        <w:t>Borrower</w:t>
      </w:r>
      <w:r>
        <w:rPr>
          <w:rFonts w:ascii="Arial" w:cs="Arial" w:eastAsia="Arial" w:hAnsi="Arial"/>
          <w:sz w:val="19"/>
          <w:szCs w:val="19"/>
          <w:color w:val="auto"/>
        </w:rPr>
        <w:t>”), hereby promises to pay to the order of DermaStar International, LLC (“</w:t>
      </w:r>
      <w:r>
        <w:rPr>
          <w:rFonts w:ascii="Arial" w:cs="Arial" w:eastAsia="Arial" w:hAnsi="Arial"/>
          <w:sz w:val="19"/>
          <w:szCs w:val="19"/>
          <w:u w:val="single" w:color="auto"/>
          <w:color w:val="auto"/>
        </w:rPr>
        <w:t>Lender</w:t>
      </w:r>
      <w:r>
        <w:rPr>
          <w:rFonts w:ascii="Arial" w:cs="Arial" w:eastAsia="Arial" w:hAnsi="Arial"/>
          <w:sz w:val="19"/>
          <w:szCs w:val="19"/>
          <w:color w:val="auto"/>
        </w:rPr>
        <w:t>”), on November 21, 2012, the principal amount of [___________] Dollars ($[______]), and to pay interest on the unpaid</w:t>
      </w:r>
    </w:p>
    <w:p>
      <w:pPr>
        <w:spacing w:after="0" w:line="2" w:lineRule="exact"/>
        <w:rPr>
          <w:sz w:val="20"/>
          <w:szCs w:val="20"/>
          <w:color w:val="auto"/>
        </w:rPr>
      </w:pPr>
    </w:p>
    <w:p>
      <w:pPr>
        <w:jc w:val="both"/>
        <w:ind w:right="499"/>
        <w:spacing w:after="0" w:line="234" w:lineRule="auto"/>
        <w:rPr>
          <w:sz w:val="20"/>
          <w:szCs w:val="20"/>
          <w:color w:val="auto"/>
        </w:rPr>
      </w:pPr>
      <w:r>
        <w:rPr>
          <w:rFonts w:ascii="Arial" w:cs="Arial" w:eastAsia="Arial" w:hAnsi="Arial"/>
          <w:sz w:val="22"/>
          <w:szCs w:val="22"/>
          <w:color w:val="auto"/>
        </w:rPr>
        <w:t>principal amount of at the interest rate, and payable on the dates, set forth in the letter agreement dated as of November [__], 2011 (the “</w:t>
      </w:r>
      <w:r>
        <w:rPr>
          <w:rFonts w:ascii="Arial" w:cs="Arial" w:eastAsia="Arial" w:hAnsi="Arial"/>
          <w:sz w:val="22"/>
          <w:szCs w:val="22"/>
          <w:u w:val="single" w:color="auto"/>
          <w:color w:val="auto"/>
        </w:rPr>
        <w:t>Agreement</w:t>
      </w:r>
      <w:r>
        <w:rPr>
          <w:rFonts w:ascii="Arial" w:cs="Arial" w:eastAsia="Arial" w:hAnsi="Arial"/>
          <w:sz w:val="22"/>
          <w:szCs w:val="22"/>
          <w:color w:val="auto"/>
        </w:rPr>
        <w:t>”) between Borrower and Lender. Capitalized but undefined terms used herein shall have the meanings given to such terms in the Agreement.</w:t>
      </w:r>
    </w:p>
    <w:p>
      <w:pPr>
        <w:spacing w:after="0" w:line="214" w:lineRule="exact"/>
        <w:rPr>
          <w:sz w:val="20"/>
          <w:szCs w:val="20"/>
          <w:color w:val="auto"/>
        </w:rPr>
      </w:pPr>
    </w:p>
    <w:p>
      <w:pPr>
        <w:jc w:val="both"/>
        <w:ind w:right="499" w:firstLine="648"/>
        <w:spacing w:after="0" w:line="238" w:lineRule="auto"/>
        <w:rPr>
          <w:sz w:val="20"/>
          <w:szCs w:val="20"/>
          <w:color w:val="auto"/>
        </w:rPr>
      </w:pPr>
      <w:r>
        <w:rPr>
          <w:rFonts w:ascii="Arial" w:cs="Arial" w:eastAsia="Arial" w:hAnsi="Arial"/>
          <w:sz w:val="22"/>
          <w:szCs w:val="22"/>
          <w:color w:val="auto"/>
        </w:rPr>
        <w:t xml:space="preserve">Each payment of principal and interest thereon, shall be recorded by Lender on its books, which recordations shall, in the absence of manifest error, be conclusive as to such matters;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Lender to make any such recordation or any error therein shall not limit or otherwise affect the obligations of Borrower hereunder.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Note is subject to prepayment in whole or in part as provided in the Agreement.</w:t>
      </w:r>
    </w:p>
    <w:p>
      <w:pPr>
        <w:spacing w:after="0" w:line="233" w:lineRule="exact"/>
        <w:rPr>
          <w:sz w:val="20"/>
          <w:szCs w:val="20"/>
          <w:color w:val="auto"/>
        </w:rPr>
      </w:pPr>
    </w:p>
    <w:p>
      <w:pPr>
        <w:jc w:val="both"/>
        <w:ind w:right="499" w:firstLine="648"/>
        <w:spacing w:after="0" w:line="274" w:lineRule="auto"/>
        <w:rPr>
          <w:sz w:val="20"/>
          <w:szCs w:val="20"/>
          <w:color w:val="auto"/>
        </w:rPr>
      </w:pPr>
      <w:r>
        <w:rPr>
          <w:rFonts w:ascii="Arial" w:cs="Arial" w:eastAsia="Arial" w:hAnsi="Arial"/>
          <w:sz w:val="21"/>
          <w:szCs w:val="21"/>
          <w:color w:val="auto"/>
        </w:rPr>
        <w:t>All payments hereunder shall be made in lawful money of the United States of America and in same day or immediately available funds, to Lender, in accordance with Lender’s payment instructions.</w:t>
      </w:r>
    </w:p>
    <w:p>
      <w:pPr>
        <w:spacing w:after="0" w:line="178" w:lineRule="exact"/>
        <w:rPr>
          <w:sz w:val="20"/>
          <w:szCs w:val="20"/>
          <w:color w:val="auto"/>
        </w:rPr>
      </w:pPr>
    </w:p>
    <w:p>
      <w:pPr>
        <w:jc w:val="both"/>
        <w:ind w:right="479" w:firstLine="648"/>
        <w:spacing w:after="0" w:line="236" w:lineRule="auto"/>
        <w:rPr>
          <w:sz w:val="20"/>
          <w:szCs w:val="20"/>
          <w:color w:val="auto"/>
        </w:rPr>
      </w:pPr>
      <w:r>
        <w:rPr>
          <w:rFonts w:ascii="Arial" w:cs="Arial" w:eastAsia="Arial" w:hAnsi="Arial"/>
          <w:sz w:val="22"/>
          <w:szCs w:val="22"/>
          <w:color w:val="auto"/>
        </w:rPr>
        <w:t>Whenever any payment hereunder shall be stated to be due, or whenever any interest payment date or any other date specified hereunder would otherwise occur, on a day other than a Business Day, then such payment shall be made, and such interest payment date or other date shall occur, on the next succeeding Business Day, and such extension of time shall in such case be included in the computation of payment of interest hereunder.</w:t>
      </w:r>
    </w:p>
    <w:p>
      <w:pPr>
        <w:spacing w:after="0" w:line="215" w:lineRule="exact"/>
        <w:rPr>
          <w:sz w:val="20"/>
          <w:szCs w:val="20"/>
          <w:color w:val="auto"/>
        </w:rPr>
      </w:pPr>
    </w:p>
    <w:p>
      <w:pPr>
        <w:jc w:val="both"/>
        <w:ind w:right="499" w:firstLine="648"/>
        <w:spacing w:after="0" w:line="251" w:lineRule="auto"/>
        <w:rPr>
          <w:sz w:val="20"/>
          <w:szCs w:val="20"/>
          <w:color w:val="auto"/>
        </w:rPr>
      </w:pPr>
      <w:r>
        <w:rPr>
          <w:rFonts w:ascii="Arial" w:cs="Arial" w:eastAsia="Arial" w:hAnsi="Arial"/>
          <w:sz w:val="22"/>
          <w:szCs w:val="22"/>
          <w:color w:val="auto"/>
        </w:rPr>
        <w:t>Borrower agrees to make all payments under this Note without setoff or deduction (whether for taxes or otherwise) and regardless of any counterclaim or defense.</w:t>
      </w:r>
    </w:p>
    <w:p>
      <w:pPr>
        <w:spacing w:after="0" w:line="200" w:lineRule="exact"/>
        <w:rPr>
          <w:sz w:val="20"/>
          <w:szCs w:val="20"/>
          <w:color w:val="auto"/>
        </w:rPr>
      </w:pPr>
    </w:p>
    <w:p>
      <w:pPr>
        <w:jc w:val="both"/>
        <w:ind w:right="499" w:firstLine="648"/>
        <w:spacing w:after="0" w:line="274" w:lineRule="auto"/>
        <w:rPr>
          <w:sz w:val="20"/>
          <w:szCs w:val="20"/>
          <w:color w:val="auto"/>
        </w:rPr>
      </w:pPr>
      <w:r>
        <w:rPr>
          <w:rFonts w:ascii="Arial" w:cs="Arial" w:eastAsia="Arial" w:hAnsi="Arial"/>
          <w:sz w:val="19"/>
          <w:szCs w:val="19"/>
          <w:color w:val="auto"/>
        </w:rPr>
        <w:t>Notwithstanding anything to the contrary contained herein, the interest paid or agreed to be paid hereunder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Lender shall receive interest in an amount that exceeds the Maximum Rate, the excessive interest shall be applied to the principal of this Note or, if it exceeds the unpaid principal, applied to any other Note or refunded to Borrower. In determining whether the interest contracted for, charged, or received by Lender exceeds the Maximum Rate, Lender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stated term of this Note.</w:t>
      </w:r>
    </w:p>
    <w:p>
      <w:pPr>
        <w:spacing w:after="0" w:line="186" w:lineRule="exact"/>
        <w:rPr>
          <w:sz w:val="20"/>
          <w:szCs w:val="20"/>
          <w:color w:val="auto"/>
        </w:rPr>
      </w:pPr>
    </w:p>
    <w:p>
      <w:pPr>
        <w:jc w:val="both"/>
        <w:ind w:right="479" w:firstLine="648"/>
        <w:spacing w:after="0" w:line="272" w:lineRule="auto"/>
        <w:rPr>
          <w:sz w:val="20"/>
          <w:szCs w:val="20"/>
          <w:color w:val="auto"/>
        </w:rPr>
      </w:pPr>
      <w:r>
        <w:rPr>
          <w:rFonts w:ascii="Arial" w:cs="Arial" w:eastAsia="Arial" w:hAnsi="Arial"/>
          <w:sz w:val="19"/>
          <w:szCs w:val="19"/>
          <w:color w:val="auto"/>
        </w:rPr>
        <w:t>The request of Borrower for the Advance evidenced by this Note and the receipt by Borrower of the proceeds thereof shall be deemed a representation by Borrower as of the date of each such request or receipt that: (i) Borrower is duly organized or formed, as the case may be, validly existing and in good standing under the laws of the jurisdiction of its incorporation or formation, and has all requisite power and authority to execute, deliver and perform its obligations under the Loan Documents; (ii) the execution, delivery and performance by Borrower of the Loan Documents have been duly authorized by all necessary action of Borrower and do not and will not (A) contravene the terms of the articles or certificate of incorporation, or bylaws, or other applicable organizational documents, of Borrower, or result in a breach of or constitute a default under any lease, instrument, contract or other agreement to which Borrower is a party or by which it or its properties may be bound or affected; or (B) violate any provision of any law, rule, regulation, order, judgment, decree or the like binding on or affecting Borrower; (iii) this Note and the other Loan Documents are the legal, valid and binding obligations of Borrower enforceable against Borrower in accordance with their respective terms; (iv) Borrower has no subsidiaries.</w:t>
      </w:r>
    </w:p>
    <w:p>
      <w:pPr>
        <w:sectPr>
          <w:pgSz w:w="11900" w:h="16838" w:orient="portrait"/>
          <w:cols w:equalWidth="0" w:num="1">
            <w:col w:w="10219"/>
          </w:cols>
          <w:pgMar w:left="240" w:top="814" w:right="1440" w:bottom="408" w:gutter="0" w:footer="0" w:header="0"/>
          <w:type w:val="continuous"/>
        </w:sectPr>
      </w:pPr>
    </w:p>
    <w:bookmarkStart w:id="32" w:name="page33"/>
    <w:bookmarkEnd w:id="32"/>
    <w:p>
      <w:pPr>
        <w:ind w:left="3500"/>
        <w:spacing w:after="0"/>
        <w:rPr>
          <w:sz w:val="20"/>
          <w:szCs w:val="20"/>
          <w:color w:val="auto"/>
        </w:rPr>
      </w:pPr>
      <w:r>
        <w:rPr>
          <w:rFonts w:ascii="Arial" w:cs="Arial" w:eastAsia="Arial" w:hAnsi="Arial"/>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194945</wp:posOffset>
            </wp:positionV>
            <wp:extent cx="6174740" cy="94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3" w:name="page34"/>
    <w:bookmarkEnd w:id="33"/>
    <w:p>
      <w:pPr>
        <w:jc w:val="both"/>
        <w:ind w:right="479" w:firstLine="648"/>
        <w:spacing w:after="0" w:line="270" w:lineRule="auto"/>
        <w:rPr>
          <w:sz w:val="20"/>
          <w:szCs w:val="20"/>
          <w:color w:val="auto"/>
        </w:rPr>
      </w:pPr>
      <w:r>
        <w:rPr>
          <w:rFonts w:ascii="Arial" w:cs="Arial" w:eastAsia="Arial" w:hAnsi="Arial"/>
          <w:sz w:val="19"/>
          <w:szCs w:val="19"/>
          <w:color w:val="auto"/>
        </w:rPr>
        <w:t>So long as any amount payable by Borrower hereunder shall remain unpaid: (i) Borrower shall furnish to Lender from time to time such information respecting Borrower’s financial condition as Lender may from time to time reasonably request; (ii) Borrower shall maintain its legal existence, licenses and privileges in good standing under and in compliance with all applicable laws and continue to operate the business currently conducted by Borrower; (iii) Borrower shall not (A) enter into any consolidation, merger, or other combination,</w:t>
      </w:r>
    </w:p>
    <w:p>
      <w:pPr>
        <w:spacing w:after="0" w:line="4" w:lineRule="exact"/>
        <w:rPr>
          <w:sz w:val="20"/>
          <w:szCs w:val="20"/>
          <w:color w:val="auto"/>
        </w:rPr>
      </w:pPr>
    </w:p>
    <w:p>
      <w:pPr>
        <w:jc w:val="both"/>
        <w:ind w:right="479" w:firstLine="8"/>
        <w:spacing w:after="0" w:line="268" w:lineRule="auto"/>
        <w:tabs>
          <w:tab w:leader="none" w:pos="348" w:val="left"/>
        </w:tabs>
        <w:numPr>
          <w:ilvl w:val="0"/>
          <w:numId w:val="31"/>
        </w:numPr>
        <w:rPr>
          <w:rFonts w:ascii="Arial" w:cs="Arial" w:eastAsia="Arial" w:hAnsi="Arial"/>
          <w:sz w:val="19"/>
          <w:szCs w:val="19"/>
          <w:color w:val="auto"/>
        </w:rPr>
      </w:pPr>
      <w:r>
        <w:rPr>
          <w:rFonts w:ascii="Arial" w:cs="Arial" w:eastAsia="Arial" w:hAnsi="Arial"/>
          <w:sz w:val="19"/>
          <w:szCs w:val="19"/>
          <w:color w:val="auto"/>
        </w:rPr>
        <w:t>become a partner in a partnership, a member of a joint venture, or a member of a limited liability company, or (C) sell, license, transfer or otherwise dispose of any interest in any of Borrower’s assets, except for sales of inventory in the ordinary course of business, licenses or sublicenses of rights in intellectual property on a non-exclusive or other limited basis in the ordinary course of business and sales of obsolete equipment; (iv) Borrower shall not acquire or commit or agree to acquire all or any stock, securities or assets of any other Person (as defined in the Agreement) other than inventory and equipment acquired in the ordinary course of business; (v) Borrower shall not declare or pay any dividends or make any distribution on any of its capital stock or other ownership interests, and also shall not purchase, redeem or otherwise acquire for value any of its capital stock or other ownership interests; (vi) Borrower shall not create or suffer to exist any lien or security interest on any of its assets except as permitted under the Collateral Documents; (vii) Borrower shall not incur any indebtedness other than Permitted Debt (as defined below); (viii) Borrower shall not prepay, redeem, purchase, defease or otherwise satisfy in any manner prior to the scheduled repayment thereof any Permitted Debt, or amend, modify or otherwise change the terms of any Permitted Debt so as to accelerate the scheduled repayment thereof; (ix) Borrower shall not make any loans or other extensions of credit to, or guaranty the obligations of, or invest in, any other Person; (x) Borrower shall not incorporate, create, acquire or suffer to exist any subsidiaries; and (xi) Borrower shall not enter into or engage in any business other than that carried on (or contemplated to be carried on) as of the date hereof. (As used herein, “</w:t>
      </w:r>
      <w:r>
        <w:rPr>
          <w:rFonts w:ascii="Arial" w:cs="Arial" w:eastAsia="Arial" w:hAnsi="Arial"/>
          <w:sz w:val="19"/>
          <w:szCs w:val="19"/>
          <w:u w:val="single" w:color="auto"/>
          <w:color w:val="auto"/>
        </w:rPr>
        <w:t>Permitted Debt</w:t>
      </w:r>
      <w:r>
        <w:rPr>
          <w:rFonts w:ascii="Arial" w:cs="Arial" w:eastAsia="Arial" w:hAnsi="Arial"/>
          <w:sz w:val="19"/>
          <w:szCs w:val="19"/>
          <w:color w:val="auto"/>
        </w:rPr>
        <w:t>” means the indebtedness owing to Pavel Ladonnikov existing as of the date hereof, the Loan, unsecured liabilities to trade creditors (not the result of the borrowing of money) incurred in connection with the acquisition of goods, supplies, or merchandise on normal trade credit in the ordinary course of business, other current liabilities incurred in the ordinary course of business and not incurred through the borrowing of money, lease obligations incurred in the ordinary course of business, and obligations in respect of taxes or other governmental charges which are not yet due or which are being contested in good faith by appropriate proceedings.)</w:t>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occurrence of any of the following shall constitute an “</w:t>
      </w:r>
      <w:r>
        <w:rPr>
          <w:rFonts w:ascii="Arial" w:cs="Arial" w:eastAsia="Arial" w:hAnsi="Arial"/>
          <w:sz w:val="22"/>
          <w:szCs w:val="22"/>
          <w:u w:val="single" w:color="auto"/>
          <w:color w:val="auto"/>
        </w:rPr>
        <w:t>Event of Default</w:t>
      </w:r>
      <w:r>
        <w:rPr>
          <w:rFonts w:ascii="Arial" w:cs="Arial" w:eastAsia="Arial" w:hAnsi="Arial"/>
          <w:sz w:val="22"/>
          <w:szCs w:val="22"/>
          <w:color w:val="auto"/>
        </w:rPr>
        <w:t>” under this Note:</w:t>
      </w:r>
    </w:p>
    <w:p>
      <w:pPr>
        <w:spacing w:after="0" w:line="233" w:lineRule="exact"/>
        <w:rPr>
          <w:sz w:val="20"/>
          <w:szCs w:val="20"/>
          <w:color w:val="auto"/>
        </w:rPr>
      </w:pPr>
    </w:p>
    <w:p>
      <w:pPr>
        <w:ind w:right="479" w:firstLine="1305"/>
        <w:spacing w:after="0" w:line="251" w:lineRule="auto"/>
        <w:tabs>
          <w:tab w:leader="none" w:pos="1594"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failure to make any payment of principal, interest or any other amount payable hereunder when due under this Note;</w:t>
      </w:r>
    </w:p>
    <w:p>
      <w:pPr>
        <w:spacing w:after="0" w:line="200" w:lineRule="exact"/>
        <w:rPr>
          <w:rFonts w:ascii="Arial" w:cs="Arial" w:eastAsia="Arial" w:hAnsi="Arial"/>
          <w:sz w:val="22"/>
          <w:szCs w:val="22"/>
          <w:color w:val="auto"/>
        </w:rPr>
      </w:pPr>
    </w:p>
    <w:p>
      <w:pPr>
        <w:ind w:right="499" w:firstLine="1305"/>
        <w:spacing w:after="0" w:line="251" w:lineRule="auto"/>
        <w:tabs>
          <w:tab w:leader="none" w:pos="1594"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representation or warranty by Borrower under or in connection with any Loan Document shall prove to have been incorrect when made or deemed made;</w:t>
      </w:r>
    </w:p>
    <w:p>
      <w:pPr>
        <w:spacing w:after="0" w:line="200" w:lineRule="exact"/>
        <w:rPr>
          <w:rFonts w:ascii="Arial" w:cs="Arial" w:eastAsia="Arial" w:hAnsi="Arial"/>
          <w:sz w:val="22"/>
          <w:szCs w:val="22"/>
          <w:color w:val="auto"/>
        </w:rPr>
      </w:pPr>
    </w:p>
    <w:p>
      <w:pPr>
        <w:ind w:left="1600" w:hanging="295"/>
        <w:spacing w:after="0"/>
        <w:tabs>
          <w:tab w:leader="none" w:pos="16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breach of any other condition or obligation under this Note;</w:t>
      </w:r>
    </w:p>
    <w:p>
      <w:pPr>
        <w:spacing w:after="0" w:line="233" w:lineRule="exact"/>
        <w:rPr>
          <w:rFonts w:ascii="Arial" w:cs="Arial" w:eastAsia="Arial" w:hAnsi="Arial"/>
          <w:sz w:val="22"/>
          <w:szCs w:val="22"/>
          <w:color w:val="auto"/>
        </w:rPr>
      </w:pPr>
    </w:p>
    <w:p>
      <w:pPr>
        <w:jc w:val="both"/>
        <w:ind w:right="479" w:firstLine="1305"/>
        <w:spacing w:after="0" w:line="282" w:lineRule="auto"/>
        <w:tabs>
          <w:tab w:leader="none" w:pos="1594"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filing of a petition by or against Borrower under any provision of the Bankruptcy Reform Act, Title 11 of the United States Code, as amended or recodified from time to time (the “</w:t>
      </w:r>
      <w:r>
        <w:rPr>
          <w:rFonts w:ascii="Arial" w:cs="Arial" w:eastAsia="Arial" w:hAnsi="Arial"/>
          <w:sz w:val="19"/>
          <w:szCs w:val="19"/>
          <w:u w:val="single" w:color="auto"/>
          <w:color w:val="auto"/>
        </w:rPr>
        <w:t>Bankruptcy Code</w:t>
      </w:r>
      <w:r>
        <w:rPr>
          <w:rFonts w:ascii="Arial" w:cs="Arial" w:eastAsia="Arial" w:hAnsi="Arial"/>
          <w:sz w:val="19"/>
          <w:szCs w:val="19"/>
          <w:color w:val="auto"/>
        </w:rPr>
        <w:t>”), or under any similar law relating to bankruptcy, insolvency or other relief for debtors; or appointment of a receiver, trustee, custodian or liquidator of or for all or any part of the assets or property of Borrower; or the insolvency of Borrower; or the making of a general assignment for the benefit of creditors by Borrower;</w:t>
      </w:r>
    </w:p>
    <w:p>
      <w:pPr>
        <w:spacing w:after="0" w:line="174" w:lineRule="exact"/>
        <w:rPr>
          <w:rFonts w:ascii="Arial" w:cs="Arial" w:eastAsia="Arial" w:hAnsi="Arial"/>
          <w:sz w:val="19"/>
          <w:szCs w:val="19"/>
          <w:color w:val="auto"/>
        </w:rPr>
      </w:pPr>
    </w:p>
    <w:p>
      <w:pPr>
        <w:jc w:val="both"/>
        <w:ind w:right="479" w:firstLine="1305"/>
        <w:spacing w:after="0"/>
        <w:tabs>
          <w:tab w:leader="none" w:pos="1594"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breach or default occurs under any agreement in connection with any other credit Borrower has obtained from any other Person or which Borrower has guaranteed, the effect of which is to accelerate or permit the acceleration of the maturity of such indebtedness;</w:t>
      </w:r>
    </w:p>
    <w:p>
      <w:pPr>
        <w:spacing w:after="0" w:line="213" w:lineRule="exact"/>
        <w:rPr>
          <w:rFonts w:ascii="Arial" w:cs="Arial" w:eastAsia="Arial" w:hAnsi="Arial"/>
          <w:sz w:val="22"/>
          <w:szCs w:val="22"/>
          <w:color w:val="auto"/>
        </w:rPr>
      </w:pPr>
    </w:p>
    <w:p>
      <w:pPr>
        <w:jc w:val="both"/>
        <w:ind w:right="479" w:firstLine="1305"/>
        <w:spacing w:after="0"/>
        <w:tabs>
          <w:tab w:leader="none" w:pos="1594" w:val="left"/>
        </w:tabs>
        <w:numPr>
          <w:ilvl w:val="0"/>
          <w:numId w:val="32"/>
        </w:numPr>
        <w:rPr>
          <w:rFonts w:ascii="Arial" w:cs="Arial" w:eastAsia="Arial" w:hAnsi="Arial"/>
          <w:sz w:val="22"/>
          <w:szCs w:val="22"/>
          <w:color w:val="auto"/>
        </w:rPr>
      </w:pPr>
      <w:r>
        <w:rPr>
          <w:rFonts w:ascii="Arial" w:cs="Arial" w:eastAsia="Arial" w:hAnsi="Arial"/>
          <w:sz w:val="22"/>
          <w:szCs w:val="22"/>
          <w:color w:val="auto"/>
        </w:rPr>
        <w:t>Borrower shall (i) liquidate, wind up or dissolve (or suffer any liquidation, wind-up or dissolution), (ii) suspend its operations other than in the ordinary course of business, or (iii) take any action to authorize any of the actions or events set forth above in this paragraph;</w:t>
      </w:r>
    </w:p>
    <w:p>
      <w:pPr>
        <w:spacing w:after="0" w:line="213" w:lineRule="exact"/>
        <w:rPr>
          <w:rFonts w:ascii="Arial" w:cs="Arial" w:eastAsia="Arial" w:hAnsi="Arial"/>
          <w:sz w:val="22"/>
          <w:szCs w:val="22"/>
          <w:color w:val="auto"/>
        </w:rPr>
      </w:pPr>
    </w:p>
    <w:p>
      <w:pPr>
        <w:jc w:val="both"/>
        <w:ind w:right="499" w:firstLine="1305"/>
        <w:spacing w:after="0"/>
        <w:tabs>
          <w:tab w:leader="none" w:pos="1594"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there is a change in the record or beneficial ownership or control of more than 20% of the voting capital stock of and other voting ownership interests in Borrower compared to such ownership on the date hereof, other than purchases of voting capital stock by Lender;</w:t>
      </w:r>
    </w:p>
    <w:p>
      <w:pPr>
        <w:spacing w:after="0" w:line="213" w:lineRule="exact"/>
        <w:rPr>
          <w:rFonts w:ascii="Arial" w:cs="Arial" w:eastAsia="Arial" w:hAnsi="Arial"/>
          <w:sz w:val="22"/>
          <w:szCs w:val="22"/>
          <w:color w:val="auto"/>
        </w:rPr>
      </w:pPr>
    </w:p>
    <w:p>
      <w:pPr>
        <w:jc w:val="both"/>
        <w:ind w:right="499" w:firstLine="1305"/>
        <w:spacing w:after="0"/>
        <w:tabs>
          <w:tab w:leader="none" w:pos="1594"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occurrence or existence of any event or condition that has or would reasonably be expected to have a material adverse effect on the business, properties, results of operations, condition (financial or otherwise) or prospects of Borrower (a “</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w:t>
      </w:r>
    </w:p>
    <w:p>
      <w:pPr>
        <w:sectPr>
          <w:pgSz w:w="11900" w:h="16838" w:orient="portrait"/>
          <w:cols w:equalWidth="0" w:num="1">
            <w:col w:w="10219"/>
          </w:cols>
          <w:pgMar w:left="240" w:top="1063" w:right="144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479"/>
        <w:spacing w:after="0"/>
        <w:rPr>
          <w:sz w:val="20"/>
          <w:szCs w:val="20"/>
          <w:color w:val="auto"/>
        </w:rPr>
      </w:pPr>
      <w:r>
        <w:rPr>
          <w:rFonts w:ascii="Arial" w:cs="Arial" w:eastAsia="Arial" w:hAnsi="Arial"/>
          <w:sz w:val="21"/>
          <w:szCs w:val="2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6174740" cy="10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4740" cy="10160"/>
                    </a:xfrm>
                    <a:prstGeom prst="rect">
                      <a:avLst/>
                    </a:prstGeom>
                    <a:noFill/>
                  </pic:spPr>
                </pic:pic>
              </a:graphicData>
            </a:graphic>
          </wp:anchor>
        </w:drawing>
      </w:r>
    </w:p>
    <w:p>
      <w:pPr>
        <w:sectPr>
          <w:pgSz w:w="11900" w:h="16838" w:orient="portrait"/>
          <w:cols w:equalWidth="0" w:num="1">
            <w:col w:w="10219"/>
          </w:cols>
          <w:pgMar w:left="240" w:top="1063" w:right="1440" w:bottom="0" w:gutter="0" w:footer="0" w:header="0"/>
          <w:type w:val="continuous"/>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774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4740" cy="77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both"/>
        <w:ind w:right="499" w:firstLine="1305"/>
        <w:spacing w:after="0" w:line="252" w:lineRule="auto"/>
        <w:tabs>
          <w:tab w:leader="none" w:pos="1594" w:val="left"/>
        </w:tabs>
        <w:numPr>
          <w:ilvl w:val="0"/>
          <w:numId w:val="33"/>
        </w:numPr>
        <w:rPr>
          <w:rFonts w:ascii="Arial" w:cs="Arial" w:eastAsia="Arial" w:hAnsi="Arial"/>
          <w:sz w:val="21"/>
          <w:szCs w:val="21"/>
          <w:color w:val="auto"/>
        </w:rPr>
      </w:pPr>
      <w:r>
        <w:rPr>
          <w:rFonts w:ascii="Arial" w:cs="Arial" w:eastAsia="Arial" w:hAnsi="Arial"/>
          <w:sz w:val="21"/>
          <w:szCs w:val="21"/>
          <w:color w:val="auto"/>
        </w:rPr>
        <w:t>any of the Loan Documents shall for any reason be revoked or invalidated, or otherwise cease to be in full force and effect, or Borrower or any other Person shall contest in any manner the validity or enforceability thereof, or Borrower or any other Person shall deny that it has any further liability or obligation thereunder or purports to revoke, terminate or rescind any provision thereof;</w:t>
      </w:r>
    </w:p>
    <w:p>
      <w:pPr>
        <w:spacing w:after="0" w:line="201" w:lineRule="exact"/>
        <w:rPr>
          <w:sz w:val="20"/>
          <w:szCs w:val="20"/>
          <w:color w:val="auto"/>
        </w:rPr>
      </w:pPr>
    </w:p>
    <w:p>
      <w:pPr>
        <w:jc w:val="both"/>
        <w:ind w:right="479" w:firstLine="1297"/>
        <w:spacing w:after="0" w:line="238" w:lineRule="auto"/>
        <w:rPr>
          <w:sz w:val="20"/>
          <w:szCs w:val="20"/>
          <w:color w:val="auto"/>
        </w:rPr>
      </w:pPr>
      <w:r>
        <w:rPr>
          <w:rFonts w:ascii="Arial" w:cs="Arial" w:eastAsia="Arial" w:hAnsi="Arial"/>
          <w:sz w:val="22"/>
          <w:szCs w:val="22"/>
          <w:color w:val="auto"/>
        </w:rPr>
        <w:t>(10)Borrower or any other Person shall fail to perform or observe any term, covenant or agreement contained in the Collateral Documents on its part to be performed or observed and any such failure shall remain unremedied beyond the applicable grace period, if any, specified therein (unless Lender determines that such failure is not capable of remedy);</w:t>
      </w:r>
    </w:p>
    <w:p>
      <w:pPr>
        <w:spacing w:after="0" w:line="212" w:lineRule="exact"/>
        <w:rPr>
          <w:sz w:val="20"/>
          <w:szCs w:val="20"/>
          <w:color w:val="auto"/>
        </w:rPr>
      </w:pPr>
    </w:p>
    <w:p>
      <w:pPr>
        <w:jc w:val="both"/>
        <w:ind w:right="499" w:firstLine="1305"/>
        <w:spacing w:after="0" w:line="238" w:lineRule="auto"/>
        <w:tabs>
          <w:tab w:leader="none" w:pos="17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any “Event of Default” under any Collateral Document shall have occurred and be continuing; or any Collateral Document for any reason, except to the extent permitted by the terms thereof, shall cease to create a valid and perfected first priority lien on and security interest in any of the collateral purported to be covered thereby; or</w:t>
      </w:r>
    </w:p>
    <w:p>
      <w:pPr>
        <w:spacing w:after="0" w:line="212" w:lineRule="exact"/>
        <w:rPr>
          <w:sz w:val="20"/>
          <w:szCs w:val="20"/>
          <w:color w:val="auto"/>
        </w:rPr>
      </w:pPr>
    </w:p>
    <w:p>
      <w:pPr>
        <w:jc w:val="both"/>
        <w:ind w:right="499" w:firstLine="1297"/>
        <w:spacing w:after="0" w:line="238" w:lineRule="auto"/>
        <w:rPr>
          <w:sz w:val="20"/>
          <w:szCs w:val="20"/>
          <w:color w:val="auto"/>
        </w:rPr>
      </w:pPr>
      <w:r>
        <w:rPr>
          <w:rFonts w:ascii="Arial" w:cs="Arial" w:eastAsia="Arial" w:hAnsi="Arial"/>
          <w:sz w:val="22"/>
          <w:szCs w:val="22"/>
          <w:color w:val="auto"/>
        </w:rPr>
        <w:t>(12)Borrower shall be named as a defendant in any legal action brought by (i) any current or former employee, executive officer or director of Borrower or (ii) any third party with whom Borrower had entered into any agreement or contract (including any oral contract) prior to the date of the Final Dismissal Order.</w:t>
      </w:r>
    </w:p>
    <w:p>
      <w:pPr>
        <w:spacing w:after="0" w:line="212" w:lineRule="exact"/>
        <w:rPr>
          <w:sz w:val="20"/>
          <w:szCs w:val="20"/>
          <w:color w:val="auto"/>
        </w:rPr>
      </w:pPr>
    </w:p>
    <w:p>
      <w:pPr>
        <w:jc w:val="both"/>
        <w:ind w:right="479" w:firstLine="648"/>
        <w:spacing w:after="0" w:line="273" w:lineRule="auto"/>
        <w:rPr>
          <w:sz w:val="20"/>
          <w:szCs w:val="20"/>
          <w:color w:val="auto"/>
        </w:rPr>
      </w:pPr>
      <w:r>
        <w:rPr>
          <w:rFonts w:ascii="Arial" w:cs="Arial" w:eastAsia="Arial" w:hAnsi="Arial"/>
          <w:sz w:val="19"/>
          <w:szCs w:val="19"/>
          <w:color w:val="auto"/>
        </w:rPr>
        <w:t xml:space="preserve">Upon the occurrence and continuance of any Event of Default, Lender, at its option, may (i) by notice to Borrower, declare the unpaid principal amount of this Note, all interest accrued and unpaid hereon and all other amounts payable hereunder to be immediately due and payable, whereupon the unpaid principal amount of this Note, all such interest and all such other amounts shall become immediately due and payable, without presentment, demand, protest or further notice of any kind,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occurrence of an actual or deemed entry of an order for relief with respect to Borrower under the Bankruptcy Code, the result which would otherwise occur only upon giving of notice by Lender to Borrower as specified above shall occur automatically, without the giving of any such notice; and (ii) whether or not the actions referred to in clause (i) have been taken, exercise any or all of Lender’s rights and remedies under any Collateral Document and any guaranty, and proceed to enforce all other rights and remedies available to Lender under applicable law.</w:t>
      </w:r>
    </w:p>
    <w:p>
      <w:pPr>
        <w:spacing w:after="0" w:line="189" w:lineRule="exact"/>
        <w:rPr>
          <w:sz w:val="20"/>
          <w:szCs w:val="20"/>
          <w:color w:val="auto"/>
        </w:rPr>
      </w:pPr>
    </w:p>
    <w:p>
      <w:pPr>
        <w:jc w:val="both"/>
        <w:ind w:right="479" w:firstLine="648"/>
        <w:spacing w:after="0" w:line="251" w:lineRule="auto"/>
        <w:rPr>
          <w:sz w:val="20"/>
          <w:szCs w:val="20"/>
          <w:color w:val="auto"/>
        </w:rPr>
      </w:pPr>
      <w:r>
        <w:rPr>
          <w:rFonts w:ascii="Arial" w:cs="Arial" w:eastAsia="Arial" w:hAnsi="Arial"/>
          <w:sz w:val="22"/>
          <w:szCs w:val="22"/>
          <w:color w:val="auto"/>
        </w:rPr>
        <w:t>Borrower hereby waives presentment, protest, demand, or other notice of any kind in connection with this Note.</w:t>
      </w:r>
    </w:p>
    <w:p>
      <w:pPr>
        <w:spacing w:after="0" w:line="200" w:lineRule="exact"/>
        <w:rPr>
          <w:sz w:val="20"/>
          <w:szCs w:val="20"/>
          <w:color w:val="auto"/>
        </w:rPr>
      </w:pPr>
    </w:p>
    <w:p>
      <w:pPr>
        <w:jc w:val="both"/>
        <w:ind w:right="479" w:firstLine="648"/>
        <w:spacing w:after="0" w:line="236" w:lineRule="auto"/>
        <w:rPr>
          <w:sz w:val="20"/>
          <w:szCs w:val="20"/>
          <w:color w:val="auto"/>
        </w:rPr>
      </w:pPr>
      <w:r>
        <w:rPr>
          <w:rFonts w:ascii="Arial" w:cs="Arial" w:eastAsia="Arial" w:hAnsi="Arial"/>
          <w:sz w:val="22"/>
          <w:szCs w:val="22"/>
          <w:color w:val="auto"/>
        </w:rPr>
        <w:t>No failure or delay by Lender in exercising, and no course of dealing with respect to, any right, power, or privilege hereunder shall operate as a waiver thereof nor shall any single or partial exercise of any right, power, or privilege hereunder preclude any other or further exercise thereof or the exercise of any other right, power, or privilege. The rights and remedies of Lender provided herein shall be cumulative and not exclusive of any other rights or remedies provided by law.</w:t>
      </w:r>
    </w:p>
    <w:p>
      <w:pPr>
        <w:spacing w:after="0" w:line="215" w:lineRule="exact"/>
        <w:rPr>
          <w:sz w:val="20"/>
          <w:szCs w:val="20"/>
          <w:color w:val="auto"/>
        </w:rPr>
      </w:pPr>
    </w:p>
    <w:p>
      <w:pPr>
        <w:jc w:val="both"/>
        <w:ind w:right="499" w:firstLine="648"/>
        <w:spacing w:after="0" w:line="251" w:lineRule="auto"/>
        <w:rPr>
          <w:sz w:val="20"/>
          <w:szCs w:val="20"/>
          <w:color w:val="auto"/>
        </w:rPr>
      </w:pPr>
      <w:r>
        <w:rPr>
          <w:rFonts w:ascii="Arial" w:cs="Arial" w:eastAsia="Arial" w:hAnsi="Arial"/>
          <w:sz w:val="22"/>
          <w:szCs w:val="22"/>
          <w:color w:val="auto"/>
        </w:rPr>
        <w:t>If any provision of this Note shall be held invalid or unenforceable in whole or in part, such invalidity or unenforceability shall not affect the remaining provisions hereof.</w:t>
      </w:r>
    </w:p>
    <w:p>
      <w:pPr>
        <w:spacing w:after="0" w:line="200" w:lineRule="exact"/>
        <w:rPr>
          <w:sz w:val="20"/>
          <w:szCs w:val="20"/>
          <w:color w:val="auto"/>
        </w:rPr>
      </w:pPr>
    </w:p>
    <w:p>
      <w:pPr>
        <w:jc w:val="both"/>
        <w:ind w:right="479" w:firstLine="648"/>
        <w:spacing w:after="0" w:line="238" w:lineRule="auto"/>
        <w:rPr>
          <w:sz w:val="20"/>
          <w:szCs w:val="20"/>
          <w:color w:val="auto"/>
        </w:rPr>
      </w:pPr>
      <w:r>
        <w:rPr>
          <w:rFonts w:ascii="Arial" w:cs="Arial" w:eastAsia="Arial" w:hAnsi="Arial"/>
          <w:sz w:val="22"/>
          <w:szCs w:val="22"/>
          <w:color w:val="auto"/>
        </w:rPr>
        <w:t>No amendment or waiver of any provision of this Note, nor any consent to any departure by Borrower therefrom, shall in any event be effective unless the same shall be in writing and signed by Lender and then such amendment, waiver or consent shall be effective only in the specific instance and for the specific purpose for which given.</w:t>
      </w:r>
    </w:p>
    <w:p>
      <w:pPr>
        <w:spacing w:after="0" w:line="212" w:lineRule="exact"/>
        <w:rPr>
          <w:sz w:val="20"/>
          <w:szCs w:val="20"/>
          <w:color w:val="auto"/>
        </w:rPr>
      </w:pPr>
    </w:p>
    <w:p>
      <w:pPr>
        <w:jc w:val="both"/>
        <w:ind w:right="499" w:firstLine="648"/>
        <w:spacing w:after="0" w:line="251" w:lineRule="auto"/>
        <w:rPr>
          <w:sz w:val="20"/>
          <w:szCs w:val="20"/>
          <w:color w:val="auto"/>
        </w:rPr>
      </w:pPr>
      <w:r>
        <w:rPr>
          <w:rFonts w:ascii="Arial" w:cs="Arial" w:eastAsia="Arial" w:hAnsi="Arial"/>
          <w:sz w:val="22"/>
          <w:szCs w:val="22"/>
          <w:color w:val="auto"/>
        </w:rPr>
        <w:t>This Note shall be binding upon, inure to the benefit of and be enforceable by Borrower, Lender and their respective successors and assigns.</w:t>
      </w:r>
    </w:p>
    <w:p>
      <w:pPr>
        <w:spacing w:after="0" w:line="200" w:lineRule="exact"/>
        <w:rPr>
          <w:sz w:val="20"/>
          <w:szCs w:val="20"/>
          <w:color w:val="auto"/>
        </w:rPr>
      </w:pPr>
    </w:p>
    <w:p>
      <w:pPr>
        <w:jc w:val="both"/>
        <w:ind w:right="499" w:firstLine="648"/>
        <w:spacing w:after="0" w:line="274" w:lineRule="auto"/>
        <w:rPr>
          <w:sz w:val="20"/>
          <w:szCs w:val="20"/>
          <w:color w:val="auto"/>
        </w:rPr>
      </w:pPr>
      <w:r>
        <w:rPr>
          <w:rFonts w:ascii="Arial" w:cs="Arial" w:eastAsia="Arial" w:hAnsi="Arial"/>
          <w:sz w:val="21"/>
          <w:szCs w:val="21"/>
          <w:color w:val="auto"/>
        </w:rPr>
        <w:t>Borrower shall maintain a register in which it will record the initial ownership of this Note and any changes in ownership of this Note which occur as permitted by and in compliance with the terms hereof.</w:t>
      </w:r>
    </w:p>
    <w:p>
      <w:pPr>
        <w:spacing w:after="0" w:line="178" w:lineRule="exact"/>
        <w:rPr>
          <w:sz w:val="20"/>
          <w:szCs w:val="20"/>
          <w:color w:val="auto"/>
        </w:rPr>
      </w:pPr>
    </w:p>
    <w:p>
      <w:pPr>
        <w:jc w:val="both"/>
        <w:ind w:right="479" w:firstLine="648"/>
        <w:spacing w:after="0" w:line="277" w:lineRule="auto"/>
        <w:rPr>
          <w:sz w:val="20"/>
          <w:szCs w:val="20"/>
          <w:color w:val="auto"/>
        </w:rPr>
      </w:pPr>
      <w:r>
        <w:rPr>
          <w:rFonts w:ascii="Arial" w:cs="Arial" w:eastAsia="Arial" w:hAnsi="Arial"/>
          <w:sz w:val="19"/>
          <w:szCs w:val="19"/>
          <w:color w:val="auto"/>
        </w:rPr>
        <w:t>Borrower shall not have the right to assign its rights and obligations hereunder or any interest herein or therein without the prior written consent of Lender. Lender may sell, assign, transfer or grant participations in all or any portion of Lender’s rights and obligations hereunder. In the event of any such assignment the assignee shall be deemed the “Lender” for all purposes of this Note and any other documents and instruments relating hereto with respect to the rights and obligations assigned to it. Borrower agrees that in connection with any such grant or assignment, Lender may deliver to the prospective participant or assignee financial statements and other relevant information relating to Borrower.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Time is of the essence for the performance of each and every obligation under this Note.</w:t>
      </w:r>
    </w:p>
    <w:p>
      <w:pPr>
        <w:sectPr>
          <w:pgSz w:w="11900" w:h="16838" w:orient="portrait"/>
          <w:cols w:equalWidth="0" w:num="1">
            <w:col w:w="10219"/>
          </w:cols>
          <w:pgMar w:left="240" w:top="1063" w:right="1440" w:bottom="0" w:gutter="0" w:footer="0" w:header="0"/>
        </w:sectPr>
      </w:pPr>
    </w:p>
    <w:bookmarkStart w:id="36" w:name="page37"/>
    <w:bookmarkEnd w:id="36"/>
    <w:p>
      <w:pPr>
        <w:jc w:val="both"/>
        <w:ind w:right="499" w:firstLine="648"/>
        <w:spacing w:after="0" w:line="241" w:lineRule="auto"/>
        <w:rPr>
          <w:sz w:val="20"/>
          <w:szCs w:val="20"/>
          <w:color w:val="auto"/>
        </w:rPr>
      </w:pPr>
      <w:r>
        <w:rPr>
          <w:rFonts w:ascii="Arial" w:cs="Arial" w:eastAsia="Arial" w:hAnsi="Arial"/>
          <w:sz w:val="22"/>
          <w:szCs w:val="22"/>
          <w:color w:val="auto"/>
        </w:rPr>
        <w:t>As provided in the Agreement, Borrower shall pay on demand all costs and expenses of Lender, and fees and disbursements of its legal counsel, incurred in connection with the enforcement or attempted enforcement of this Note.</w:t>
      </w:r>
    </w:p>
    <w:p>
      <w:pPr>
        <w:spacing w:after="0" w:line="200" w:lineRule="exact"/>
        <w:rPr>
          <w:sz w:val="20"/>
          <w:szCs w:val="20"/>
          <w:color w:val="auto"/>
        </w:rPr>
      </w:pPr>
    </w:p>
    <w:p>
      <w:pPr>
        <w:spacing w:after="0" w:line="254"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6174740" cy="94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37" w:name="page38"/>
    <w:bookmarkEnd w:id="37"/>
    <w:p>
      <w:pPr>
        <w:ind w:left="660"/>
        <w:spacing w:after="0"/>
        <w:rPr>
          <w:sz w:val="20"/>
          <w:szCs w:val="20"/>
          <w:color w:val="auto"/>
        </w:rPr>
      </w:pPr>
      <w:r>
        <w:rPr>
          <w:rFonts w:ascii="Arial" w:cs="Arial" w:eastAsia="Arial" w:hAnsi="Arial"/>
          <w:sz w:val="21"/>
          <w:szCs w:val="21"/>
          <w:color w:val="auto"/>
        </w:rPr>
        <w:t>This Note is secured by certain collateral more specifically described in the Collateral Documents.</w:t>
      </w:r>
    </w:p>
    <w:p>
      <w:pPr>
        <w:spacing w:after="0" w:line="245" w:lineRule="exact"/>
        <w:rPr>
          <w:sz w:val="20"/>
          <w:szCs w:val="20"/>
          <w:color w:val="auto"/>
        </w:rPr>
      </w:pPr>
    </w:p>
    <w:p>
      <w:pPr>
        <w:jc w:val="both"/>
        <w:ind w:right="479" w:firstLine="648"/>
        <w:spacing w:after="0" w:line="234" w:lineRule="auto"/>
        <w:rPr>
          <w:sz w:val="20"/>
          <w:szCs w:val="20"/>
          <w:color w:val="auto"/>
        </w:rPr>
      </w:pPr>
      <w:r>
        <w:rPr>
          <w:rFonts w:ascii="Arial" w:cs="Arial" w:eastAsia="Arial" w:hAnsi="Arial"/>
          <w:sz w:val="22"/>
          <w:szCs w:val="22"/>
          <w:color w:val="auto"/>
        </w:rPr>
        <w:t>This Note shall be shall be governed by, and construed in accordance with, California law. Borrower hereby submits to the nonexclusive jurisdiction of the courts of the State of California and the Federal courts of the United States sitting in the State of California for the purposes of all legal proceedings arising out of or relating to this Note and any other Loan Documents. Borrower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spacing w:after="0" w:line="218" w:lineRule="exact"/>
        <w:rPr>
          <w:sz w:val="20"/>
          <w:szCs w:val="20"/>
          <w:color w:val="auto"/>
        </w:rPr>
      </w:pPr>
    </w:p>
    <w:p>
      <w:pPr>
        <w:jc w:val="both"/>
        <w:ind w:right="479" w:firstLine="648"/>
        <w:spacing w:after="0" w:line="258" w:lineRule="auto"/>
        <w:rPr>
          <w:sz w:val="20"/>
          <w:szCs w:val="20"/>
          <w:color w:val="auto"/>
        </w:rPr>
      </w:pPr>
      <w:r>
        <w:rPr>
          <w:rFonts w:ascii="Arial" w:cs="Arial" w:eastAsia="Arial" w:hAnsi="Arial"/>
          <w:sz w:val="21"/>
          <w:szCs w:val="21"/>
          <w:color w:val="auto"/>
        </w:rPr>
        <w:t>BORROWER AND, BY ITS ACCEPTANCE HEREOF, LENDER, HEREBY WAIVE THEIR RESPECTIVE RIGHTS TO A TRIAL BY JURY OF ANY CLAIM OR CAUSE OF ACTION BASED UPON OR ARISING OUT OF OR RELATED TO THIS NOTE AND THE OTHER LOAN DOCUMENTS.</w:t>
      </w:r>
    </w:p>
    <w:p>
      <w:pPr>
        <w:spacing w:after="0" w:line="194" w:lineRule="exact"/>
        <w:rPr>
          <w:sz w:val="20"/>
          <w:szCs w:val="20"/>
          <w:color w:val="auto"/>
        </w:rPr>
      </w:pPr>
    </w:p>
    <w:p>
      <w:pPr>
        <w:jc w:val="both"/>
        <w:ind w:right="479" w:firstLine="648"/>
        <w:spacing w:after="0" w:line="234" w:lineRule="auto"/>
        <w:rPr>
          <w:sz w:val="20"/>
          <w:szCs w:val="20"/>
          <w:color w:val="auto"/>
        </w:rPr>
      </w:pPr>
      <w:r>
        <w:rPr>
          <w:rFonts w:ascii="Arial" w:cs="Arial" w:eastAsia="Arial" w:hAnsi="Arial"/>
          <w:sz w:val="22"/>
          <w:szCs w:val="22"/>
          <w:color w:val="auto"/>
        </w:rPr>
        <w:t>IN THE EVENT ANY LEGAL PROCEEDING IS FILED IN A COURT OF THE STATE OF CALIFORNIA (THE “</w:t>
      </w:r>
      <w:r>
        <w:rPr>
          <w:rFonts w:ascii="Arial" w:cs="Arial" w:eastAsia="Arial" w:hAnsi="Arial"/>
          <w:sz w:val="22"/>
          <w:szCs w:val="22"/>
          <w:u w:val="single" w:color="auto"/>
          <w:color w:val="auto"/>
        </w:rPr>
        <w:t>COURT</w:t>
      </w:r>
      <w:r>
        <w:rPr>
          <w:rFonts w:ascii="Arial" w:cs="Arial" w:eastAsia="Arial" w:hAnsi="Arial"/>
          <w:sz w:val="22"/>
          <w:szCs w:val="22"/>
          <w:color w:val="auto"/>
        </w:rPr>
        <w:t>”) BY OR AGAINST ANY PARTY IN CONNECTION WITH ANY CONTROVERSY, DISPUTE OR CLAIM DIRECTLY OR INDIRECTLY ARISING OUT OF OR RELATING TO THIS NOTE, THE OTHER LOAN DOCUMENTS OR THE TRANSACTIONS CONTEMPLATED HEREBY (EACH, A “</w:t>
      </w:r>
      <w:r>
        <w:rPr>
          <w:rFonts w:ascii="Arial" w:cs="Arial" w:eastAsia="Arial" w:hAnsi="Arial"/>
          <w:sz w:val="22"/>
          <w:szCs w:val="22"/>
          <w:u w:val="single" w:color="auto"/>
          <w:color w:val="auto"/>
        </w:rPr>
        <w:t>CLAIM</w:t>
      </w:r>
      <w:r>
        <w:rPr>
          <w:rFonts w:ascii="Arial" w:cs="Arial" w:eastAsia="Arial" w:hAnsi="Arial"/>
          <w:sz w:val="22"/>
          <w:szCs w:val="22"/>
          <w:color w:val="auto"/>
        </w:rPr>
        <w:t>”) AND THE WAIVER SET FORTH IN THE PRECEEDING PARAGRAPH IS NOT ENFORCEABLE IN SUCH ACTION OR PROCEEDING, BORROWER AND, BY ITS ACCEPTANCE HEREOF, LENDER, HEREBY AGREE AS FOLLOWS:</w:t>
      </w:r>
    </w:p>
    <w:p>
      <w:pPr>
        <w:spacing w:after="0" w:line="218" w:lineRule="exact"/>
        <w:rPr>
          <w:sz w:val="20"/>
          <w:szCs w:val="20"/>
          <w:color w:val="auto"/>
        </w:rPr>
      </w:pPr>
    </w:p>
    <w:p>
      <w:pPr>
        <w:jc w:val="both"/>
        <w:ind w:right="479" w:firstLine="656"/>
        <w:spacing w:after="0" w:line="238" w:lineRule="auto"/>
        <w:tabs>
          <w:tab w:leader="none" w:pos="995" w:val="left"/>
        </w:tabs>
        <w:numPr>
          <w:ilvl w:val="1"/>
          <w:numId w:val="35"/>
        </w:numPr>
        <w:rPr>
          <w:rFonts w:ascii="Arial" w:cs="Arial" w:eastAsia="Arial" w:hAnsi="Arial"/>
          <w:sz w:val="22"/>
          <w:szCs w:val="22"/>
          <w:color w:val="auto"/>
        </w:rPr>
      </w:pPr>
      <w:r>
        <w:rPr>
          <w:rFonts w:ascii="Arial" w:cs="Arial" w:eastAsia="Arial" w:hAnsi="Arial"/>
          <w:sz w:val="22"/>
          <w:szCs w:val="22"/>
          <w:color w:val="auto"/>
        </w:rPr>
        <w:t>WITH THE EXCEPTION OF THE MATTERS SPECIFIED IN SUBPARAGRAPH 2 BELOW, ANY CLAIM WILL BE RESOLVED BY A GENERAL REFERENCE PROCEEDING IN ACCORDANCE WITH THE PROVISIONS OF CALIFORNIA CODE OF CIVIL PROCEDURE SECTIONS 638 THROUGH 645.1.</w:t>
      </w:r>
    </w:p>
    <w:p>
      <w:pPr>
        <w:spacing w:after="0" w:line="212" w:lineRule="exact"/>
        <w:rPr>
          <w:rFonts w:ascii="Arial" w:cs="Arial" w:eastAsia="Arial" w:hAnsi="Arial"/>
          <w:sz w:val="22"/>
          <w:szCs w:val="22"/>
          <w:color w:val="auto"/>
        </w:rPr>
      </w:pPr>
    </w:p>
    <w:p>
      <w:pPr>
        <w:ind w:left="980" w:hanging="324"/>
        <w:spacing w:after="0"/>
        <w:tabs>
          <w:tab w:leader="none" w:pos="980"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FOLLOWING MATTERS SHALL NOT BE SUBJECT TO A REFERENCE PROCEEDING:</w:t>
      </w:r>
    </w:p>
    <w:p>
      <w:pPr>
        <w:spacing w:after="0" w:line="42" w:lineRule="exact"/>
        <w:rPr>
          <w:rFonts w:ascii="Arial" w:cs="Arial" w:eastAsia="Arial" w:hAnsi="Arial"/>
          <w:sz w:val="19"/>
          <w:szCs w:val="19"/>
          <w:color w:val="auto"/>
        </w:rPr>
      </w:pPr>
    </w:p>
    <w:p>
      <w:pPr>
        <w:jc w:val="both"/>
        <w:ind w:right="479" w:firstLine="8"/>
        <w:spacing w:after="0" w:line="243" w:lineRule="auto"/>
        <w:tabs>
          <w:tab w:leader="none" w:pos="422" w:val="left"/>
        </w:tabs>
        <w:numPr>
          <w:ilvl w:val="0"/>
          <w:numId w:val="36"/>
        </w:numPr>
        <w:rPr>
          <w:rFonts w:ascii="Arial" w:cs="Arial" w:eastAsia="Arial" w:hAnsi="Arial"/>
          <w:sz w:val="21"/>
          <w:szCs w:val="21"/>
          <w:color w:val="auto"/>
        </w:rPr>
      </w:pPr>
      <w:r>
        <w:rPr>
          <w:rFonts w:ascii="Arial" w:cs="Arial" w:eastAsia="Arial" w:hAnsi="Arial"/>
          <w:sz w:val="21"/>
          <w:szCs w:val="21"/>
          <w:color w:val="auto"/>
        </w:rPr>
        <w:t>NON-JUDICIAL FORECLOSURE OF ANY SECURITY INTERESTS IN REAL OR PERSONAL PROPERTY, (B) EXERCISE OF SELF-HELP REMEDIES (INCLUDING SET-OFF), (C) APPOINTMENT OF A RECEIVER AND (D) TEMPORARY, PROVISIONAL OR ANCILLARY REMEDIES (INCLUDING WRITS OF ATTACHMENT, WRITS OF POSSESSION, TEMPORARY RESTRAINING ORDERS OR PRELIMINARY INJUNCTIONS). THIS NOTE DOES NOT LIMIT THE RIGHT OF ANY PARTY TO EXERCISE OR OPPOSE ANY OF THE RIGHTS AND REMEDIES DESCRIBED IN CLAUSES (A) - (D) AND ANY SUCH EXERCISE OR OPPOSITION DOES NOT WAIVE THE RIGHT OF ANY PARTY TO A REFERENCE PROCEEDING PURSUANT TO THIS NOTE.</w:t>
      </w:r>
    </w:p>
    <w:p>
      <w:pPr>
        <w:spacing w:after="0" w:line="213" w:lineRule="exact"/>
        <w:rPr>
          <w:rFonts w:ascii="Arial" w:cs="Arial" w:eastAsia="Arial" w:hAnsi="Arial"/>
          <w:sz w:val="21"/>
          <w:szCs w:val="21"/>
          <w:color w:val="auto"/>
        </w:rPr>
      </w:pPr>
    </w:p>
    <w:p>
      <w:pPr>
        <w:jc w:val="both"/>
        <w:ind w:right="479" w:firstLine="656"/>
        <w:spacing w:after="0" w:line="247" w:lineRule="auto"/>
        <w:tabs>
          <w:tab w:leader="none" w:pos="957" w:val="left"/>
        </w:tabs>
        <w:numPr>
          <w:ilvl w:val="1"/>
          <w:numId w:val="36"/>
        </w:numPr>
        <w:rPr>
          <w:rFonts w:ascii="Arial" w:cs="Arial" w:eastAsia="Arial" w:hAnsi="Arial"/>
          <w:sz w:val="21"/>
          <w:szCs w:val="21"/>
          <w:color w:val="auto"/>
        </w:rPr>
      </w:pPr>
      <w:r>
        <w:rPr>
          <w:rFonts w:ascii="Arial" w:cs="Arial" w:eastAsia="Arial" w:hAnsi="Arial"/>
          <w:sz w:val="21"/>
          <w:szCs w:val="21"/>
          <w:color w:val="auto"/>
        </w:rPr>
        <w:t>UPON THE WRITTEN REQUEST OF ANY PARTY, THE PARTIES SHALL SELECT A SINGLE REFEREE, WHO SHALL BE A RETIRED JUDGE OR JUSTICE. IF THE PARTIES DO NOT AGREE UPON A REFEREE WITHIN TEN DAYS OF SUCH WRITTEN REQUEST, THEN, ANY PARTY MAY REQUEST THE COURT TO APPOINT A REFEREE PURSUANT TO CALIFORNIA CODE OF CIVIL PROCEDURE SECTION 640(B). A REQUEST FOR APPOINTMENT OF A REFEREE MAY BE HEARD ON AN EX PARTE OR EXPEDITED BASIS, AND THE PARTIES AGREE THAT IRREPARABLE HARM WOULD RESULT IF EX PARTE RELIEF IS NOT GRANTED.</w:t>
      </w:r>
    </w:p>
    <w:p>
      <w:pPr>
        <w:spacing w:after="0" w:line="205" w:lineRule="exact"/>
        <w:rPr>
          <w:rFonts w:ascii="Arial" w:cs="Arial" w:eastAsia="Arial" w:hAnsi="Arial"/>
          <w:sz w:val="21"/>
          <w:szCs w:val="21"/>
          <w:color w:val="auto"/>
        </w:rPr>
      </w:pPr>
    </w:p>
    <w:p>
      <w:pPr>
        <w:jc w:val="both"/>
        <w:ind w:right="479" w:firstLine="656"/>
        <w:spacing w:after="0" w:line="277" w:lineRule="auto"/>
        <w:tabs>
          <w:tab w:leader="none" w:pos="954" w:val="left"/>
        </w:tabs>
        <w:numPr>
          <w:ilvl w:val="1"/>
          <w:numId w:val="36"/>
        </w:numPr>
        <w:rPr>
          <w:rFonts w:ascii="Arial" w:cs="Arial" w:eastAsia="Arial" w:hAnsi="Arial"/>
          <w:sz w:val="19"/>
          <w:szCs w:val="19"/>
          <w:color w:val="auto"/>
        </w:rPr>
      </w:pPr>
      <w:r>
        <w:rPr>
          <w:rFonts w:ascii="Arial" w:cs="Arial" w:eastAsia="Arial" w:hAnsi="Arial"/>
          <w:sz w:val="19"/>
          <w:szCs w:val="19"/>
          <w:color w:val="auto"/>
        </w:rPr>
        <w:t>ALL PROCEEDINGS AND HEARINGS CONDUCTED BEFORE THE REFEREE, EXCEPT FOR TRIAL, SHALL BE CONDUCTED WITHOUT A COURT REPORTER, EXCEPT WHEN ANY PARTY SO REQUESTS, A COURT REPORTER WILL BE USED AND THE REFEREE WILL BE PROVIDED A COURTESY COPY OF THE TRANSCRIPT. THE PARTY MAKING SUCH REQUEST SHALL HAVE THE OBLIGATION TO ARRANGE FOR AND PAY COSTS OF THE COURT REPORTER, PROVIDED THAT SUCH COSTS, ALONG WITH THE REFEREE’S FEES, SHALL ULTIMATELY BE BORNE BY THE PARTY WHO DOES NOT PREVAIL, AS DETERMINED BY THE REFEREE.</w:t>
      </w:r>
    </w:p>
    <w:p>
      <w:pPr>
        <w:sectPr>
          <w:pgSz w:w="11900" w:h="16838" w:orient="portrait"/>
          <w:cols w:equalWidth="0" w:num="1">
            <w:col w:w="10219"/>
          </w:cols>
          <w:pgMar w:left="240" w:top="106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479"/>
        <w:spacing w:after="0"/>
        <w:rPr>
          <w:sz w:val="20"/>
          <w:szCs w:val="20"/>
          <w:color w:val="auto"/>
        </w:rPr>
      </w:pPr>
      <w:r>
        <w:rPr>
          <w:rFonts w:ascii="Arial" w:cs="Arial" w:eastAsia="Arial" w:hAnsi="Arial"/>
          <w:sz w:val="21"/>
          <w:szCs w:val="2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6174740" cy="94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063" w:right="1440" w:bottom="1440" w:gutter="0" w:footer="0" w:header="0"/>
          <w:type w:val="continuous"/>
        </w:sectPr>
      </w:pPr>
    </w:p>
    <w:bookmarkStart w:id="38" w:name="page39"/>
    <w:bookmarkEnd w:id="38"/>
    <w:p>
      <w:pPr>
        <w:jc w:val="both"/>
        <w:ind w:right="479" w:firstLine="656"/>
        <w:spacing w:after="0" w:line="247" w:lineRule="auto"/>
        <w:tabs>
          <w:tab w:leader="none" w:pos="958"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REFEREE SHALL APPLY THE RULES OF DISCOVERY AND EVIDENCE APPLICABLE TO PROCEEDINGS AT LAW IN THE STATE OF CALIFORNIA TO THE REFERENCE PROCEEDING AND SHALL DETERMINE ALL ISSUES IN ACCORDANCE WITH APPLICABLE LAW. THE REFEREE SHALL BE EMPOWERED TO ENTER EQUITABLE AS WELL AS LEGAL RELIEF AND RULE ON ANY MOTION WHICH WOULD BE AUTHORIZED IN A TRIAL, INCLUDING MOTIONS FOR DEFAULT JUDGMENT OR SUMMARY JUDGMENT. THE REFEREE SHALL REPORT HIS DECISION, WHICH REPORT SHALL ALSO INCLUDE FINDINGS OF FACT AND CONCLUSIONS OF LAW.</w:t>
      </w:r>
    </w:p>
    <w:p>
      <w:pPr>
        <w:spacing w:after="0" w:line="19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TRANSDEL PHARMACEUTICALS, INC.</w:t>
      </w:r>
    </w:p>
    <w:p>
      <w:pPr>
        <w:spacing w:after="0" w:line="239"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By _______________________________________________</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Name ____________________________________________</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Title 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0219"/>
          </w:cols>
          <w:pgMar w:left="240" w:top="1063" w:right="1440" w:bottom="1440" w:gutter="0" w:footer="0" w:header="0"/>
        </w:sectPr>
      </w:pPr>
    </w:p>
    <w:bookmarkStart w:id="39" w:name="page40"/>
    <w:bookmarkEnd w:id="39"/>
    <w:p>
      <w:pPr>
        <w:jc w:val="center"/>
        <w:ind w:right="479"/>
        <w:spacing w:after="0"/>
        <w:rPr>
          <w:sz w:val="20"/>
          <w:szCs w:val="20"/>
          <w:color w:val="auto"/>
        </w:rPr>
      </w:pPr>
      <w:r>
        <w:rPr>
          <w:rFonts w:ascii="Arial" w:cs="Arial" w:eastAsia="Arial" w:hAnsi="Arial"/>
          <w:sz w:val="22"/>
          <w:szCs w:val="22"/>
          <w:color w:val="auto"/>
        </w:rPr>
        <w:t>Exhibit 10.2</w:t>
      </w:r>
    </w:p>
    <w:p>
      <w:pPr>
        <w:spacing w:after="0" w:line="228"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SECURITY AGREEMENT</w:t>
      </w:r>
    </w:p>
    <w:p>
      <w:pPr>
        <w:spacing w:after="0" w:line="239" w:lineRule="exact"/>
        <w:rPr>
          <w:sz w:val="20"/>
          <w:szCs w:val="20"/>
          <w:color w:val="auto"/>
        </w:rPr>
      </w:pPr>
    </w:p>
    <w:p>
      <w:pPr>
        <w:jc w:val="both"/>
        <w:ind w:right="479" w:firstLine="648"/>
        <w:spacing w:after="0" w:line="258" w:lineRule="auto"/>
        <w:rPr>
          <w:sz w:val="20"/>
          <w:szCs w:val="20"/>
          <w:color w:val="auto"/>
        </w:rPr>
      </w:pPr>
      <w:r>
        <w:rPr>
          <w:rFonts w:ascii="Arial" w:cs="Arial" w:eastAsia="Arial" w:hAnsi="Arial"/>
          <w:sz w:val="21"/>
          <w:szCs w:val="21"/>
          <w:color w:val="auto"/>
        </w:rPr>
        <w:t>THIS SECURITY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December 9, 2011, is made between Transdel Pharmaceuticals, Inc., a Delaware corporation (“</w:t>
      </w:r>
      <w:r>
        <w:rPr>
          <w:rFonts w:ascii="Arial" w:cs="Arial" w:eastAsia="Arial" w:hAnsi="Arial"/>
          <w:sz w:val="21"/>
          <w:szCs w:val="21"/>
          <w:u w:val="single" w:color="auto"/>
          <w:color w:val="auto"/>
        </w:rPr>
        <w:t>Debtor</w:t>
      </w:r>
      <w:r>
        <w:rPr>
          <w:rFonts w:ascii="Arial" w:cs="Arial" w:eastAsia="Arial" w:hAnsi="Arial"/>
          <w:sz w:val="21"/>
          <w:szCs w:val="21"/>
          <w:color w:val="auto"/>
        </w:rPr>
        <w:t>”), in favor of DermaStar International, LLC, a Nevada limited liability company (with its successors and assigns, “</w:t>
      </w:r>
      <w:r>
        <w:rPr>
          <w:rFonts w:ascii="Arial" w:cs="Arial" w:eastAsia="Arial" w:hAnsi="Arial"/>
          <w:sz w:val="21"/>
          <w:szCs w:val="21"/>
          <w:u w:val="single" w:color="auto"/>
          <w:color w:val="auto"/>
        </w:rPr>
        <w:t>Secured Party</w:t>
      </w:r>
      <w:r>
        <w:rPr>
          <w:rFonts w:ascii="Arial" w:cs="Arial" w:eastAsia="Arial" w:hAnsi="Arial"/>
          <w:sz w:val="21"/>
          <w:szCs w:val="21"/>
          <w:color w:val="auto"/>
        </w:rPr>
        <w: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Debtor and Secured Party hereby agree as follows:</w:t>
      </w:r>
    </w:p>
    <w:p>
      <w:pPr>
        <w:spacing w:after="0" w:line="233"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u w:val="single" w:color="auto"/>
          <w:color w:val="auto"/>
        </w:rPr>
        <w:t>SECTION 1</w:t>
      </w:r>
      <w:r>
        <w:rPr>
          <w:sz w:val="20"/>
          <w:szCs w:val="20"/>
          <w:color w:val="auto"/>
        </w:rPr>
        <w:tab/>
      </w:r>
      <w:r>
        <w:rPr>
          <w:rFonts w:ascii="Arial" w:cs="Arial" w:eastAsia="Arial" w:hAnsi="Arial"/>
          <w:sz w:val="19"/>
          <w:szCs w:val="19"/>
          <w:u w:val="single" w:color="auto"/>
          <w:color w:val="auto"/>
        </w:rPr>
        <w:t>Definitions; Interpretation</w:t>
      </w:r>
      <w:r>
        <w:rPr>
          <w:rFonts w:ascii="Arial" w:cs="Arial" w:eastAsia="Arial" w:hAnsi="Arial"/>
          <w:sz w:val="19"/>
          <w:szCs w:val="19"/>
          <w:color w:val="auto"/>
        </w:rPr>
        <w:t>.</w:t>
      </w:r>
    </w:p>
    <w:p>
      <w:pPr>
        <w:spacing w:after="0" w:line="233" w:lineRule="exact"/>
        <w:rPr>
          <w:sz w:val="20"/>
          <w:szCs w:val="20"/>
          <w:color w:val="auto"/>
        </w:rPr>
      </w:pPr>
    </w:p>
    <w:p>
      <w:pPr>
        <w:ind w:right="479" w:firstLine="1305"/>
        <w:spacing w:after="0" w:line="251" w:lineRule="auto"/>
        <w:tabs>
          <w:tab w:leader="none" w:pos="1594" w:val="left"/>
        </w:tabs>
        <w:numPr>
          <w:ilvl w:val="0"/>
          <w:numId w:val="38"/>
        </w:numPr>
        <w:rPr>
          <w:rFonts w:ascii="Arial" w:cs="Arial" w:eastAsia="Arial" w:hAnsi="Arial"/>
          <w:sz w:val="22"/>
          <w:szCs w:val="22"/>
          <w:color w:val="auto"/>
        </w:rPr>
      </w:pPr>
      <w:r>
        <w:rPr>
          <w:rFonts w:ascii="Arial" w:cs="Arial" w:eastAsia="Arial" w:hAnsi="Arial"/>
          <w:sz w:val="22"/>
          <w:szCs w:val="22"/>
          <w:color w:val="auto"/>
        </w:rPr>
        <w:t>All capitalized terms used in this Agreement and not otherwise defined herein shall have the meanings assigned to them in the Letter Agreement.</w:t>
      </w:r>
    </w:p>
    <w:p>
      <w:pPr>
        <w:spacing w:after="0" w:line="200" w:lineRule="exact"/>
        <w:rPr>
          <w:rFonts w:ascii="Arial" w:cs="Arial" w:eastAsia="Arial" w:hAnsi="Arial"/>
          <w:sz w:val="22"/>
          <w:szCs w:val="22"/>
          <w:color w:val="auto"/>
        </w:rPr>
      </w:pPr>
    </w:p>
    <w:p>
      <w:pPr>
        <w:ind w:left="1600" w:hanging="295"/>
        <w:spacing w:after="0"/>
        <w:tabs>
          <w:tab w:leader="none" w:pos="16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As used in this Agreement, the following terms shall have the following meanings: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w:t>
      </w:r>
      <w:r>
        <w:rPr>
          <w:rFonts w:ascii="Arial" w:cs="Arial" w:eastAsia="Arial" w:hAnsi="Arial"/>
          <w:sz w:val="22"/>
          <w:szCs w:val="22"/>
          <w:color w:val="auto"/>
        </w:rPr>
        <w:t>.</w:t>
      </w:r>
    </w:p>
    <w:p>
      <w:pPr>
        <w:spacing w:after="0" w:line="233" w:lineRule="exact"/>
        <w:rPr>
          <w:sz w:val="20"/>
          <w:szCs w:val="20"/>
          <w:color w:val="auto"/>
        </w:rPr>
      </w:pPr>
    </w:p>
    <w:p>
      <w:pPr>
        <w:jc w:val="both"/>
        <w:ind w:right="47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Documents</w:t>
      </w:r>
      <w:r>
        <w:rPr>
          <w:rFonts w:ascii="Arial" w:cs="Arial" w:eastAsia="Arial" w:hAnsi="Arial"/>
          <w:sz w:val="22"/>
          <w:szCs w:val="22"/>
          <w:color w:val="auto"/>
        </w:rPr>
        <w:t>” means this Agreement, the Letter Agreement, the Notes, the Intellectual Property Security Agreement and all other certificates, documents, agreements and instruments delivered to Secured Party under the Note or in connection with the Obligations.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233" w:lineRule="exact"/>
        <w:rPr>
          <w:sz w:val="20"/>
          <w:szCs w:val="20"/>
          <w:color w:val="auto"/>
        </w:rPr>
      </w:pPr>
    </w:p>
    <w:p>
      <w:pPr>
        <w:jc w:val="both"/>
        <w:ind w:right="49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Agreement</w:t>
      </w:r>
      <w:r>
        <w:rPr>
          <w:rFonts w:ascii="Arial" w:cs="Arial" w:eastAsia="Arial" w:hAnsi="Arial"/>
          <w:sz w:val="22"/>
          <w:szCs w:val="22"/>
          <w:color w:val="auto"/>
        </w:rPr>
        <w:t>” means that certain line of credit letter agreement, dated November 21, 2011, between Debtor and Secured Party in connection with the Notes.</w:t>
      </w:r>
    </w:p>
    <w:p>
      <w:pPr>
        <w:spacing w:after="0" w:line="200" w:lineRule="exact"/>
        <w:rPr>
          <w:sz w:val="20"/>
          <w:szCs w:val="20"/>
          <w:color w:val="auto"/>
        </w:rPr>
      </w:pPr>
    </w:p>
    <w:p>
      <w:pPr>
        <w:jc w:val="both"/>
        <w:ind w:right="49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deed of trust, pledge, security interest, assignment, deposit arrangement, charge or encumbrance, lien, or other type of preferential arrangement.</w:t>
      </w:r>
    </w:p>
    <w:p>
      <w:pPr>
        <w:spacing w:after="0" w:line="200" w:lineRule="exact"/>
        <w:rPr>
          <w:sz w:val="20"/>
          <w:szCs w:val="20"/>
          <w:color w:val="auto"/>
        </w:rPr>
      </w:pPr>
    </w:p>
    <w:p>
      <w:pPr>
        <w:jc w:val="both"/>
        <w:ind w:right="499"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Note</w:t>
      </w:r>
      <w:r>
        <w:rPr>
          <w:rFonts w:ascii="Arial" w:cs="Arial" w:eastAsia="Arial" w:hAnsi="Arial"/>
          <w:sz w:val="21"/>
          <w:szCs w:val="21"/>
          <w:color w:val="auto"/>
        </w:rPr>
        <w:t>” means each certain Secured Promissory Note issued by Debtor in favor of Secured Party, as each such Note may be amended, modified, renewed, extended or replaced from time to time.</w:t>
      </w:r>
    </w:p>
    <w:p>
      <w:pPr>
        <w:spacing w:after="0" w:line="178" w:lineRule="exact"/>
        <w:rPr>
          <w:sz w:val="20"/>
          <w:szCs w:val="20"/>
          <w:color w:val="auto"/>
        </w:rPr>
      </w:pPr>
    </w:p>
    <w:p>
      <w:pPr>
        <w:jc w:val="both"/>
        <w:ind w:right="479"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the indebtedness, liabilities and other obligations of Debtor to Secured Party under or in connection with this Agreement, the Letter Agreement, the Notes and the other Documents, including, without limitation, all unpaid principal of the Notes, all interest accrued thereon, all fees and all other amounts payable by Debtor to Secured Party thereunder or in connection therewith, whether now existing or hereafter arising, and whether due or to become due, absolute or contingent, liquidated or unliquidated, determined or undetermined, and including interest that accrues after the commencement by or against Debtor of any bankruptcy or insolvency proceeding naming such Person as the debtor in such proceeding.</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 and LLC Collateral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w:t>
      </w:r>
      <w:r>
        <w:rPr>
          <w:rFonts w:ascii="Arial" w:cs="Arial" w:eastAsia="Arial" w:hAnsi="Arial"/>
          <w:sz w:val="22"/>
          <w:szCs w:val="22"/>
          <w:color w:val="auto"/>
        </w:rPr>
        <w:t>.</w:t>
      </w:r>
    </w:p>
    <w:p>
      <w:pPr>
        <w:spacing w:after="0" w:line="233" w:lineRule="exact"/>
        <w:rPr>
          <w:sz w:val="20"/>
          <w:szCs w:val="20"/>
          <w:color w:val="auto"/>
        </w:rPr>
      </w:pPr>
    </w:p>
    <w:p>
      <w:pPr>
        <w:jc w:val="both"/>
        <w:ind w:right="499"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Lien</w:t>
      </w:r>
      <w:r>
        <w:rPr>
          <w:rFonts w:ascii="Arial" w:cs="Arial" w:eastAsia="Arial" w:hAnsi="Arial"/>
          <w:sz w:val="21"/>
          <w:szCs w:val="21"/>
          <w:color w:val="auto"/>
        </w:rPr>
        <w:t xml:space="preserve">” means (i) any Lien in favor of the Secured Party; (ii) any Lien that is subordinate to the Lien on the Collateral created by this Agreement; (iii) any Liens existing as of the date hereof and set forth on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hereto; and (iv) other Liens which arise in the ordinary course of business and do not materially impair Debtor’s ownership or use of the Collateral or the value thereof.</w:t>
      </w:r>
    </w:p>
    <w:p>
      <w:pPr>
        <w:spacing w:after="0" w:line="201" w:lineRule="exact"/>
        <w:rPr>
          <w:sz w:val="20"/>
          <w:szCs w:val="20"/>
          <w:color w:val="auto"/>
        </w:rPr>
      </w:pPr>
    </w:p>
    <w:p>
      <w:pPr>
        <w:jc w:val="both"/>
        <w:ind w:right="479"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 individual, corporation, partnership, joint venture, trust, unincorporated organization, governmental agency or authority, or any other entity of whatever nature.</w:t>
      </w:r>
    </w:p>
    <w:p>
      <w:pPr>
        <w:spacing w:after="0" w:line="178" w:lineRule="exact"/>
        <w:rPr>
          <w:sz w:val="20"/>
          <w:szCs w:val="20"/>
          <w:color w:val="auto"/>
        </w:rPr>
      </w:pPr>
    </w:p>
    <w:p>
      <w:pPr>
        <w:jc w:val="both"/>
        <w:ind w:right="49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Collateral</w:t>
      </w:r>
      <w:r>
        <w:rPr>
          <w:rFonts w:ascii="Arial" w:cs="Arial" w:eastAsia="Arial" w:hAnsi="Arial"/>
          <w:sz w:val="22"/>
          <w:szCs w:val="22"/>
          <w:color w:val="auto"/>
        </w:rPr>
        <w:t>” means Debtor’s (i) investment property and (ii) Partnership and LLC Collateral, including any ownership interests in any subsidiaries of Debtor.</w:t>
      </w:r>
    </w:p>
    <w:p>
      <w:pPr>
        <w:spacing w:after="0" w:line="200" w:lineRule="exact"/>
        <w:rPr>
          <w:sz w:val="20"/>
          <w:szCs w:val="20"/>
          <w:color w:val="auto"/>
        </w:rPr>
      </w:pPr>
    </w:p>
    <w:p>
      <w:pPr>
        <w:jc w:val="both"/>
        <w:ind w:right="47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Collateral Agreement</w:t>
      </w:r>
      <w:r>
        <w:rPr>
          <w:rFonts w:ascii="Arial" w:cs="Arial" w:eastAsia="Arial" w:hAnsi="Arial"/>
          <w:sz w:val="22"/>
          <w:szCs w:val="22"/>
          <w:color w:val="auto"/>
        </w:rPr>
        <w:t>” means any shareholder agreement, operating agreement, partnership agreement, voting trust, proxy agreement or other agreement or understanding with respect to any Pledged Collateral.</w:t>
      </w:r>
    </w:p>
    <w:p>
      <w:pPr>
        <w:spacing w:after="0" w:line="213" w:lineRule="exact"/>
        <w:rPr>
          <w:sz w:val="20"/>
          <w:szCs w:val="20"/>
          <w:color w:val="auto"/>
        </w:rPr>
      </w:pPr>
    </w:p>
    <w:p>
      <w:pPr>
        <w:jc w:val="both"/>
        <w:ind w:right="49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means the Uniform Commercial Code as the same may, from time to time, be in effect in the State of California.</w:t>
      </w:r>
    </w:p>
    <w:p>
      <w:pPr>
        <w:spacing w:after="0" w:line="200" w:lineRule="exact"/>
        <w:rPr>
          <w:sz w:val="20"/>
          <w:szCs w:val="20"/>
          <w:color w:val="auto"/>
        </w:rPr>
      </w:pPr>
    </w:p>
    <w:p>
      <w:pPr>
        <w:ind w:right="499" w:firstLine="1305"/>
        <w:spacing w:after="0" w:line="251" w:lineRule="auto"/>
        <w:tabs>
          <w:tab w:leader="none" w:pos="1594" w:val="left"/>
        </w:tabs>
        <w:numPr>
          <w:ilvl w:val="0"/>
          <w:numId w:val="39"/>
        </w:numPr>
        <w:rPr>
          <w:rFonts w:ascii="Arial" w:cs="Arial" w:eastAsia="Arial" w:hAnsi="Arial"/>
          <w:sz w:val="22"/>
          <w:szCs w:val="22"/>
          <w:color w:val="auto"/>
        </w:rPr>
      </w:pPr>
      <w:r>
        <w:rPr>
          <w:rFonts w:ascii="Arial" w:cs="Arial" w:eastAsia="Arial" w:hAnsi="Arial"/>
          <w:sz w:val="22"/>
          <w:szCs w:val="22"/>
          <w:color w:val="auto"/>
        </w:rPr>
        <w:t>Where applicable and except as otherwise defined herein, terms used in this Agreement shall have the meanings assigned to them in the UCC.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6174740" cy="946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554" w:gutter="0" w:footer="0" w:header="0"/>
        </w:sectPr>
      </w:pPr>
    </w:p>
    <w:bookmarkStart w:id="40" w:name="page41"/>
    <w:bookmarkEnd w:id="40"/>
    <w:p>
      <w:pPr>
        <w:jc w:val="both"/>
        <w:ind w:right="499" w:firstLine="1305"/>
        <w:spacing w:after="0"/>
        <w:tabs>
          <w:tab w:leader="none" w:pos="1594"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 this Agreement, (i) the meaning of defined terms shall be equally applicable to both the singular and plural forms of the terms defined; and (ii) the captions and headings are for convenience of reference only and shall not affect the construction of this Agreement.</w:t>
      </w:r>
    </w:p>
    <w:p>
      <w:pPr>
        <w:spacing w:after="0" w:line="213" w:lineRule="exact"/>
        <w:rPr>
          <w:sz w:val="20"/>
          <w:szCs w:val="20"/>
          <w:color w:val="auto"/>
        </w:rPr>
      </w:pPr>
    </w:p>
    <w:p>
      <w:pPr>
        <w:jc w:val="both"/>
        <w:ind w:right="479" w:firstLine="1297"/>
        <w:spacing w:after="0" w:line="270" w:lineRule="auto"/>
        <w:rPr>
          <w:sz w:val="20"/>
          <w:szCs w:val="20"/>
          <w:color w:val="auto"/>
        </w:rPr>
      </w:pPr>
      <w:r>
        <w:rPr>
          <w:rFonts w:ascii="Arial" w:cs="Arial" w:eastAsia="Arial" w:hAnsi="Arial"/>
          <w:sz w:val="19"/>
          <w:szCs w:val="19"/>
          <w:u w:val="single" w:color="auto"/>
          <w:color w:val="auto"/>
        </w:rPr>
        <w:t>SECTION 2 Security Interest</w:t>
      </w:r>
      <w:r>
        <w:rPr>
          <w:rFonts w:ascii="Arial" w:cs="Arial" w:eastAsia="Arial" w:hAnsi="Arial"/>
          <w:sz w:val="19"/>
          <w:szCs w:val="19"/>
          <w:color w:val="auto"/>
        </w:rPr>
        <w:t>. As security for the payment and performance of the Obligations, Debtor hereby grants to Secured Party a security interest in all of Debtor’s right, title and interest in, to and under all of its personal property, wherever located and whether now existing or owned or hereafter acquired or arising, including all accounts, chattel paper, commercial tort claims, deposit accounts, documents, equipment (including all fixtures), general intangibles, instruments, inventory, investment property, letter-of-credit rights, other goods, money and all products, proceeds and supporting obligations of any and all of the foregoing (collectively, the “</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This Agreement shall create a continuing security interest in the Collateral which shall remain in effect until terminated in accordance with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hereof. Anything herein to the contrary notwithstanding, in no event shall the Collateral include, and Debtor shall not be deemed to have granted a security interest in, any of Debtor’s right, title or interest in any of the outstanding voting capital stock or other ownership interests of a Controlled Foreign Corporation (as defined below) in excess of 65% of the voting power of all classes of capital stock or other ownership interests of such Controlled Foreign Corporation entitled to vote;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immediately upon the amendment of the Internal Revenue Code to allow the pledge of a greater percentage of the voting power of capital stock or other ownership interests in a Controlled Foreign Corporation without adverse tax consequences, the Collateral shall include, and Debtor shall be deemed to have granted a security interest in, such greater percentage of capital stock or other ownership interests of each Controlled Foreign Corporation; and (ii) if no adverse tax consequences to Debtor shall arise or exist in connection with the pledge of any Controlled Foreign Corporation, the Collateral shall include, and Debtor shall be deemed to have granted a security interest in, such Controlled Foreign Corporation. As used herein, “Controlled Foreign Corporation” shall mean a “controlled foreign corporation” as defined in the Internal Revenue Code.</w:t>
      </w:r>
    </w:p>
    <w:p>
      <w:pPr>
        <w:spacing w:after="0" w:line="200" w:lineRule="exact"/>
        <w:rPr>
          <w:sz w:val="20"/>
          <w:szCs w:val="20"/>
          <w:color w:val="auto"/>
        </w:rPr>
      </w:pPr>
    </w:p>
    <w:p>
      <w:pPr>
        <w:spacing w:after="0" w:line="232"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u w:val="single" w:color="auto"/>
          <w:color w:val="auto"/>
        </w:rPr>
        <w:t>SECTION 3</w:t>
      </w:r>
      <w:r>
        <w:rPr>
          <w:sz w:val="20"/>
          <w:szCs w:val="20"/>
          <w:color w:val="auto"/>
        </w:rPr>
        <w:tab/>
      </w:r>
      <w:r>
        <w:rPr>
          <w:rFonts w:ascii="Arial" w:cs="Arial" w:eastAsia="Arial" w:hAnsi="Arial"/>
          <w:sz w:val="19"/>
          <w:szCs w:val="19"/>
          <w:u w:val="single" w:color="auto"/>
          <w:color w:val="auto"/>
        </w:rPr>
        <w:t>Financing Statements and Other Action</w:t>
      </w:r>
      <w:r>
        <w:rPr>
          <w:rFonts w:ascii="Arial" w:cs="Arial" w:eastAsia="Arial" w:hAnsi="Arial"/>
          <w:sz w:val="19"/>
          <w:szCs w:val="19"/>
          <w:color w:val="auto"/>
        </w:rPr>
        <w:t>.</w:t>
      </w:r>
    </w:p>
    <w:p>
      <w:pPr>
        <w:spacing w:after="0" w:line="233" w:lineRule="exact"/>
        <w:rPr>
          <w:sz w:val="20"/>
          <w:szCs w:val="20"/>
          <w:color w:val="auto"/>
        </w:rPr>
      </w:pPr>
    </w:p>
    <w:p>
      <w:pPr>
        <w:jc w:val="both"/>
        <w:ind w:right="479" w:firstLine="1305"/>
        <w:spacing w:after="0" w:line="274" w:lineRule="auto"/>
        <w:tabs>
          <w:tab w:leader="none" w:pos="1594" w:val="left"/>
        </w:tabs>
        <w:numPr>
          <w:ilvl w:val="0"/>
          <w:numId w:val="41"/>
        </w:numPr>
        <w:rPr>
          <w:rFonts w:ascii="Arial" w:cs="Arial" w:eastAsia="Arial" w:hAnsi="Arial"/>
          <w:sz w:val="19"/>
          <w:szCs w:val="19"/>
          <w:color w:val="auto"/>
        </w:rPr>
      </w:pPr>
      <w:r>
        <w:rPr>
          <w:rFonts w:ascii="Arial" w:cs="Arial" w:eastAsia="Arial" w:hAnsi="Arial"/>
          <w:sz w:val="19"/>
          <w:szCs w:val="19"/>
          <w:color w:val="auto"/>
        </w:rPr>
        <w:t>Debtor hereby authorizes Secured Party to file at any time and from time to time any financing statements describing the Collateral, and Debtor shall execute and deliver to Secured Party, and Debtor hereby authorizes Secured Party to file (with or without Debtor’s signature), at any time and from time to time, all amendments to financing statements, assignments, continuation financing statements, termination statements, account control agreements, and other documents and instruments, in form reasonably satisfactory to Secured Party, as Secured Party may reasonably request, to perfect and continue perfected, maintain the priority of or provide notice of the security interest of Secured Party in the Collateral and to accomplish the purposes of this Agreement. Without limiting the generality of the foregoing, Debtor ratifies and authorizes the filing by Secured Party of any financing statements filed prior to the date hereof.</w:t>
      </w:r>
    </w:p>
    <w:p>
      <w:pPr>
        <w:spacing w:after="0" w:line="185" w:lineRule="exact"/>
        <w:rPr>
          <w:rFonts w:ascii="Arial" w:cs="Arial" w:eastAsia="Arial" w:hAnsi="Arial"/>
          <w:sz w:val="19"/>
          <w:szCs w:val="19"/>
          <w:color w:val="auto"/>
        </w:rPr>
      </w:pPr>
    </w:p>
    <w:p>
      <w:pPr>
        <w:jc w:val="both"/>
        <w:ind w:right="499" w:firstLine="1305"/>
        <w:spacing w:after="0"/>
        <w:tabs>
          <w:tab w:leader="none" w:pos="1594" w:val="left"/>
        </w:tabs>
        <w:numPr>
          <w:ilvl w:val="0"/>
          <w:numId w:val="41"/>
        </w:numPr>
        <w:rPr>
          <w:rFonts w:ascii="Arial" w:cs="Arial" w:eastAsia="Arial" w:hAnsi="Arial"/>
          <w:sz w:val="22"/>
          <w:szCs w:val="22"/>
          <w:color w:val="auto"/>
        </w:rPr>
      </w:pPr>
      <w:r>
        <w:rPr>
          <w:rFonts w:ascii="Arial" w:cs="Arial" w:eastAsia="Arial" w:hAnsi="Arial"/>
          <w:sz w:val="22"/>
          <w:szCs w:val="22"/>
          <w:color w:val="auto"/>
        </w:rPr>
        <w:t>Debtor will join with Secured Party in notifying any third party who has possession of any Collateral of Secured Party’s security interest therein and obtaining an acknowledgment from the third party that it is holding the Collateral for the benefit of Secured Party.</w:t>
      </w:r>
    </w:p>
    <w:p>
      <w:pPr>
        <w:spacing w:after="0" w:line="213" w:lineRule="exact"/>
        <w:rPr>
          <w:rFonts w:ascii="Arial" w:cs="Arial" w:eastAsia="Arial" w:hAnsi="Arial"/>
          <w:sz w:val="22"/>
          <w:szCs w:val="22"/>
          <w:color w:val="auto"/>
        </w:rPr>
      </w:pPr>
    </w:p>
    <w:p>
      <w:pPr>
        <w:jc w:val="both"/>
        <w:ind w:right="499" w:firstLine="1305"/>
        <w:spacing w:after="0" w:line="238" w:lineRule="auto"/>
        <w:tabs>
          <w:tab w:leader="none" w:pos="1594" w:val="left"/>
        </w:tabs>
        <w:numPr>
          <w:ilvl w:val="0"/>
          <w:numId w:val="41"/>
        </w:numPr>
        <w:rPr>
          <w:rFonts w:ascii="Arial" w:cs="Arial" w:eastAsia="Arial" w:hAnsi="Arial"/>
          <w:sz w:val="22"/>
          <w:szCs w:val="22"/>
          <w:color w:val="auto"/>
        </w:rPr>
      </w:pPr>
      <w:r>
        <w:rPr>
          <w:rFonts w:ascii="Arial" w:cs="Arial" w:eastAsia="Arial" w:hAnsi="Arial"/>
          <w:sz w:val="22"/>
          <w:szCs w:val="22"/>
          <w:color w:val="auto"/>
        </w:rPr>
        <w:t>Upon request of Secured Party, Debtor shall (i) cause certificates to be issued in respect of any uncertificated Pledged Collateral, (ii) exchange certificated Pledged Collateral for certificates of larger or smaller denominations, and (iii) cause any securities intermediaries to show on their books that Secured Party is the entitlement holder with respect to any Pledged Collateral.</w:t>
      </w:r>
    </w:p>
    <w:p>
      <w:pPr>
        <w:spacing w:after="0" w:line="212" w:lineRule="exact"/>
        <w:rPr>
          <w:rFonts w:ascii="Arial" w:cs="Arial" w:eastAsia="Arial" w:hAnsi="Arial"/>
          <w:sz w:val="22"/>
          <w:szCs w:val="22"/>
          <w:color w:val="auto"/>
        </w:rPr>
      </w:pPr>
    </w:p>
    <w:p>
      <w:pPr>
        <w:ind w:right="499" w:firstLine="1305"/>
        <w:spacing w:after="0" w:line="274" w:lineRule="auto"/>
        <w:tabs>
          <w:tab w:leader="none" w:pos="1594" w:val="left"/>
        </w:tabs>
        <w:numPr>
          <w:ilvl w:val="0"/>
          <w:numId w:val="41"/>
        </w:numPr>
        <w:rPr>
          <w:rFonts w:ascii="Arial" w:cs="Arial" w:eastAsia="Arial" w:hAnsi="Arial"/>
          <w:sz w:val="21"/>
          <w:szCs w:val="21"/>
          <w:color w:val="auto"/>
        </w:rPr>
      </w:pPr>
      <w:r>
        <w:rPr>
          <w:rFonts w:ascii="Arial" w:cs="Arial" w:eastAsia="Arial" w:hAnsi="Arial"/>
          <w:sz w:val="21"/>
          <w:szCs w:val="21"/>
          <w:color w:val="auto"/>
        </w:rPr>
        <w:t>Debtor will not create any chattel paper without placing a legend on the chattel paper acceptable to Secured Party indicating that Secured Party has a security interest in the chattel paper.</w:t>
      </w:r>
    </w:p>
    <w:p>
      <w:pPr>
        <w:spacing w:after="0" w:line="17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u w:val="single" w:color="auto"/>
          <w:color w:val="auto"/>
        </w:rPr>
        <w:t>SECTION 4</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Debtor represents and warrants to Secured Party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15" w:lineRule="exact"/>
        <w:rPr>
          <w:sz w:val="20"/>
          <w:szCs w:val="20"/>
          <w:color w:val="auto"/>
        </w:rPr>
      </w:pPr>
    </w:p>
    <w:p>
      <w:pPr>
        <w:jc w:val="both"/>
        <w:ind w:right="499" w:firstLine="1305"/>
        <w:spacing w:after="0"/>
        <w:tabs>
          <w:tab w:leader="none" w:pos="1594" w:val="left"/>
        </w:tabs>
        <w:numPr>
          <w:ilvl w:val="0"/>
          <w:numId w:val="42"/>
        </w:numPr>
        <w:rPr>
          <w:rFonts w:ascii="Arial" w:cs="Arial" w:eastAsia="Arial" w:hAnsi="Arial"/>
          <w:sz w:val="22"/>
          <w:szCs w:val="22"/>
          <w:color w:val="auto"/>
        </w:rPr>
      </w:pPr>
      <w:r>
        <w:rPr>
          <w:rFonts w:ascii="Arial" w:cs="Arial" w:eastAsia="Arial" w:hAnsi="Arial"/>
          <w:sz w:val="22"/>
          <w:szCs w:val="22"/>
          <w:color w:val="auto"/>
        </w:rPr>
        <w:t>Debtor is duly organized, validly existing and in good standing under the law of the jurisdiction of its organization and has all requisite power and authority to execute, deliver and perform its obligations under this Agreement.</w:t>
      </w:r>
    </w:p>
    <w:p>
      <w:pPr>
        <w:spacing w:after="0" w:line="213" w:lineRule="exact"/>
        <w:rPr>
          <w:rFonts w:ascii="Arial" w:cs="Arial" w:eastAsia="Arial" w:hAnsi="Arial"/>
          <w:sz w:val="22"/>
          <w:szCs w:val="22"/>
          <w:color w:val="auto"/>
        </w:rPr>
      </w:pPr>
    </w:p>
    <w:p>
      <w:pPr>
        <w:jc w:val="both"/>
        <w:ind w:right="499" w:firstLine="1305"/>
        <w:spacing w:after="0"/>
        <w:tabs>
          <w:tab w:leader="none" w:pos="1594"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execution, delivery and performance by Debtor of this Agreement have been duly authorized by all necessary action of Debtor, and this Agreement constitutes the legal, valid and binding obligation of Debtor, enforceable against Debtor in accordance with its terms.</w:t>
      </w:r>
    </w:p>
    <w:p>
      <w:pPr>
        <w:spacing w:after="0" w:line="213" w:lineRule="exact"/>
        <w:rPr>
          <w:rFonts w:ascii="Arial" w:cs="Arial" w:eastAsia="Arial" w:hAnsi="Arial"/>
          <w:sz w:val="22"/>
          <w:szCs w:val="22"/>
          <w:color w:val="auto"/>
        </w:rPr>
      </w:pPr>
    </w:p>
    <w:p>
      <w:pPr>
        <w:jc w:val="both"/>
        <w:ind w:right="499" w:firstLine="1305"/>
        <w:spacing w:after="0" w:line="238" w:lineRule="auto"/>
        <w:tabs>
          <w:tab w:leader="none" w:pos="1594" w:val="left"/>
        </w:tabs>
        <w:numPr>
          <w:ilvl w:val="0"/>
          <w:numId w:val="42"/>
        </w:numPr>
        <w:rPr>
          <w:rFonts w:ascii="Arial" w:cs="Arial" w:eastAsia="Arial" w:hAnsi="Arial"/>
          <w:sz w:val="22"/>
          <w:szCs w:val="22"/>
          <w:color w:val="auto"/>
        </w:rPr>
      </w:pPr>
      <w:r>
        <w:rPr>
          <w:rFonts w:ascii="Arial" w:cs="Arial" w:eastAsia="Arial" w:hAnsi="Arial"/>
          <w:sz w:val="22"/>
          <w:szCs w:val="22"/>
          <w:color w:val="auto"/>
        </w:rPr>
        <w:t>No authorization, consent, approval, license, exemption of, or filing or registration with, any governmental authority or agency, or approval or consent of any other Person, is required for the due execution, delivery or performance by Debtor of this Agreement, except for any filings necessary to perfect any Liens on any Collateral.</w:t>
      </w:r>
    </w:p>
    <w:p>
      <w:pPr>
        <w:sectPr>
          <w:pgSz w:w="11900" w:h="16838" w:orient="portrait"/>
          <w:cols w:equalWidth="0" w:num="1">
            <w:col w:w="10219"/>
          </w:cols>
          <w:pgMar w:left="240" w:top="361" w:right="1440" w:bottom="80" w:gutter="0" w:footer="0" w:header="0"/>
        </w:sectPr>
      </w:pPr>
    </w:p>
    <w:bookmarkStart w:id="41" w:name="page42"/>
    <w:bookmarkEnd w:id="41"/>
    <w:p>
      <w:pPr>
        <w:ind w:left="36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224155</wp:posOffset>
            </wp:positionV>
            <wp:extent cx="6174740" cy="946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2" w:name="page43"/>
    <w:bookmarkEnd w:id="42"/>
    <w:p>
      <w:pPr>
        <w:jc w:val="both"/>
        <w:ind w:right="479" w:firstLine="1305"/>
        <w:spacing w:after="0" w:line="236" w:lineRule="auto"/>
        <w:tabs>
          <w:tab w:leader="none" w:pos="1594"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Debtor’s chief executive office and principal place of business (as of the date of this Agreement) is located at the address set forth in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Debtor’s jurisdiction of organization and organizational identification number are set forth in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Debtor’s exact legal name is as set forth in the first paragraph of this Agreement; and all other locations where Debtor conducts business or Collateral is kept (as of the date of this Agreement) are set forth in </w:t>
      </w:r>
      <w:r>
        <w:rPr>
          <w:rFonts w:ascii="Arial" w:cs="Arial" w:eastAsia="Arial" w:hAnsi="Arial"/>
          <w:sz w:val="22"/>
          <w:szCs w:val="22"/>
          <w:u w:val="single" w:color="auto"/>
          <w:color w:val="auto"/>
        </w:rPr>
        <w:t>Schedule 2</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ind w:right="499" w:firstLine="1305"/>
        <w:spacing w:after="0" w:line="251" w:lineRule="auto"/>
        <w:tabs>
          <w:tab w:leader="none" w:pos="1594" w:val="left"/>
        </w:tabs>
        <w:numPr>
          <w:ilvl w:val="0"/>
          <w:numId w:val="43"/>
        </w:numPr>
        <w:rPr>
          <w:rFonts w:ascii="Arial" w:cs="Arial" w:eastAsia="Arial" w:hAnsi="Arial"/>
          <w:sz w:val="22"/>
          <w:szCs w:val="22"/>
          <w:color w:val="auto"/>
        </w:rPr>
      </w:pPr>
      <w:r>
        <w:rPr>
          <w:rFonts w:ascii="Arial" w:cs="Arial" w:eastAsia="Arial" w:hAnsi="Arial"/>
          <w:sz w:val="22"/>
          <w:szCs w:val="22"/>
          <w:color w:val="auto"/>
        </w:rPr>
        <w:t>Debtor has rights in or the power to transfer the Collateral, and Debtor is the sole and complete owner of the Collateral, free from any Lien other than Permitted Liens.</w:t>
      </w:r>
    </w:p>
    <w:p>
      <w:pPr>
        <w:spacing w:after="0" w:line="200" w:lineRule="exact"/>
        <w:rPr>
          <w:rFonts w:ascii="Arial" w:cs="Arial" w:eastAsia="Arial" w:hAnsi="Arial"/>
          <w:sz w:val="22"/>
          <w:szCs w:val="22"/>
          <w:color w:val="auto"/>
        </w:rPr>
      </w:pPr>
    </w:p>
    <w:p>
      <w:pPr>
        <w:jc w:val="both"/>
        <w:ind w:right="499" w:firstLine="1305"/>
        <w:spacing w:after="0" w:line="238" w:lineRule="auto"/>
        <w:tabs>
          <w:tab w:leader="none" w:pos="1594"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All of Debtor’s U.S. and foreign patents and patent applications, copyrights (whether or not registered), applications for copyright, trademarks, service marks and trade names (whether registered or unregistered), and applications for registration of such trademarks, service marks and trade names, are set forth in </w:t>
      </w:r>
      <w:r>
        <w:rPr>
          <w:rFonts w:ascii="Arial" w:cs="Arial" w:eastAsia="Arial" w:hAnsi="Arial"/>
          <w:sz w:val="22"/>
          <w:szCs w:val="22"/>
          <w:u w:val="single" w:color="auto"/>
          <w:color w:val="auto"/>
        </w:rPr>
        <w:t>Schedule 3</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right="499" w:firstLine="1305"/>
        <w:spacing w:after="0" w:line="251" w:lineRule="auto"/>
        <w:tabs>
          <w:tab w:leader="none" w:pos="1594"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 control agreements exist with respect to any Collateral other than control agreements in favor of Secured Party.</w:t>
      </w:r>
    </w:p>
    <w:p>
      <w:pPr>
        <w:spacing w:after="0" w:line="200" w:lineRule="exact"/>
        <w:rPr>
          <w:rFonts w:ascii="Arial" w:cs="Arial" w:eastAsia="Arial" w:hAnsi="Arial"/>
          <w:sz w:val="22"/>
          <w:szCs w:val="22"/>
          <w:color w:val="auto"/>
        </w:rPr>
      </w:pPr>
    </w:p>
    <w:p>
      <w:pPr>
        <w:jc w:val="both"/>
        <w:ind w:right="499" w:firstLine="1305"/>
        <w:spacing w:after="0"/>
        <w:tabs>
          <w:tab w:leader="none" w:pos="1594"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The names and addresses of all financial institutions and other Persons at which Debtor maintains its deposit and securities accounts, and the account numbers and account names of such accounts, are set forth in </w:t>
      </w:r>
      <w:r>
        <w:rPr>
          <w:rFonts w:ascii="Arial" w:cs="Arial" w:eastAsia="Arial" w:hAnsi="Arial"/>
          <w:sz w:val="22"/>
          <w:szCs w:val="22"/>
          <w:u w:val="single" w:color="auto"/>
          <w:color w:val="auto"/>
        </w:rPr>
        <w:t>Schedule 2</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1600" w:hanging="295"/>
        <w:spacing w:after="0"/>
        <w:tabs>
          <w:tab w:leader="none" w:pos="160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Schedule 4</w:t>
      </w:r>
      <w:r>
        <w:rPr>
          <w:rFonts w:ascii="Arial" w:cs="Arial" w:eastAsia="Arial" w:hAnsi="Arial"/>
          <w:sz w:val="19"/>
          <w:szCs w:val="19"/>
          <w:color w:val="auto"/>
        </w:rPr>
        <w:t xml:space="preserve"> lists Debtor’s ownership interests in each of its subsidiaries as of the date hereof.</w:t>
      </w:r>
    </w:p>
    <w:p>
      <w:pPr>
        <w:spacing w:after="0" w:line="267" w:lineRule="exact"/>
        <w:rPr>
          <w:rFonts w:ascii="Arial" w:cs="Arial" w:eastAsia="Arial" w:hAnsi="Arial"/>
          <w:sz w:val="19"/>
          <w:szCs w:val="19"/>
          <w:color w:val="auto"/>
        </w:rPr>
      </w:pPr>
    </w:p>
    <w:p>
      <w:pPr>
        <w:ind w:right="499" w:firstLine="1305"/>
        <w:spacing w:after="0" w:line="251" w:lineRule="auto"/>
        <w:tabs>
          <w:tab w:leader="none" w:pos="1594" w:val="left"/>
        </w:tabs>
        <w:numPr>
          <w:ilvl w:val="0"/>
          <w:numId w:val="43"/>
        </w:numPr>
        <w:rPr>
          <w:rFonts w:ascii="Arial" w:cs="Arial" w:eastAsia="Arial" w:hAnsi="Arial"/>
          <w:sz w:val="22"/>
          <w:szCs w:val="22"/>
          <w:color w:val="auto"/>
        </w:rPr>
      </w:pPr>
      <w:r>
        <w:rPr>
          <w:rFonts w:ascii="Arial" w:cs="Arial" w:eastAsia="Arial" w:hAnsi="Arial"/>
          <w:sz w:val="22"/>
          <w:szCs w:val="22"/>
          <w:color w:val="auto"/>
        </w:rPr>
        <w:t>Debtor is and will be the legal record and beneficial owner of all Pledged Collateral, and has and will have good and marketable title thereto.</w:t>
      </w:r>
    </w:p>
    <w:p>
      <w:pPr>
        <w:spacing w:after="0" w:line="200" w:lineRule="exact"/>
        <w:rPr>
          <w:rFonts w:ascii="Arial" w:cs="Arial" w:eastAsia="Arial" w:hAnsi="Arial"/>
          <w:sz w:val="22"/>
          <w:szCs w:val="22"/>
          <w:color w:val="auto"/>
        </w:rPr>
      </w:pPr>
    </w:p>
    <w:p>
      <w:pPr>
        <w:jc w:val="both"/>
        <w:ind w:right="499" w:firstLine="1305"/>
        <w:spacing w:after="0" w:line="246" w:lineRule="auto"/>
        <w:tabs>
          <w:tab w:leader="none" w:pos="1594" w:val="left"/>
        </w:tabs>
        <w:numPr>
          <w:ilvl w:val="0"/>
          <w:numId w:val="43"/>
        </w:numPr>
        <w:rPr>
          <w:rFonts w:ascii="Arial" w:cs="Arial" w:eastAsia="Arial" w:hAnsi="Arial"/>
          <w:sz w:val="21"/>
          <w:szCs w:val="21"/>
          <w:color w:val="auto"/>
        </w:rPr>
      </w:pPr>
      <w:r>
        <w:rPr>
          <w:rFonts w:ascii="Arial" w:cs="Arial" w:eastAsia="Arial" w:hAnsi="Arial"/>
          <w:sz w:val="21"/>
          <w:szCs w:val="21"/>
          <w:color w:val="auto"/>
        </w:rPr>
        <w:t>Except as disclosed in writing to Secured Party, there are no Pledged Collateral Agreements which affect or relate to the voting or giving of written consents with respect to any of the Pledged Collateral. Each Pledged Collateral Agreement contains the entire agreement between the parties thereto with respect to the subject matter thereof, has not been amended or modified, and is in full force and effect in accordance with its terms. To the best knowledge of Debtor, there exists no material violation or material default under any Pledged Collateral Agreement by Debtor or the other parties thereto. Debtor has not knowingly waived or released any of its material rights under or otherwise consented to a material departure from the terms and provisions of any Pledged Collateral Agreement.</w:t>
      </w:r>
    </w:p>
    <w:p>
      <w:pPr>
        <w:spacing w:after="0" w:line="208" w:lineRule="exact"/>
        <w:rPr>
          <w:sz w:val="20"/>
          <w:szCs w:val="20"/>
          <w:color w:val="auto"/>
        </w:rPr>
      </w:pPr>
    </w:p>
    <w:p>
      <w:pPr>
        <w:jc w:val="right"/>
        <w:ind w:right="479"/>
        <w:spacing w:after="0"/>
        <w:tabs>
          <w:tab w:leader="none" w:pos="7140" w:val="left"/>
        </w:tabs>
        <w:rPr>
          <w:sz w:val="20"/>
          <w:szCs w:val="20"/>
          <w:color w:val="auto"/>
        </w:rPr>
      </w:pPr>
      <w:r>
        <w:rPr>
          <w:rFonts w:ascii="Arial" w:cs="Arial" w:eastAsia="Arial" w:hAnsi="Arial"/>
          <w:sz w:val="22"/>
          <w:szCs w:val="22"/>
          <w:u w:val="single" w:color="auto"/>
          <w:color w:val="auto"/>
        </w:rPr>
        <w:t>SECTION 5</w:t>
      </w:r>
      <w:r>
        <w:rPr>
          <w:sz w:val="20"/>
          <w:szCs w:val="20"/>
          <w:color w:val="auto"/>
        </w:rPr>
        <w:tab/>
      </w:r>
      <w:r>
        <w:rPr>
          <w:rFonts w:ascii="Arial" w:cs="Arial" w:eastAsia="Arial" w:hAnsi="Arial"/>
          <w:sz w:val="19"/>
          <w:szCs w:val="19"/>
          <w:u w:val="single" w:color="auto"/>
          <w:color w:val="auto"/>
        </w:rPr>
        <w:t>Covenants</w:t>
      </w:r>
      <w:r>
        <w:rPr>
          <w:rFonts w:ascii="Arial" w:cs="Arial" w:eastAsia="Arial" w:hAnsi="Arial"/>
          <w:sz w:val="19"/>
          <w:szCs w:val="19"/>
          <w:color w:val="auto"/>
        </w:rPr>
        <w:t>.  So long as any of the Obligations remain unsatisfied, Debtor agrees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15" w:lineRule="exact"/>
        <w:rPr>
          <w:sz w:val="20"/>
          <w:szCs w:val="20"/>
          <w:color w:val="auto"/>
        </w:rPr>
      </w:pPr>
    </w:p>
    <w:p>
      <w:pPr>
        <w:jc w:val="both"/>
        <w:ind w:right="499" w:firstLine="1305"/>
        <w:spacing w:after="0" w:line="238" w:lineRule="auto"/>
        <w:tabs>
          <w:tab w:leader="none" w:pos="1594" w:val="left"/>
        </w:tabs>
        <w:numPr>
          <w:ilvl w:val="1"/>
          <w:numId w:val="44"/>
        </w:numPr>
        <w:rPr>
          <w:rFonts w:ascii="Arial" w:cs="Arial" w:eastAsia="Arial" w:hAnsi="Arial"/>
          <w:sz w:val="22"/>
          <w:szCs w:val="22"/>
          <w:color w:val="auto"/>
        </w:rPr>
      </w:pPr>
      <w:r>
        <w:rPr>
          <w:rFonts w:ascii="Arial" w:cs="Arial" w:eastAsia="Arial" w:hAnsi="Arial"/>
          <w:sz w:val="22"/>
          <w:szCs w:val="22"/>
          <w:color w:val="auto"/>
        </w:rPr>
        <w:t>Debtor shall appear in and defend any action, suit or proceeding which may affect to a material extent its title to, or right or interest in, or Secured Party’s right or interest in, the Collateral, and shall do and perform all reasonable acts that may be necessary and appropriate to maintain, preserve and protect the Collateral.</w:t>
      </w:r>
    </w:p>
    <w:p>
      <w:pPr>
        <w:spacing w:after="0" w:line="212" w:lineRule="exact"/>
        <w:rPr>
          <w:rFonts w:ascii="Arial" w:cs="Arial" w:eastAsia="Arial" w:hAnsi="Arial"/>
          <w:sz w:val="22"/>
          <w:szCs w:val="22"/>
          <w:color w:val="auto"/>
        </w:rPr>
      </w:pPr>
    </w:p>
    <w:p>
      <w:pPr>
        <w:jc w:val="both"/>
        <w:ind w:right="479" w:firstLine="1305"/>
        <w:spacing w:after="0"/>
        <w:tabs>
          <w:tab w:leader="none" w:pos="1594" w:val="left"/>
        </w:tabs>
        <w:numPr>
          <w:ilvl w:val="1"/>
          <w:numId w:val="44"/>
        </w:numPr>
        <w:rPr>
          <w:rFonts w:ascii="Arial" w:cs="Arial" w:eastAsia="Arial" w:hAnsi="Arial"/>
          <w:sz w:val="22"/>
          <w:szCs w:val="22"/>
          <w:color w:val="auto"/>
        </w:rPr>
      </w:pPr>
      <w:r>
        <w:rPr>
          <w:rFonts w:ascii="Arial" w:cs="Arial" w:eastAsia="Arial" w:hAnsi="Arial"/>
          <w:sz w:val="22"/>
          <w:szCs w:val="22"/>
          <w:color w:val="auto"/>
        </w:rPr>
        <w:t>Debtor shall comply in all material respects with all laws, regulations and ordinances, and all policies of insurance, relating in a material way to the possession, operation, maintenance and control of the Collateral.</w:t>
      </w:r>
    </w:p>
    <w:p>
      <w:pPr>
        <w:spacing w:after="0" w:line="213" w:lineRule="exact"/>
        <w:rPr>
          <w:rFonts w:ascii="Arial" w:cs="Arial" w:eastAsia="Arial" w:hAnsi="Arial"/>
          <w:sz w:val="22"/>
          <w:szCs w:val="22"/>
          <w:color w:val="auto"/>
        </w:rPr>
      </w:pPr>
    </w:p>
    <w:p>
      <w:pPr>
        <w:jc w:val="both"/>
        <w:ind w:right="499" w:firstLine="1305"/>
        <w:spacing w:after="0" w:line="273" w:lineRule="auto"/>
        <w:tabs>
          <w:tab w:leader="none" w:pos="1594"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Debtor shall give prompt written notice to Secured Party (and in any event not later than 30 days following any change described below in this subsection) of: (i) any change in the location of Debtor’s chief executive office or principal place of business; (ii) any change in the locations set forth in </w:t>
      </w:r>
      <w:r>
        <w:rPr>
          <w:rFonts w:ascii="Arial" w:cs="Arial" w:eastAsia="Arial" w:hAnsi="Arial"/>
          <w:sz w:val="19"/>
          <w:szCs w:val="19"/>
          <w:u w:val="single" w:color="auto"/>
          <w:color w:val="auto"/>
        </w:rPr>
        <w:t>Schedule 2</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right="499" w:firstLine="8"/>
        <w:spacing w:after="0" w:line="233" w:lineRule="auto"/>
        <w:tabs>
          <w:tab w:leader="none" w:pos="391"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any change in its name; (iv) any changes in its identity or structure in any manner which might make any financing statement filed hereunder incorrect or misleading; (v) any change in its registration as an organization (or any new such registration); or (vi) any change in its jurisdiction of organization;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Debtor shall not locate any Collateral outside of the United States nor shall Debtor change its jurisdiction of organization to a jurisdiction outside of the United States.</w:t>
      </w:r>
    </w:p>
    <w:p>
      <w:pPr>
        <w:spacing w:after="0" w:line="212" w:lineRule="exact"/>
        <w:rPr>
          <w:rFonts w:ascii="Arial" w:cs="Arial" w:eastAsia="Arial" w:hAnsi="Arial"/>
          <w:sz w:val="22"/>
          <w:szCs w:val="22"/>
          <w:color w:val="auto"/>
        </w:rPr>
      </w:pPr>
    </w:p>
    <w:p>
      <w:pPr>
        <w:jc w:val="both"/>
        <w:ind w:right="499" w:firstLine="1305"/>
        <w:spacing w:after="0" w:line="252" w:lineRule="auto"/>
        <w:tabs>
          <w:tab w:leader="none" w:pos="1594" w:val="left"/>
        </w:tabs>
        <w:numPr>
          <w:ilvl w:val="1"/>
          <w:numId w:val="45"/>
        </w:numPr>
        <w:rPr>
          <w:rFonts w:ascii="Arial" w:cs="Arial" w:eastAsia="Arial" w:hAnsi="Arial"/>
          <w:sz w:val="21"/>
          <w:szCs w:val="21"/>
          <w:color w:val="auto"/>
        </w:rPr>
      </w:pPr>
      <w:r>
        <w:rPr>
          <w:rFonts w:ascii="Arial" w:cs="Arial" w:eastAsia="Arial" w:hAnsi="Arial"/>
          <w:sz w:val="21"/>
          <w:szCs w:val="21"/>
          <w:color w:val="auto"/>
        </w:rPr>
        <w:t>Debtor shall carry and maintain in full force and effect, at its own expense and with financially sound and reputable insurance companies, insurance with respect to the Collateral in such amounts, with such deductibles and covering such risks as is customarily carried by companies engaged in the same or similar businesses and owning similar properties in the localities where Debtor operates.</w:t>
      </w:r>
    </w:p>
    <w:p>
      <w:pPr>
        <w:spacing w:after="0" w:line="201" w:lineRule="exact"/>
        <w:rPr>
          <w:rFonts w:ascii="Arial" w:cs="Arial" w:eastAsia="Arial" w:hAnsi="Arial"/>
          <w:sz w:val="21"/>
          <w:szCs w:val="21"/>
          <w:color w:val="auto"/>
        </w:rPr>
      </w:pPr>
    </w:p>
    <w:p>
      <w:pPr>
        <w:jc w:val="both"/>
        <w:ind w:right="499" w:firstLine="1305"/>
        <w:spacing w:after="0" w:line="236" w:lineRule="auto"/>
        <w:tabs>
          <w:tab w:leader="none" w:pos="1594" w:val="left"/>
        </w:tabs>
        <w:numPr>
          <w:ilvl w:val="1"/>
          <w:numId w:val="45"/>
        </w:numPr>
        <w:rPr>
          <w:rFonts w:ascii="Arial" w:cs="Arial" w:eastAsia="Arial" w:hAnsi="Arial"/>
          <w:sz w:val="22"/>
          <w:szCs w:val="22"/>
          <w:color w:val="auto"/>
        </w:rPr>
      </w:pPr>
      <w:r>
        <w:rPr>
          <w:rFonts w:ascii="Arial" w:cs="Arial" w:eastAsia="Arial" w:hAnsi="Arial"/>
          <w:sz w:val="22"/>
          <w:szCs w:val="22"/>
          <w:color w:val="auto"/>
        </w:rPr>
        <w:t>Debtor shall not surrender or lose possession of (other than to Secured Party), sell, lease, rent, or otherwise dispose of or transfer any of the Collateral or any right or interest therein, except in the ordinary course of business or unless such Collateral is replaced by comparable Collateral of similar value; provided that no such disposition or transfer of Collateral consisting of Pledged Collateral or instruments shall be permitted while any Event of Default exists.</w:t>
      </w:r>
    </w:p>
    <w:p>
      <w:pPr>
        <w:sectPr>
          <w:pgSz w:w="11900" w:h="16838" w:orient="portrait"/>
          <w:cols w:equalWidth="0" w:num="1">
            <w:col w:w="10219"/>
          </w:cols>
          <w:pgMar w:left="240" w:top="361" w:right="1440" w:bottom="0" w:gutter="0" w:footer="0" w:header="0"/>
        </w:sectPr>
      </w:pPr>
    </w:p>
    <w:bookmarkStart w:id="43" w:name="page44"/>
    <w:bookmarkEnd w:id="43"/>
    <w:p>
      <w:pPr>
        <w:ind w:left="100"/>
        <w:spacing w:after="0"/>
        <w:rPr>
          <w:sz w:val="20"/>
          <w:szCs w:val="20"/>
          <w:color w:val="auto"/>
        </w:rPr>
      </w:pPr>
      <w:r>
        <w:rPr>
          <w:rFonts w:ascii="Arial" w:cs="Arial" w:eastAsia="Arial" w:hAnsi="Arial"/>
          <w:sz w:val="19"/>
          <w:szCs w:val="19"/>
          <w:color w:val="auto"/>
        </w:rPr>
        <w:t>(f) Debtor shall keep the Collateral free of all Liens except Permitted Liens.</w:t>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224155</wp:posOffset>
            </wp:positionV>
            <wp:extent cx="6174740" cy="94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44" w:name="page45"/>
    <w:bookmarkEnd w:id="44"/>
    <w:p>
      <w:pPr>
        <w:jc w:val="both"/>
        <w:ind w:right="479" w:firstLine="1305"/>
        <w:spacing w:after="0" w:line="238" w:lineRule="auto"/>
        <w:tabs>
          <w:tab w:leader="none" w:pos="1594" w:val="left"/>
        </w:tabs>
        <w:numPr>
          <w:ilvl w:val="0"/>
          <w:numId w:val="46"/>
        </w:numPr>
        <w:rPr>
          <w:rFonts w:ascii="Arial" w:cs="Arial" w:eastAsia="Arial" w:hAnsi="Arial"/>
          <w:sz w:val="22"/>
          <w:szCs w:val="22"/>
          <w:color w:val="auto"/>
        </w:rPr>
      </w:pPr>
      <w:r>
        <w:rPr>
          <w:rFonts w:ascii="Arial" w:cs="Arial" w:eastAsia="Arial" w:hAnsi="Arial"/>
          <w:sz w:val="22"/>
          <w:szCs w:val="22"/>
          <w:color w:val="auto"/>
        </w:rPr>
        <w:t>Debtor shall pay and discharge all taxes, fees, assessments and governmental charges or levies imposed upon it with respect to the Collateral prior to the date on which penalties attach thereto, except to the extent such taxes, fees, assessments or governmental charges or levies are being contested in good faith by appropriate proceedings.</w:t>
      </w:r>
    </w:p>
    <w:p>
      <w:pPr>
        <w:spacing w:after="0" w:line="212" w:lineRule="exact"/>
        <w:rPr>
          <w:rFonts w:ascii="Arial" w:cs="Arial" w:eastAsia="Arial" w:hAnsi="Arial"/>
          <w:sz w:val="22"/>
          <w:szCs w:val="22"/>
          <w:color w:val="auto"/>
        </w:rPr>
      </w:pPr>
    </w:p>
    <w:p>
      <w:pPr>
        <w:jc w:val="both"/>
        <w:ind w:right="479" w:firstLine="1305"/>
        <w:spacing w:after="0" w:line="238" w:lineRule="auto"/>
        <w:tabs>
          <w:tab w:leader="none" w:pos="1594" w:val="left"/>
        </w:tabs>
        <w:numPr>
          <w:ilvl w:val="0"/>
          <w:numId w:val="46"/>
        </w:numPr>
        <w:rPr>
          <w:rFonts w:ascii="Arial" w:cs="Arial" w:eastAsia="Arial" w:hAnsi="Arial"/>
          <w:sz w:val="22"/>
          <w:szCs w:val="22"/>
          <w:color w:val="auto"/>
        </w:rPr>
      </w:pPr>
      <w:r>
        <w:rPr>
          <w:rFonts w:ascii="Arial" w:cs="Arial" w:eastAsia="Arial" w:hAnsi="Arial"/>
          <w:sz w:val="22"/>
          <w:szCs w:val="22"/>
          <w:color w:val="auto"/>
        </w:rPr>
        <w:t>Debtor shall maintain and preserve its legal existence, its rights to transact business and all other rights, franchises and privileges necessary or desirable in the normal course of its business and operations and the ownership of the Collateral, except in connection with any transactions expressly permitted by the Notes.</w:t>
      </w:r>
    </w:p>
    <w:p>
      <w:pPr>
        <w:spacing w:after="0" w:line="212" w:lineRule="exact"/>
        <w:rPr>
          <w:rFonts w:ascii="Arial" w:cs="Arial" w:eastAsia="Arial" w:hAnsi="Arial"/>
          <w:sz w:val="22"/>
          <w:szCs w:val="22"/>
          <w:color w:val="auto"/>
        </w:rPr>
      </w:pPr>
    </w:p>
    <w:p>
      <w:pPr>
        <w:jc w:val="both"/>
        <w:ind w:right="479" w:firstLine="1305"/>
        <w:spacing w:after="0" w:line="247" w:lineRule="auto"/>
        <w:tabs>
          <w:tab w:leader="none" w:pos="1594" w:val="left"/>
        </w:tabs>
        <w:numPr>
          <w:ilvl w:val="0"/>
          <w:numId w:val="46"/>
        </w:numPr>
        <w:rPr>
          <w:rFonts w:ascii="Arial" w:cs="Arial" w:eastAsia="Arial" w:hAnsi="Arial"/>
          <w:sz w:val="21"/>
          <w:szCs w:val="21"/>
          <w:color w:val="auto"/>
        </w:rPr>
      </w:pPr>
      <w:r>
        <w:rPr>
          <w:rFonts w:ascii="Arial" w:cs="Arial" w:eastAsia="Arial" w:hAnsi="Arial"/>
          <w:sz w:val="21"/>
          <w:szCs w:val="21"/>
          <w:color w:val="auto"/>
        </w:rPr>
        <w:t>Debtor shall (i) notify Secured Party of any material claim made or asserted against the Collateral by any Person and of any change in the composition of the Collateral or other event which could materially adversely affect the value of the Collateral or Secured Party’s Lien thereon; (ii) furnish to Secured Party such statements and schedules further identifying and describing the Collateral and such other reports and other information in connection with the Collateral as Secured Party may reasonably request, all in reasonable detail; and (iii) upon reasonable request of Secured Party make such demands and requests for information and reports as Debtor is entitled to make in respect of the Collateral.</w:t>
      </w:r>
    </w:p>
    <w:p>
      <w:pPr>
        <w:spacing w:after="0" w:line="205" w:lineRule="exact"/>
        <w:rPr>
          <w:rFonts w:ascii="Arial" w:cs="Arial" w:eastAsia="Arial" w:hAnsi="Arial"/>
          <w:sz w:val="21"/>
          <w:szCs w:val="21"/>
          <w:color w:val="auto"/>
        </w:rPr>
      </w:pPr>
    </w:p>
    <w:p>
      <w:pPr>
        <w:jc w:val="both"/>
        <w:ind w:right="479" w:firstLine="1305"/>
        <w:spacing w:after="0" w:line="249" w:lineRule="auto"/>
        <w:tabs>
          <w:tab w:leader="none" w:pos="1594"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If and when Debtor shall obtain rights to any new patents, trademarks, service marks, trade names or copyrights, or otherwise acquire or become entitled to the benefit of, or apply for registration of, any of the foregoing, Debtor (i) shall promptly notify Secured Party thereof and (ii) hereby authorizes Secured Party to modify, amend, or supplement </w:t>
      </w:r>
      <w:r>
        <w:rPr>
          <w:rFonts w:ascii="Arial" w:cs="Arial" w:eastAsia="Arial" w:hAnsi="Arial"/>
          <w:sz w:val="21"/>
          <w:szCs w:val="21"/>
          <w:u w:val="single" w:color="auto"/>
          <w:color w:val="auto"/>
        </w:rPr>
        <w:t>Schedule 3</w:t>
      </w:r>
      <w:r>
        <w:rPr>
          <w:rFonts w:ascii="Arial" w:cs="Arial" w:eastAsia="Arial" w:hAnsi="Arial"/>
          <w:sz w:val="21"/>
          <w:szCs w:val="21"/>
          <w:color w:val="auto"/>
        </w:rPr>
        <w:t xml:space="preserve"> and from time to time to include any of the foregoing and make all necessary or appropriate filings with respect thereto.</w:t>
      </w:r>
    </w:p>
    <w:p>
      <w:pPr>
        <w:spacing w:after="0" w:line="205" w:lineRule="exact"/>
        <w:rPr>
          <w:rFonts w:ascii="Arial" w:cs="Arial" w:eastAsia="Arial" w:hAnsi="Arial"/>
          <w:sz w:val="21"/>
          <w:szCs w:val="21"/>
          <w:color w:val="auto"/>
        </w:rPr>
      </w:pPr>
    </w:p>
    <w:p>
      <w:pPr>
        <w:jc w:val="both"/>
        <w:ind w:right="499" w:firstLine="1305"/>
        <w:spacing w:after="0" w:line="252" w:lineRule="auto"/>
        <w:tabs>
          <w:tab w:leader="none" w:pos="1594" w:val="left"/>
        </w:tabs>
        <w:numPr>
          <w:ilvl w:val="0"/>
          <w:numId w:val="46"/>
        </w:numPr>
        <w:rPr>
          <w:rFonts w:ascii="Arial" w:cs="Arial" w:eastAsia="Arial" w:hAnsi="Arial"/>
          <w:sz w:val="21"/>
          <w:szCs w:val="21"/>
          <w:color w:val="auto"/>
        </w:rPr>
      </w:pPr>
      <w:r>
        <w:rPr>
          <w:rFonts w:ascii="Arial" w:cs="Arial" w:eastAsia="Arial" w:hAnsi="Arial"/>
          <w:sz w:val="21"/>
          <w:szCs w:val="21"/>
          <w:color w:val="auto"/>
        </w:rPr>
        <w:t>Without limiting the generality of subsection (j), Debtor shall not register with the U.S. Copyright Office any unregistered copyrights (whether in existence on the date hereof or thereafter acquired, arising or developed) unless Debtor provides Secured Party with written notice of its intent to register such copyrights not less than 30 days prior to the date of the proposed registration.</w:t>
      </w:r>
    </w:p>
    <w:p>
      <w:pPr>
        <w:spacing w:after="0" w:line="201" w:lineRule="exact"/>
        <w:rPr>
          <w:rFonts w:ascii="Arial" w:cs="Arial" w:eastAsia="Arial" w:hAnsi="Arial"/>
          <w:sz w:val="21"/>
          <w:szCs w:val="21"/>
          <w:color w:val="auto"/>
        </w:rPr>
      </w:pPr>
    </w:p>
    <w:p>
      <w:pPr>
        <w:jc w:val="both"/>
        <w:ind w:right="479" w:firstLine="1305"/>
        <w:spacing w:after="0" w:line="249" w:lineRule="auto"/>
        <w:tabs>
          <w:tab w:leader="none" w:pos="1594" w:val="left"/>
        </w:tabs>
        <w:numPr>
          <w:ilvl w:val="0"/>
          <w:numId w:val="46"/>
        </w:numPr>
        <w:rPr>
          <w:rFonts w:ascii="Arial" w:cs="Arial" w:eastAsia="Arial" w:hAnsi="Arial"/>
          <w:sz w:val="21"/>
          <w:szCs w:val="21"/>
          <w:color w:val="auto"/>
        </w:rPr>
      </w:pPr>
      <w:r>
        <w:rPr>
          <w:rFonts w:ascii="Arial" w:cs="Arial" w:eastAsia="Arial" w:hAnsi="Arial"/>
          <w:sz w:val="21"/>
          <w:szCs w:val="21"/>
          <w:color w:val="auto"/>
        </w:rPr>
        <w:t>At Secured Party’s request, Debtor will use commercially reasonable efforts to obtain from each Person from whom Debtor leases any premises, and from each other Person at whose premises any Collateral is at any time present (including any bailee, warehouseman or similar Person), and such collateral access, subordination, landlord waiver, bailment, consent and estoppel agreements as Secured Party may require, in form and substance satisfactory to Secured Party.</w:t>
      </w:r>
    </w:p>
    <w:p>
      <w:pPr>
        <w:spacing w:after="0" w:line="206" w:lineRule="exact"/>
        <w:rPr>
          <w:sz w:val="20"/>
          <w:szCs w:val="20"/>
          <w:color w:val="auto"/>
        </w:rPr>
      </w:pPr>
    </w:p>
    <w:p>
      <w:pPr>
        <w:jc w:val="both"/>
        <w:ind w:right="479" w:firstLine="1297"/>
        <w:spacing w:after="0" w:line="249" w:lineRule="auto"/>
        <w:rPr>
          <w:sz w:val="20"/>
          <w:szCs w:val="20"/>
          <w:color w:val="auto"/>
        </w:rPr>
      </w:pPr>
      <w:r>
        <w:rPr>
          <w:rFonts w:ascii="Arial" w:cs="Arial" w:eastAsia="Arial" w:hAnsi="Arial"/>
          <w:sz w:val="21"/>
          <w:szCs w:val="21"/>
          <w:color w:val="auto"/>
        </w:rPr>
        <w:t xml:space="preserve">(m)In the event that Debtor acquires rights in any subsidiary after the date hereof, it shall deliver to Secured Party a completed supplement to </w:t>
      </w:r>
      <w:r>
        <w:rPr>
          <w:rFonts w:ascii="Arial" w:cs="Arial" w:eastAsia="Arial" w:hAnsi="Arial"/>
          <w:sz w:val="21"/>
          <w:szCs w:val="21"/>
          <w:u w:val="single" w:color="auto"/>
          <w:color w:val="auto"/>
        </w:rPr>
        <w:t>Schedule 4</w:t>
      </w:r>
      <w:r>
        <w:rPr>
          <w:rFonts w:ascii="Arial" w:cs="Arial" w:eastAsia="Arial" w:hAnsi="Arial"/>
          <w:sz w:val="21"/>
          <w:szCs w:val="21"/>
          <w:color w:val="auto"/>
        </w:rPr>
        <w:t xml:space="preserve">, reflecting such new subsidiary. Notwithstanding the foregoing, it is understood and agreed that the security interest of Secured Party shall attach to any such subsidiary immediately upon Debtor’s acquisition of rights therein and shall not be affected by the failure of Debtor to deliver any such supplement to </w:t>
      </w:r>
      <w:r>
        <w:rPr>
          <w:rFonts w:ascii="Arial" w:cs="Arial" w:eastAsia="Arial" w:hAnsi="Arial"/>
          <w:sz w:val="21"/>
          <w:szCs w:val="21"/>
          <w:u w:val="single" w:color="auto"/>
          <w:color w:val="auto"/>
        </w:rPr>
        <w:t>Schedule 4</w:t>
      </w:r>
      <w:r>
        <w:rPr>
          <w:rFonts w:ascii="Arial" w:cs="Arial" w:eastAsia="Arial" w:hAnsi="Arial"/>
          <w:sz w:val="21"/>
          <w:szCs w:val="21"/>
          <w:color w:val="auto"/>
        </w:rPr>
        <w:t>.</w:t>
      </w:r>
    </w:p>
    <w:p>
      <w:pPr>
        <w:spacing w:after="0" w:line="206" w:lineRule="exact"/>
        <w:rPr>
          <w:sz w:val="20"/>
          <w:szCs w:val="20"/>
          <w:color w:val="auto"/>
        </w:rPr>
      </w:pPr>
    </w:p>
    <w:p>
      <w:pPr>
        <w:jc w:val="both"/>
        <w:ind w:right="479" w:firstLine="1305"/>
        <w:spacing w:after="0" w:line="244" w:lineRule="auto"/>
        <w:tabs>
          <w:tab w:leader="none" w:pos="1594" w:val="left"/>
        </w:tabs>
        <w:numPr>
          <w:ilvl w:val="0"/>
          <w:numId w:val="47"/>
        </w:numPr>
        <w:rPr>
          <w:rFonts w:ascii="Arial" w:cs="Arial" w:eastAsia="Arial" w:hAnsi="Arial"/>
          <w:sz w:val="21"/>
          <w:szCs w:val="21"/>
          <w:color w:val="auto"/>
        </w:rPr>
      </w:pPr>
      <w:r>
        <w:rPr>
          <w:rFonts w:ascii="Arial" w:cs="Arial" w:eastAsia="Arial" w:hAnsi="Arial"/>
          <w:sz w:val="21"/>
          <w:szCs w:val="21"/>
          <w:color w:val="auto"/>
        </w:rPr>
        <w:t>Debtor shall comply with all of its obligations under any Pledged Collateral Agreements to which it is a party and shall enforce all of its rights thereunder. Debtor will take all actions necessary to cause each Pledged Collateral Agreement relating to Collateral consisting of any and all limited, limited liability and general partnership interests and limited liability company interests of any type or nature (“</w:t>
      </w:r>
      <w:r>
        <w:rPr>
          <w:rFonts w:ascii="Arial" w:cs="Arial" w:eastAsia="Arial" w:hAnsi="Arial"/>
          <w:sz w:val="21"/>
          <w:szCs w:val="21"/>
          <w:u w:val="single" w:color="auto"/>
          <w:color w:val="auto"/>
        </w:rPr>
        <w:t>Partnership and LLC</w:t>
      </w:r>
      <w:r>
        <w:rPr>
          <w:rFonts w:ascii="Arial" w:cs="Arial" w:eastAsia="Arial" w:hAnsi="Arial"/>
          <w:sz w:val="21"/>
          <w:szCs w:val="21"/>
          <w:color w:val="auto"/>
        </w:rPr>
        <w:t xml:space="preserve"> </w:t>
      </w:r>
      <w:r>
        <w:rPr>
          <w:rFonts w:ascii="Arial" w:cs="Arial" w:eastAsia="Arial" w:hAnsi="Arial"/>
          <w:sz w:val="21"/>
          <w:szCs w:val="21"/>
          <w:u w:val="single" w:color="auto"/>
          <w:color w:val="auto"/>
        </w:rPr>
        <w:t>Collateral</w:t>
      </w:r>
      <w:r>
        <w:rPr>
          <w:rFonts w:ascii="Arial" w:cs="Arial" w:eastAsia="Arial" w:hAnsi="Arial"/>
          <w:sz w:val="21"/>
          <w:szCs w:val="21"/>
          <w:color w:val="auto"/>
        </w:rPr>
        <w:t>”) to provide specifically at all times that: (A) the Partnership and LLC Collateral shall be securities and shall be governed by Article 8 of the applicable Uniform Commercial Code; (B) each certificate of membership or partnership representing the Partnership and LLC Collateral shall bear a legend to the effect that such membership interest or partnership interest is a security and is governed by Article 8 of the applicable Uniform Commercial Code; and (C) no consent of any member, manager, partner or other Person shall be a condition to the admission as a member or partner of any transferee that acquires ownership of the Partnership and LLC Collateral as a result of the exercise by Secured Party of any remedy hereunder or under applicable law.</w:t>
      </w:r>
    </w:p>
    <w:p>
      <w:pPr>
        <w:spacing w:after="0" w:line="214"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u w:val="single" w:color="auto"/>
          <w:color w:val="auto"/>
        </w:rPr>
        <w:t>SECTION 6</w:t>
      </w:r>
      <w:r>
        <w:rPr>
          <w:sz w:val="20"/>
          <w:szCs w:val="20"/>
          <w:color w:val="auto"/>
        </w:rPr>
        <w:tab/>
      </w:r>
      <w:r>
        <w:rPr>
          <w:rFonts w:ascii="Arial" w:cs="Arial" w:eastAsia="Arial" w:hAnsi="Arial"/>
          <w:sz w:val="19"/>
          <w:szCs w:val="19"/>
          <w:u w:val="single" w:color="auto"/>
          <w:color w:val="auto"/>
        </w:rPr>
        <w:t>Rights of Secured Party; Authorization; Appointment</w:t>
      </w:r>
      <w:r>
        <w:rPr>
          <w:rFonts w:ascii="Arial" w:cs="Arial" w:eastAsia="Arial" w:hAnsi="Arial"/>
          <w:sz w:val="19"/>
          <w:szCs w:val="19"/>
          <w:color w:val="auto"/>
        </w:rPr>
        <w:t>.</w:t>
      </w:r>
    </w:p>
    <w:p>
      <w:pPr>
        <w:spacing w:after="0" w:line="233" w:lineRule="exact"/>
        <w:rPr>
          <w:sz w:val="20"/>
          <w:szCs w:val="20"/>
          <w:color w:val="auto"/>
        </w:rPr>
      </w:pPr>
    </w:p>
    <w:p>
      <w:pPr>
        <w:jc w:val="both"/>
        <w:ind w:right="499" w:firstLine="1305"/>
        <w:spacing w:after="0" w:line="236" w:lineRule="auto"/>
        <w:tabs>
          <w:tab w:leader="none" w:pos="1594" w:val="left"/>
        </w:tabs>
        <w:numPr>
          <w:ilvl w:val="0"/>
          <w:numId w:val="48"/>
        </w:numPr>
        <w:rPr>
          <w:rFonts w:ascii="Arial" w:cs="Arial" w:eastAsia="Arial" w:hAnsi="Arial"/>
          <w:sz w:val="22"/>
          <w:szCs w:val="22"/>
          <w:color w:val="auto"/>
        </w:rPr>
      </w:pPr>
      <w:r>
        <w:rPr>
          <w:rFonts w:ascii="Arial" w:cs="Arial" w:eastAsia="Arial" w:hAnsi="Arial"/>
          <w:sz w:val="22"/>
          <w:szCs w:val="22"/>
          <w:color w:val="auto"/>
        </w:rPr>
        <w:t>At the request of Secured Party, upon the occurrence and during the continuance of any Event of Default, all remittances received by Debtor in respect of its accounts and other rights to payment shall be held in trust for Secured Party and, in accordance with Secured Party’s instructions, remitted to Secured Party or deposited to an account of Secured Party in the form received (with any necessary endorsements or instruments of assignment or transfer).</w:t>
      </w:r>
    </w:p>
    <w:p>
      <w:pPr>
        <w:sectPr>
          <w:pgSz w:w="11900" w:h="16838" w:orient="portrait"/>
          <w:cols w:equalWidth="0" w:num="1">
            <w:col w:w="10219"/>
          </w:cols>
          <w:pgMar w:left="240" w:top="361" w:right="1440" w:bottom="402"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17474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361" w:right="1440" w:bottom="402" w:gutter="0" w:footer="0" w:header="0"/>
          <w:type w:val="continuous"/>
        </w:sectPr>
      </w:pPr>
    </w:p>
    <w:bookmarkStart w:id="45" w:name="page46"/>
    <w:bookmarkEnd w:id="45"/>
    <w:p>
      <w:pPr>
        <w:jc w:val="both"/>
        <w:ind w:right="479" w:firstLine="1305"/>
        <w:spacing w:after="0" w:line="271" w:lineRule="auto"/>
        <w:tabs>
          <w:tab w:leader="none" w:pos="1594"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At the request of Secured Party, upon the occurrence and during the continuance of any Event of Default, Secured Party shall be entitled to receive all distributions and payments of any nature with respect to any Pledged Collateral or instrument Collateral, and all such distributions or payments received by the Debtor shall be held in trust for Secured Party and, in accordance with Secured Party’s instructions, remitted to Secured Party or deposited to an account designated by Secured Party in the form received (with any necessary endorsements or instruments of assignment or transfer). Further, upon the occurrence and during the continuance of any Event of Default any such distributions and payments with respect to any Pledged Collateral held in any securities account shall be held and retained in such securities account, in each case as part of the Collateral hereunder, and Secured Party shall have the right, following prior written notice to the Debtor, to vote and to give consents, ratifications and waivers with respect to any Pledged Collateral and instruments, and to exercise all rights of conversion, exchange, subscription or any other rights, privileges or options pertaining thereto, as if Secured Party were the absolute owner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Secured Party shall have no duty to exercise any of the foregoing rights afforded to it and shall not be responsible to the Debtor or any other Person for any failure to do so or delay in doing so.</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right="479" w:firstLine="1305"/>
        <w:spacing w:after="0" w:line="269" w:lineRule="auto"/>
        <w:tabs>
          <w:tab w:leader="none" w:pos="1594" w:val="left"/>
        </w:tabs>
        <w:numPr>
          <w:ilvl w:val="1"/>
          <w:numId w:val="49"/>
        </w:numPr>
        <w:rPr>
          <w:rFonts w:ascii="Arial" w:cs="Arial" w:eastAsia="Arial" w:hAnsi="Arial"/>
          <w:sz w:val="19"/>
          <w:szCs w:val="19"/>
          <w:color w:val="auto"/>
        </w:rPr>
      </w:pPr>
      <w:r>
        <w:rPr>
          <w:rFonts w:ascii="Arial" w:cs="Arial" w:eastAsia="Arial" w:hAnsi="Arial"/>
          <w:sz w:val="19"/>
          <w:szCs w:val="19"/>
          <w:color w:val="auto"/>
        </w:rPr>
        <w:t>Secured Party shall have the right to, in the name of Debtor, or in the name of Secured Party or otherwise, upon notice to but without the requirement of assent by Debtor, and Debtor hereby constitutes and appoints Secured Party (and any of Secured Party’s officers, employees or agents designated by Secured Party) as Debtor’s true and lawful attorney-in-fact, with full power and authority to: (i) sign and file any of the financing statements and other documents and instruments which must be executed or filed to perfect or continue perfected, maintain the priority of or provide notice of Secured Party’s security interest in the Collateral; (ii) assert, adjust, sue for, compromise or release any claims under any policies of insurance;</w:t>
      </w:r>
    </w:p>
    <w:p>
      <w:pPr>
        <w:spacing w:after="0" w:line="5" w:lineRule="exact"/>
        <w:rPr>
          <w:rFonts w:ascii="Arial" w:cs="Arial" w:eastAsia="Arial" w:hAnsi="Arial"/>
          <w:sz w:val="19"/>
          <w:szCs w:val="19"/>
          <w:color w:val="auto"/>
        </w:rPr>
      </w:pPr>
    </w:p>
    <w:p>
      <w:pPr>
        <w:jc w:val="both"/>
        <w:ind w:right="499" w:firstLine="8"/>
        <w:spacing w:after="0" w:line="267" w:lineRule="auto"/>
        <w:tabs>
          <w:tab w:leader="none" w:pos="395" w:val="left"/>
        </w:tabs>
        <w:numPr>
          <w:ilvl w:val="0"/>
          <w:numId w:val="50"/>
        </w:numPr>
        <w:rPr>
          <w:rFonts w:ascii="Arial" w:cs="Arial" w:eastAsia="Arial" w:hAnsi="Arial"/>
          <w:sz w:val="19"/>
          <w:szCs w:val="19"/>
          <w:color w:val="auto"/>
        </w:rPr>
      </w:pPr>
      <w:r>
        <w:rPr>
          <w:rFonts w:ascii="Arial" w:cs="Arial" w:eastAsia="Arial" w:hAnsi="Arial"/>
          <w:sz w:val="19"/>
          <w:szCs w:val="19"/>
          <w:color w:val="auto"/>
        </w:rPr>
        <w:t>give notices of control, default or exclusivity (or similar notices) under any account control agreement or similar agreement with respect to exercising control over deposit accounts or securities accounts; and</w:t>
      </w:r>
    </w:p>
    <w:p>
      <w:pPr>
        <w:jc w:val="both"/>
        <w:ind w:right="499" w:firstLine="8"/>
        <w:spacing w:after="0" w:line="267" w:lineRule="auto"/>
        <w:tabs>
          <w:tab w:leader="none" w:pos="384" w:val="left"/>
        </w:tabs>
        <w:numPr>
          <w:ilvl w:val="0"/>
          <w:numId w:val="50"/>
        </w:numPr>
        <w:rPr>
          <w:rFonts w:ascii="Arial" w:cs="Arial" w:eastAsia="Arial" w:hAnsi="Arial"/>
          <w:sz w:val="19"/>
          <w:szCs w:val="19"/>
          <w:color w:val="auto"/>
        </w:rPr>
      </w:pPr>
      <w:r>
        <w:rPr>
          <w:rFonts w:ascii="Arial" w:cs="Arial" w:eastAsia="Arial" w:hAnsi="Arial"/>
          <w:sz w:val="19"/>
          <w:szCs w:val="19"/>
          <w:color w:val="auto"/>
        </w:rPr>
        <w:t>execute any and all such other documents and instruments, and do any and all acts and things for and on behalf of Debtor, which Secured Party may deem reasonably necessary or advisable to maintain, protect, realize upon and preserve the Collateral and Secured Party’s security interest therein and to accomplish the purposes of this Agreement. Secured Party agrees that, except upon and during the continuance of an Event of Default, it shall not exercise the power of attorney, or any rights granted to Secured Party, pursuant to clauses (ii), (iii) and</w:t>
      </w:r>
    </w:p>
    <w:p>
      <w:pPr>
        <w:jc w:val="both"/>
        <w:ind w:right="479" w:firstLine="8"/>
        <w:spacing w:after="0" w:line="287" w:lineRule="auto"/>
        <w:tabs>
          <w:tab w:leader="none" w:pos="517"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The foregoing power of attorney is coupled with an interest and irrevocable so long as the Obligations have not been paid and performed in full. Debtor hereby ratifies, to the extent permitted by law, all that Secured Party shall lawfully and in good faith do or cause to be done by virtue of and in compliance with this </w:t>
      </w:r>
      <w:r>
        <w:rPr>
          <w:rFonts w:ascii="Arial" w:cs="Arial" w:eastAsia="Arial" w:hAnsi="Arial"/>
          <w:sz w:val="19"/>
          <w:szCs w:val="19"/>
          <w:u w:val="single" w:color="auto"/>
          <w:color w:val="auto"/>
        </w:rPr>
        <w:t>Section 6</w:t>
      </w:r>
      <w:r>
        <w:rPr>
          <w:rFonts w:ascii="Arial" w:cs="Arial" w:eastAsia="Arial" w:hAnsi="Arial"/>
          <w:sz w:val="19"/>
          <w:szCs w:val="19"/>
          <w:color w:val="auto"/>
        </w:rPr>
        <w:t>.</w:t>
      </w:r>
    </w:p>
    <w:p>
      <w:pPr>
        <w:spacing w:after="0" w:line="171" w:lineRule="exact"/>
        <w:rPr>
          <w:sz w:val="20"/>
          <w:szCs w:val="20"/>
          <w:color w:val="auto"/>
        </w:rPr>
      </w:pPr>
    </w:p>
    <w:p>
      <w:pPr>
        <w:ind w:right="499" w:firstLine="1297"/>
        <w:spacing w:after="0" w:line="251" w:lineRule="auto"/>
        <w:rPr>
          <w:sz w:val="20"/>
          <w:szCs w:val="20"/>
          <w:color w:val="auto"/>
        </w:rPr>
      </w:pPr>
      <w:r>
        <w:rPr>
          <w:rFonts w:ascii="Arial" w:cs="Arial" w:eastAsia="Arial" w:hAnsi="Arial"/>
          <w:sz w:val="22"/>
          <w:szCs w:val="22"/>
          <w:u w:val="single" w:color="auto"/>
          <w:color w:val="auto"/>
        </w:rPr>
        <w:t>SECTION 7 Events of Default</w:t>
      </w:r>
      <w:r>
        <w:rPr>
          <w:rFonts w:ascii="Arial" w:cs="Arial" w:eastAsia="Arial" w:hAnsi="Arial"/>
          <w:sz w:val="22"/>
          <w:szCs w:val="22"/>
          <w:color w:val="auto"/>
        </w:rPr>
        <w:t>. Any of the following events which shall occur and be continuing shall constitute an “</w:t>
      </w:r>
      <w:r>
        <w:rPr>
          <w:rFonts w:ascii="Arial" w:cs="Arial" w:eastAsia="Arial" w:hAnsi="Arial"/>
          <w:sz w:val="22"/>
          <w:szCs w:val="22"/>
          <w:u w:val="single" w:color="auto"/>
          <w:color w:val="auto"/>
        </w:rPr>
        <w:t>Event of Default</w:t>
      </w:r>
      <w:r>
        <w:rPr>
          <w:rFonts w:ascii="Arial" w:cs="Arial" w:eastAsia="Arial" w:hAnsi="Arial"/>
          <w:sz w:val="22"/>
          <w:szCs w:val="22"/>
          <w:color w:val="auto"/>
        </w:rPr>
        <w:t>”:</w:t>
      </w:r>
    </w:p>
    <w:p>
      <w:pPr>
        <w:spacing w:after="0" w:line="200" w:lineRule="exact"/>
        <w:rPr>
          <w:sz w:val="20"/>
          <w:szCs w:val="20"/>
          <w:color w:val="auto"/>
        </w:rPr>
      </w:pPr>
    </w:p>
    <w:p>
      <w:pPr>
        <w:jc w:val="both"/>
        <w:ind w:right="499" w:firstLine="1305"/>
        <w:spacing w:after="0"/>
        <w:tabs>
          <w:tab w:leader="none" w:pos="1594" w:val="left"/>
        </w:tabs>
        <w:numPr>
          <w:ilvl w:val="0"/>
          <w:numId w:val="52"/>
        </w:numPr>
        <w:rPr>
          <w:rFonts w:ascii="Arial" w:cs="Arial" w:eastAsia="Arial" w:hAnsi="Arial"/>
          <w:sz w:val="22"/>
          <w:szCs w:val="22"/>
          <w:color w:val="auto"/>
        </w:rPr>
      </w:pPr>
      <w:r>
        <w:rPr>
          <w:rFonts w:ascii="Arial" w:cs="Arial" w:eastAsia="Arial" w:hAnsi="Arial"/>
          <w:sz w:val="22"/>
          <w:szCs w:val="22"/>
          <w:color w:val="auto"/>
        </w:rPr>
        <w:t>Debtor shall fail to pay when due any amount of principal of or interest on the Notes or other amount payable hereunder or under the Note or in respect of the Obligations, or any other “Event of Default” as defined in any Note or any other Document shall have occurred;</w:t>
      </w:r>
    </w:p>
    <w:p>
      <w:pPr>
        <w:spacing w:after="0" w:line="213" w:lineRule="exact"/>
        <w:rPr>
          <w:rFonts w:ascii="Arial" w:cs="Arial" w:eastAsia="Arial" w:hAnsi="Arial"/>
          <w:sz w:val="22"/>
          <w:szCs w:val="22"/>
          <w:color w:val="auto"/>
        </w:rPr>
      </w:pPr>
    </w:p>
    <w:p>
      <w:pPr>
        <w:jc w:val="both"/>
        <w:ind w:right="479" w:firstLine="1305"/>
        <w:spacing w:after="0"/>
        <w:tabs>
          <w:tab w:leader="none" w:pos="1594"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Any representation or warranty by Debtor under or in connection with this Agreement, any Note or any other Document shall prove to have been incorrect in any material respect when made or deemed made;</w:t>
      </w:r>
    </w:p>
    <w:p>
      <w:pPr>
        <w:spacing w:after="0" w:line="213" w:lineRule="exact"/>
        <w:rPr>
          <w:rFonts w:ascii="Arial" w:cs="Arial" w:eastAsia="Arial" w:hAnsi="Arial"/>
          <w:sz w:val="22"/>
          <w:szCs w:val="22"/>
          <w:color w:val="auto"/>
        </w:rPr>
      </w:pPr>
    </w:p>
    <w:p>
      <w:pPr>
        <w:jc w:val="both"/>
        <w:ind w:right="499" w:firstLine="1305"/>
        <w:spacing w:after="0" w:line="258" w:lineRule="auto"/>
        <w:tabs>
          <w:tab w:leader="none" w:pos="1594" w:val="left"/>
        </w:tabs>
        <w:numPr>
          <w:ilvl w:val="0"/>
          <w:numId w:val="52"/>
        </w:numPr>
        <w:rPr>
          <w:rFonts w:ascii="Arial" w:cs="Arial" w:eastAsia="Arial" w:hAnsi="Arial"/>
          <w:sz w:val="21"/>
          <w:szCs w:val="21"/>
          <w:color w:val="auto"/>
        </w:rPr>
      </w:pPr>
      <w:r>
        <w:rPr>
          <w:rFonts w:ascii="Arial" w:cs="Arial" w:eastAsia="Arial" w:hAnsi="Arial"/>
          <w:sz w:val="21"/>
          <w:szCs w:val="21"/>
          <w:color w:val="auto"/>
        </w:rPr>
        <w:t>Debtor shall fail to perform or observe in any material respect any other term, covenant or agreement contained in this Agreement on its part to be performed or observed and any such failure shall remain unremedied for a period of thirty (30) days from the occurrence thereof;</w:t>
      </w:r>
    </w:p>
    <w:p>
      <w:pPr>
        <w:spacing w:after="0" w:line="193" w:lineRule="exact"/>
        <w:rPr>
          <w:rFonts w:ascii="Arial" w:cs="Arial" w:eastAsia="Arial" w:hAnsi="Arial"/>
          <w:sz w:val="21"/>
          <w:szCs w:val="21"/>
          <w:color w:val="auto"/>
        </w:rPr>
      </w:pPr>
    </w:p>
    <w:p>
      <w:pPr>
        <w:jc w:val="both"/>
        <w:ind w:right="479" w:firstLine="1305"/>
        <w:spacing w:after="0" w:line="272" w:lineRule="auto"/>
        <w:tabs>
          <w:tab w:leader="none" w:pos="1594" w:val="left"/>
        </w:tabs>
        <w:numPr>
          <w:ilvl w:val="0"/>
          <w:numId w:val="52"/>
        </w:numPr>
        <w:rPr>
          <w:rFonts w:ascii="Arial" w:cs="Arial" w:eastAsia="Arial" w:hAnsi="Arial"/>
          <w:sz w:val="19"/>
          <w:szCs w:val="19"/>
          <w:color w:val="auto"/>
        </w:rPr>
      </w:pPr>
      <w:r>
        <w:rPr>
          <w:rFonts w:ascii="Arial" w:cs="Arial" w:eastAsia="Arial" w:hAnsi="Arial"/>
          <w:sz w:val="19"/>
          <w:szCs w:val="19"/>
          <w:color w:val="auto"/>
        </w:rPr>
        <w:t>Debtor shall admit in writing its inability to, or shall fail generally or be generally unable to, pay its debts (including its payrolls) as such debts become due, or shall make a general assignment for the benefit of creditors; or Debtor shall file a voluntary petition in bankruptcy or a petition or answer seeking reorganization, to effect a plan or other arrangement with creditors or any other relief under the Bankruptcy Reform Act of 1978, as amended or recodified from time to time (the “</w:t>
      </w:r>
      <w:r>
        <w:rPr>
          <w:rFonts w:ascii="Arial" w:cs="Arial" w:eastAsia="Arial" w:hAnsi="Arial"/>
          <w:sz w:val="19"/>
          <w:szCs w:val="19"/>
          <w:u w:val="single" w:color="auto"/>
          <w:color w:val="auto"/>
        </w:rPr>
        <w:t>Bankruptcy Code</w:t>
      </w:r>
      <w:r>
        <w:rPr>
          <w:rFonts w:ascii="Arial" w:cs="Arial" w:eastAsia="Arial" w:hAnsi="Arial"/>
          <w:sz w:val="19"/>
          <w:szCs w:val="19"/>
          <w:color w:val="auto"/>
        </w:rPr>
        <w:t>”) or under any other state or federal law relating to bankruptcy or reorganization granting relief to debtors, whether now or hereafter in effect, or shall file an answer admitting the jurisdiction of the court and the material allegations of any involuntary petition filed against Debtor pursuant to the Bankruptcy Code or any such other state or federal law; or Debtor shall be adjudicated a bankrupt, or shall apply for or consent to the appointment of any custodian, receiver or trustee for all or any substantial part of Debtor’s property, or shall take any action to authorize any of the actions set forth above in this paragraph; or an involuntary petition seeking any of the relief specified in this paragraph shall be filed against Debtor; or any order for relief shall be entered against Debtor in any involuntary proceeding under the Bankruptcy Code or any such other state or federal law referred to in this subsection (d);</w:t>
      </w:r>
    </w:p>
    <w:p>
      <w:pPr>
        <w:spacing w:after="0" w:line="184" w:lineRule="exact"/>
        <w:rPr>
          <w:rFonts w:ascii="Arial" w:cs="Arial" w:eastAsia="Arial" w:hAnsi="Arial"/>
          <w:sz w:val="19"/>
          <w:szCs w:val="19"/>
          <w:color w:val="auto"/>
        </w:rPr>
      </w:pPr>
    </w:p>
    <w:p>
      <w:pPr>
        <w:jc w:val="both"/>
        <w:ind w:right="499" w:firstLine="1305"/>
        <w:spacing w:after="0" w:line="238" w:lineRule="auto"/>
        <w:tabs>
          <w:tab w:leader="none" w:pos="1594" w:val="left"/>
        </w:tabs>
        <w:numPr>
          <w:ilvl w:val="0"/>
          <w:numId w:val="52"/>
        </w:numPr>
        <w:rPr>
          <w:rFonts w:ascii="Arial" w:cs="Arial" w:eastAsia="Arial" w:hAnsi="Arial"/>
          <w:sz w:val="22"/>
          <w:szCs w:val="22"/>
          <w:color w:val="auto"/>
        </w:rPr>
      </w:pPr>
      <w:r>
        <w:rPr>
          <w:rFonts w:ascii="Arial" w:cs="Arial" w:eastAsia="Arial" w:hAnsi="Arial"/>
          <w:sz w:val="22"/>
          <w:szCs w:val="22"/>
          <w:color w:val="auto"/>
        </w:rPr>
        <w:t>Debtor shall (i) liquidate, wind up or dissolve (or suffer any liquidation, wind-up or dissolution), except to the extent expressly permitted by the Notes, (ii) suspend its operations other than in the ordinary course of business, or (iii) take any action to authorize any of the actions or events set forth above in this subsection (e);</w:t>
      </w:r>
    </w:p>
    <w:p>
      <w:pPr>
        <w:sectPr>
          <w:pgSz w:w="11900" w:h="16838" w:orient="portrait"/>
          <w:cols w:equalWidth="0" w:num="1">
            <w:col w:w="10219"/>
          </w:cols>
          <w:pgMar w:left="240" w:top="361" w:right="1440" w:bottom="0" w:gutter="0" w:footer="0" w:header="0"/>
        </w:sectPr>
      </w:pPr>
    </w:p>
    <w:bookmarkStart w:id="46" w:name="page47"/>
    <w:bookmarkEnd w:id="46"/>
    <w:p>
      <w:pPr>
        <w:ind w:left="36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224155</wp:posOffset>
            </wp:positionV>
            <wp:extent cx="6174740"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47" w:name="page48"/>
    <w:bookmarkEnd w:id="47"/>
    <w:p>
      <w:pPr>
        <w:ind w:left="1300"/>
        <w:spacing w:after="0"/>
        <w:rPr>
          <w:sz w:val="20"/>
          <w:szCs w:val="20"/>
          <w:color w:val="auto"/>
        </w:rPr>
      </w:pPr>
      <w:r>
        <w:rPr>
          <w:rFonts w:ascii="Arial" w:cs="Arial" w:eastAsia="Arial" w:hAnsi="Arial"/>
          <w:sz w:val="19"/>
          <w:szCs w:val="19"/>
          <w:color w:val="auto"/>
        </w:rPr>
        <w:t>(f) Any material impairment in the value of the Collateral or the priority of Secured Party’s Lien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hereunder;</w:t>
      </w:r>
    </w:p>
    <w:p>
      <w:pPr>
        <w:spacing w:after="0" w:line="215" w:lineRule="exact"/>
        <w:rPr>
          <w:sz w:val="20"/>
          <w:szCs w:val="20"/>
          <w:color w:val="auto"/>
        </w:rPr>
      </w:pPr>
    </w:p>
    <w:p>
      <w:pPr>
        <w:ind w:right="499" w:firstLine="1305"/>
        <w:spacing w:after="0" w:line="251" w:lineRule="auto"/>
        <w:tabs>
          <w:tab w:leader="none" w:pos="1594"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Any levy upon, seizure or attachment of any of the Collateral which shall not have been rescinded or withdrawn; or</w:t>
      </w:r>
    </w:p>
    <w:p>
      <w:pPr>
        <w:spacing w:after="0" w:line="200" w:lineRule="exact"/>
        <w:rPr>
          <w:rFonts w:ascii="Arial" w:cs="Arial" w:eastAsia="Arial" w:hAnsi="Arial"/>
          <w:sz w:val="22"/>
          <w:szCs w:val="22"/>
          <w:color w:val="auto"/>
        </w:rPr>
      </w:pPr>
    </w:p>
    <w:p>
      <w:pPr>
        <w:jc w:val="both"/>
        <w:ind w:right="499" w:firstLine="1305"/>
        <w:spacing w:after="0" w:line="236" w:lineRule="auto"/>
        <w:tabs>
          <w:tab w:leader="none" w:pos="1594"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Any loss, theft or substantial damage to, or destruction of, any material portion of the Collateral (unless within thirty (30) days after the occurrence of any such event, Debtor furnishes to Secured Party evidence satisfactory to Secured Party that the amount of any such loss, theft, damage to or destruction of the Collateral is fully insured under policies naming Secured Party as an additional named insured or loss payee).</w:t>
      </w:r>
    </w:p>
    <w:p>
      <w:pPr>
        <w:spacing w:after="0" w:line="215"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u w:val="single" w:color="auto"/>
          <w:color w:val="auto"/>
        </w:rPr>
        <w:t>SECTION 8</w:t>
      </w:r>
      <w:r>
        <w:rPr>
          <w:sz w:val="20"/>
          <w:szCs w:val="20"/>
          <w:color w:val="auto"/>
        </w:rPr>
        <w:tab/>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33" w:lineRule="exact"/>
        <w:rPr>
          <w:sz w:val="20"/>
          <w:szCs w:val="20"/>
          <w:color w:val="auto"/>
        </w:rPr>
      </w:pPr>
    </w:p>
    <w:p>
      <w:pPr>
        <w:jc w:val="both"/>
        <w:ind w:right="479" w:firstLine="1305"/>
        <w:spacing w:after="0" w:line="271" w:lineRule="auto"/>
        <w:tabs>
          <w:tab w:leader="none" w:pos="1594" w:val="left"/>
        </w:tabs>
        <w:numPr>
          <w:ilvl w:val="1"/>
          <w:numId w:val="54"/>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any Event of Default, Secured Party may declare any of the Obligations to be immediately due and payable and shall have, in addition to all other rights and remedies granted to it in this Agreement, the Notes and any other Document, all rights and remedies of a secured party under the UCC and other applicable laws. Without limiting the generality of the foregoing,</w:t>
      </w:r>
    </w:p>
    <w:p>
      <w:pPr>
        <w:spacing w:after="0" w:line="3" w:lineRule="exact"/>
        <w:rPr>
          <w:rFonts w:ascii="Arial" w:cs="Arial" w:eastAsia="Arial" w:hAnsi="Arial"/>
          <w:sz w:val="19"/>
          <w:szCs w:val="19"/>
          <w:color w:val="auto"/>
        </w:rPr>
      </w:pPr>
    </w:p>
    <w:p>
      <w:pPr>
        <w:jc w:val="both"/>
        <w:ind w:right="479" w:firstLine="8"/>
        <w:spacing w:after="0" w:line="269" w:lineRule="auto"/>
        <w:tabs>
          <w:tab w:leader="none" w:pos="277"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Secured Party may peaceably and without notice enter any premises of Debtor, take possession of any the Collateral, remove or dispose of all or part of the Collateral on any premises of such Debtor or elsewhere, or, in the case of equipment, render it nonfunctional, and otherwise collect, receive, appropriate and realize upon all or any part of the Collateral, and demand, give receipt for, settle, renew, extend, exchange, compromise, adjust, or sue for all or any part of the Collateral, as Secured Party may determine; (ii) Secured Party may require any Debtor to assemble all or any part of the Collateral and make it available to Secured Party at any place and time designated by Secured Party; (iii) Secured Party may secure the appointment of a receiver of the Collateral or any part thereof (to the extent and in the manner provided by applicable law); (iv) Secured Party may sell, resell, lease, use, assign, license, sublicense, transfer or otherwise dispose of any or all of the Collateral in its then condition or following any commercially reasonable preparation or processing (utilizing in connection therewith any of Debtor’s assets, without charge or liability to Secured Party therefor) at public or private sale, by one or more contracts, in one or more parcels, at the same or different times, for cash or credit, or for future delivery without assumption of any credit risk, all as Secured Party deems advisable;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Debtor shall be credited with the net proceeds of sale only when such proceeds are finally collected by Secured Party. Debtor recognizes that Secured Party may be unable to make a public sale of any or all of the Pledged Collateral, by reason of prohibitions contained in applicable securities laws or otherwise, and expressly agrees that a private sale to a restricted group of purchasers for investment and not with a view to any distribution thereof shall be considered a commercially reasonable sale. Secured Party shall have the right upon any such public sale, and, to the extent permitted by law, upon any such private sale, to purchase the whole or any part of the Collateral so sold, free of any right or equity of redemption, which right or equity of redemption Debtor hereby releases, to the extent permitted by law. Secured Party shall give Debtor such notice of any private or public sales as may be required by the UCC or other applicable law.</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right="479" w:firstLine="1305"/>
        <w:spacing w:after="0" w:line="252" w:lineRule="auto"/>
        <w:tabs>
          <w:tab w:leader="none" w:pos="1594" w:val="left"/>
        </w:tabs>
        <w:numPr>
          <w:ilvl w:val="1"/>
          <w:numId w:val="55"/>
        </w:numPr>
        <w:rPr>
          <w:rFonts w:ascii="Arial" w:cs="Arial" w:eastAsia="Arial" w:hAnsi="Arial"/>
          <w:sz w:val="21"/>
          <w:szCs w:val="21"/>
          <w:color w:val="auto"/>
        </w:rPr>
      </w:pPr>
      <w:r>
        <w:rPr>
          <w:rFonts w:ascii="Arial" w:cs="Arial" w:eastAsia="Arial" w:hAnsi="Arial"/>
          <w:sz w:val="21"/>
          <w:szCs w:val="21"/>
          <w:color w:val="auto"/>
        </w:rPr>
        <w:t xml:space="preserve">For the purpose of enabling Secured Party to exercise its rights and remedies under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or otherwise in connection with this Agreement, Debtor hereby grants to Secured Party an irrevocable, non-exclusive and assignable license (exercisable without payment or royalty or other compensation to Debtor) to use, license or sublicense any intellectual property Collateral.</w:t>
      </w:r>
    </w:p>
    <w:p>
      <w:pPr>
        <w:spacing w:after="0" w:line="201" w:lineRule="exact"/>
        <w:rPr>
          <w:rFonts w:ascii="Arial" w:cs="Arial" w:eastAsia="Arial" w:hAnsi="Arial"/>
          <w:sz w:val="21"/>
          <w:szCs w:val="21"/>
          <w:color w:val="auto"/>
        </w:rPr>
      </w:pPr>
    </w:p>
    <w:p>
      <w:pPr>
        <w:ind w:right="479" w:firstLine="1305"/>
        <w:spacing w:after="0" w:line="271" w:lineRule="auto"/>
        <w:tabs>
          <w:tab w:leader="none" w:pos="1594" w:val="left"/>
        </w:tabs>
        <w:numPr>
          <w:ilvl w:val="1"/>
          <w:numId w:val="55"/>
        </w:numPr>
        <w:rPr>
          <w:rFonts w:ascii="Arial" w:cs="Arial" w:eastAsia="Arial" w:hAnsi="Arial"/>
          <w:sz w:val="19"/>
          <w:szCs w:val="19"/>
          <w:color w:val="auto"/>
        </w:rPr>
      </w:pPr>
      <w:r>
        <w:rPr>
          <w:rFonts w:ascii="Arial" w:cs="Arial" w:eastAsia="Arial" w:hAnsi="Arial"/>
          <w:sz w:val="19"/>
          <w:szCs w:val="19"/>
          <w:color w:val="auto"/>
        </w:rPr>
        <w:t>Secured Party shall not have any obligation to clean up or otherwise prepare the Collateral for sale. Secured Party has no obligation to attempt to satisfy the Obligations by collecting them from any other Person liable for them, and Secured Party may release, modify or waive any Collateral provided by any other Person to secure any of the Obligations, all without affecting Secured Party’s rights against Debtor. Debtor waives any right it may have to require Secured Party to pursue any third Person for any of the Obligations. Secured Party may comply with any applicable state or federal law requirements in connection with a disposition of the Collateral and compliance will not be considered adversely to affect the commercial reasonableness of any sale of the Collateral. Secured Party may sell the Collateral without giving any warranties as to the Collateral. Secured Party may specifically disclaim any warranties of title or the like. This procedure will not be considered adversely to affect the commercial reasonableness of any sale of the Collateral. If Secured Party sells any of the Collateral upon credit, Debtor will be credited only with payments actually made by the purchaser, received by Secured Party and applied to the indebtedness of the purchaser. In the event the purchaser fails to pay for the Collateral, Secured Party may resell the Collateral and Debtor shall be credited with the proceeds of the sale.</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right="499" w:firstLine="1305"/>
        <w:spacing w:after="0" w:line="238" w:lineRule="auto"/>
        <w:tabs>
          <w:tab w:leader="none" w:pos="1594" w:val="left"/>
        </w:tabs>
        <w:numPr>
          <w:ilvl w:val="1"/>
          <w:numId w:val="55"/>
        </w:numPr>
        <w:rPr>
          <w:rFonts w:ascii="Arial" w:cs="Arial" w:eastAsia="Arial" w:hAnsi="Arial"/>
          <w:sz w:val="22"/>
          <w:szCs w:val="22"/>
          <w:color w:val="auto"/>
        </w:rPr>
      </w:pPr>
      <w:r>
        <w:rPr>
          <w:rFonts w:ascii="Arial" w:cs="Arial" w:eastAsia="Arial" w:hAnsi="Arial"/>
          <w:sz w:val="22"/>
          <w:szCs w:val="22"/>
          <w:color w:val="auto"/>
        </w:rPr>
        <w:t>To the extent Debtor uses the proceeds of any of the Obligations to purchase Collateral, Debtor’s repayment of the Obligations shall apply on a “first-in, first-out” basis so that the portion of the Obligations used to purchase a particular item of Collateral shall be paid in the chronological order the Debtor purchased the Collateral.</w:t>
      </w:r>
    </w:p>
    <w:p>
      <w:pPr>
        <w:sectPr>
          <w:pgSz w:w="11900" w:h="16838" w:orient="portrait"/>
          <w:cols w:equalWidth="0" w:num="1">
            <w:col w:w="10219"/>
          </w:cols>
          <w:pgMar w:left="240" w:top="361" w:right="1440" w:bottom="80" w:gutter="0" w:footer="0" w:header="0"/>
        </w:sectPr>
      </w:pPr>
    </w:p>
    <w:bookmarkStart w:id="48" w:name="page49"/>
    <w:bookmarkEnd w:id="48"/>
    <w:p>
      <w:pPr>
        <w:ind w:left="36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224155</wp:posOffset>
            </wp:positionV>
            <wp:extent cx="6174740" cy="94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9" w:name="page50"/>
    <w:bookmarkEnd w:id="49"/>
    <w:p>
      <w:pPr>
        <w:jc w:val="both"/>
        <w:ind w:right="479" w:firstLine="1305"/>
        <w:spacing w:after="0" w:line="274" w:lineRule="auto"/>
        <w:tabs>
          <w:tab w:leader="none" w:pos="1594"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The cash proceeds actually received from the sale or other disposition or collection of Collateral, and any other amounts received in respect of the Collateral the application of which is not otherwise provided for herein, shall be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payment of the reasonable costs and expenses of Secured Party in exercising or enforcing its rights hereunder and in collecting or attempting to collect any of the Collateral, and to the payment of all other amounts payable to Secured Party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hereof; and </w:t>
      </w:r>
      <w:r>
        <w:rPr>
          <w:rFonts w:ascii="Arial" w:cs="Arial" w:eastAsia="Arial" w:hAnsi="Arial"/>
          <w:sz w:val="19"/>
          <w:szCs w:val="19"/>
          <w:u w:val="single" w:color="auto"/>
          <w:color w:val="auto"/>
        </w:rPr>
        <w:t>second</w:t>
      </w:r>
      <w:r>
        <w:rPr>
          <w:rFonts w:ascii="Arial" w:cs="Arial" w:eastAsia="Arial" w:hAnsi="Arial"/>
          <w:sz w:val="19"/>
          <w:szCs w:val="19"/>
          <w:color w:val="auto"/>
        </w:rPr>
        <w:t>, to the payment of the Obligations. Any surplus thereof which exists after payment and performance in full of the Obligations shall be promptly paid over to Debtor or otherwise disposed of in accordance with the UCC or other applicable law. Debtor shall remain liable to Secured Party for any deficiency which exists after any sale or other disposition or collection of Collateral.</w:t>
      </w:r>
    </w:p>
    <w:p>
      <w:pPr>
        <w:spacing w:after="0" w:line="186" w:lineRule="exact"/>
        <w:rPr>
          <w:sz w:val="20"/>
          <w:szCs w:val="20"/>
          <w:color w:val="auto"/>
        </w:rPr>
      </w:pPr>
    </w:p>
    <w:p>
      <w:pPr>
        <w:jc w:val="both"/>
        <w:ind w:right="479" w:firstLine="1297"/>
        <w:spacing w:after="0" w:line="275" w:lineRule="auto"/>
        <w:rPr>
          <w:sz w:val="20"/>
          <w:szCs w:val="20"/>
          <w:color w:val="auto"/>
        </w:rPr>
      </w:pPr>
      <w:r>
        <w:rPr>
          <w:rFonts w:ascii="Arial" w:cs="Arial" w:eastAsia="Arial" w:hAnsi="Arial"/>
          <w:sz w:val="19"/>
          <w:szCs w:val="19"/>
          <w:u w:val="single" w:color="auto"/>
          <w:color w:val="auto"/>
        </w:rPr>
        <w:t>SECTION 9 Certain Waivers</w:t>
      </w:r>
      <w:r>
        <w:rPr>
          <w:rFonts w:ascii="Arial" w:cs="Arial" w:eastAsia="Arial" w:hAnsi="Arial"/>
          <w:sz w:val="19"/>
          <w:szCs w:val="19"/>
          <w:color w:val="auto"/>
        </w:rPr>
        <w:t>. Debtor waives, to the fullest extent permitted by law, (i) any right of redemption with respect to the Collateral, whether before or after sale hereunder, and all rights, if any, of marshalling of the Collateral or other collateral or security for the Obligations; (ii) any right to require Secured Party (A) to proceed against any Person, (B) to exhaust any other collateral or security for any of the Obligations, (C) to pursue any remedy in Secured Party’s power, or (D) to make or give any presentments, demands for performance, notices of nonperformance, protests, notices of protests or notices of dishonor in connection with any of the Collateral; and (iii) all claims, damages, and demands against Secured Party arising out of the repossession, retention, sale or application of the proceeds of any sale of the Collateral.</w:t>
      </w:r>
    </w:p>
    <w:p>
      <w:pPr>
        <w:spacing w:after="0" w:line="185" w:lineRule="exact"/>
        <w:rPr>
          <w:sz w:val="20"/>
          <w:szCs w:val="20"/>
          <w:color w:val="auto"/>
        </w:rPr>
      </w:pPr>
    </w:p>
    <w:p>
      <w:pPr>
        <w:jc w:val="both"/>
        <w:ind w:right="479" w:firstLine="1297"/>
        <w:spacing w:after="0" w:line="274" w:lineRule="auto"/>
        <w:rPr>
          <w:sz w:val="20"/>
          <w:szCs w:val="20"/>
          <w:color w:val="auto"/>
        </w:rPr>
      </w:pPr>
      <w:r>
        <w:rPr>
          <w:rFonts w:ascii="Arial" w:cs="Arial" w:eastAsia="Arial" w:hAnsi="Arial"/>
          <w:sz w:val="19"/>
          <w:szCs w:val="19"/>
          <w:u w:val="single" w:color="auto"/>
          <w:color w:val="auto"/>
        </w:rPr>
        <w:t>SECTION 10 Notices</w:t>
      </w:r>
      <w:r>
        <w:rPr>
          <w:rFonts w:ascii="Arial" w:cs="Arial" w:eastAsia="Arial" w:hAnsi="Arial"/>
          <w:sz w:val="19"/>
          <w:szCs w:val="19"/>
          <w:color w:val="auto"/>
        </w:rPr>
        <w:t>. All notices or other communications hereunder shall be in writing (including by facsimile transmission or by email) and mailed (by certified or registered mail), sent or delivered to the respective parties hereto at or to their respective addresses, facsimile numbers or email addresses set forth below their names on the signature pages hereof, or at or to such other address, facsimile number or email address as shall be designated by any party in a written notice to the other parties hereto. All such notices and communications shall be effective (i) if delivered by hand, sent by certified or registered mail or sent by an overnight courier service, when received; and (ii) if sent by facsimile transmission or electronic mail, when sent. Electronic mail may be used only for routine communications, such as distribution of informational documents or documents for execution by the parties thereto, and may not be used for any other purpose.</w:t>
      </w:r>
    </w:p>
    <w:p>
      <w:pPr>
        <w:spacing w:after="0" w:line="186" w:lineRule="exact"/>
        <w:rPr>
          <w:sz w:val="20"/>
          <w:szCs w:val="20"/>
          <w:color w:val="auto"/>
        </w:rPr>
      </w:pPr>
    </w:p>
    <w:p>
      <w:pPr>
        <w:jc w:val="both"/>
        <w:ind w:right="479" w:firstLine="1297"/>
        <w:spacing w:after="0" w:line="235" w:lineRule="auto"/>
        <w:rPr>
          <w:sz w:val="20"/>
          <w:szCs w:val="20"/>
          <w:color w:val="auto"/>
        </w:rPr>
      </w:pPr>
      <w:r>
        <w:rPr>
          <w:rFonts w:ascii="Arial" w:cs="Arial" w:eastAsia="Arial" w:hAnsi="Arial"/>
          <w:sz w:val="22"/>
          <w:szCs w:val="22"/>
          <w:u w:val="single" w:color="auto"/>
          <w:color w:val="auto"/>
        </w:rPr>
        <w:t>SECTION 11 No Waiver; Cumulative Remedies</w:t>
      </w:r>
      <w:r>
        <w:rPr>
          <w:rFonts w:ascii="Arial" w:cs="Arial" w:eastAsia="Arial" w:hAnsi="Arial"/>
          <w:sz w:val="22"/>
          <w:szCs w:val="22"/>
          <w:color w:val="auto"/>
        </w:rPr>
        <w:t>. No failure on the part of Secured Party to exercise, and no delay in exercising, any right, remedy, power or privilege hereunder shall operate as a waiver thereof, nor shall any single or partial exercise of any such right, remedy, power or privilege preclude any other or further exercise thereof or the exercise of any other right, remedy, power or privilege. The rights and remedies under this Agreement are cumulative and not exclusive of any rights, remedies, powers and privileges that may otherwise be available to Secured Party.</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SECTION 12 Costs and Expenses; Indemnification</w:t>
      </w:r>
      <w:r>
        <w:rPr>
          <w:rFonts w:ascii="Arial" w:cs="Arial" w:eastAsia="Arial" w:hAnsi="Arial"/>
          <w:sz w:val="22"/>
          <w:szCs w:val="22"/>
          <w:color w:val="auto"/>
        </w:rPr>
        <w:t>.</w:t>
      </w:r>
    </w:p>
    <w:p>
      <w:pPr>
        <w:spacing w:after="0" w:line="233" w:lineRule="exact"/>
        <w:rPr>
          <w:sz w:val="20"/>
          <w:szCs w:val="20"/>
          <w:color w:val="auto"/>
        </w:rPr>
      </w:pPr>
    </w:p>
    <w:p>
      <w:pPr>
        <w:jc w:val="both"/>
        <w:ind w:right="479" w:firstLine="1305"/>
        <w:spacing w:after="0" w:line="272" w:lineRule="auto"/>
        <w:tabs>
          <w:tab w:leader="none" w:pos="1594" w:val="left"/>
        </w:tabs>
        <w:numPr>
          <w:ilvl w:val="0"/>
          <w:numId w:val="57"/>
        </w:numPr>
        <w:rPr>
          <w:rFonts w:ascii="Arial" w:cs="Arial" w:eastAsia="Arial" w:hAnsi="Arial"/>
          <w:sz w:val="19"/>
          <w:szCs w:val="19"/>
          <w:color w:val="auto"/>
        </w:rPr>
      </w:pPr>
      <w:r>
        <w:rPr>
          <w:rFonts w:ascii="Arial" w:cs="Arial" w:eastAsia="Arial" w:hAnsi="Arial"/>
          <w:sz w:val="19"/>
          <w:szCs w:val="19"/>
          <w:color w:val="auto"/>
        </w:rPr>
        <w:t>Debtor agrees to pay on demand: (i) the reasonable out-of-pocket costs and expenses of Secured Party, and the reasonable fees and disbursements of counsel to Secured Party, in connection with the negotiation, preparation, execution, delivery and administration of this Agreement, the Letter Agreement, the Notes and the other Documents, including the formation of the Lender, and any amendments, modifications or waivers of the terms thereof, and the custody of the Collateral; (ii) all title, appraisal, survey, audit, consulting, search, recording, filing and similar costs, fees and expenses incurred or sustained by Secured Party in connection with this Agreement or the Collateral; and (iii) all costs and expenses of Secured Party, and the fees and disbursements of counsel, in connection with the enforcement or attempted enforcement of, and preservation of any rights or interests under, this Agreement, the Letter, the Notes and the other Documents, including in any out-of-court workout or other refinancing or restructuring or in any bankruptcy case, and the protection, sale or collection of, or other realization upon, any of the Collateral, including all expenses of taking, collecting, holding, sorting, handling, preparing for sale, selling, or the like, and other such expenses of sales and collections of Collateral.</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right="499" w:firstLine="1305"/>
        <w:spacing w:after="0" w:line="271" w:lineRule="auto"/>
        <w:tabs>
          <w:tab w:leader="none" w:pos="1594" w:val="left"/>
        </w:tabs>
        <w:numPr>
          <w:ilvl w:val="0"/>
          <w:numId w:val="57"/>
        </w:numPr>
        <w:rPr>
          <w:rFonts w:ascii="Arial" w:cs="Arial" w:eastAsia="Arial" w:hAnsi="Arial"/>
          <w:sz w:val="19"/>
          <w:szCs w:val="19"/>
          <w:color w:val="auto"/>
        </w:rPr>
      </w:pPr>
      <w:r>
        <w:rPr>
          <w:rFonts w:ascii="Arial" w:cs="Arial" w:eastAsia="Arial" w:hAnsi="Arial"/>
          <w:sz w:val="19"/>
          <w:szCs w:val="19"/>
          <w:color w:val="auto"/>
        </w:rPr>
        <w:t>Debtor hereby agrees to indemnify Secured Party, any affiliate thereof, and their respective directors, officers, employees, agents, counsel and other advisors (each an “</w:t>
      </w:r>
      <w:r>
        <w:rPr>
          <w:rFonts w:ascii="Arial" w:cs="Arial" w:eastAsia="Arial" w:hAnsi="Arial"/>
          <w:sz w:val="19"/>
          <w:szCs w:val="19"/>
          <w:u w:val="single" w:color="auto"/>
          <w:color w:val="auto"/>
        </w:rPr>
        <w:t>Indemnified Person</w:t>
      </w:r>
      <w:r>
        <w:rPr>
          <w:rFonts w:ascii="Arial" w:cs="Arial" w:eastAsia="Arial" w:hAnsi="Arial"/>
          <w:sz w:val="19"/>
          <w:szCs w:val="19"/>
          <w:color w:val="auto"/>
        </w:rPr>
        <w:t>”) against, and hold each of them harmless from, any and all liabilities, obligations, losses, claims, damages, penalties, actions, judgments, suits, costs, expenses or disbursements of any kind or nature whatsoever, including the reasonable fees and disbursements of counsel to an Indemnified Person, which may be imposed on or incurred by any Indemnified Person, or asserted against any Indemnified Person by any third party or by Debtor, in any way relating to or arising out of, in connection with, or as a result of (i) the execution or delivery of this Agreement or any agreement or instrument contemplated hereby, the performance by the parties hereto of their respective obligations hereunder or thereunder, the transactions contemplated hereby or the Collateral, or (ii) any actual or prospective claim, litigation, investigation or proceeding relating to any of the foregoing, whether based on contract, tort or any other theory, whether brought by a third party or by Debtor (the “</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Debtor shall not be liable to any Indemnified Person for any portion of such Indemnified Liabilities to the extent they are found by a final decision of a court of competent jurisdiction to have resulted from such Indemnified Person’s gross negligence or willful misconduct. If and to the extent that the foregoing</w:t>
      </w:r>
    </w:p>
    <w:p>
      <w:pPr>
        <w:sectPr>
          <w:pgSz w:w="11900" w:h="16838" w:orient="portrait"/>
          <w:cols w:equalWidth="0" w:num="1">
            <w:col w:w="10219"/>
          </w:cols>
          <w:pgMar w:left="240" w:top="361" w:right="1440" w:bottom="0" w:gutter="0" w:footer="0" w:header="0"/>
        </w:sectPr>
      </w:pPr>
    </w:p>
    <w:bookmarkStart w:id="50" w:name="page51"/>
    <w:bookmarkEnd w:id="50"/>
    <w:p>
      <w:pPr>
        <w:ind w:right="499"/>
        <w:spacing w:after="0" w:line="329" w:lineRule="auto"/>
        <w:rPr>
          <w:sz w:val="20"/>
          <w:szCs w:val="20"/>
          <w:color w:val="auto"/>
        </w:rPr>
      </w:pPr>
      <w:r>
        <w:rPr>
          <w:rFonts w:ascii="Arial" w:cs="Arial" w:eastAsia="Arial" w:hAnsi="Arial"/>
          <w:sz w:val="19"/>
          <w:szCs w:val="19"/>
          <w:color w:val="auto"/>
        </w:rPr>
        <w:t>indemnification is for any reason held unenforceable, Debtor agrees to make the maximum contribution to the payment and satisfaction of each of the Indemnified Liabilities which is permissible under applicable law.</w:t>
      </w:r>
    </w:p>
    <w:p>
      <w:pPr>
        <w:spacing w:after="0" w:line="374"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6174740" cy="94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51" w:name="page52"/>
    <w:bookmarkEnd w:id="51"/>
    <w:p>
      <w:pPr>
        <w:jc w:val="both"/>
        <w:ind w:right="479" w:firstLine="1305"/>
        <w:spacing w:after="0"/>
        <w:tabs>
          <w:tab w:leader="none" w:pos="1594"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Any amounts payable to Secured Party under this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or otherwise under this Agreement if not paid upon demand shall bear interest from the date of such demand until paid in full, at the rate of interest set forth in the Notes.</w:t>
      </w:r>
    </w:p>
    <w:p>
      <w:pPr>
        <w:spacing w:after="0" w:line="213" w:lineRule="exact"/>
        <w:rPr>
          <w:sz w:val="20"/>
          <w:szCs w:val="20"/>
          <w:color w:val="auto"/>
        </w:rPr>
      </w:pPr>
    </w:p>
    <w:p>
      <w:pPr>
        <w:jc w:val="both"/>
        <w:ind w:right="479" w:firstLine="1297"/>
        <w:spacing w:after="0" w:line="272" w:lineRule="auto"/>
        <w:rPr>
          <w:sz w:val="20"/>
          <w:szCs w:val="20"/>
          <w:color w:val="auto"/>
        </w:rPr>
      </w:pPr>
      <w:r>
        <w:rPr>
          <w:rFonts w:ascii="Arial" w:cs="Arial" w:eastAsia="Arial" w:hAnsi="Arial"/>
          <w:sz w:val="19"/>
          <w:szCs w:val="19"/>
          <w:u w:val="single" w:color="auto"/>
          <w:color w:val="auto"/>
        </w:rPr>
        <w:t>SECTION 13 Binding Effect</w:t>
      </w:r>
      <w:r>
        <w:rPr>
          <w:rFonts w:ascii="Arial" w:cs="Arial" w:eastAsia="Arial" w:hAnsi="Arial"/>
          <w:sz w:val="19"/>
          <w:szCs w:val="19"/>
          <w:color w:val="auto"/>
        </w:rPr>
        <w:t>. This Agreement shall be binding upon, inure to the benefit of and be enforceable by Debtor, Secured Party and their respective successors and assigns and shall bind any Person who becomes bound as a debtor to this Agreement. Debtor may not assign, transfer, hypothecate or otherwise convey its rights, benefits, obligations or duties hereunder without the prior express written consent of Secured Party. Any such purported assignment, transfer, hypothecation or other conveyance by Debtor without the prior express written consent of Secured Party shall be void. Debtor acknowledges and agrees that in connection with an assignment of, or grant of a participation in, the Obligations Secured Party may assign, or grant participations in, all or a portion of its rights and obligations hereunder. Upon any assignment of Secured Party’s rights hereunder, such assignee shall have, to the extent of such assignment, all rights of Secured Party hereunder. Debtor agrees that, upon any such assignment, such assignee may enforce directly, without joinder of Secured Party, the rights of Secured Party set forth in this Agreement. Any such assignee shall be entitled to enforce Secured Party’s rights and remedies under this Agreement to the same extent as if it were the original secured party named herein.</w:t>
      </w:r>
    </w:p>
    <w:p>
      <w:pPr>
        <w:spacing w:after="0" w:line="200" w:lineRule="exact"/>
        <w:rPr>
          <w:sz w:val="20"/>
          <w:szCs w:val="20"/>
          <w:color w:val="auto"/>
        </w:rPr>
      </w:pPr>
    </w:p>
    <w:p>
      <w:pPr>
        <w:spacing w:after="0" w:line="232" w:lineRule="exact"/>
        <w:rPr>
          <w:sz w:val="20"/>
          <w:szCs w:val="20"/>
          <w:color w:val="auto"/>
        </w:rPr>
      </w:pPr>
    </w:p>
    <w:p>
      <w:pPr>
        <w:jc w:val="both"/>
        <w:ind w:right="499" w:firstLine="1297"/>
        <w:spacing w:after="0" w:line="252" w:lineRule="auto"/>
        <w:rPr>
          <w:sz w:val="20"/>
          <w:szCs w:val="20"/>
          <w:color w:val="auto"/>
        </w:rPr>
      </w:pPr>
      <w:r>
        <w:rPr>
          <w:rFonts w:ascii="Arial" w:cs="Arial" w:eastAsia="Arial" w:hAnsi="Arial"/>
          <w:sz w:val="21"/>
          <w:szCs w:val="21"/>
          <w:u w:val="single" w:color="auto"/>
          <w:color w:val="auto"/>
        </w:rPr>
        <w:t>SECTION 14 Governing Law</w:t>
      </w:r>
      <w:r>
        <w:rPr>
          <w:rFonts w:ascii="Arial" w:cs="Arial" w:eastAsia="Arial" w:hAnsi="Arial"/>
          <w:sz w:val="21"/>
          <w:szCs w:val="21"/>
          <w:color w:val="auto"/>
        </w:rPr>
        <w:t>. This Agreement shall be governed by, and construed in accordance with, the law of the State of California, except as required by mandatory provisions of law and to the extent the validity or perfection of the security interests hereunder, or the remedies hereunder, in respect of any Collateral are governed by the law of a jurisdiction other than California.</w:t>
      </w:r>
    </w:p>
    <w:p>
      <w:pPr>
        <w:spacing w:after="0" w:line="201" w:lineRule="exact"/>
        <w:rPr>
          <w:sz w:val="20"/>
          <w:szCs w:val="20"/>
          <w:color w:val="auto"/>
        </w:rPr>
      </w:pPr>
    </w:p>
    <w:p>
      <w:pPr>
        <w:jc w:val="both"/>
        <w:ind w:right="499" w:firstLine="1297"/>
        <w:spacing w:after="0"/>
        <w:rPr>
          <w:sz w:val="20"/>
          <w:szCs w:val="20"/>
          <w:color w:val="auto"/>
        </w:rPr>
      </w:pPr>
      <w:r>
        <w:rPr>
          <w:rFonts w:ascii="Arial" w:cs="Arial" w:eastAsia="Arial" w:hAnsi="Arial"/>
          <w:sz w:val="22"/>
          <w:szCs w:val="22"/>
          <w:u w:val="single" w:color="auto"/>
          <w:color w:val="auto"/>
        </w:rPr>
        <w:t>SECTION 15 Entire Agreement; Amendment</w:t>
      </w:r>
      <w:r>
        <w:rPr>
          <w:rFonts w:ascii="Arial" w:cs="Arial" w:eastAsia="Arial" w:hAnsi="Arial"/>
          <w:sz w:val="22"/>
          <w:szCs w:val="22"/>
          <w:color w:val="auto"/>
        </w:rPr>
        <w:t>. This Agreement contains the entire agreement of the parties with respect to the subject matter hereof and shall not be amended except by the written agreement of the parties.</w:t>
      </w:r>
    </w:p>
    <w:p>
      <w:pPr>
        <w:spacing w:after="0" w:line="213" w:lineRule="exact"/>
        <w:rPr>
          <w:sz w:val="20"/>
          <w:szCs w:val="20"/>
          <w:color w:val="auto"/>
        </w:rPr>
      </w:pPr>
    </w:p>
    <w:p>
      <w:pPr>
        <w:jc w:val="both"/>
        <w:ind w:right="479" w:firstLine="1297"/>
        <w:spacing w:after="0" w:line="277" w:lineRule="auto"/>
        <w:rPr>
          <w:sz w:val="20"/>
          <w:szCs w:val="20"/>
          <w:color w:val="auto"/>
        </w:rPr>
      </w:pPr>
      <w:r>
        <w:rPr>
          <w:rFonts w:ascii="Arial" w:cs="Arial" w:eastAsia="Arial" w:hAnsi="Arial"/>
          <w:sz w:val="19"/>
          <w:szCs w:val="19"/>
          <w:u w:val="single" w:color="auto"/>
          <w:color w:val="auto"/>
        </w:rPr>
        <w:t>SECTION 16 Severability</w:t>
      </w:r>
      <w:r>
        <w:rPr>
          <w:rFonts w:ascii="Arial" w:cs="Arial" w:eastAsia="Arial" w:hAnsi="Arial"/>
          <w:sz w:val="19"/>
          <w:szCs w:val="19"/>
          <w:color w:val="auto"/>
        </w:rPr>
        <w:t>. Whenever possible, each provision of this Agreement shall be interpreted in such manner as to be effective and valid under all applicable laws and regulations. If, however, any provision of this Agreement shall be prohibited by or invalid under any such law or regulation in any jurisdiction, it shall, as to such jurisdiction, be deemed modified to conform to the minimum requirements of such law or regulation, or, if for any reason it is not deemed so modified, it shall be ineffective and invalid only to the extent of such prohibition or invalidity without affecting the remaining provisions of this Agreement, or the validity or effectiveness of such provision in any other jurisdiction.</w:t>
      </w:r>
    </w:p>
    <w:p>
      <w:pPr>
        <w:spacing w:after="0" w:line="180" w:lineRule="exact"/>
        <w:rPr>
          <w:sz w:val="20"/>
          <w:szCs w:val="20"/>
          <w:color w:val="auto"/>
        </w:rPr>
      </w:pPr>
    </w:p>
    <w:p>
      <w:pPr>
        <w:jc w:val="both"/>
        <w:ind w:right="499" w:firstLine="1297"/>
        <w:spacing w:after="0" w:line="297" w:lineRule="auto"/>
        <w:rPr>
          <w:sz w:val="20"/>
          <w:szCs w:val="20"/>
          <w:color w:val="auto"/>
        </w:rPr>
      </w:pPr>
      <w:r>
        <w:rPr>
          <w:rFonts w:ascii="Arial" w:cs="Arial" w:eastAsia="Arial" w:hAnsi="Arial"/>
          <w:sz w:val="19"/>
          <w:szCs w:val="19"/>
          <w:u w:val="single" w:color="auto"/>
          <w:color w:val="auto"/>
        </w:rPr>
        <w:t>SECTION 17 Counterparts</w:t>
      </w:r>
      <w:r>
        <w:rPr>
          <w:rFonts w:ascii="Arial" w:cs="Arial" w:eastAsia="Arial" w:hAnsi="Arial"/>
          <w:sz w:val="19"/>
          <w:szCs w:val="19"/>
          <w:color w:val="auto"/>
        </w:rPr>
        <w:t>. This Agreement may be executed in any number of counterparts and by different parties hereto in separate counterparts, each of which when so executed shall be deemed to be an original and all of which taken together shall constitute but one and the same agreement.</w:t>
      </w:r>
    </w:p>
    <w:p>
      <w:pPr>
        <w:spacing w:after="0" w:line="161" w:lineRule="exact"/>
        <w:rPr>
          <w:sz w:val="20"/>
          <w:szCs w:val="20"/>
          <w:color w:val="auto"/>
        </w:rPr>
      </w:pPr>
    </w:p>
    <w:p>
      <w:pPr>
        <w:jc w:val="both"/>
        <w:ind w:right="499" w:firstLine="1297"/>
        <w:spacing w:after="0" w:line="252" w:lineRule="auto"/>
        <w:rPr>
          <w:sz w:val="20"/>
          <w:szCs w:val="20"/>
          <w:color w:val="auto"/>
        </w:rPr>
      </w:pPr>
      <w:r>
        <w:rPr>
          <w:rFonts w:ascii="Arial" w:cs="Arial" w:eastAsia="Arial" w:hAnsi="Arial"/>
          <w:sz w:val="21"/>
          <w:szCs w:val="21"/>
          <w:u w:val="single" w:color="auto"/>
          <w:color w:val="auto"/>
        </w:rPr>
        <w:t>SECTION 18 Termination</w:t>
      </w:r>
      <w:r>
        <w:rPr>
          <w:rFonts w:ascii="Arial" w:cs="Arial" w:eastAsia="Arial" w:hAnsi="Arial"/>
          <w:sz w:val="21"/>
          <w:szCs w:val="21"/>
          <w:color w:val="auto"/>
        </w:rPr>
        <w:t>. Upon payment and performance in full of all Obligations, the security interest created under this Agreement shall terminate and Secured Party shall promptly execute and deliver to Debtor such documents and instruments reasonably requested by Debtor as shall be necessary to evidence termination of all security interests given by Debtor to Secured Party hereunder.</w:t>
      </w:r>
    </w:p>
    <w:p>
      <w:pPr>
        <w:spacing w:after="0" w:line="201" w:lineRule="exact"/>
        <w:rPr>
          <w:sz w:val="20"/>
          <w:szCs w:val="20"/>
          <w:color w:val="auto"/>
        </w:rPr>
      </w:pPr>
    </w:p>
    <w:p>
      <w:pPr>
        <w:jc w:val="both"/>
        <w:ind w:right="499" w:firstLine="1297"/>
        <w:spacing w:after="0" w:line="251" w:lineRule="auto"/>
        <w:rPr>
          <w:sz w:val="20"/>
          <w:szCs w:val="20"/>
          <w:color w:val="auto"/>
        </w:rPr>
      </w:pPr>
      <w:r>
        <w:rPr>
          <w:rFonts w:ascii="Arial" w:cs="Arial" w:eastAsia="Arial" w:hAnsi="Arial"/>
          <w:sz w:val="22"/>
          <w:szCs w:val="22"/>
          <w:u w:val="single" w:color="auto"/>
          <w:color w:val="auto"/>
        </w:rPr>
        <w:t>SECTION 19 Conflicts</w:t>
      </w:r>
      <w:r>
        <w:rPr>
          <w:rFonts w:ascii="Arial" w:cs="Arial" w:eastAsia="Arial" w:hAnsi="Arial"/>
          <w:sz w:val="22"/>
          <w:szCs w:val="22"/>
          <w:color w:val="auto"/>
        </w:rPr>
        <w:t>. In the event of any conflict or inconsistency between this Agreement and the Notes, the terms of this Agreement shall control.</w:t>
      </w:r>
    </w:p>
    <w:p>
      <w:pPr>
        <w:spacing w:after="0" w:line="200" w:lineRule="exact"/>
        <w:rPr>
          <w:sz w:val="20"/>
          <w:szCs w:val="20"/>
          <w:color w:val="auto"/>
        </w:rPr>
      </w:pPr>
    </w:p>
    <w:p>
      <w:pPr>
        <w:ind w:left="290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76"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6174740"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52" w:name="page53"/>
    <w:bookmarkEnd w:id="52"/>
    <w:p>
      <w:pPr>
        <w:ind w:right="899" w:firstLine="648"/>
        <w:spacing w:after="0" w:line="251" w:lineRule="auto"/>
        <w:rPr>
          <w:sz w:val="20"/>
          <w:szCs w:val="20"/>
          <w:color w:val="auto"/>
        </w:rPr>
      </w:pPr>
      <w:r>
        <w:rPr>
          <w:rFonts w:ascii="Arial" w:cs="Arial" w:eastAsia="Arial" w:hAnsi="Arial"/>
          <w:sz w:val="22"/>
          <w:szCs w:val="22"/>
          <w:color w:val="auto"/>
        </w:rPr>
        <w:t>IN WITNESS WHEREOF, the parties hereto have duly executed this Agreement, as of the date first above written.</w:t>
      </w:r>
    </w:p>
    <w:p>
      <w:pPr>
        <w:spacing w:after="0" w:line="200" w:lineRule="exact"/>
        <w:rPr>
          <w:sz w:val="20"/>
          <w:szCs w:val="20"/>
          <w:color w:val="auto"/>
        </w:rPr>
      </w:pPr>
    </w:p>
    <w:p>
      <w:pPr>
        <w:spacing w:after="0" w:line="2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DEBTOR:</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TRANSDEL PHARMACEUTICALS, INC.</w:t>
      </w: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Arial" w:cs="Arial" w:eastAsia="Arial" w:hAnsi="Arial"/>
          <w:sz w:val="22"/>
          <w:szCs w:val="22"/>
          <w:i w:val="1"/>
          <w:iCs w:val="1"/>
          <w:color w:val="auto"/>
        </w:rPr>
        <w:t>/S/ Terry Nida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1499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49985" cy="8890"/>
                    </a:xfrm>
                    <a:prstGeom prst="rect">
                      <a:avLst/>
                    </a:prstGeom>
                    <a:noFill/>
                  </pic:spPr>
                </pic:pic>
              </a:graphicData>
            </a:graphic>
          </wp:anchor>
        </w:drawing>
      </w:r>
    </w:p>
    <w:p>
      <w:pPr>
        <w:ind w:left="4540"/>
        <w:spacing w:after="0" w:line="238" w:lineRule="auto"/>
        <w:rPr>
          <w:sz w:val="20"/>
          <w:szCs w:val="20"/>
          <w:color w:val="auto"/>
        </w:rPr>
      </w:pPr>
      <w:r>
        <w:rPr>
          <w:rFonts w:ascii="Arial" w:cs="Arial" w:eastAsia="Arial" w:hAnsi="Arial"/>
          <w:sz w:val="22"/>
          <w:szCs w:val="22"/>
          <w:color w:val="auto"/>
        </w:rPr>
        <w:t>By: Terry Nida</w:t>
      </w: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SECURED PARTY:</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DERMASTAR INTERNATIONAL, LLC</w:t>
      </w: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Arial" w:cs="Arial" w:eastAsia="Arial" w:hAnsi="Arial"/>
          <w:sz w:val="22"/>
          <w:szCs w:val="22"/>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2160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16025" cy="8890"/>
                    </a:xfrm>
                    <a:prstGeom prst="rect">
                      <a:avLst/>
                    </a:prstGeom>
                    <a:noFill/>
                  </pic:spPr>
                </pic:pic>
              </a:graphicData>
            </a:graphic>
          </wp:anchor>
        </w:drawing>
      </w:r>
    </w:p>
    <w:p>
      <w:pPr>
        <w:ind w:left="4540"/>
        <w:spacing w:after="0" w:line="238" w:lineRule="auto"/>
        <w:rPr>
          <w:sz w:val="20"/>
          <w:szCs w:val="20"/>
          <w:color w:val="auto"/>
        </w:rPr>
      </w:pPr>
      <w:r>
        <w:rPr>
          <w:rFonts w:ascii="Arial" w:cs="Arial" w:eastAsia="Arial" w:hAnsi="Arial"/>
          <w:sz w:val="22"/>
          <w:szCs w:val="22"/>
          <w:color w:val="auto"/>
        </w:rPr>
        <w:t>By: Mark L. Baum</w:t>
      </w:r>
    </w:p>
    <w:p>
      <w:pPr>
        <w:ind w:left="4540"/>
        <w:spacing w:after="0"/>
        <w:rPr>
          <w:sz w:val="20"/>
          <w:szCs w:val="20"/>
          <w:color w:val="auto"/>
        </w:rPr>
      </w:pPr>
      <w:r>
        <w:rPr>
          <w:rFonts w:ascii="Arial" w:cs="Arial" w:eastAsia="Arial" w:hAnsi="Arial"/>
          <w:sz w:val="22"/>
          <w:szCs w:val="22"/>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617474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53" w:name="page54"/>
    <w:bookmarkEnd w:id="53"/>
    <w:p>
      <w:pPr>
        <w:jc w:val="center"/>
        <w:ind w:right="479"/>
        <w:spacing w:after="0"/>
        <w:rPr>
          <w:sz w:val="20"/>
          <w:szCs w:val="20"/>
          <w:color w:val="auto"/>
        </w:rPr>
      </w:pPr>
      <w:r>
        <w:rPr>
          <w:rFonts w:ascii="Arial" w:cs="Arial" w:eastAsia="Arial" w:hAnsi="Arial"/>
          <w:sz w:val="22"/>
          <w:szCs w:val="22"/>
          <w:b w:val="1"/>
          <w:bCs w:val="1"/>
          <w:color w:val="auto"/>
        </w:rPr>
        <w:t>SCHEDULE 1</w:t>
      </w:r>
    </w:p>
    <w:p>
      <w:pPr>
        <w:spacing w:after="0" w:line="15" w:lineRule="exact"/>
        <w:rPr>
          <w:sz w:val="20"/>
          <w:szCs w:val="20"/>
          <w:color w:val="auto"/>
        </w:rPr>
      </w:pPr>
    </w:p>
    <w:p>
      <w:pPr>
        <w:jc w:val="center"/>
        <w:ind w:right="479"/>
        <w:spacing w:after="0"/>
        <w:rPr>
          <w:sz w:val="20"/>
          <w:szCs w:val="20"/>
          <w:color w:val="auto"/>
        </w:rPr>
      </w:pPr>
      <w:r>
        <w:rPr>
          <w:rFonts w:ascii="Arial" w:cs="Arial" w:eastAsia="Arial" w:hAnsi="Arial"/>
          <w:sz w:val="19"/>
          <w:szCs w:val="19"/>
          <w:color w:val="auto"/>
        </w:rPr>
        <w:t>to the Security Agreement</w:t>
      </w:r>
    </w:p>
    <w:p>
      <w:pPr>
        <w:spacing w:after="0" w:line="250" w:lineRule="exact"/>
        <w:rPr>
          <w:sz w:val="20"/>
          <w:szCs w:val="20"/>
          <w:color w:val="auto"/>
        </w:rPr>
      </w:pPr>
    </w:p>
    <w:p>
      <w:pPr>
        <w:ind w:left="4180"/>
        <w:spacing w:after="0"/>
        <w:rPr>
          <w:sz w:val="20"/>
          <w:szCs w:val="20"/>
          <w:color w:val="auto"/>
        </w:rPr>
      </w:pPr>
      <w:r>
        <w:rPr>
          <w:rFonts w:ascii="Arial" w:cs="Arial" w:eastAsia="Arial" w:hAnsi="Arial"/>
          <w:sz w:val="22"/>
          <w:szCs w:val="22"/>
          <w:u w:val="single" w:color="auto"/>
          <w:color w:val="auto"/>
        </w:rPr>
        <w:t>Permitted Liens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6174740"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54" w:name="page55"/>
    <w:bookmarkEnd w:id="54"/>
    <w:p>
      <w:pPr>
        <w:jc w:val="center"/>
        <w:ind w:right="487"/>
        <w:spacing w:after="0"/>
        <w:rPr>
          <w:sz w:val="20"/>
          <w:szCs w:val="20"/>
          <w:color w:val="auto"/>
        </w:rPr>
      </w:pPr>
      <w:r>
        <w:rPr>
          <w:rFonts w:ascii="Arial" w:cs="Arial" w:eastAsia="Arial" w:hAnsi="Arial"/>
          <w:sz w:val="22"/>
          <w:szCs w:val="22"/>
          <w:b w:val="1"/>
          <w:bCs w:val="1"/>
          <w:color w:val="auto"/>
        </w:rPr>
        <w:t>SCHEDULE 2</w:t>
      </w:r>
    </w:p>
    <w:p>
      <w:pPr>
        <w:spacing w:after="0" w:line="15" w:lineRule="exact"/>
        <w:rPr>
          <w:sz w:val="20"/>
          <w:szCs w:val="20"/>
          <w:color w:val="auto"/>
        </w:rPr>
      </w:pPr>
    </w:p>
    <w:p>
      <w:pPr>
        <w:jc w:val="center"/>
        <w:ind w:right="487"/>
        <w:spacing w:after="0"/>
        <w:rPr>
          <w:sz w:val="20"/>
          <w:szCs w:val="20"/>
          <w:color w:val="auto"/>
        </w:rPr>
      </w:pPr>
      <w:r>
        <w:rPr>
          <w:rFonts w:ascii="Arial" w:cs="Arial" w:eastAsia="Arial" w:hAnsi="Arial"/>
          <w:sz w:val="22"/>
          <w:szCs w:val="22"/>
          <w:color w:val="auto"/>
        </w:rPr>
        <w:t>to the Security Agreement</w:t>
      </w:r>
    </w:p>
    <w:p>
      <w:pPr>
        <w:spacing w:after="0" w:line="200" w:lineRule="exact"/>
        <w:rPr>
          <w:sz w:val="20"/>
          <w:szCs w:val="20"/>
          <w:color w:val="auto"/>
        </w:rPr>
      </w:pPr>
    </w:p>
    <w:p>
      <w:pPr>
        <w:spacing w:after="0" w:line="231" w:lineRule="exact"/>
        <w:rPr>
          <w:sz w:val="20"/>
          <w:szCs w:val="20"/>
          <w:color w:val="auto"/>
        </w:rPr>
      </w:pPr>
    </w:p>
    <w:p>
      <w:pPr>
        <w:ind w:left="1292" w:right="3479" w:hanging="1292"/>
        <w:spacing w:after="0" w:line="458" w:lineRule="auto"/>
        <w:tabs>
          <w:tab w:leader="none" w:pos="617" w:val="left"/>
        </w:tabs>
        <w:numPr>
          <w:ilvl w:val="0"/>
          <w:numId w:val="59"/>
        </w:numPr>
        <w:rPr>
          <w:rFonts w:ascii="Arial" w:cs="Arial" w:eastAsia="Arial" w:hAnsi="Arial"/>
          <w:sz w:val="22"/>
          <w:szCs w:val="22"/>
          <w:b w:val="1"/>
          <w:bCs w:val="1"/>
          <w:color w:val="auto"/>
        </w:rPr>
      </w:pPr>
      <w:r>
        <w:rPr>
          <w:rFonts w:ascii="Arial" w:cs="Arial" w:eastAsia="Arial" w:hAnsi="Arial"/>
          <w:sz w:val="22"/>
          <w:szCs w:val="22"/>
          <w:u w:val="single" w:color="auto"/>
          <w:color w:val="auto"/>
        </w:rPr>
        <w:t xml:space="preserve">Jurisdiction of Organization and Organizational Identification Number </w:t>
      </w:r>
      <w:r>
        <w:rPr>
          <w:rFonts w:ascii="Arial" w:cs="Arial" w:eastAsia="Arial" w:hAnsi="Arial"/>
          <w:sz w:val="22"/>
          <w:szCs w:val="22"/>
          <w:color w:val="auto"/>
        </w:rPr>
        <w:t>Delaware; no. 4092296</w:t>
      </w:r>
    </w:p>
    <w:p>
      <w:pPr>
        <w:spacing w:after="0" w:line="6" w:lineRule="exact"/>
        <w:rPr>
          <w:rFonts w:ascii="Arial" w:cs="Arial" w:eastAsia="Arial" w:hAnsi="Arial"/>
          <w:sz w:val="22"/>
          <w:szCs w:val="22"/>
          <w:b w:val="1"/>
          <w:bCs w:val="1"/>
          <w:color w:val="auto"/>
        </w:rPr>
      </w:pPr>
    </w:p>
    <w:p>
      <w:pPr>
        <w:ind w:left="612" w:hanging="612"/>
        <w:spacing w:after="0"/>
        <w:tabs>
          <w:tab w:leader="none" w:pos="612" w:val="left"/>
        </w:tabs>
        <w:numPr>
          <w:ilvl w:val="0"/>
          <w:numId w:val="59"/>
        </w:numPr>
        <w:rPr>
          <w:rFonts w:ascii="Arial" w:cs="Arial" w:eastAsia="Arial" w:hAnsi="Arial"/>
          <w:sz w:val="22"/>
          <w:szCs w:val="22"/>
          <w:b w:val="1"/>
          <w:bCs w:val="1"/>
          <w:color w:val="auto"/>
        </w:rPr>
      </w:pPr>
      <w:r>
        <w:rPr>
          <w:rFonts w:ascii="Arial" w:cs="Arial" w:eastAsia="Arial" w:hAnsi="Arial"/>
          <w:sz w:val="22"/>
          <w:szCs w:val="22"/>
          <w:u w:val="single" w:color="auto"/>
          <w:color w:val="auto"/>
        </w:rPr>
        <w:t>Chief Executive Office and Principal Place of Business</w:t>
      </w:r>
    </w:p>
    <w:p>
      <w:pPr>
        <w:spacing w:after="0" w:line="233"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610-C East Palomar Street</w:t>
      </w:r>
    </w:p>
    <w:p>
      <w:pPr>
        <w:spacing w:after="0" w:line="8"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Chula Vista, CA 91911</w:t>
      </w:r>
    </w:p>
    <w:p>
      <w:pPr>
        <w:spacing w:after="0" w:line="215" w:lineRule="exact"/>
        <w:rPr>
          <w:sz w:val="20"/>
          <w:szCs w:val="20"/>
          <w:color w:val="auto"/>
        </w:rPr>
      </w:pPr>
    </w:p>
    <w:p>
      <w:pPr>
        <w:ind w:left="612" w:hanging="612"/>
        <w:spacing w:after="0"/>
        <w:tabs>
          <w:tab w:leader="none" w:pos="612" w:val="left"/>
        </w:tabs>
        <w:numPr>
          <w:ilvl w:val="0"/>
          <w:numId w:val="60"/>
        </w:numPr>
        <w:rPr>
          <w:rFonts w:ascii="Arial" w:cs="Arial" w:eastAsia="Arial" w:hAnsi="Arial"/>
          <w:sz w:val="19"/>
          <w:szCs w:val="19"/>
          <w:b w:val="1"/>
          <w:bCs w:val="1"/>
          <w:color w:val="auto"/>
        </w:rPr>
      </w:pPr>
      <w:r>
        <w:rPr>
          <w:rFonts w:ascii="Arial" w:cs="Arial" w:eastAsia="Arial" w:hAnsi="Arial"/>
          <w:sz w:val="19"/>
          <w:szCs w:val="19"/>
          <w:u w:val="single" w:color="auto"/>
          <w:color w:val="auto"/>
        </w:rPr>
        <w:t>Other locations where Debtor conducts business or Collateral is kept</w:t>
      </w:r>
    </w:p>
    <w:p>
      <w:pPr>
        <w:spacing w:after="0" w:line="268"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Public Storage</w:t>
      </w:r>
    </w:p>
    <w:p>
      <w:pPr>
        <w:ind w:left="1292"/>
        <w:spacing w:after="0" w:line="238" w:lineRule="auto"/>
        <w:rPr>
          <w:sz w:val="20"/>
          <w:szCs w:val="20"/>
          <w:color w:val="auto"/>
        </w:rPr>
      </w:pPr>
      <w:r>
        <w:rPr>
          <w:rFonts w:ascii="Arial" w:cs="Arial" w:eastAsia="Arial" w:hAnsi="Arial"/>
          <w:sz w:val="22"/>
          <w:szCs w:val="22"/>
          <w:color w:val="auto"/>
        </w:rPr>
        <w:t>9890 Pacific Heights Blvd</w:t>
      </w:r>
    </w:p>
    <w:p>
      <w:pPr>
        <w:ind w:left="1292"/>
        <w:spacing w:after="0"/>
        <w:rPr>
          <w:sz w:val="20"/>
          <w:szCs w:val="20"/>
          <w:color w:val="auto"/>
        </w:rPr>
      </w:pPr>
      <w:r>
        <w:rPr>
          <w:rFonts w:ascii="Arial" w:cs="Arial" w:eastAsia="Arial" w:hAnsi="Arial"/>
          <w:sz w:val="22"/>
          <w:szCs w:val="22"/>
          <w:color w:val="auto"/>
        </w:rPr>
        <w:t>San Diego, CA 92121-4702</w:t>
      </w:r>
    </w:p>
    <w:p>
      <w:pPr>
        <w:spacing w:after="0" w:line="215"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997 McCain Valley Court</w:t>
      </w:r>
    </w:p>
    <w:p>
      <w:pPr>
        <w:spacing w:after="0" w:line="8"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Chula Vista, CA 91913</w:t>
      </w:r>
    </w:p>
    <w:p>
      <w:pPr>
        <w:spacing w:after="0" w:line="215" w:lineRule="exact"/>
        <w:rPr>
          <w:sz w:val="20"/>
          <w:szCs w:val="20"/>
          <w:color w:val="auto"/>
        </w:rPr>
      </w:pPr>
    </w:p>
    <w:p>
      <w:pPr>
        <w:ind w:left="612" w:hanging="612"/>
        <w:spacing w:after="0"/>
        <w:tabs>
          <w:tab w:leader="none" w:pos="612" w:val="left"/>
        </w:tabs>
        <w:numPr>
          <w:ilvl w:val="0"/>
          <w:numId w:val="61"/>
        </w:numPr>
        <w:rPr>
          <w:rFonts w:ascii="Arial" w:cs="Arial" w:eastAsia="Arial" w:hAnsi="Arial"/>
          <w:sz w:val="22"/>
          <w:szCs w:val="22"/>
          <w:b w:val="1"/>
          <w:bCs w:val="1"/>
          <w:color w:val="auto"/>
        </w:rPr>
      </w:pPr>
      <w:r>
        <w:rPr>
          <w:rFonts w:ascii="Arial" w:cs="Arial" w:eastAsia="Arial" w:hAnsi="Arial"/>
          <w:sz w:val="22"/>
          <w:szCs w:val="22"/>
          <w:u w:val="single" w:color="auto"/>
          <w:color w:val="auto"/>
        </w:rPr>
        <w:t>Deposit Accounts and Security Accounts</w:t>
      </w:r>
    </w:p>
    <w:p>
      <w:pPr>
        <w:spacing w:after="0" w:line="233"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U.S. Bank, San Diego, CA (DIP account)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87"/>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187325</wp:posOffset>
            </wp:positionV>
            <wp:extent cx="6174740"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1"/>
          </w:cols>
          <w:pgMar w:left="248" w:top="112" w:right="1440" w:bottom="1440" w:gutter="0" w:footer="0" w:header="0"/>
        </w:sectPr>
      </w:pPr>
    </w:p>
    <w:bookmarkStart w:id="55" w:name="page56"/>
    <w:bookmarkEnd w:id="55"/>
    <w:p>
      <w:pPr>
        <w:jc w:val="center"/>
        <w:ind w:right="479"/>
        <w:spacing w:after="0"/>
        <w:rPr>
          <w:sz w:val="20"/>
          <w:szCs w:val="20"/>
          <w:color w:val="auto"/>
        </w:rPr>
      </w:pPr>
      <w:r>
        <w:rPr>
          <w:rFonts w:ascii="Arial" w:cs="Arial" w:eastAsia="Arial" w:hAnsi="Arial"/>
          <w:sz w:val="22"/>
          <w:szCs w:val="22"/>
          <w:b w:val="1"/>
          <w:bCs w:val="1"/>
          <w:color w:val="auto"/>
        </w:rPr>
        <w:t>SCHEDULE 3</w:t>
      </w:r>
    </w:p>
    <w:p>
      <w:pPr>
        <w:spacing w:after="0" w:line="5"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to the Security Agreement</w:t>
      </w:r>
    </w:p>
    <w:p>
      <w:pPr>
        <w:ind w:left="300" w:hanging="292"/>
        <w:spacing w:after="0"/>
        <w:tabs>
          <w:tab w:leader="none" w:pos="300" w:val="left"/>
        </w:tabs>
        <w:numPr>
          <w:ilvl w:val="0"/>
          <w:numId w:val="62"/>
        </w:numPr>
        <w:rPr>
          <w:rFonts w:ascii="Arial" w:cs="Arial" w:eastAsia="Arial" w:hAnsi="Arial"/>
          <w:sz w:val="22"/>
          <w:szCs w:val="22"/>
          <w:b w:val="1"/>
          <w:bCs w:val="1"/>
          <w:color w:val="auto"/>
        </w:rPr>
      </w:pPr>
      <w:r>
        <w:rPr>
          <w:rFonts w:ascii="Arial" w:cs="Arial" w:eastAsia="Arial" w:hAnsi="Arial"/>
          <w:sz w:val="22"/>
          <w:szCs w:val="22"/>
          <w:u w:val="single" w:color="auto"/>
          <w:color w:val="auto"/>
        </w:rPr>
        <w:t>Patents and Patent Applications</w:t>
      </w:r>
      <w:r>
        <w:rPr>
          <w:rFonts w:ascii="Arial" w:cs="Arial" w:eastAsia="Arial" w:hAnsi="Arial"/>
          <w:sz w:val="22"/>
          <w:szCs w:val="22"/>
          <w:color w:val="auto"/>
        </w:rPr>
        <w:t>.</w:t>
      </w: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940" w:type="dxa"/>
            <w:vAlign w:val="bottom"/>
            <w:tcBorders>
              <w:top w:val="single" w:sz="8" w:color="auto"/>
              <w:left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i w:val="1"/>
                <w:iCs w:val="1"/>
                <w:color w:val="auto"/>
              </w:rPr>
              <w:t>Grantor</w:t>
            </w:r>
          </w:p>
        </w:tc>
        <w:tc>
          <w:tcPr>
            <w:tcW w:w="228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i w:val="1"/>
                <w:iCs w:val="1"/>
                <w:color w:val="auto"/>
              </w:rPr>
              <w:t>Description</w:t>
            </w:r>
          </w:p>
        </w:tc>
        <w:tc>
          <w:tcPr>
            <w:tcW w:w="230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i w:val="1"/>
                <w:iCs w:val="1"/>
                <w:color w:val="auto"/>
              </w:rPr>
              <w:t>Abstract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7"/>
              </w:rPr>
              <w:t>Patent Number</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Issue Date</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6"/>
              </w:rPr>
              <w:t>Country</w:t>
            </w:r>
          </w:p>
        </w:tc>
        <w:tc>
          <w:tcPr>
            <w:tcW w:w="0" w:type="dxa"/>
            <w:vAlign w:val="bottom"/>
          </w:tcPr>
          <w:p>
            <w:pPr>
              <w:spacing w:after="0"/>
              <w:rPr>
                <w:sz w:val="1"/>
                <w:szCs w:val="1"/>
                <w:color w:val="auto"/>
              </w:rPr>
            </w:pPr>
          </w:p>
        </w:tc>
      </w:tr>
      <w:tr>
        <w:trPr>
          <w:trHeight w:val="247"/>
        </w:trPr>
        <w:tc>
          <w:tcPr>
            <w:tcW w:w="194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0"/>
              </w:rPr>
              <w:t>Where Filed</w:t>
            </w:r>
          </w:p>
        </w:tc>
        <w:tc>
          <w:tcPr>
            <w:tcW w:w="0" w:type="dxa"/>
            <w:vAlign w:val="bottom"/>
          </w:tcPr>
          <w:p>
            <w:pPr>
              <w:spacing w:after="0"/>
              <w:rPr>
                <w:sz w:val="1"/>
                <w:szCs w:val="1"/>
                <w:color w:val="auto"/>
              </w:rPr>
            </w:pPr>
          </w:p>
        </w:tc>
      </w:tr>
      <w:tr>
        <w:trPr>
          <w:trHeight w:val="178"/>
        </w:trPr>
        <w:tc>
          <w:tcPr>
            <w:tcW w:w="194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w w:val="90"/>
              </w:rPr>
              <w:t>Transdel Pharmaceuticals</w:t>
            </w:r>
          </w:p>
        </w:tc>
        <w:tc>
          <w:tcPr>
            <w:tcW w:w="22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TRANSDERMAL</w:t>
            </w:r>
          </w:p>
        </w:tc>
        <w:tc>
          <w:tcPr>
            <w:tcW w:w="23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2"/>
              </w:rPr>
              <w:t>A composition and procedures</w:t>
            </w:r>
          </w:p>
        </w:tc>
        <w:tc>
          <w:tcPr>
            <w:tcW w:w="12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89"/>
              </w:rPr>
              <w:t>5,837,289</w:t>
            </w:r>
          </w:p>
        </w:tc>
        <w:tc>
          <w:tcPr>
            <w:tcW w:w="13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1"/>
              </w:rPr>
              <w:t>November 17,</w:t>
            </w:r>
          </w:p>
        </w:tc>
        <w:tc>
          <w:tcPr>
            <w:tcW w:w="10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88"/>
              </w:rPr>
              <w:t>United States</w:t>
            </w: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Holdings, Inc.</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DELIVERY OF</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 its formation and</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1998</w:t>
            </w: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(merged into Transdel</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MEDICATIONS USING A</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administration are described,</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Pharmaceuticals, Inc. as</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COMBINATION OF</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which provide for a</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June 20, 2011)</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PENETRATION</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convenient, efficacious and</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ENHANCERS</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simple transdermal</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Inventors:</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administration of medications</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vMerge w:val="continue"/>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from a topically applied cream.</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2"/>
              </w:rPr>
              <w:t xml:space="preserve">Grasela; John C. </w:t>
            </w:r>
            <w:r>
              <w:rPr>
                <w:rFonts w:ascii="Arial" w:cs="Arial" w:eastAsia="Arial" w:hAnsi="Arial"/>
                <w:sz w:val="18"/>
                <w:szCs w:val="18"/>
                <w:color w:val="auto"/>
                <w:w w:val="92"/>
              </w:rPr>
              <w:t>(San Diego,</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transmission through a</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w:t>
            </w:r>
            <w:r>
              <w:rPr>
                <w:rFonts w:ascii="Arial" w:cs="Arial" w:eastAsia="Arial" w:hAnsi="Arial"/>
                <w:sz w:val="18"/>
                <w:szCs w:val="18"/>
                <w:b w:val="1"/>
                <w:bCs w:val="1"/>
                <w:color w:val="auto"/>
              </w:rPr>
              <w:t>,</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membrane is involved. The</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Grasela; Joseph E. </w:t>
            </w:r>
            <w:r>
              <w:rPr>
                <w:rFonts w:ascii="Arial" w:cs="Arial" w:eastAsia="Arial" w:hAnsi="Arial"/>
                <w:sz w:val="18"/>
                <w:szCs w:val="18"/>
                <w:color w:val="auto"/>
              </w:rPr>
              <w:t>(San</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composition incorporates at</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Diego, CA)</w:t>
            </w:r>
            <w:r>
              <w:rPr>
                <w:rFonts w:ascii="Arial" w:cs="Arial" w:eastAsia="Arial" w:hAnsi="Arial"/>
                <w:sz w:val="18"/>
                <w:szCs w:val="18"/>
                <w:b w:val="1"/>
                <w:bCs w:val="1"/>
                <w:color w:val="auto"/>
              </w:rPr>
              <w:t>,</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least two separate penetration</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9"/>
              </w:rPr>
              <w:t xml:space="preserve">Jubenville; Robert M. </w:t>
            </w:r>
            <w:r>
              <w:rPr>
                <w:rFonts w:ascii="Arial" w:cs="Arial" w:eastAsia="Arial" w:hAnsi="Arial"/>
                <w:sz w:val="18"/>
                <w:szCs w:val="18"/>
                <w:color w:val="auto"/>
                <w:w w:val="99"/>
              </w:rPr>
              <w:t>(San</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enhancers which function</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Diego, CA)</w:t>
            </w:r>
            <w:r>
              <w:rPr>
                <w:rFonts w:ascii="Arial" w:cs="Arial" w:eastAsia="Arial" w:hAnsi="Arial"/>
                <w:sz w:val="18"/>
                <w:szCs w:val="18"/>
                <w:b w:val="1"/>
                <w:bCs w:val="1"/>
                <w:color w:val="auto"/>
              </w:rPr>
              <w:t>,</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synergistically to provide for</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4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McCloskey; Joseph J.</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rapid but controllable transport</w:t>
            </w:r>
          </w:p>
        </w:tc>
        <w:tc>
          <w:tcPr>
            <w:tcW w:w="122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(Bloomfield Hills, MI)</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the medication from the</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cream into the skin. The use of</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plurality of penetration</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enhancers, at least one of</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which facilitates the separation</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of medication from the cream</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and at least a second of which</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alters the structure of the outer</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layers of skin, particularly the</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stratum corneum, enhances</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migration of the drug through</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stratum corneum.</w:t>
            </w:r>
          </w:p>
        </w:tc>
        <w:tc>
          <w:tcPr>
            <w:tcW w:w="12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9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Transdel</w:t>
            </w:r>
          </w:p>
        </w:tc>
        <w:tc>
          <w:tcPr>
            <w:tcW w:w="2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ANTI-CELLULITE</w:t>
            </w:r>
          </w:p>
        </w:tc>
        <w:tc>
          <w:tcPr>
            <w:tcW w:w="23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A cellulite-reducing</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Pending</w:t>
            </w:r>
          </w:p>
        </w:tc>
        <w:tc>
          <w:tcPr>
            <w:tcW w:w="1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Filed Provisional</w:t>
            </w:r>
          </w:p>
        </w:tc>
        <w:tc>
          <w:tcPr>
            <w:tcW w:w="1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United States</w:t>
            </w: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Pharmaceuticals, Inc.</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COMPOSITION AND</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topical composition (anti-</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Patent</w:t>
            </w: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METHOD OF TREATING</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cellulite composition) for</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Application in</w:t>
            </w: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CELLULITE</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topical application to the skin</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June 2010</w:t>
            </w: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Inventors:</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a</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vMerge w:val="continue"/>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human. The cellulite-reducing</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Grasela; Joseph E. </w:t>
            </w:r>
            <w:r>
              <w:rPr>
                <w:rFonts w:ascii="Arial" w:cs="Arial" w:eastAsia="Arial" w:hAnsi="Arial"/>
                <w:sz w:val="18"/>
                <w:szCs w:val="18"/>
                <w:color w:val="auto"/>
              </w:rPr>
              <w:t>(San</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topical composition is</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Diego, CA)</w:t>
            </w:r>
            <w:r>
              <w:rPr>
                <w:rFonts w:ascii="Arial" w:cs="Arial" w:eastAsia="Arial" w:hAnsi="Arial"/>
                <w:sz w:val="18"/>
                <w:szCs w:val="18"/>
                <w:b w:val="1"/>
                <w:bCs w:val="1"/>
                <w:color w:val="auto"/>
              </w:rPr>
              <w:t>,</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efficacious at reducing cellulite</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4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89"/>
              </w:rPr>
              <w:t>Schupp, Joachim (</w:t>
            </w:r>
            <w:r>
              <w:rPr>
                <w:rFonts w:ascii="Arial" w:cs="Arial" w:eastAsia="Arial" w:hAnsi="Arial"/>
                <w:sz w:val="18"/>
                <w:szCs w:val="18"/>
                <w:color w:val="auto"/>
                <w:w w:val="89"/>
              </w:rPr>
              <w:t>San Diego,</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and improving the appearance</w:t>
            </w:r>
          </w:p>
        </w:tc>
        <w:tc>
          <w:tcPr>
            <w:tcW w:w="122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skin exhibiting cellulite,</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4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Nacht, Sergio </w:t>
            </w:r>
            <w:r>
              <w:rPr>
                <w:rFonts w:ascii="Arial" w:cs="Arial" w:eastAsia="Arial" w:hAnsi="Arial"/>
                <w:sz w:val="18"/>
                <w:szCs w:val="18"/>
                <w:color w:val="auto"/>
              </w:rPr>
              <w:t>(Las Vegas,</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especially the skin of the</w:t>
            </w:r>
          </w:p>
        </w:tc>
        <w:tc>
          <w:tcPr>
            <w:tcW w:w="122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NV)</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buttocks, thighs and abdomen.</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efficacy of the cellulite-</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reducing topical composition</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the present invention is</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demonstrated in end-use</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testing by users according to</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described treatment</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protocol.</w:t>
            </w:r>
          </w:p>
        </w:tc>
        <w:tc>
          <w:tcPr>
            <w:tcW w:w="12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6174740" cy="94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56" w:name="page57"/>
    <w:bookmarkEnd w:id="56"/>
    <w:tbl>
      <w:tblPr>
        <w:tblLayout w:type="fixed"/>
        <w:tblInd w:w="10" w:type="dxa"/>
        <w:tblCellMar>
          <w:top w:w="0" w:type="dxa"/>
          <w:left w:w="0" w:type="dxa"/>
          <w:bottom w:w="0" w:type="dxa"/>
          <w:right w:w="0" w:type="dxa"/>
        </w:tblCellMar>
      </w:tblPr>
      <w:tr>
        <w:trPr>
          <w:trHeight w:val="218"/>
        </w:trPr>
        <w:tc>
          <w:tcPr>
            <w:tcW w:w="19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89"/>
              </w:rPr>
              <w:t>Transdel Pharmaceuticals</w:t>
            </w:r>
          </w:p>
        </w:tc>
        <w:tc>
          <w:tcPr>
            <w:tcW w:w="23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TRANSDERMAL</w:t>
            </w:r>
          </w:p>
        </w:tc>
        <w:tc>
          <w:tcPr>
            <w:tcW w:w="23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A composition and procedures</w:t>
            </w:r>
          </w:p>
        </w:tc>
        <w:tc>
          <w:tcPr>
            <w:tcW w:w="1220" w:type="dxa"/>
            <w:vAlign w:val="bottom"/>
            <w:tcBorders>
              <w:top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2,348,540</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October 29, 1998</w:t>
            </w:r>
          </w:p>
        </w:tc>
        <w:tc>
          <w:tcPr>
            <w:tcW w:w="102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Holdings, Inc.</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DELIVERY OF</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 its formation and</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[approved and</w:t>
            </w: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(merged into Transdel</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MEDICATIONS USING A</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administration are described,</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awaiting issue</w:t>
            </w: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Pharmaceuticals, Inc. as</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COMBINATION OF</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which provide for a</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 June 20, 2011)</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PENETRATION</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convenient, efficacious and</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ENHANCERS</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simple transdermal</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Inventors:</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administration of medications</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vMerge w:val="continue"/>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from a topically applied cream.</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2"/>
              </w:rPr>
              <w:t xml:space="preserve">Grasela; John C. </w:t>
            </w:r>
            <w:r>
              <w:rPr>
                <w:rFonts w:ascii="Arial" w:cs="Arial" w:eastAsia="Arial" w:hAnsi="Arial"/>
                <w:sz w:val="18"/>
                <w:szCs w:val="18"/>
                <w:color w:val="auto"/>
                <w:w w:val="92"/>
              </w:rPr>
              <w:t>(San Diego,</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transmission</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w:t>
            </w:r>
            <w:r>
              <w:rPr>
                <w:rFonts w:ascii="Arial" w:cs="Arial" w:eastAsia="Arial" w:hAnsi="Arial"/>
                <w:sz w:val="18"/>
                <w:szCs w:val="18"/>
                <w:b w:val="1"/>
                <w:bCs w:val="1"/>
                <w:color w:val="auto"/>
              </w:rPr>
              <w:t>,</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through a membrane is</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Grasela; Joseph E. </w:t>
            </w:r>
            <w:r>
              <w:rPr>
                <w:rFonts w:ascii="Arial" w:cs="Arial" w:eastAsia="Arial" w:hAnsi="Arial"/>
                <w:sz w:val="18"/>
                <w:szCs w:val="18"/>
                <w:color w:val="auto"/>
              </w:rPr>
              <w:t>(San</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involved. The composition</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Diego, CA)</w:t>
            </w:r>
            <w:r>
              <w:rPr>
                <w:rFonts w:ascii="Arial" w:cs="Arial" w:eastAsia="Arial" w:hAnsi="Arial"/>
                <w:sz w:val="18"/>
                <w:szCs w:val="18"/>
                <w:b w:val="1"/>
                <w:bCs w:val="1"/>
                <w:color w:val="auto"/>
              </w:rPr>
              <w:t>,</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incorporates at least two</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Jubenville; Robert M. </w:t>
            </w:r>
            <w:r>
              <w:rPr>
                <w:rFonts w:ascii="Arial" w:cs="Arial" w:eastAsia="Arial" w:hAnsi="Arial"/>
                <w:sz w:val="18"/>
                <w:szCs w:val="18"/>
                <w:color w:val="auto"/>
              </w:rPr>
              <w:t>(San</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8"/>
              </w:rPr>
              <w:t>separate penetration enhancers</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Diego, CA)</w:t>
            </w:r>
            <w:r>
              <w:rPr>
                <w:rFonts w:ascii="Arial" w:cs="Arial" w:eastAsia="Arial" w:hAnsi="Arial"/>
                <w:sz w:val="18"/>
                <w:szCs w:val="18"/>
                <w:b w:val="1"/>
                <w:bCs w:val="1"/>
                <w:color w:val="auto"/>
              </w:rPr>
              <w:t>,</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which function synergistically</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20" w:type="dxa"/>
            <w:vAlign w:val="bottom"/>
            <w:tcBorders>
              <w:left w:val="single" w:sz="8" w:color="auto"/>
              <w:right w:val="single" w:sz="8" w:color="auto"/>
            </w:tcBorders>
          </w:tcPr>
          <w:p>
            <w:pPr>
              <w:spacing w:after="0"/>
              <w:rPr>
                <w:sz w:val="19"/>
                <w:szCs w:val="19"/>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McCloskey; Joseph J.</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 provide for</w:t>
            </w:r>
          </w:p>
        </w:tc>
        <w:tc>
          <w:tcPr>
            <w:tcW w:w="122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(Bloomfield Hills, MI)</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rapid but controllable transport</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the medication from the</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cream into the skin. The use of</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plurality of penetration</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enhancers, at least one of</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which</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facilitates the separation of</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medication from the cream and</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at least a second of which</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alters the structure of the outer</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layers of skin, particularly the</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stratum corneum, enhances</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migration of the drug through</w:t>
            </w: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stratum corneum.</w:t>
            </w:r>
          </w:p>
        </w:tc>
        <w:tc>
          <w:tcPr>
            <w:tcW w:w="12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617474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359" w:right="1440" w:bottom="1440" w:gutter="0" w:footer="0" w:header="0"/>
        </w:sectPr>
      </w:pPr>
    </w:p>
    <w:bookmarkStart w:id="57" w:name="page58"/>
    <w:bookmarkEnd w:id="57"/>
    <w:p>
      <w:pPr>
        <w:ind w:left="300" w:hanging="292"/>
        <w:spacing w:after="0"/>
        <w:tabs>
          <w:tab w:leader="none" w:pos="300" w:val="left"/>
        </w:tabs>
        <w:numPr>
          <w:ilvl w:val="0"/>
          <w:numId w:val="63"/>
        </w:numPr>
        <w:rPr>
          <w:rFonts w:ascii="Arial" w:cs="Arial" w:eastAsia="Arial" w:hAnsi="Arial"/>
          <w:sz w:val="22"/>
          <w:szCs w:val="22"/>
          <w:b w:val="1"/>
          <w:bCs w:val="1"/>
          <w:color w:val="auto"/>
        </w:rPr>
      </w:pPr>
      <w:r>
        <w:rPr>
          <w:rFonts w:ascii="Arial" w:cs="Arial" w:eastAsia="Arial" w:hAnsi="Arial"/>
          <w:sz w:val="22"/>
          <w:szCs w:val="22"/>
          <w:u w:val="single" w:color="auto"/>
          <w:color w:val="auto"/>
        </w:rPr>
        <w:t>Copyrights (Registered and Unregistered) and Copyright Applications</w:t>
      </w:r>
      <w:r>
        <w:rPr>
          <w:rFonts w:ascii="Arial" w:cs="Arial" w:eastAsia="Arial" w:hAnsi="Arial"/>
          <w:sz w:val="22"/>
          <w:szCs w:val="22"/>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3" w:lineRule="exact"/>
        <w:rPr>
          <w:sz w:val="20"/>
          <w:szCs w:val="20"/>
          <w:color w:val="auto"/>
        </w:rPr>
      </w:pPr>
    </w:p>
    <w:p>
      <w:pPr>
        <w:ind w:left="300" w:hanging="292"/>
        <w:spacing w:after="0"/>
        <w:tabs>
          <w:tab w:leader="none" w:pos="300" w:val="left"/>
        </w:tabs>
        <w:numPr>
          <w:ilvl w:val="0"/>
          <w:numId w:val="64"/>
        </w:numPr>
        <w:rPr>
          <w:rFonts w:ascii="Arial" w:cs="Arial" w:eastAsia="Arial" w:hAnsi="Arial"/>
          <w:sz w:val="19"/>
          <w:szCs w:val="19"/>
          <w:b w:val="1"/>
          <w:bCs w:val="1"/>
          <w:color w:val="auto"/>
        </w:rPr>
      </w:pPr>
      <w:r>
        <w:rPr>
          <w:rFonts w:ascii="Arial" w:cs="Arial" w:eastAsia="Arial" w:hAnsi="Arial"/>
          <w:sz w:val="19"/>
          <w:szCs w:val="19"/>
          <w:u w:val="single" w:color="auto"/>
          <w:color w:val="auto"/>
        </w:rPr>
        <w:t>Trademarks, Service Marks and Trade Names and Trademark, Service Mark and Trade Name Applications</w:t>
      </w:r>
      <w:r>
        <w:rPr>
          <w:rFonts w:ascii="Arial" w:cs="Arial" w:eastAsia="Arial" w:hAnsi="Arial"/>
          <w:sz w:val="19"/>
          <w:szCs w:val="19"/>
          <w:color w:val="auto"/>
        </w:rPr>
        <w:t>.</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160" w:type="dxa"/>
            <w:vAlign w:val="bottom"/>
            <w:tcBorders>
              <w:top w:val="single" w:sz="8" w:color="auto"/>
              <w:left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i w:val="1"/>
                <w:iCs w:val="1"/>
                <w:color w:val="auto"/>
              </w:rPr>
              <w:t>Grantor</w:t>
            </w:r>
          </w:p>
        </w:tc>
        <w:tc>
          <w:tcPr>
            <w:tcW w:w="164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i w:val="1"/>
                <w:iCs w:val="1"/>
                <w:color w:val="auto"/>
              </w:rPr>
              <w:t>Mark</w:t>
            </w:r>
          </w:p>
        </w:tc>
        <w:tc>
          <w:tcPr>
            <w:tcW w:w="246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i w:val="1"/>
                <w:iCs w:val="1"/>
                <w:color w:val="auto"/>
              </w:rPr>
              <w:t>Goods and Services</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0"/>
              </w:rPr>
              <w:t>Serial Number</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3"/>
              </w:rPr>
              <w:t>Filing Date</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Country Where</w:t>
            </w:r>
          </w:p>
        </w:tc>
      </w:tr>
      <w:tr>
        <w:trPr>
          <w:trHeight w:val="247"/>
        </w:trPr>
        <w:tc>
          <w:tcPr>
            <w:tcW w:w="2160" w:type="dxa"/>
            <w:vAlign w:val="bottom"/>
            <w:tcBorders>
              <w:left w:val="single" w:sz="8" w:color="auto"/>
              <w:bottom w:val="single" w:sz="8" w:color="auto"/>
              <w:right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spacing w:after="0"/>
              <w:rPr>
                <w:sz w:val="21"/>
                <w:szCs w:val="21"/>
                <w:color w:val="auto"/>
              </w:rPr>
            </w:pPr>
          </w:p>
        </w:tc>
        <w:tc>
          <w:tcPr>
            <w:tcW w:w="246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0"/>
              </w:rPr>
              <w:t>Filed</w:t>
            </w:r>
          </w:p>
        </w:tc>
      </w:tr>
      <w:tr>
        <w:trPr>
          <w:trHeight w:val="178"/>
        </w:trPr>
        <w:tc>
          <w:tcPr>
            <w:tcW w:w="216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Transdel Pharmaceuticals</w:t>
            </w:r>
          </w:p>
        </w:tc>
        <w:tc>
          <w:tcPr>
            <w:tcW w:w="164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Ketotransdel</w:t>
            </w:r>
          </w:p>
        </w:tc>
        <w:tc>
          <w:tcPr>
            <w:tcW w:w="246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1"/>
              </w:rPr>
              <w:t>IC 005. US 006 018 044 046 051</w:t>
            </w:r>
          </w:p>
        </w:tc>
        <w:tc>
          <w:tcPr>
            <w:tcW w:w="12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89"/>
              </w:rPr>
              <w:t>78461443</w:t>
            </w:r>
          </w:p>
        </w:tc>
        <w:tc>
          <w:tcPr>
            <w:tcW w:w="12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August 3, 2004</w:t>
            </w:r>
          </w:p>
        </w:tc>
        <w:tc>
          <w:tcPr>
            <w:tcW w:w="13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United States of</w:t>
            </w:r>
          </w:p>
        </w:tc>
      </w:tr>
      <w:tr>
        <w:trPr>
          <w:trHeight w:val="216"/>
        </w:trPr>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Holdings, Inc. (merged into</w:t>
            </w: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052. G &amp; S: Topical medicated</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America</w:t>
            </w:r>
          </w:p>
        </w:tc>
      </w:tr>
      <w:tr>
        <w:trPr>
          <w:trHeight w:val="216"/>
        </w:trPr>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Transdel Pharmaceuticals,</w:t>
            </w: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therapeutic cream, gel, lotion and</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 as of June 20, 2011)</w:t>
            </w: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paste for direct transdermal</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administration of ketoprofen.</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FIRST USE: 20071108.</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FIRST USE IN COMMERCE:</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0"/>
        </w:trPr>
        <w:tc>
          <w:tcPr>
            <w:tcW w:w="216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20071108</w:t>
            </w: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1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Transdel Pharmaceuticals</w:t>
            </w:r>
          </w:p>
        </w:tc>
        <w:tc>
          <w:tcPr>
            <w:tcW w:w="16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Transdel</w:t>
            </w:r>
          </w:p>
        </w:tc>
        <w:tc>
          <w:tcPr>
            <w:tcW w:w="24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IC 005. US 006 018 044 046 051</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77304331</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October 15,</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United States of</w:t>
            </w:r>
          </w:p>
        </w:tc>
      </w:tr>
      <w:tr>
        <w:trPr>
          <w:trHeight w:val="216"/>
        </w:trPr>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Holdings, Inc.</w:t>
            </w: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052. G &amp; S: Topical medicated</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America</w:t>
            </w:r>
          </w:p>
        </w:tc>
      </w:tr>
      <w:tr>
        <w:trPr>
          <w:trHeight w:val="216"/>
        </w:trPr>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(merged into Transdel</w:t>
            </w: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therapeutic cream, gel, lotion and</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Pharmaceuticals, Inc. as of</w:t>
            </w: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paste for direct transdermal</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June 20, 2011)</w:t>
            </w: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administration of a wide variety</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of therapeutic agents for allergic,</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cardio-vascular, infectious,</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neurological, inflammatory,</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immunological, metabolic, viral,</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microbial, osteopathic, dietary,</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respiratory, psychiatric,</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hormonal, dental, dermal,</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muscular and excretory diseases,</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conditions, deficiencies and</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0"/>
        </w:trPr>
        <w:tc>
          <w:tcPr>
            <w:tcW w:w="216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disorders</w:t>
            </w: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r>
      <w:tr>
        <w:trPr>
          <w:trHeight w:val="432"/>
        </w:trPr>
        <w:tc>
          <w:tcPr>
            <w:tcW w:w="216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1"/>
              </w:rPr>
              <w:t>Abandonment Date June 6, 2011</w:t>
            </w:r>
          </w:p>
        </w:tc>
        <w:tc>
          <w:tcPr>
            <w:tcW w:w="12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r>
      <w:tr>
        <w:trPr>
          <w:trHeight w:val="195"/>
        </w:trPr>
        <w:tc>
          <w:tcPr>
            <w:tcW w:w="21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8"/>
              </w:rPr>
              <w:t>Transdel Pharmaceuticals,</w:t>
            </w:r>
          </w:p>
        </w:tc>
        <w:tc>
          <w:tcPr>
            <w:tcW w:w="16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Transdel</w:t>
            </w:r>
          </w:p>
        </w:tc>
        <w:tc>
          <w:tcPr>
            <w:tcW w:w="24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IC 001. US 001 005 006 010 026</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77810173</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August 21, 2009</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United States of</w:t>
            </w:r>
          </w:p>
        </w:tc>
      </w:tr>
      <w:tr>
        <w:trPr>
          <w:trHeight w:val="216"/>
        </w:trPr>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w:t>
            </w: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046. G &amp; S: Chemical additives</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America</w:t>
            </w:r>
          </w:p>
        </w:tc>
      </w:tr>
      <w:tr>
        <w:trPr>
          <w:trHeight w:val="216"/>
        </w:trPr>
        <w:tc>
          <w:tcPr>
            <w:tcW w:w="21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 use in the manufacture of</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21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pharmaceutical and cosmetic</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0"/>
        </w:trPr>
        <w:tc>
          <w:tcPr>
            <w:tcW w:w="216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products</w:t>
            </w: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r>
      <w:tr>
        <w:trPr>
          <w:trHeight w:val="418"/>
        </w:trPr>
        <w:tc>
          <w:tcPr>
            <w:tcW w:w="21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Abandonment Date November</w:t>
            </w:r>
          </w:p>
        </w:tc>
        <w:tc>
          <w:tcPr>
            <w:tcW w:w="124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r>
      <w:tr>
        <w:trPr>
          <w:trHeight w:val="230"/>
        </w:trPr>
        <w:tc>
          <w:tcPr>
            <w:tcW w:w="216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14, 2011</w:t>
            </w: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617474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9"/>
          <w:szCs w:val="19"/>
          <w:color w:val="auto"/>
        </w:rPr>
        <w:t>The Company has no subsidiaries.</w:t>
      </w:r>
    </w:p>
    <w:p>
      <w:pPr>
        <w:spacing w:after="0" w:line="20" w:lineRule="exact"/>
        <w:rPr>
          <w:sz w:val="20"/>
          <w:szCs w:val="20"/>
          <w:color w:val="auto"/>
        </w:rPr>
      </w:pPr>
      <w:r>
        <w:rPr>
          <w:sz w:val="20"/>
          <w:szCs w:val="20"/>
          <w:color w:val="auto"/>
        </w:rPr>
        <w:br w:type="column"/>
      </w:r>
    </w:p>
    <w:p>
      <w:pPr>
        <w:jc w:val="center"/>
        <w:ind w:right="4219"/>
        <w:spacing w:after="0"/>
        <w:rPr>
          <w:sz w:val="20"/>
          <w:szCs w:val="20"/>
          <w:color w:val="auto"/>
        </w:rPr>
      </w:pPr>
      <w:r>
        <w:rPr>
          <w:rFonts w:ascii="Arial" w:cs="Arial" w:eastAsia="Arial" w:hAnsi="Arial"/>
          <w:sz w:val="22"/>
          <w:szCs w:val="22"/>
          <w:b w:val="1"/>
          <w:bCs w:val="1"/>
          <w:color w:val="auto"/>
        </w:rPr>
        <w:t>SCHEDULE 4</w:t>
      </w:r>
    </w:p>
    <w:p>
      <w:pPr>
        <w:spacing w:after="0" w:line="15" w:lineRule="exact"/>
        <w:rPr>
          <w:sz w:val="20"/>
          <w:szCs w:val="20"/>
          <w:color w:val="auto"/>
        </w:rPr>
      </w:pPr>
    </w:p>
    <w:p>
      <w:pPr>
        <w:jc w:val="center"/>
        <w:ind w:right="4219"/>
        <w:spacing w:after="0"/>
        <w:rPr>
          <w:sz w:val="20"/>
          <w:szCs w:val="20"/>
          <w:color w:val="auto"/>
        </w:rPr>
      </w:pPr>
      <w:r>
        <w:rPr>
          <w:rFonts w:ascii="Arial" w:cs="Arial" w:eastAsia="Arial" w:hAnsi="Arial"/>
          <w:sz w:val="19"/>
          <w:szCs w:val="19"/>
          <w:color w:val="auto"/>
        </w:rPr>
        <w:t>to the Security Agreement</w:t>
      </w:r>
    </w:p>
    <w:p>
      <w:pPr>
        <w:spacing w:after="0" w:line="244"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S-6</w:t>
      </w:r>
    </w:p>
    <w:p>
      <w:pPr>
        <w:sectPr>
          <w:pgSz w:w="11900" w:h="16838" w:orient="portrait"/>
          <w:cols w:equalWidth="0" w:num="2">
            <w:col w:w="3020" w:space="720"/>
            <w:col w:w="6479"/>
          </w:cols>
          <w:pgMar w:left="240" w:top="112" w:right="1440" w:bottom="1440" w:gutter="0" w:footer="0" w:header="0"/>
        </w:sectPr>
      </w:pPr>
    </w:p>
    <w:bookmarkStart w:id="59" w:name="page60"/>
    <w:bookmarkEnd w:id="59"/>
    <w:p>
      <w:pPr>
        <w:jc w:val="center"/>
        <w:ind w:right="479"/>
        <w:spacing w:after="0"/>
        <w:rPr>
          <w:sz w:val="20"/>
          <w:szCs w:val="20"/>
          <w:color w:val="auto"/>
        </w:rPr>
      </w:pPr>
      <w:r>
        <w:rPr>
          <w:rFonts w:ascii="Arial" w:cs="Arial" w:eastAsia="Arial" w:hAnsi="Arial"/>
          <w:sz w:val="22"/>
          <w:szCs w:val="22"/>
          <w:color w:val="auto"/>
        </w:rPr>
        <w:t>Exhibit 10.3</w:t>
      </w:r>
    </w:p>
    <w:p>
      <w:pPr>
        <w:spacing w:after="0" w:line="227" w:lineRule="exact"/>
        <w:rPr>
          <w:sz w:val="20"/>
          <w:szCs w:val="20"/>
          <w:color w:val="auto"/>
        </w:rPr>
      </w:pPr>
    </w:p>
    <w:p>
      <w:pPr>
        <w:ind w:left="2080"/>
        <w:spacing w:after="0"/>
        <w:rPr>
          <w:sz w:val="20"/>
          <w:szCs w:val="20"/>
          <w:color w:val="auto"/>
        </w:rPr>
      </w:pPr>
      <w:r>
        <w:rPr>
          <w:rFonts w:ascii="Arial" w:cs="Arial" w:eastAsia="Arial" w:hAnsi="Arial"/>
          <w:sz w:val="22"/>
          <w:szCs w:val="22"/>
          <w:b w:val="1"/>
          <w:bCs w:val="1"/>
          <w:color w:val="auto"/>
        </w:rPr>
        <w:t>INTELLECTUAL PROPERTY SECURITY AGREEMENT</w:t>
      </w:r>
    </w:p>
    <w:p>
      <w:pPr>
        <w:spacing w:after="0" w:line="239" w:lineRule="exact"/>
        <w:rPr>
          <w:sz w:val="20"/>
          <w:szCs w:val="20"/>
          <w:color w:val="auto"/>
        </w:rPr>
      </w:pPr>
    </w:p>
    <w:p>
      <w:pPr>
        <w:jc w:val="both"/>
        <w:ind w:right="479" w:firstLine="648"/>
        <w:spacing w:after="0" w:line="238" w:lineRule="auto"/>
        <w:rPr>
          <w:sz w:val="20"/>
          <w:szCs w:val="20"/>
          <w:color w:val="auto"/>
        </w:rPr>
      </w:pPr>
      <w:r>
        <w:rPr>
          <w:rFonts w:ascii="Arial" w:cs="Arial" w:eastAsia="Arial" w:hAnsi="Arial"/>
          <w:sz w:val="22"/>
          <w:szCs w:val="22"/>
          <w:color w:val="auto"/>
        </w:rPr>
        <w:t>This INTELLECTUAL PROPERTY SECURITY AGREEMENT (this “</w:t>
      </w:r>
      <w:r>
        <w:rPr>
          <w:rFonts w:ascii="Arial" w:cs="Arial" w:eastAsia="Arial" w:hAnsi="Arial"/>
          <w:sz w:val="22"/>
          <w:szCs w:val="22"/>
          <w:u w:val="single" w:color="auto"/>
          <w:color w:val="auto"/>
        </w:rPr>
        <w:t>Intellectual Property Security</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 December 9, 2011, between Transdel Pharmaceuticals, Inc., a Delaware corporation (“</w:t>
      </w:r>
      <w:r>
        <w:rPr>
          <w:rFonts w:ascii="Arial" w:cs="Arial" w:eastAsia="Arial" w:hAnsi="Arial"/>
          <w:sz w:val="22"/>
          <w:szCs w:val="22"/>
          <w:u w:val="single" w:color="auto"/>
          <w:color w:val="auto"/>
        </w:rPr>
        <w:t>Debtor</w:t>
      </w:r>
      <w:r>
        <w:rPr>
          <w:rFonts w:ascii="Arial" w:cs="Arial" w:eastAsia="Arial" w:hAnsi="Arial"/>
          <w:sz w:val="22"/>
          <w:szCs w:val="22"/>
          <w:color w:val="auto"/>
        </w:rPr>
        <w:t>”), and DermaStar International, LLC, a Nevada limited liability company (with its successors and assigns, “</w:t>
      </w:r>
      <w:r>
        <w:rPr>
          <w:rFonts w:ascii="Arial" w:cs="Arial" w:eastAsia="Arial" w:hAnsi="Arial"/>
          <w:sz w:val="22"/>
          <w:szCs w:val="22"/>
          <w:u w:val="single" w:color="auto"/>
          <w:color w:val="auto"/>
        </w:rPr>
        <w:t>Secured Party</w:t>
      </w:r>
      <w:r>
        <w:rPr>
          <w:rFonts w:ascii="Arial" w:cs="Arial" w:eastAsia="Arial" w:hAnsi="Arial"/>
          <w:sz w:val="22"/>
          <w:szCs w:val="22"/>
          <w:color w:val="auto"/>
        </w:rPr>
        <w:t>”).</w:t>
      </w:r>
    </w:p>
    <w:p>
      <w:pPr>
        <w:spacing w:after="0" w:line="21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jc w:val="both"/>
        <w:ind w:right="499" w:firstLine="656"/>
        <w:spacing w:after="0"/>
        <w:tabs>
          <w:tab w:leader="none" w:pos="1270" w:val="left"/>
        </w:tabs>
        <w:numPr>
          <w:ilvl w:val="0"/>
          <w:numId w:val="65"/>
        </w:numPr>
        <w:rPr>
          <w:rFonts w:ascii="Arial" w:cs="Arial" w:eastAsia="Arial" w:hAnsi="Arial"/>
          <w:sz w:val="22"/>
          <w:szCs w:val="22"/>
          <w:color w:val="auto"/>
        </w:rPr>
      </w:pPr>
      <w:r>
        <w:rPr>
          <w:rFonts w:ascii="Arial" w:cs="Arial" w:eastAsia="Arial" w:hAnsi="Arial"/>
          <w:sz w:val="22"/>
          <w:szCs w:val="22"/>
          <w:color w:val="auto"/>
        </w:rPr>
        <w:t>Pursuant to that certain line of credit letter agreement, dated November 21, 2011 (as amended, restated, supplemented or otherwise modified from time to time, including all exhibits and schedules thereto, the “</w:t>
      </w:r>
      <w:r>
        <w:rPr>
          <w:rFonts w:ascii="Arial" w:cs="Arial" w:eastAsia="Arial" w:hAnsi="Arial"/>
          <w:sz w:val="22"/>
          <w:szCs w:val="22"/>
          <w:u w:val="single" w:color="auto"/>
          <w:color w:val="auto"/>
        </w:rPr>
        <w:t>Letter Agreement</w:t>
      </w:r>
      <w:r>
        <w:rPr>
          <w:rFonts w:ascii="Arial" w:cs="Arial" w:eastAsia="Arial" w:hAnsi="Arial"/>
          <w:sz w:val="22"/>
          <w:szCs w:val="22"/>
          <w:color w:val="auto"/>
        </w:rPr>
        <w:t>”) between Debtor and Secured Party;</w:t>
      </w:r>
    </w:p>
    <w:p>
      <w:pPr>
        <w:spacing w:after="0" w:line="213" w:lineRule="exact"/>
        <w:rPr>
          <w:rFonts w:ascii="Arial" w:cs="Arial" w:eastAsia="Arial" w:hAnsi="Arial"/>
          <w:sz w:val="22"/>
          <w:szCs w:val="22"/>
          <w:color w:val="auto"/>
        </w:rPr>
      </w:pPr>
    </w:p>
    <w:p>
      <w:pPr>
        <w:jc w:val="both"/>
        <w:ind w:right="479" w:firstLine="656"/>
        <w:spacing w:after="0" w:line="236" w:lineRule="auto"/>
        <w:tabs>
          <w:tab w:leader="none" w:pos="127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Secured Party is willing to make the Advances to Debtor, on an uncommitted basis, as provided for in the Letter Agreement, but only upon the condition, among others, that Debtor shall have executed and delivered to Secured Party that certain Security Agreement dated as of even date herewith (including all annexes, exhibits or schedules thereto, as from time to time amended, restated, supplemented or otherwise modified, the “</w:t>
      </w:r>
      <w:r>
        <w:rPr>
          <w:rFonts w:ascii="Arial" w:cs="Arial" w:eastAsia="Arial" w:hAnsi="Arial"/>
          <w:sz w:val="22"/>
          <w:szCs w:val="22"/>
          <w:u w:val="single" w:color="auto"/>
          <w:color w:val="auto"/>
        </w:rPr>
        <w:t>Security Agreement</w:t>
      </w:r>
      <w:r>
        <w:rPr>
          <w:rFonts w:ascii="Arial" w:cs="Arial" w:eastAsia="Arial" w:hAnsi="Arial"/>
          <w:sz w:val="22"/>
          <w:szCs w:val="22"/>
          <w:color w:val="auto"/>
        </w:rPr>
        <w:t>”); and</w:t>
      </w:r>
    </w:p>
    <w:p>
      <w:pPr>
        <w:spacing w:after="0" w:line="214" w:lineRule="exact"/>
        <w:rPr>
          <w:rFonts w:ascii="Arial" w:cs="Arial" w:eastAsia="Arial" w:hAnsi="Arial"/>
          <w:sz w:val="22"/>
          <w:szCs w:val="22"/>
          <w:color w:val="auto"/>
        </w:rPr>
      </w:pPr>
    </w:p>
    <w:p>
      <w:pPr>
        <w:ind w:right="499" w:firstLine="656"/>
        <w:spacing w:after="0" w:line="251" w:lineRule="auto"/>
        <w:tabs>
          <w:tab w:leader="none" w:pos="1270" w:val="left"/>
        </w:tabs>
        <w:numPr>
          <w:ilvl w:val="0"/>
          <w:numId w:val="65"/>
        </w:numPr>
        <w:rPr>
          <w:rFonts w:ascii="Arial" w:cs="Arial" w:eastAsia="Arial" w:hAnsi="Arial"/>
          <w:sz w:val="22"/>
          <w:szCs w:val="22"/>
          <w:color w:val="auto"/>
        </w:rPr>
      </w:pPr>
      <w:r>
        <w:rPr>
          <w:rFonts w:ascii="Arial" w:cs="Arial" w:eastAsia="Arial" w:hAnsi="Arial"/>
          <w:sz w:val="22"/>
          <w:szCs w:val="22"/>
          <w:color w:val="auto"/>
        </w:rPr>
        <w:t>Pursuant to the Letter Agreement, Debtor is required to execute and deliver to Secured Party this Intellectual Property Security Agreement.</w:t>
      </w:r>
    </w:p>
    <w:p>
      <w:pPr>
        <w:spacing w:after="0" w:line="200"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AGREEMENT</w:t>
      </w:r>
    </w:p>
    <w:p>
      <w:pPr>
        <w:spacing w:after="0" w:line="233" w:lineRule="exact"/>
        <w:rPr>
          <w:sz w:val="20"/>
          <w:szCs w:val="20"/>
          <w:color w:val="auto"/>
        </w:rPr>
      </w:pPr>
    </w:p>
    <w:p>
      <w:pPr>
        <w:jc w:val="both"/>
        <w:ind w:right="499" w:firstLine="648"/>
        <w:spacing w:after="0"/>
        <w:rPr>
          <w:sz w:val="20"/>
          <w:szCs w:val="20"/>
          <w:color w:val="auto"/>
        </w:rPr>
      </w:pPr>
      <w:r>
        <w:rPr>
          <w:rFonts w:ascii="Arial" w:cs="Arial" w:eastAsia="Arial" w:hAnsi="Arial"/>
          <w:sz w:val="22"/>
          <w:szCs w:val="22"/>
          <w:color w:val="auto"/>
        </w:rPr>
        <w:t>Now, therefore, in consideration of the premises and mutual covenants herein contained and for other good and valuable consideration, the receipt and sufficiency of which are hereby acknowledged, Debtor hereby agrees as follows:</w:t>
      </w:r>
    </w:p>
    <w:p>
      <w:pPr>
        <w:spacing w:after="0" w:line="213" w:lineRule="exact"/>
        <w:rPr>
          <w:sz w:val="20"/>
          <w:szCs w:val="20"/>
          <w:color w:val="auto"/>
        </w:rPr>
      </w:pPr>
    </w:p>
    <w:p>
      <w:pPr>
        <w:ind w:right="499" w:firstLine="656"/>
        <w:spacing w:after="0" w:line="251" w:lineRule="auto"/>
        <w:tabs>
          <w:tab w:leader="none" w:pos="127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All capitalized terms used but not otherwise defined herein have the meanings given to them in the Security Agreement and/or the Letter Agreement.</w:t>
      </w:r>
    </w:p>
    <w:p>
      <w:pPr>
        <w:spacing w:after="0" w:line="200" w:lineRule="exact"/>
        <w:rPr>
          <w:rFonts w:ascii="Arial" w:cs="Arial" w:eastAsia="Arial" w:hAnsi="Arial"/>
          <w:sz w:val="22"/>
          <w:szCs w:val="22"/>
          <w:color w:val="auto"/>
        </w:rPr>
      </w:pPr>
    </w:p>
    <w:p>
      <w:pPr>
        <w:jc w:val="both"/>
        <w:ind w:right="479" w:firstLine="656"/>
        <w:spacing w:after="0"/>
        <w:tabs>
          <w:tab w:leader="none" w:pos="127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Grant of Security Interest in IP Collateral</w:t>
      </w:r>
      <w:r>
        <w:rPr>
          <w:rFonts w:ascii="Arial" w:cs="Arial" w:eastAsia="Arial" w:hAnsi="Arial"/>
          <w:sz w:val="22"/>
          <w:szCs w:val="22"/>
          <w:color w:val="auto"/>
        </w:rPr>
        <w:t>. Debtor hereby grants to Secured Party a continuing security interest in all of Debtor’s right, title and interest in, to and under the following, whether presently existing or hereafter created or acquired (collectively, the “</w:t>
      </w:r>
      <w:r>
        <w:rPr>
          <w:rFonts w:ascii="Arial" w:cs="Arial" w:eastAsia="Arial" w:hAnsi="Arial"/>
          <w:sz w:val="22"/>
          <w:szCs w:val="22"/>
          <w:u w:val="single" w:color="auto"/>
          <w:color w:val="auto"/>
        </w:rPr>
        <w:t>IP Collateral</w:t>
      </w:r>
      <w:r>
        <w:rPr>
          <w:rFonts w:ascii="Arial" w:cs="Arial" w:eastAsia="Arial" w:hAnsi="Arial"/>
          <w:sz w:val="22"/>
          <w:szCs w:val="22"/>
          <w:color w:val="auto"/>
        </w:rPr>
        <w:t>”):</w:t>
      </w:r>
    </w:p>
    <w:p>
      <w:pPr>
        <w:spacing w:after="0" w:line="213" w:lineRule="exact"/>
        <w:rPr>
          <w:sz w:val="20"/>
          <w:szCs w:val="20"/>
          <w:color w:val="auto"/>
        </w:rPr>
      </w:pPr>
    </w:p>
    <w:p>
      <w:pPr>
        <w:ind w:right="499" w:firstLine="656"/>
        <w:spacing w:after="0" w:line="251" w:lineRule="auto"/>
        <w:tabs>
          <w:tab w:leader="none" w:pos="1270"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all of Debtor’s patents, patent applications, and rights in or to patent licenses to which it is a party including those referred to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w:t>
      </w:r>
    </w:p>
    <w:p>
      <w:pPr>
        <w:spacing w:after="0" w:line="200" w:lineRule="exact"/>
        <w:rPr>
          <w:rFonts w:ascii="Arial" w:cs="Arial" w:eastAsia="Arial" w:hAnsi="Arial"/>
          <w:sz w:val="22"/>
          <w:szCs w:val="22"/>
          <w:color w:val="auto"/>
        </w:rPr>
      </w:pPr>
    </w:p>
    <w:p>
      <w:pPr>
        <w:ind w:right="499" w:firstLine="656"/>
        <w:spacing w:after="0" w:line="251" w:lineRule="auto"/>
        <w:tabs>
          <w:tab w:leader="none" w:pos="127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reissues, continuations, continuations-in-part, substitutes, extensions or renewals of, and improvements on, of the foregoing;</w:t>
      </w:r>
    </w:p>
    <w:p>
      <w:pPr>
        <w:spacing w:after="0" w:line="200" w:lineRule="exact"/>
        <w:rPr>
          <w:rFonts w:ascii="Arial" w:cs="Arial" w:eastAsia="Arial" w:hAnsi="Arial"/>
          <w:sz w:val="22"/>
          <w:szCs w:val="22"/>
          <w:color w:val="auto"/>
        </w:rPr>
      </w:pPr>
    </w:p>
    <w:p>
      <w:pPr>
        <w:jc w:val="both"/>
        <w:ind w:right="499" w:firstLine="656"/>
        <w:spacing w:after="0"/>
        <w:tabs>
          <w:tab w:leader="none" w:pos="127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products and proceeds of the foregoing item (a) and (b), including, without limitation, any claim by Debtor against third parties for past, present or future infringement or dilution of any patent or any patent licensed under any license;</w:t>
      </w:r>
    </w:p>
    <w:p>
      <w:pPr>
        <w:spacing w:after="0" w:line="213" w:lineRule="exact"/>
        <w:rPr>
          <w:rFonts w:ascii="Arial" w:cs="Arial" w:eastAsia="Arial" w:hAnsi="Arial"/>
          <w:sz w:val="22"/>
          <w:szCs w:val="22"/>
          <w:color w:val="auto"/>
        </w:rPr>
      </w:pPr>
    </w:p>
    <w:p>
      <w:pPr>
        <w:ind w:right="499" w:firstLine="656"/>
        <w:spacing w:after="0" w:line="251" w:lineRule="auto"/>
        <w:tabs>
          <w:tab w:leader="none" w:pos="1270"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all of Debtor’s trademarks, trademark applications and rights in or to trademark licenses to which it is a party including those referred to on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hereto;</w:t>
      </w:r>
    </w:p>
    <w:p>
      <w:pPr>
        <w:spacing w:after="0" w:line="200" w:lineRule="exact"/>
        <w:rPr>
          <w:rFonts w:ascii="Arial" w:cs="Arial" w:eastAsia="Arial" w:hAnsi="Arial"/>
          <w:sz w:val="22"/>
          <w:szCs w:val="22"/>
          <w:color w:val="auto"/>
        </w:rPr>
      </w:pPr>
    </w:p>
    <w:p>
      <w:pPr>
        <w:ind w:left="1280" w:hanging="624"/>
        <w:spacing w:after="0"/>
        <w:tabs>
          <w:tab w:leader="none" w:pos="12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reissues, continuations, extensions, modifications and renewals of the foregoing;</w:t>
      </w:r>
    </w:p>
    <w:p>
      <w:pPr>
        <w:spacing w:after="0" w:line="233" w:lineRule="exact"/>
        <w:rPr>
          <w:rFonts w:ascii="Arial" w:cs="Arial" w:eastAsia="Arial" w:hAnsi="Arial"/>
          <w:sz w:val="22"/>
          <w:szCs w:val="22"/>
          <w:color w:val="auto"/>
        </w:rPr>
      </w:pPr>
    </w:p>
    <w:p>
      <w:pPr>
        <w:ind w:right="499" w:firstLine="656"/>
        <w:spacing w:after="0" w:line="251" w:lineRule="auto"/>
        <w:tabs>
          <w:tab w:leader="none" w:pos="127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goodwill of the business connected with the use of, and symbolized by, each trademark and each trademark license;</w:t>
      </w:r>
    </w:p>
    <w:p>
      <w:pPr>
        <w:spacing w:after="0" w:line="200" w:lineRule="exact"/>
        <w:rPr>
          <w:rFonts w:ascii="Arial" w:cs="Arial" w:eastAsia="Arial" w:hAnsi="Arial"/>
          <w:sz w:val="22"/>
          <w:szCs w:val="22"/>
          <w:color w:val="auto"/>
        </w:rPr>
      </w:pPr>
    </w:p>
    <w:p>
      <w:pPr>
        <w:jc w:val="both"/>
        <w:ind w:right="499" w:firstLine="656"/>
        <w:spacing w:after="0" w:line="238" w:lineRule="auto"/>
        <w:tabs>
          <w:tab w:leader="none" w:pos="127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products and proceeds of the foregoing items (d) through (f), including, without limitation, any claim by Debtor against third parties for past, present or future (i) infringement or dilution of any trademark or any trademark licensed under any license or (ii) injury to the goodwill associated with any trademark or any trademark licensed under any license;</w:t>
      </w:r>
    </w:p>
    <w:p>
      <w:pPr>
        <w:spacing w:after="0" w:line="212" w:lineRule="exact"/>
        <w:rPr>
          <w:rFonts w:ascii="Arial" w:cs="Arial" w:eastAsia="Arial" w:hAnsi="Arial"/>
          <w:sz w:val="22"/>
          <w:szCs w:val="22"/>
          <w:color w:val="auto"/>
        </w:rPr>
      </w:pPr>
    </w:p>
    <w:p>
      <w:pPr>
        <w:ind w:right="499" w:firstLine="656"/>
        <w:spacing w:after="0" w:line="251" w:lineRule="auto"/>
        <w:tabs>
          <w:tab w:leader="none" w:pos="1270"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all of Debtor’s copyrights, copyright applications and rights in or to copyright licenses to which it is a party including those referred to on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hereto;</w:t>
      </w:r>
    </w:p>
    <w:p>
      <w:pPr>
        <w:spacing w:after="0" w:line="200" w:lineRule="exact"/>
        <w:rPr>
          <w:rFonts w:ascii="Arial" w:cs="Arial" w:eastAsia="Arial" w:hAnsi="Arial"/>
          <w:sz w:val="22"/>
          <w:szCs w:val="22"/>
          <w:color w:val="auto"/>
        </w:rPr>
      </w:pPr>
    </w:p>
    <w:p>
      <w:pPr>
        <w:ind w:left="1280" w:hanging="624"/>
        <w:spacing w:after="0"/>
        <w:tabs>
          <w:tab w:leader="none" w:pos="12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all reissues, continuations, restorations, reversions, renewals or extensions of the foregoing; and</w:t>
      </w:r>
    </w:p>
    <w:p>
      <w:pPr>
        <w:sectPr>
          <w:pgSz w:w="11900" w:h="16838" w:orient="portrait"/>
          <w:cols w:equalWidth="0" w:num="1">
            <w:col w:w="10219"/>
          </w:cols>
          <w:pgMar w:left="240" w:top="780" w:right="1440" w:bottom="0" w:gutter="0" w:footer="0" w:header="0"/>
        </w:sectPr>
      </w:pPr>
    </w:p>
    <w:bookmarkStart w:id="60" w:name="page61"/>
    <w:bookmarkEnd w:id="60"/>
    <w:p>
      <w:pPr>
        <w:spacing w:after="0"/>
        <w:tabs>
          <w:tab w:leader="none" w:pos="1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617474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both"/>
        <w:ind w:right="499" w:firstLine="656"/>
        <w:spacing w:after="0"/>
        <w:tabs>
          <w:tab w:leader="none" w:pos="127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all products and proceeds of the foregoing items (h) and (i), including, without limitation, any claim by Debtor against third parties for past, present or future infringement or dilution of any copyright or any copyright licensed under any license.</w:t>
      </w:r>
    </w:p>
    <w:p>
      <w:pPr>
        <w:spacing w:after="0" w:line="213" w:lineRule="exact"/>
        <w:rPr>
          <w:sz w:val="20"/>
          <w:szCs w:val="20"/>
          <w:color w:val="auto"/>
        </w:rPr>
      </w:pPr>
    </w:p>
    <w:p>
      <w:pPr>
        <w:jc w:val="both"/>
        <w:ind w:right="479" w:firstLine="656"/>
        <w:spacing w:after="0" w:line="235" w:lineRule="auto"/>
        <w:tabs>
          <w:tab w:leader="none" w:pos="127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Security Agreement</w:t>
      </w:r>
      <w:r>
        <w:rPr>
          <w:rFonts w:ascii="Arial" w:cs="Arial" w:eastAsia="Arial" w:hAnsi="Arial"/>
          <w:sz w:val="22"/>
          <w:szCs w:val="22"/>
          <w:color w:val="auto"/>
        </w:rPr>
        <w:t>. The security interests granted pursuant to this Intellectual Property Security Agreement are granted in conjunction with the security interests granted to Secured Party pursuant to the Security Agreement. Debtor hereby acknowledges and affirms that the rights and remedies of Secured Party with respect to the security interest in the IP Collateral made and granted hereby are more fully set forth in the Security Agreement, the terms and provisions of which are incorporated by reference herein as if fully set forth herein.</w:t>
      </w:r>
    </w:p>
    <w:p>
      <w:pPr>
        <w:spacing w:after="0" w:line="215" w:lineRule="exact"/>
        <w:rPr>
          <w:rFonts w:ascii="Arial" w:cs="Arial" w:eastAsia="Arial" w:hAnsi="Arial"/>
          <w:sz w:val="22"/>
          <w:szCs w:val="22"/>
          <w:color w:val="auto"/>
        </w:rPr>
      </w:pPr>
    </w:p>
    <w:p>
      <w:pPr>
        <w:jc w:val="both"/>
        <w:ind w:right="479" w:firstLine="656"/>
        <w:spacing w:after="0" w:line="297" w:lineRule="auto"/>
        <w:tabs>
          <w:tab w:leader="none" w:pos="127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Authorization to File</w:t>
      </w:r>
      <w:r>
        <w:rPr>
          <w:rFonts w:ascii="Arial" w:cs="Arial" w:eastAsia="Arial" w:hAnsi="Arial"/>
          <w:sz w:val="19"/>
          <w:szCs w:val="19"/>
          <w:color w:val="auto"/>
        </w:rPr>
        <w:t>. Debtor authorizes Secured Party to file this Intellectual Property Security Agreement (and amendments and supplements hereof) in the United States Patent and Trademark Office, the United States Copyright Office and another other office that Secured Party deems necessary or appropriate.</w:t>
      </w:r>
    </w:p>
    <w:p>
      <w:pPr>
        <w:spacing w:after="0" w:line="161" w:lineRule="exact"/>
        <w:rPr>
          <w:rFonts w:ascii="Arial" w:cs="Arial" w:eastAsia="Arial" w:hAnsi="Arial"/>
          <w:sz w:val="19"/>
          <w:szCs w:val="19"/>
          <w:color w:val="auto"/>
        </w:rPr>
      </w:pPr>
    </w:p>
    <w:p>
      <w:pPr>
        <w:jc w:val="both"/>
        <w:ind w:right="479" w:firstLine="656"/>
        <w:spacing w:after="0" w:line="273" w:lineRule="auto"/>
        <w:tabs>
          <w:tab w:leader="none" w:pos="127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Authorization To Supplement</w:t>
      </w:r>
      <w:r>
        <w:rPr>
          <w:rFonts w:ascii="Arial" w:cs="Arial" w:eastAsia="Arial" w:hAnsi="Arial"/>
          <w:sz w:val="19"/>
          <w:szCs w:val="19"/>
          <w:color w:val="auto"/>
        </w:rPr>
        <w:t>. If Debtor shall obtain rights to (a) any new patentable inventions or become entitled to the benefit of any patent application or patent for any reissue, division, or continuation, of any patent, (b) any new trademarks or application therefor, or (c) any new copyright or application therefor, the provisions of this Intellectual Property Security Agreement shall automatically apply thereto. Debtor shall give prompt notice in writing to Secured Party with respect to any such new rights. Without limiting Debtor’s obligations under this Section 5, Debtor hereby authorizes Secured Party unilaterally to modify this Intellectual Property Security Agreement by amending the applicable schedule to include any such new rights of Debtor. Notwithstanding the foregoing, no failure to so modify this Intellectual Property Security Agreement or amend any schedule shall in any way affect, invalidate or detract from Secured Party's continuing security interest in all IP Collateral, whether or not listed on a schedule.</w:t>
      </w:r>
    </w:p>
    <w:p>
      <w:pPr>
        <w:spacing w:after="0" w:line="188" w:lineRule="exact"/>
        <w:rPr>
          <w:rFonts w:ascii="Arial" w:cs="Arial" w:eastAsia="Arial" w:hAnsi="Arial"/>
          <w:sz w:val="19"/>
          <w:szCs w:val="19"/>
          <w:color w:val="auto"/>
        </w:rPr>
      </w:pPr>
    </w:p>
    <w:p>
      <w:pPr>
        <w:jc w:val="both"/>
        <w:ind w:right="499" w:firstLine="656"/>
        <w:spacing w:after="0" w:line="279" w:lineRule="auto"/>
        <w:tabs>
          <w:tab w:leader="none" w:pos="127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Intellectual Property Security Agreement may be executed in any number of counterparts, each of which shall be deemed to be an original, but all such separate counterparts shall together constitute but one and the same instrument. In proving this Intellectual Property Security Agreement or any other Loan Document in any judicial proceedings, it shall not be necessary to produce or account for more than one such counterpart signed by the party against whom such enforcement is sought. Any signatures delivered by a party by facsimile transmission or by e-mail transmission shall be deemed an original signature hereto.</w:t>
      </w:r>
    </w:p>
    <w:p>
      <w:pPr>
        <w:spacing w:after="0" w:line="178"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6174740"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62" w:name="page63"/>
    <w:bookmarkEnd w:id="62"/>
    <w:p>
      <w:pPr>
        <w:ind w:right="499" w:firstLine="648"/>
        <w:spacing w:after="0" w:line="329" w:lineRule="auto"/>
        <w:rPr>
          <w:sz w:val="20"/>
          <w:szCs w:val="20"/>
          <w:color w:val="auto"/>
        </w:rPr>
      </w:pPr>
      <w:r>
        <w:rPr>
          <w:rFonts w:ascii="Arial" w:cs="Arial" w:eastAsia="Arial" w:hAnsi="Arial"/>
          <w:sz w:val="19"/>
          <w:szCs w:val="19"/>
          <w:color w:val="auto"/>
        </w:rPr>
        <w:t>IN WITNESS WHEREOF, each of the parties hereto has caused this Intellectual Property Security Agreement to be executed and delivered by its duly authorized officer as of the date first set forth above.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40" w:type="dxa"/>
            <w:vAlign w:val="bottom"/>
          </w:tcPr>
          <w:p>
            <w:pPr>
              <w:spacing w:after="0"/>
              <w:rPr>
                <w:sz w:val="20"/>
                <w:szCs w:val="20"/>
                <w:color w:val="auto"/>
              </w:rPr>
            </w:pPr>
            <w:r>
              <w:rPr>
                <w:rFonts w:ascii="Arial" w:cs="Arial" w:eastAsia="Arial" w:hAnsi="Arial"/>
                <w:sz w:val="18"/>
                <w:szCs w:val="18"/>
                <w:b w:val="1"/>
                <w:bCs w:val="1"/>
                <w:color w:val="auto"/>
              </w:rPr>
              <w:t>DEBTOR:</w:t>
            </w:r>
          </w:p>
        </w:tc>
        <w:tc>
          <w:tcPr>
            <w:tcW w:w="4660" w:type="dxa"/>
            <w:vAlign w:val="bottom"/>
            <w:gridSpan w:val="3"/>
          </w:tcPr>
          <w:p>
            <w:pPr>
              <w:ind w:left="1420"/>
              <w:spacing w:after="0"/>
              <w:rPr>
                <w:sz w:val="20"/>
                <w:szCs w:val="20"/>
                <w:color w:val="auto"/>
              </w:rPr>
            </w:pPr>
            <w:r>
              <w:rPr>
                <w:rFonts w:ascii="Arial" w:cs="Arial" w:eastAsia="Arial" w:hAnsi="Arial"/>
                <w:sz w:val="18"/>
                <w:szCs w:val="18"/>
                <w:color w:val="auto"/>
                <w:w w:val="97"/>
              </w:rPr>
              <w:t>TRANSDEL PHARMACEUTICALS, INC.,</w:t>
            </w:r>
          </w:p>
        </w:tc>
      </w:tr>
      <w:tr>
        <w:trPr>
          <w:trHeight w:val="230"/>
        </w:trPr>
        <w:tc>
          <w:tcPr>
            <w:tcW w:w="2240" w:type="dxa"/>
            <w:vAlign w:val="bottom"/>
          </w:tcPr>
          <w:p>
            <w:pPr>
              <w:spacing w:after="0"/>
              <w:rPr>
                <w:sz w:val="20"/>
                <w:szCs w:val="20"/>
                <w:color w:val="auto"/>
              </w:rPr>
            </w:pPr>
          </w:p>
        </w:tc>
        <w:tc>
          <w:tcPr>
            <w:tcW w:w="4660" w:type="dxa"/>
            <w:vAlign w:val="bottom"/>
            <w:gridSpan w:val="3"/>
          </w:tcPr>
          <w:p>
            <w:pPr>
              <w:ind w:left="1420"/>
              <w:spacing w:after="0"/>
              <w:rPr>
                <w:sz w:val="20"/>
                <w:szCs w:val="20"/>
                <w:color w:val="auto"/>
              </w:rPr>
            </w:pPr>
            <w:r>
              <w:rPr>
                <w:rFonts w:ascii="Arial" w:cs="Arial" w:eastAsia="Arial" w:hAnsi="Arial"/>
                <w:sz w:val="18"/>
                <w:szCs w:val="18"/>
                <w:color w:val="auto"/>
              </w:rPr>
              <w:t>a Delaware corporation</w:t>
            </w:r>
          </w:p>
        </w:tc>
      </w:tr>
      <w:tr>
        <w:trPr>
          <w:trHeight w:val="608"/>
        </w:trPr>
        <w:tc>
          <w:tcPr>
            <w:tcW w:w="2240" w:type="dxa"/>
            <w:vAlign w:val="bottom"/>
          </w:tcPr>
          <w:p>
            <w:pPr>
              <w:spacing w:after="0"/>
              <w:rPr>
                <w:sz w:val="24"/>
                <w:szCs w:val="24"/>
                <w:color w:val="auto"/>
              </w:rPr>
            </w:pPr>
          </w:p>
        </w:tc>
        <w:tc>
          <w:tcPr>
            <w:tcW w:w="4660" w:type="dxa"/>
            <w:vAlign w:val="bottom"/>
            <w:gridSpan w:val="3"/>
          </w:tcPr>
          <w:p>
            <w:pPr>
              <w:ind w:left="1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Terry Nida</w:t>
            </w:r>
          </w:p>
        </w:tc>
      </w:tr>
      <w:tr>
        <w:trPr>
          <w:trHeight w:val="20"/>
        </w:trPr>
        <w:tc>
          <w:tcPr>
            <w:tcW w:w="2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2240" w:type="dxa"/>
            <w:vAlign w:val="bottom"/>
          </w:tcPr>
          <w:p>
            <w:pPr>
              <w:spacing w:after="0"/>
              <w:rPr>
                <w:sz w:val="19"/>
                <w:szCs w:val="19"/>
                <w:color w:val="auto"/>
              </w:rPr>
            </w:pPr>
          </w:p>
        </w:tc>
        <w:tc>
          <w:tcPr>
            <w:tcW w:w="4660" w:type="dxa"/>
            <w:vAlign w:val="bottom"/>
            <w:gridSpan w:val="3"/>
          </w:tcPr>
          <w:p>
            <w:pPr>
              <w:ind w:left="1420"/>
              <w:spacing w:after="0"/>
              <w:rPr>
                <w:sz w:val="20"/>
                <w:szCs w:val="20"/>
                <w:color w:val="auto"/>
              </w:rPr>
            </w:pPr>
            <w:r>
              <w:rPr>
                <w:rFonts w:ascii="Arial" w:cs="Arial" w:eastAsia="Arial" w:hAnsi="Arial"/>
                <w:sz w:val="18"/>
                <w:szCs w:val="18"/>
                <w:color w:val="auto"/>
              </w:rPr>
              <w:t>Name: Terry Nida</w:t>
            </w:r>
          </w:p>
        </w:tc>
      </w:tr>
      <w:tr>
        <w:trPr>
          <w:trHeight w:val="230"/>
        </w:trPr>
        <w:tc>
          <w:tcPr>
            <w:tcW w:w="2240" w:type="dxa"/>
            <w:vAlign w:val="bottom"/>
          </w:tcPr>
          <w:p>
            <w:pPr>
              <w:spacing w:after="0"/>
              <w:rPr>
                <w:sz w:val="20"/>
                <w:szCs w:val="20"/>
                <w:color w:val="auto"/>
              </w:rPr>
            </w:pPr>
          </w:p>
        </w:tc>
        <w:tc>
          <w:tcPr>
            <w:tcW w:w="4660" w:type="dxa"/>
            <w:vAlign w:val="bottom"/>
            <w:gridSpan w:val="3"/>
          </w:tcPr>
          <w:p>
            <w:pPr>
              <w:ind w:left="1420"/>
              <w:spacing w:after="0"/>
              <w:rPr>
                <w:sz w:val="20"/>
                <w:szCs w:val="20"/>
                <w:color w:val="auto"/>
              </w:rPr>
            </w:pPr>
            <w:r>
              <w:rPr>
                <w:rFonts w:ascii="Arial" w:cs="Arial" w:eastAsia="Arial" w:hAnsi="Arial"/>
                <w:sz w:val="18"/>
                <w:szCs w:val="18"/>
                <w:color w:val="auto"/>
              </w:rPr>
              <w:t>Title: Principal Executive Officer</w:t>
            </w:r>
          </w:p>
        </w:tc>
      </w:tr>
    </w:tbl>
    <w:p>
      <w:pPr>
        <w:spacing w:after="0" w:line="200" w:lineRule="exact"/>
        <w:rPr>
          <w:sz w:val="20"/>
          <w:szCs w:val="20"/>
          <w:color w:val="auto"/>
        </w:rPr>
      </w:pPr>
    </w:p>
    <w:p>
      <w:pPr>
        <w:spacing w:after="0" w:line="251"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S-1</w:t>
      </w:r>
    </w:p>
    <w:p>
      <w:pPr>
        <w:spacing w:after="0" w:line="222" w:lineRule="exact"/>
        <w:rPr>
          <w:sz w:val="20"/>
          <w:szCs w:val="20"/>
          <w:color w:val="auto"/>
        </w:rPr>
      </w:pPr>
    </w:p>
    <w:p>
      <w:pPr>
        <w:ind w:left="2340"/>
        <w:spacing w:after="0"/>
        <w:rPr>
          <w:sz w:val="20"/>
          <w:szCs w:val="20"/>
          <w:color w:val="auto"/>
        </w:rPr>
      </w:pPr>
      <w:r>
        <w:rPr>
          <w:rFonts w:ascii="Arial" w:cs="Arial" w:eastAsia="Arial" w:hAnsi="Arial"/>
          <w:sz w:val="14"/>
          <w:szCs w:val="14"/>
          <w:color w:val="auto"/>
        </w:rPr>
        <w:t>[SIGNATURE PAGE TO INTELLECTUAL PROPERTY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174740" cy="94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63" w:name="page64"/>
    <w:bookmarkEnd w:id="63"/>
    <w:p>
      <w:pPr>
        <w:spacing w:after="0"/>
        <w:tabs>
          <w:tab w:leader="none" w:pos="3640" w:val="left"/>
        </w:tabs>
        <w:rPr>
          <w:sz w:val="20"/>
          <w:szCs w:val="20"/>
          <w:color w:val="auto"/>
        </w:rPr>
      </w:pPr>
      <w:r>
        <w:rPr>
          <w:rFonts w:ascii="Arial" w:cs="Arial" w:eastAsia="Arial" w:hAnsi="Arial"/>
          <w:sz w:val="18"/>
          <w:szCs w:val="18"/>
          <w:b w:val="1"/>
          <w:bCs w:val="1"/>
          <w:color w:val="auto"/>
        </w:rPr>
        <w:t>SECURED PARTY:</w:t>
      </w:r>
      <w:r>
        <w:rPr>
          <w:sz w:val="20"/>
          <w:szCs w:val="20"/>
          <w:color w:val="auto"/>
        </w:rPr>
        <w:tab/>
      </w:r>
      <w:r>
        <w:rPr>
          <w:rFonts w:ascii="Arial" w:cs="Arial" w:eastAsia="Arial" w:hAnsi="Arial"/>
          <w:sz w:val="17"/>
          <w:szCs w:val="17"/>
          <w:color w:val="auto"/>
        </w:rPr>
        <w:t>DERMASTAR INTERNATIONAL, LLC</w:t>
      </w:r>
    </w:p>
    <w:p>
      <w:pPr>
        <w:spacing w:after="0" w:line="200" w:lineRule="exact"/>
        <w:rPr>
          <w:sz w:val="20"/>
          <w:szCs w:val="20"/>
          <w:color w:val="auto"/>
        </w:rPr>
      </w:pPr>
    </w:p>
    <w:p>
      <w:pPr>
        <w:spacing w:after="0" w:line="24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-10160</wp:posOffset>
            </wp:positionV>
            <wp:extent cx="12573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Name: Mark L. Baum</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S-2</w:t>
      </w:r>
    </w:p>
    <w:p>
      <w:pPr>
        <w:spacing w:after="0" w:line="222" w:lineRule="exact"/>
        <w:rPr>
          <w:sz w:val="20"/>
          <w:szCs w:val="20"/>
          <w:color w:val="auto"/>
        </w:rPr>
      </w:pPr>
    </w:p>
    <w:p>
      <w:pPr>
        <w:jc w:val="right"/>
        <w:ind w:right="2819"/>
        <w:spacing w:after="0"/>
        <w:rPr>
          <w:sz w:val="20"/>
          <w:szCs w:val="20"/>
          <w:color w:val="auto"/>
        </w:rPr>
      </w:pPr>
      <w:r>
        <w:rPr>
          <w:rFonts w:ascii="Arial" w:cs="Arial" w:eastAsia="Arial" w:hAnsi="Arial"/>
          <w:sz w:val="14"/>
          <w:szCs w:val="14"/>
          <w:color w:val="auto"/>
        </w:rPr>
        <w:t>[SIGNATURE PAGE TO INTELLECTUAL PROPERTY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174740"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64" w:name="page65"/>
    <w:bookmarkEnd w:id="64"/>
    <w:p>
      <w:pPr>
        <w:jc w:val="center"/>
        <w:ind w:right="979"/>
        <w:spacing w:after="0"/>
        <w:rPr>
          <w:sz w:val="20"/>
          <w:szCs w:val="20"/>
          <w:color w:val="auto"/>
        </w:rPr>
      </w:pPr>
      <w:r>
        <w:rPr>
          <w:rFonts w:ascii="Arial" w:cs="Arial" w:eastAsia="Arial" w:hAnsi="Arial"/>
          <w:sz w:val="22"/>
          <w:szCs w:val="22"/>
          <w:b w:val="1"/>
          <w:bCs w:val="1"/>
          <w:u w:val="single" w:color="auto"/>
          <w:color w:val="auto"/>
        </w:rPr>
        <w:t>SCHEDULE I</w:t>
      </w:r>
    </w:p>
    <w:p>
      <w:pPr>
        <w:spacing w:after="0" w:line="5" w:lineRule="exact"/>
        <w:rPr>
          <w:sz w:val="20"/>
          <w:szCs w:val="20"/>
          <w:color w:val="auto"/>
        </w:rPr>
      </w:pPr>
    </w:p>
    <w:p>
      <w:pPr>
        <w:jc w:val="center"/>
        <w:ind w:right="979"/>
        <w:spacing w:after="0"/>
        <w:rPr>
          <w:sz w:val="20"/>
          <w:szCs w:val="20"/>
          <w:color w:val="auto"/>
        </w:rPr>
      </w:pPr>
      <w:r>
        <w:rPr>
          <w:rFonts w:ascii="Arial" w:cs="Arial" w:eastAsia="Arial" w:hAnsi="Arial"/>
          <w:sz w:val="22"/>
          <w:szCs w:val="22"/>
          <w:b w:val="1"/>
          <w:bCs w:val="1"/>
          <w:color w:val="auto"/>
        </w:rPr>
        <w:t>to</w:t>
      </w:r>
    </w:p>
    <w:p>
      <w:pPr>
        <w:jc w:val="center"/>
        <w:ind w:right="979"/>
        <w:spacing w:after="0"/>
        <w:rPr>
          <w:sz w:val="20"/>
          <w:szCs w:val="20"/>
          <w:color w:val="auto"/>
        </w:rPr>
      </w:pPr>
      <w:r>
        <w:rPr>
          <w:rFonts w:ascii="Arial" w:cs="Arial" w:eastAsia="Arial" w:hAnsi="Arial"/>
          <w:sz w:val="22"/>
          <w:szCs w:val="22"/>
          <w:b w:val="1"/>
          <w:bCs w:val="1"/>
          <w:u w:val="single" w:color="auto"/>
          <w:color w:val="auto"/>
        </w:rPr>
        <w:t>INTELLECTUAL PROPERTY SECURITY AGREEMENT</w:t>
      </w:r>
    </w:p>
    <w:p>
      <w:pPr>
        <w:spacing w:after="0" w:line="209" w:lineRule="exact"/>
        <w:rPr>
          <w:sz w:val="20"/>
          <w:szCs w:val="20"/>
          <w:color w:val="auto"/>
        </w:rPr>
      </w:pPr>
    </w:p>
    <w:p>
      <w:pPr>
        <w:ind w:left="4020"/>
        <w:spacing w:after="0"/>
        <w:rPr>
          <w:sz w:val="20"/>
          <w:szCs w:val="20"/>
          <w:color w:val="auto"/>
        </w:rPr>
      </w:pPr>
      <w:r>
        <w:rPr>
          <w:rFonts w:ascii="Arial" w:cs="Arial" w:eastAsia="Arial" w:hAnsi="Arial"/>
          <w:sz w:val="22"/>
          <w:szCs w:val="22"/>
          <w:b w:val="1"/>
          <w:bCs w:val="1"/>
          <w:u w:val="single" w:color="auto"/>
          <w:color w:val="auto"/>
        </w:rPr>
        <w:t>Patents</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80" w:type="dxa"/>
            <w:vAlign w:val="bottom"/>
            <w:tcBorders>
              <w:top w:val="single" w:sz="8" w:color="auto"/>
              <w:left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Debtor</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Country</w:t>
            </w:r>
          </w:p>
        </w:tc>
        <w:tc>
          <w:tcPr>
            <w:tcW w:w="2440" w:type="dxa"/>
            <w:vAlign w:val="bottom"/>
            <w:tcBorders>
              <w:top w:val="single" w:sz="8" w:color="auto"/>
              <w:bottom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Patent</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Patent Number</w:t>
            </w:r>
          </w:p>
        </w:tc>
        <w:tc>
          <w:tcPr>
            <w:tcW w:w="1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178"/>
        </w:trPr>
        <w:tc>
          <w:tcPr>
            <w:tcW w:w="178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Transdel</w:t>
            </w:r>
          </w:p>
        </w:tc>
        <w:tc>
          <w:tcPr>
            <w:tcW w:w="11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United States</w:t>
            </w:r>
          </w:p>
        </w:tc>
        <w:tc>
          <w:tcPr>
            <w:tcW w:w="244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TRANSDERMAL DELIVERY</w:t>
            </w:r>
          </w:p>
        </w:tc>
        <w:tc>
          <w:tcPr>
            <w:tcW w:w="22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89"/>
              </w:rPr>
              <w:t>5,837,289</w:t>
            </w:r>
          </w:p>
        </w:tc>
        <w:tc>
          <w:tcPr>
            <w:tcW w:w="11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88"/>
              </w:rPr>
              <w:t>Issue Date</w:t>
            </w: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Pharmaceuticals</w:t>
            </w:r>
          </w:p>
        </w:tc>
        <w:tc>
          <w:tcPr>
            <w:tcW w:w="112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MEDICATIONS USING A</w:t>
            </w:r>
          </w:p>
        </w:tc>
        <w:tc>
          <w:tcPr>
            <w:tcW w:w="22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November 17,</w:t>
            </w: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Holdings, Inc. (merged</w:t>
            </w:r>
          </w:p>
        </w:tc>
        <w:tc>
          <w:tcPr>
            <w:tcW w:w="112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COMBINATION OF</w:t>
            </w:r>
          </w:p>
        </w:tc>
        <w:tc>
          <w:tcPr>
            <w:tcW w:w="22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1998</w:t>
            </w: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into Transdel</w:t>
            </w:r>
          </w:p>
        </w:tc>
        <w:tc>
          <w:tcPr>
            <w:tcW w:w="112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PENETRATION ENHANCERS</w:t>
            </w:r>
          </w:p>
        </w:tc>
        <w:tc>
          <w:tcPr>
            <w:tcW w:w="22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Pharmaceuticals, Inc.</w:t>
            </w:r>
          </w:p>
        </w:tc>
        <w:tc>
          <w:tcPr>
            <w:tcW w:w="112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of June 20, 2011)</w:t>
            </w:r>
          </w:p>
        </w:tc>
        <w:tc>
          <w:tcPr>
            <w:tcW w:w="1120" w:type="dxa"/>
            <w:vAlign w:val="bottom"/>
            <w:tcBorders>
              <w:bottom w:val="single" w:sz="8" w:color="auto"/>
              <w:right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17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Transdel</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Canada</w:t>
            </w:r>
          </w:p>
        </w:tc>
        <w:tc>
          <w:tcPr>
            <w:tcW w:w="24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TRANSDERMAL DELIVERY</w:t>
            </w:r>
          </w:p>
        </w:tc>
        <w:tc>
          <w:tcPr>
            <w:tcW w:w="2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2,348,540</w:t>
            </w:r>
          </w:p>
        </w:tc>
        <w:tc>
          <w:tcPr>
            <w:tcW w:w="11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Application</w:t>
            </w: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Pharmaceuticals</w:t>
            </w:r>
          </w:p>
        </w:tc>
        <w:tc>
          <w:tcPr>
            <w:tcW w:w="112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MEDICATIONS USING A</w:t>
            </w:r>
          </w:p>
        </w:tc>
        <w:tc>
          <w:tcPr>
            <w:tcW w:w="22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Date October</w:t>
            </w: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Holdings, Inc. (merged</w:t>
            </w:r>
          </w:p>
        </w:tc>
        <w:tc>
          <w:tcPr>
            <w:tcW w:w="112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COMBINATION OF</w:t>
            </w:r>
          </w:p>
        </w:tc>
        <w:tc>
          <w:tcPr>
            <w:tcW w:w="22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29, 1998</w:t>
            </w: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into Transdel</w:t>
            </w:r>
          </w:p>
        </w:tc>
        <w:tc>
          <w:tcPr>
            <w:tcW w:w="112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PENETRATION ENHANCERS</w:t>
            </w:r>
          </w:p>
        </w:tc>
        <w:tc>
          <w:tcPr>
            <w:tcW w:w="22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[approved and</w:t>
            </w: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Pharmaceuticals, Inc.</w:t>
            </w:r>
          </w:p>
        </w:tc>
        <w:tc>
          <w:tcPr>
            <w:tcW w:w="112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awaiting issue</w:t>
            </w:r>
          </w:p>
        </w:tc>
      </w:tr>
      <w:tr>
        <w:trPr>
          <w:trHeight w:val="230"/>
        </w:trPr>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of June 20, 2011)</w:t>
            </w:r>
          </w:p>
        </w:tc>
        <w:tc>
          <w:tcPr>
            <w:tcW w:w="1120" w:type="dxa"/>
            <w:vAlign w:val="bottom"/>
            <w:tcBorders>
              <w:bottom w:val="single" w:sz="8" w:color="auto"/>
              <w:right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bl>
    <w:p>
      <w:pPr>
        <w:spacing w:after="0" w:line="216" w:lineRule="exact"/>
        <w:rPr>
          <w:sz w:val="20"/>
          <w:szCs w:val="20"/>
          <w:color w:val="auto"/>
        </w:rPr>
      </w:pPr>
    </w:p>
    <w:p>
      <w:pPr>
        <w:ind w:left="3460"/>
        <w:spacing w:after="0"/>
        <w:rPr>
          <w:sz w:val="20"/>
          <w:szCs w:val="20"/>
          <w:color w:val="auto"/>
        </w:rPr>
      </w:pPr>
      <w:r>
        <w:rPr>
          <w:rFonts w:ascii="Arial" w:cs="Arial" w:eastAsia="Arial" w:hAnsi="Arial"/>
          <w:sz w:val="22"/>
          <w:szCs w:val="22"/>
          <w:b w:val="1"/>
          <w:bCs w:val="1"/>
          <w:u w:val="single" w:color="auto"/>
          <w:color w:val="auto"/>
        </w:rPr>
        <w:t>Patent Applications</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80" w:type="dxa"/>
            <w:vAlign w:val="bottom"/>
            <w:tcBorders>
              <w:top w:val="single" w:sz="8" w:color="auto"/>
              <w:left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Debtor</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Country</w:t>
            </w:r>
          </w:p>
        </w:tc>
        <w:tc>
          <w:tcPr>
            <w:tcW w:w="2440" w:type="dxa"/>
            <w:vAlign w:val="bottom"/>
            <w:tcBorders>
              <w:top w:val="single" w:sz="8" w:color="auto"/>
              <w:bottom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Patent</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Application Number</w:t>
            </w:r>
          </w:p>
        </w:tc>
        <w:tc>
          <w:tcPr>
            <w:tcW w:w="1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178"/>
        </w:trPr>
        <w:tc>
          <w:tcPr>
            <w:tcW w:w="178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Transdel</w:t>
            </w:r>
          </w:p>
        </w:tc>
        <w:tc>
          <w:tcPr>
            <w:tcW w:w="11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United States</w:t>
            </w:r>
          </w:p>
        </w:tc>
        <w:tc>
          <w:tcPr>
            <w:tcW w:w="244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ANTI-CELLULITE</w:t>
            </w:r>
          </w:p>
        </w:tc>
        <w:tc>
          <w:tcPr>
            <w:tcW w:w="22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Pending</w:t>
            </w:r>
          </w:p>
        </w:tc>
        <w:tc>
          <w:tcPr>
            <w:tcW w:w="11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2"/>
              </w:rPr>
              <w:t>Filed</w:t>
            </w: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Pharmaceuticals, Inc.</w:t>
            </w:r>
          </w:p>
        </w:tc>
        <w:tc>
          <w:tcPr>
            <w:tcW w:w="112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COMPOSITION AND</w:t>
            </w:r>
          </w:p>
        </w:tc>
        <w:tc>
          <w:tcPr>
            <w:tcW w:w="22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provisional</w:t>
            </w:r>
          </w:p>
        </w:tc>
      </w:tr>
      <w:tr>
        <w:trPr>
          <w:trHeight w:val="216"/>
        </w:trPr>
        <w:tc>
          <w:tcPr>
            <w:tcW w:w="17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METHOD OF TREATING</w:t>
            </w:r>
          </w:p>
        </w:tc>
        <w:tc>
          <w:tcPr>
            <w:tcW w:w="22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patent</w:t>
            </w:r>
          </w:p>
        </w:tc>
      </w:tr>
      <w:tr>
        <w:trPr>
          <w:trHeight w:val="216"/>
        </w:trPr>
        <w:tc>
          <w:tcPr>
            <w:tcW w:w="17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CELLULITE</w:t>
            </w:r>
          </w:p>
        </w:tc>
        <w:tc>
          <w:tcPr>
            <w:tcW w:w="22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application in</w:t>
            </w:r>
          </w:p>
        </w:tc>
      </w:tr>
      <w:tr>
        <w:trPr>
          <w:trHeight w:val="230"/>
        </w:trPr>
        <w:tc>
          <w:tcPr>
            <w:tcW w:w="17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June 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221615</wp:posOffset>
            </wp:positionV>
            <wp:extent cx="6174740" cy="9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719"/>
          </w:cols>
          <w:pgMar w:left="740" w:top="112" w:right="1440" w:bottom="1440" w:gutter="0" w:footer="0" w:header="0"/>
        </w:sectPr>
      </w:pPr>
    </w:p>
    <w:bookmarkStart w:id="65" w:name="page66"/>
    <w:bookmarkEnd w:id="65"/>
    <w:p>
      <w:pPr>
        <w:jc w:val="center"/>
        <w:ind w:right="759"/>
        <w:spacing w:after="0"/>
        <w:rPr>
          <w:sz w:val="20"/>
          <w:szCs w:val="20"/>
          <w:color w:val="auto"/>
        </w:rPr>
      </w:pPr>
      <w:r>
        <w:rPr>
          <w:rFonts w:ascii="Arial" w:cs="Arial" w:eastAsia="Arial" w:hAnsi="Arial"/>
          <w:sz w:val="22"/>
          <w:szCs w:val="22"/>
          <w:b w:val="1"/>
          <w:bCs w:val="1"/>
          <w:u w:val="single" w:color="auto"/>
          <w:color w:val="auto"/>
        </w:rPr>
        <w:t>SCHEDULE II</w:t>
      </w:r>
    </w:p>
    <w:p>
      <w:pPr>
        <w:spacing w:after="0" w:line="5" w:lineRule="exact"/>
        <w:rPr>
          <w:sz w:val="20"/>
          <w:szCs w:val="20"/>
          <w:color w:val="auto"/>
        </w:rPr>
      </w:pPr>
    </w:p>
    <w:p>
      <w:pPr>
        <w:jc w:val="center"/>
        <w:ind w:right="759"/>
        <w:spacing w:after="0"/>
        <w:rPr>
          <w:sz w:val="20"/>
          <w:szCs w:val="20"/>
          <w:color w:val="auto"/>
        </w:rPr>
      </w:pPr>
      <w:r>
        <w:rPr>
          <w:rFonts w:ascii="Arial" w:cs="Arial" w:eastAsia="Arial" w:hAnsi="Arial"/>
          <w:sz w:val="22"/>
          <w:szCs w:val="22"/>
          <w:b w:val="1"/>
          <w:bCs w:val="1"/>
          <w:color w:val="auto"/>
        </w:rPr>
        <w:t>to</w:t>
      </w:r>
    </w:p>
    <w:p>
      <w:pPr>
        <w:jc w:val="center"/>
        <w:ind w:right="759"/>
        <w:spacing w:after="0"/>
        <w:rPr>
          <w:sz w:val="20"/>
          <w:szCs w:val="20"/>
          <w:color w:val="auto"/>
        </w:rPr>
      </w:pPr>
      <w:r>
        <w:rPr>
          <w:rFonts w:ascii="Arial" w:cs="Arial" w:eastAsia="Arial" w:hAnsi="Arial"/>
          <w:sz w:val="22"/>
          <w:szCs w:val="22"/>
          <w:b w:val="1"/>
          <w:bCs w:val="1"/>
          <w:u w:val="single" w:color="auto"/>
          <w:color w:val="auto"/>
        </w:rPr>
        <w:t>INTELLECTUAL PROPERTY SECURITY AGREEMENT</w:t>
      </w:r>
    </w:p>
    <w:p>
      <w:pPr>
        <w:spacing w:after="0" w:line="209" w:lineRule="exact"/>
        <w:rPr>
          <w:sz w:val="20"/>
          <w:szCs w:val="20"/>
          <w:color w:val="auto"/>
        </w:rPr>
      </w:pPr>
    </w:p>
    <w:p>
      <w:pPr>
        <w:ind w:left="2820"/>
        <w:spacing w:after="0"/>
        <w:rPr>
          <w:sz w:val="20"/>
          <w:szCs w:val="20"/>
          <w:color w:val="auto"/>
        </w:rPr>
      </w:pPr>
      <w:r>
        <w:rPr>
          <w:rFonts w:ascii="Arial" w:cs="Arial" w:eastAsia="Arial" w:hAnsi="Arial"/>
          <w:sz w:val="22"/>
          <w:szCs w:val="22"/>
          <w:b w:val="1"/>
          <w:bCs w:val="1"/>
          <w:u w:val="single" w:color="auto"/>
          <w:color w:val="auto"/>
        </w:rPr>
        <w:t>Trademark Registrations/Applications</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1780" w:type="dxa"/>
            <w:vAlign w:val="bottom"/>
            <w:tcBorders>
              <w:top w:val="single" w:sz="8" w:color="auto"/>
              <w:left w:val="single" w:sz="8" w:color="auto"/>
              <w:right w:val="single" w:sz="8" w:color="auto"/>
            </w:tcBorders>
            <w:vMerge w:val="restart"/>
          </w:tcPr>
          <w:p>
            <w:pPr>
              <w:ind w:left="620"/>
              <w:spacing w:after="0"/>
              <w:rPr>
                <w:sz w:val="20"/>
                <w:szCs w:val="20"/>
                <w:color w:val="auto"/>
              </w:rPr>
            </w:pPr>
            <w:r>
              <w:rPr>
                <w:rFonts w:ascii="Arial" w:cs="Arial" w:eastAsia="Arial" w:hAnsi="Arial"/>
                <w:sz w:val="18"/>
                <w:szCs w:val="18"/>
                <w:b w:val="1"/>
                <w:bCs w:val="1"/>
                <w:color w:val="auto"/>
              </w:rPr>
              <w:t>Debtor</w:t>
            </w:r>
          </w:p>
        </w:tc>
        <w:tc>
          <w:tcPr>
            <w:tcW w:w="1720" w:type="dxa"/>
            <w:vAlign w:val="bottom"/>
            <w:tcBorders>
              <w:top w:val="single" w:sz="8" w:color="auto"/>
              <w:right w:val="single" w:sz="8" w:color="auto"/>
            </w:tcBorders>
            <w:vMerge w:val="restart"/>
          </w:tcPr>
          <w:p>
            <w:pPr>
              <w:ind w:left="520"/>
              <w:spacing w:after="0"/>
              <w:rPr>
                <w:sz w:val="20"/>
                <w:szCs w:val="20"/>
                <w:color w:val="auto"/>
              </w:rPr>
            </w:pPr>
            <w:r>
              <w:rPr>
                <w:rFonts w:ascii="Arial" w:cs="Arial" w:eastAsia="Arial" w:hAnsi="Arial"/>
                <w:sz w:val="18"/>
                <w:szCs w:val="18"/>
                <w:b w:val="1"/>
                <w:bCs w:val="1"/>
                <w:color w:val="auto"/>
              </w:rPr>
              <w:t>Country</w:t>
            </w:r>
          </w:p>
        </w:tc>
        <w:tc>
          <w:tcPr>
            <w:tcW w:w="2180" w:type="dxa"/>
            <w:vAlign w:val="bottom"/>
            <w:tcBorders>
              <w:top w:val="single" w:sz="8" w:color="auto"/>
              <w:right w:val="single" w:sz="8" w:color="auto"/>
            </w:tcBorders>
            <w:vMerge w:val="restart"/>
          </w:tcPr>
          <w:p>
            <w:pPr>
              <w:ind w:left="860"/>
              <w:spacing w:after="0"/>
              <w:rPr>
                <w:sz w:val="20"/>
                <w:szCs w:val="20"/>
                <w:color w:val="auto"/>
              </w:rPr>
            </w:pPr>
            <w:r>
              <w:rPr>
                <w:rFonts w:ascii="Arial" w:cs="Arial" w:eastAsia="Arial" w:hAnsi="Arial"/>
                <w:sz w:val="18"/>
                <w:szCs w:val="18"/>
                <w:b w:val="1"/>
                <w:bCs w:val="1"/>
                <w:color w:val="auto"/>
              </w:rPr>
              <w:t>Mark</w:t>
            </w:r>
          </w:p>
        </w:tc>
        <w:tc>
          <w:tcPr>
            <w:tcW w:w="1740" w:type="dxa"/>
            <w:vAlign w:val="bottom"/>
            <w:tcBorders>
              <w:top w:val="single" w:sz="8" w:color="auto"/>
              <w:right w:val="single" w:sz="8" w:color="auto"/>
            </w:tcBorders>
          </w:tcPr>
          <w:p>
            <w:pPr>
              <w:jc w:val="right"/>
              <w:ind w:right="330"/>
              <w:spacing w:after="0" w:line="195" w:lineRule="exact"/>
              <w:rPr>
                <w:sz w:val="20"/>
                <w:szCs w:val="20"/>
                <w:color w:val="auto"/>
              </w:rPr>
            </w:pPr>
            <w:r>
              <w:rPr>
                <w:rFonts w:ascii="Arial" w:cs="Arial" w:eastAsia="Arial" w:hAnsi="Arial"/>
                <w:sz w:val="18"/>
                <w:szCs w:val="18"/>
                <w:b w:val="1"/>
                <w:bCs w:val="1"/>
                <w:color w:val="auto"/>
              </w:rPr>
              <w:t>Application/</w:t>
            </w:r>
          </w:p>
        </w:tc>
        <w:tc>
          <w:tcPr>
            <w:tcW w:w="1760" w:type="dxa"/>
            <w:vAlign w:val="bottom"/>
            <w:tcBorders>
              <w:top w:val="single" w:sz="8" w:color="auto"/>
              <w:right w:val="single" w:sz="8" w:color="auto"/>
            </w:tcBorders>
            <w:vMerge w:val="restart"/>
          </w:tcPr>
          <w:p>
            <w:pPr>
              <w:ind w:left="320"/>
              <w:spacing w:after="0"/>
              <w:rPr>
                <w:sz w:val="20"/>
                <w:szCs w:val="20"/>
                <w:color w:val="auto"/>
              </w:rPr>
            </w:pPr>
            <w:r>
              <w:rPr>
                <w:rFonts w:ascii="Arial" w:cs="Arial" w:eastAsia="Arial" w:hAnsi="Arial"/>
                <w:sz w:val="18"/>
                <w:szCs w:val="18"/>
                <w:b w:val="1"/>
                <w:bCs w:val="1"/>
                <w:color w:val="auto"/>
              </w:rPr>
              <w:t>App/Reg Date</w:t>
            </w:r>
          </w:p>
        </w:tc>
        <w:tc>
          <w:tcPr>
            <w:tcW w:w="0" w:type="dxa"/>
            <w:vAlign w:val="bottom"/>
          </w:tcPr>
          <w:p>
            <w:pPr>
              <w:spacing w:after="0"/>
              <w:rPr>
                <w:sz w:val="1"/>
                <w:szCs w:val="1"/>
                <w:color w:val="auto"/>
              </w:rPr>
            </w:pPr>
          </w:p>
        </w:tc>
      </w:tr>
      <w:tr>
        <w:trPr>
          <w:trHeight w:val="126"/>
        </w:trPr>
        <w:tc>
          <w:tcPr>
            <w:tcW w:w="178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Registration No.</w:t>
            </w:r>
          </w:p>
        </w:tc>
        <w:tc>
          <w:tcPr>
            <w:tcW w:w="1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78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1740" w:type="dxa"/>
            <w:vAlign w:val="bottom"/>
            <w:tcBorders>
              <w:bottom w:val="single" w:sz="8" w:color="auto"/>
              <w:right w:val="single" w:sz="8" w:color="auto"/>
            </w:tcBorders>
            <w:vMerge w:val="continue"/>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78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Transdel</w:t>
            </w:r>
          </w:p>
        </w:tc>
        <w:tc>
          <w:tcPr>
            <w:tcW w:w="172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United States</w:t>
            </w:r>
          </w:p>
        </w:tc>
        <w:tc>
          <w:tcPr>
            <w:tcW w:w="21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Ketotransdel</w:t>
            </w:r>
          </w:p>
        </w:tc>
        <w:tc>
          <w:tcPr>
            <w:tcW w:w="1740" w:type="dxa"/>
            <w:vAlign w:val="bottom"/>
            <w:tcBorders>
              <w:right w:val="single" w:sz="8" w:color="auto"/>
            </w:tcBorders>
          </w:tcPr>
          <w:p>
            <w:pPr>
              <w:jc w:val="right"/>
              <w:ind w:right="170"/>
              <w:spacing w:after="0" w:line="178" w:lineRule="exact"/>
              <w:rPr>
                <w:sz w:val="20"/>
                <w:szCs w:val="20"/>
                <w:color w:val="auto"/>
              </w:rPr>
            </w:pPr>
            <w:r>
              <w:rPr>
                <w:rFonts w:ascii="Arial" w:cs="Arial" w:eastAsia="Arial" w:hAnsi="Arial"/>
                <w:sz w:val="18"/>
                <w:szCs w:val="18"/>
                <w:color w:val="auto"/>
                <w:w w:val="88"/>
              </w:rPr>
              <w:t>Serial No. 78461443</w:t>
            </w:r>
          </w:p>
        </w:tc>
        <w:tc>
          <w:tcPr>
            <w:tcW w:w="176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Filing Date August 3,</w:t>
            </w: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Pharmaceuticals</w:t>
            </w: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IC 005. US 006 018 044 046</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Holdings, Inc. (merged</w:t>
            </w: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051 052. G &amp; S: Topical</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into Transdel</w:t>
            </w: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medicated therapeutic cream,</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Pharmaceuticals, Inc.</w:t>
            </w: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gel, lotion and paste for direct</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of June 20, 2011)</w:t>
            </w: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transdermal administration of</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ketoprofen.</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FIRST USE: 20071108.</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FIRST USE IN</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COMMERCE: 20071108</w:t>
            </w:r>
          </w:p>
        </w:tc>
        <w:tc>
          <w:tcPr>
            <w:tcW w:w="174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7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Transdel</w:t>
            </w:r>
          </w:p>
        </w:tc>
        <w:tc>
          <w:tcPr>
            <w:tcW w:w="17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United States</w:t>
            </w:r>
          </w:p>
        </w:tc>
        <w:tc>
          <w:tcPr>
            <w:tcW w:w="21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Transdel</w:t>
            </w:r>
          </w:p>
        </w:tc>
        <w:tc>
          <w:tcPr>
            <w:tcW w:w="1740" w:type="dxa"/>
            <w:vAlign w:val="bottom"/>
            <w:tcBorders>
              <w:right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w w:val="88"/>
              </w:rPr>
              <w:t>Serial No. 77304331</w:t>
            </w:r>
          </w:p>
        </w:tc>
        <w:tc>
          <w:tcPr>
            <w:tcW w:w="17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Filing Date October 15,</w:t>
            </w: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Pharmaceuticals</w:t>
            </w: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IC 005. US 006 018 044 046</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Holdings, Inc. (merged</w:t>
            </w: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051 052. G &amp; S: Topical</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into Transdel</w:t>
            </w: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medicated therapeutic cream,</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Pharmaceuticals, Inc.</w:t>
            </w: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gel, lotion and paste for direct</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of June 20, 2011)</w:t>
            </w: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transdermal administration of</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a wide variety of therapeutic</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agents for allergic, cardio-</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vascular, infectious,</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neurological, inflammatory,</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immunological, metabolic,</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viral, microbial, osteopathic,</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dietary, respiratory,</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psychiatric, hormonal, dental,</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dermal, muscular and</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excretory diseases,</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conditions, deficiencies and</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disorders</w:t>
            </w:r>
          </w:p>
        </w:tc>
        <w:tc>
          <w:tcPr>
            <w:tcW w:w="17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Transdel</w:t>
            </w:r>
          </w:p>
        </w:tc>
        <w:tc>
          <w:tcPr>
            <w:tcW w:w="17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United States</w:t>
            </w:r>
          </w:p>
        </w:tc>
        <w:tc>
          <w:tcPr>
            <w:tcW w:w="21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Transdel</w:t>
            </w:r>
          </w:p>
        </w:tc>
        <w:tc>
          <w:tcPr>
            <w:tcW w:w="1740" w:type="dxa"/>
            <w:vAlign w:val="bottom"/>
            <w:tcBorders>
              <w:right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w w:val="88"/>
              </w:rPr>
              <w:t>Serial No. 77810173</w:t>
            </w:r>
          </w:p>
        </w:tc>
        <w:tc>
          <w:tcPr>
            <w:tcW w:w="17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Filing Date August 21,</w:t>
            </w: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Pharmaceuticals, Inc.</w:t>
            </w: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IC 001. US 001 005 006 010</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026 046. G &amp; S: Chemical</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additives for use in the</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manufacture of</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pharmaceutical and cosmetic</w:t>
            </w:r>
          </w:p>
        </w:tc>
        <w:tc>
          <w:tcPr>
            <w:tcW w:w="17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products</w:t>
            </w:r>
          </w:p>
        </w:tc>
        <w:tc>
          <w:tcPr>
            <w:tcW w:w="17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221615</wp:posOffset>
            </wp:positionV>
            <wp:extent cx="617474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939"/>
          </w:cols>
          <w:pgMar w:left="520" w:top="112" w:right="1440" w:bottom="1440" w:gutter="0" w:footer="0" w:header="0"/>
        </w:sectPr>
      </w:pPr>
    </w:p>
    <w:bookmarkStart w:id="66" w:name="page67"/>
    <w:bookmarkEnd w:id="66"/>
    <w:p>
      <w:pPr>
        <w:jc w:val="center"/>
        <w:ind w:right="479"/>
        <w:spacing w:after="0"/>
        <w:rPr>
          <w:sz w:val="20"/>
          <w:szCs w:val="20"/>
          <w:color w:val="auto"/>
        </w:rPr>
      </w:pPr>
      <w:r>
        <w:rPr>
          <w:rFonts w:ascii="Arial" w:cs="Arial" w:eastAsia="Arial" w:hAnsi="Arial"/>
          <w:sz w:val="22"/>
          <w:szCs w:val="22"/>
          <w:b w:val="1"/>
          <w:bCs w:val="1"/>
          <w:u w:val="single" w:color="auto"/>
          <w:color w:val="auto"/>
        </w:rPr>
        <w:t>SCHEDULE III</w:t>
      </w:r>
    </w:p>
    <w:p>
      <w:pPr>
        <w:spacing w:after="0" w:line="5"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to</w:t>
      </w:r>
    </w:p>
    <w:p>
      <w:pPr>
        <w:jc w:val="center"/>
        <w:ind w:right="479"/>
        <w:spacing w:after="0" w:line="230" w:lineRule="auto"/>
        <w:rPr>
          <w:sz w:val="20"/>
          <w:szCs w:val="20"/>
          <w:color w:val="auto"/>
        </w:rPr>
      </w:pPr>
      <w:r>
        <w:rPr>
          <w:rFonts w:ascii="Arial" w:cs="Arial" w:eastAsia="Arial" w:hAnsi="Arial"/>
          <w:sz w:val="22"/>
          <w:szCs w:val="22"/>
          <w:b w:val="1"/>
          <w:bCs w:val="1"/>
          <w:u w:val="single" w:color="auto"/>
          <w:color w:val="auto"/>
        </w:rPr>
        <w:t>INTELLECTUAL PROPERTY SECURITY AGREEMENT</w:t>
      </w:r>
    </w:p>
    <w:p>
      <w:pPr>
        <w:jc w:val="center"/>
        <w:ind w:right="479"/>
        <w:spacing w:after="0" w:line="231" w:lineRule="auto"/>
        <w:rPr>
          <w:sz w:val="20"/>
          <w:szCs w:val="20"/>
          <w:color w:val="auto"/>
        </w:rPr>
      </w:pPr>
      <w:r>
        <w:rPr>
          <w:rFonts w:ascii="Arial" w:cs="Arial" w:eastAsia="Arial" w:hAnsi="Arial"/>
          <w:sz w:val="22"/>
          <w:szCs w:val="22"/>
          <w:b w:val="1"/>
          <w:bCs w:val="1"/>
          <w:u w:val="single" w:color="auto"/>
          <w:color w:val="auto"/>
        </w:rPr>
        <w:t>Copyright Registrations/Applications</w:t>
      </w: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S-5</w:t>
      </w:r>
    </w:p>
    <w:p>
      <w:pPr>
        <w:sectPr>
          <w:pgSz w:w="11900" w:h="16838" w:orient="portrait"/>
          <w:cols w:equalWidth="0" w:num="1">
            <w:col w:w="10219"/>
          </w:cols>
          <w:pgMar w:left="240" w:top="112" w:right="1440" w:bottom="1440" w:gutter="0" w:footer="0" w:header="0"/>
        </w:sectPr>
      </w:pPr>
    </w:p>
    <w:bookmarkStart w:id="67" w:name="page68"/>
    <w:bookmarkEnd w:id="67"/>
    <w:p>
      <w:pPr>
        <w:jc w:val="center"/>
        <w:ind w:right="479"/>
        <w:spacing w:after="0"/>
        <w:rPr>
          <w:sz w:val="20"/>
          <w:szCs w:val="20"/>
          <w:color w:val="auto"/>
        </w:rPr>
      </w:pPr>
      <w:r>
        <w:rPr>
          <w:rFonts w:ascii="Arial" w:cs="Arial" w:eastAsia="Arial" w:hAnsi="Arial"/>
          <w:sz w:val="22"/>
          <w:szCs w:val="22"/>
          <w:color w:val="auto"/>
        </w:rPr>
        <w:t>Exhibit 10.4</w:t>
      </w:r>
    </w:p>
    <w:p>
      <w:pPr>
        <w:spacing w:after="0" w:line="227"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SECURITIES PURCHASE AGREEMENT</w:t>
      </w:r>
    </w:p>
    <w:p>
      <w:pPr>
        <w:spacing w:after="0" w:line="239" w:lineRule="exact"/>
        <w:rPr>
          <w:sz w:val="20"/>
          <w:szCs w:val="20"/>
          <w:color w:val="auto"/>
        </w:rPr>
      </w:pPr>
    </w:p>
    <w:p>
      <w:pPr>
        <w:jc w:val="both"/>
        <w:ind w:right="499" w:firstLine="648"/>
        <w:spacing w:after="0"/>
        <w:rPr>
          <w:sz w:val="20"/>
          <w:szCs w:val="20"/>
          <w:color w:val="auto"/>
        </w:rPr>
      </w:pPr>
      <w:r>
        <w:rPr>
          <w:rFonts w:ascii="Arial" w:cs="Arial" w:eastAsia="Arial" w:hAnsi="Arial"/>
          <w:sz w:val="22"/>
          <w:szCs w:val="22"/>
          <w:color w:val="auto"/>
        </w:rPr>
        <w:t>This Securities Purchase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dated as of November 21, 2011, between Transdel Pharmaceuticals,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DermaStar International, LLC (the “</w:t>
      </w:r>
      <w:r>
        <w:rPr>
          <w:rFonts w:ascii="Arial" w:cs="Arial" w:eastAsia="Arial" w:hAnsi="Arial"/>
          <w:sz w:val="22"/>
          <w:szCs w:val="22"/>
          <w:u w:val="single" w:color="auto"/>
          <w:color w:val="auto"/>
        </w:rPr>
        <w:t>Purchaser</w:t>
      </w:r>
      <w:r>
        <w:rPr>
          <w:rFonts w:ascii="Arial" w:cs="Arial" w:eastAsia="Arial" w:hAnsi="Arial"/>
          <w:sz w:val="22"/>
          <w:szCs w:val="22"/>
          <w:color w:val="auto"/>
        </w:rPr>
        <w:t>”).</w:t>
      </w:r>
    </w:p>
    <w:p>
      <w:pPr>
        <w:spacing w:after="0" w:line="213" w:lineRule="exact"/>
        <w:rPr>
          <w:sz w:val="20"/>
          <w:szCs w:val="20"/>
          <w:color w:val="auto"/>
        </w:rPr>
      </w:pPr>
    </w:p>
    <w:p>
      <w:pPr>
        <w:jc w:val="both"/>
        <w:ind w:right="499" w:firstLine="648"/>
        <w:spacing w:after="0" w:line="252" w:lineRule="auto"/>
        <w:rPr>
          <w:sz w:val="20"/>
          <w:szCs w:val="20"/>
          <w:color w:val="auto"/>
        </w:rPr>
      </w:pPr>
      <w:r>
        <w:rPr>
          <w:rFonts w:ascii="Arial" w:cs="Arial" w:eastAsia="Arial" w:hAnsi="Arial"/>
          <w:sz w:val="21"/>
          <w:szCs w:val="21"/>
          <w:color w:val="auto"/>
        </w:rPr>
        <w:t>WHEREAS, subject to the terms and conditions set forth in this Agreement and pursuant to Section 4(2) of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and Rule 506 promulgated thereunder, the Company desires to issue and sell to the Purchaser, and the Purchaser desires to purchase from the Company, securities of the Company as more fully described in this Agreement.</w:t>
      </w:r>
    </w:p>
    <w:p>
      <w:pPr>
        <w:spacing w:after="0" w:line="201" w:lineRule="exact"/>
        <w:rPr>
          <w:sz w:val="20"/>
          <w:szCs w:val="20"/>
          <w:color w:val="auto"/>
        </w:rPr>
      </w:pPr>
    </w:p>
    <w:p>
      <w:pPr>
        <w:jc w:val="both"/>
        <w:ind w:right="499" w:firstLine="648"/>
        <w:spacing w:after="0"/>
        <w:rPr>
          <w:sz w:val="20"/>
          <w:szCs w:val="20"/>
          <w:color w:val="auto"/>
        </w:rPr>
      </w:pPr>
      <w:r>
        <w:rPr>
          <w:rFonts w:ascii="Arial" w:cs="Arial" w:eastAsia="Arial" w:hAnsi="Arial"/>
          <w:sz w:val="22"/>
          <w:szCs w:val="22"/>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207"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DEFINITIONS</w:t>
      </w:r>
    </w:p>
    <w:p>
      <w:pPr>
        <w:spacing w:after="0" w:line="21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In addition to the terms defined elsewhere in this Agreement, for all purposes of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Agreement, the following terms have the meanings set forth in this Section 1.1:</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Acquiring Person</w:t>
      </w:r>
      <w:r>
        <w:rPr>
          <w:rFonts w:ascii="Arial" w:cs="Arial" w:eastAsia="Arial" w:hAnsi="Arial"/>
          <w:sz w:val="22"/>
          <w:szCs w:val="22"/>
          <w:color w:val="auto"/>
        </w:rPr>
        <w:t>” shall have the meaning ascribed to such term in Section 4.5.</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shall have the meaning ascribed to such term in Section 3.1(j).</w:t>
      </w:r>
    </w:p>
    <w:p>
      <w:pPr>
        <w:spacing w:after="0" w:line="233" w:lineRule="exact"/>
        <w:rPr>
          <w:sz w:val="20"/>
          <w:szCs w:val="20"/>
          <w:color w:val="auto"/>
        </w:rPr>
      </w:pPr>
    </w:p>
    <w:p>
      <w:pPr>
        <w:jc w:val="both"/>
        <w:ind w:right="49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213" w:lineRule="exact"/>
        <w:rPr>
          <w:sz w:val="20"/>
          <w:szCs w:val="20"/>
          <w:color w:val="auto"/>
        </w:rPr>
      </w:pPr>
    </w:p>
    <w:p>
      <w:pPr>
        <w:jc w:val="both"/>
        <w:ind w:right="499"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Case</w:t>
      </w:r>
      <w:r>
        <w:rPr>
          <w:rFonts w:ascii="Arial" w:cs="Arial" w:eastAsia="Arial" w:hAnsi="Arial"/>
          <w:sz w:val="21"/>
          <w:szCs w:val="21"/>
          <w:color w:val="auto"/>
        </w:rPr>
        <w:t>” means the Company’s voluntary petition for reorganization relief under Chapter 11 of the United States Bankruptcy Code in the Bankruptcy Court, Case No. 11-10497-11.</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Court</w:t>
      </w:r>
      <w:r>
        <w:rPr>
          <w:rFonts w:ascii="Arial" w:cs="Arial" w:eastAsia="Arial" w:hAnsi="Arial"/>
          <w:sz w:val="19"/>
          <w:szCs w:val="19"/>
          <w:color w:val="auto"/>
        </w:rPr>
        <w:t>” means the U.S. Bankruptcy Court for the Southern District of California.</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the board of directors of the Company.</w:t>
      </w:r>
    </w:p>
    <w:p>
      <w:pPr>
        <w:spacing w:after="0" w:line="233" w:lineRule="exact"/>
        <w:rPr>
          <w:sz w:val="20"/>
          <w:szCs w:val="20"/>
          <w:color w:val="auto"/>
        </w:rPr>
      </w:pPr>
    </w:p>
    <w:p>
      <w:pPr>
        <w:jc w:val="both"/>
        <w:ind w:right="47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except any Saturday, any Sunday, any day which is a federal legal holiday in the United States or any day on which banking institutions in the State of California are authorized or required by law or other governmental action to close.</w:t>
      </w:r>
    </w:p>
    <w:p>
      <w:pPr>
        <w:spacing w:after="0" w:line="213"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 Amendment</w:t>
      </w:r>
      <w:r>
        <w:rPr>
          <w:rFonts w:ascii="Arial" w:cs="Arial" w:eastAsia="Arial" w:hAnsi="Arial"/>
          <w:sz w:val="22"/>
          <w:szCs w:val="22"/>
          <w:color w:val="auto"/>
        </w:rPr>
        <w:t>” shall have the meaning ascribed to such term in Section 4.9(b).</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Certificate of Designation</w:t>
      </w:r>
      <w:r>
        <w:rPr>
          <w:rFonts w:ascii="Arial" w:cs="Arial" w:eastAsia="Arial" w:hAnsi="Arial"/>
          <w:sz w:val="21"/>
          <w:szCs w:val="21"/>
          <w:color w:val="auto"/>
        </w:rPr>
        <w:t>” shall have the meaning ascribed to such term in Section 2.1.</w:t>
      </w:r>
    </w:p>
    <w:p>
      <w:pPr>
        <w:spacing w:after="0" w:line="245" w:lineRule="exact"/>
        <w:rPr>
          <w:sz w:val="20"/>
          <w:szCs w:val="20"/>
          <w:color w:val="auto"/>
        </w:rPr>
      </w:pPr>
    </w:p>
    <w:p>
      <w:pPr>
        <w:jc w:val="both"/>
        <w:ind w:right="479"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w:t>
      </w:r>
      <w:r>
        <w:rPr>
          <w:rFonts w:ascii="Arial" w:cs="Arial" w:eastAsia="Arial" w:hAnsi="Arial"/>
          <w:sz w:val="19"/>
          <w:szCs w:val="19"/>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third Trading Day following the date 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w:t>
      </w:r>
      <w:r>
        <w:rPr>
          <w:rFonts w:ascii="Arial" w:cs="Arial" w:eastAsia="Arial" w:hAnsi="Arial"/>
          <w:sz w:val="19"/>
          <w:szCs w:val="19"/>
          <w:color w:val="auto"/>
        </w:rPr>
        <w:t>” means the closing of the purchase and sale of the Securities pursuant to Section 2.1.</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means the United States Securities and Exchange Commission.</w:t>
      </w:r>
    </w:p>
    <w:p>
      <w:pPr>
        <w:spacing w:after="0" w:line="233" w:lineRule="exact"/>
        <w:rPr>
          <w:sz w:val="20"/>
          <w:szCs w:val="20"/>
          <w:color w:val="auto"/>
        </w:rPr>
      </w:pPr>
    </w:p>
    <w:p>
      <w:pPr>
        <w:jc w:val="both"/>
        <w:ind w:right="499"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 Equivalents</w:t>
      </w:r>
      <w:r>
        <w:rPr>
          <w:rFonts w:ascii="Arial" w:cs="Arial" w:eastAsia="Arial" w:hAnsi="Arial"/>
          <w:sz w:val="21"/>
          <w:szCs w:val="21"/>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201" w:lineRule="exact"/>
        <w:rPr>
          <w:sz w:val="20"/>
          <w:szCs w:val="20"/>
          <w:color w:val="auto"/>
        </w:rPr>
      </w:pPr>
    </w:p>
    <w:p>
      <w:pPr>
        <w:jc w:val="both"/>
        <w:ind w:right="479"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means the common stock of the Company, par value $0.001 per share, and any other class of securities into which such securities may hereafter be reclassified or changed.</w:t>
      </w:r>
    </w:p>
    <w:p>
      <w:pPr>
        <w:sectPr>
          <w:pgSz w:w="11900" w:h="16838" w:orient="portrait"/>
          <w:cols w:equalWidth="0" w:num="1">
            <w:col w:w="10219"/>
          </w:cols>
          <w:pgMar w:left="240" w:top="1036" w:right="1440" w:bottom="100" w:gutter="0" w:footer="0" w:header="0"/>
        </w:sectPr>
      </w:pPr>
    </w:p>
    <w:bookmarkStart w:id="68" w:name="page69"/>
    <w:bookmarkEnd w:id="68"/>
    <w:p>
      <w:pPr>
        <w:jc w:val="both"/>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both"/>
        <w:ind w:right="49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Counsel</w:t>
      </w:r>
      <w:r>
        <w:rPr>
          <w:rFonts w:ascii="Arial" w:cs="Arial" w:eastAsia="Arial" w:hAnsi="Arial"/>
          <w:sz w:val="22"/>
          <w:szCs w:val="22"/>
          <w:color w:val="auto"/>
        </w:rPr>
        <w:t>” means Solomon Ward Seidenwurm &amp; Smith, LLP, with offices located in San Diego, California.</w:t>
      </w:r>
    </w:p>
    <w:p>
      <w:pPr>
        <w:spacing w:after="0" w:line="200" w:lineRule="exact"/>
        <w:rPr>
          <w:sz w:val="20"/>
          <w:szCs w:val="20"/>
          <w:color w:val="auto"/>
        </w:rPr>
      </w:pPr>
    </w:p>
    <w:p>
      <w:pPr>
        <w:jc w:val="both"/>
        <w:ind w:right="47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 Shares</w:t>
      </w:r>
      <w:r>
        <w:rPr>
          <w:rFonts w:ascii="Arial" w:cs="Arial" w:eastAsia="Arial" w:hAnsi="Arial"/>
          <w:sz w:val="22"/>
          <w:szCs w:val="22"/>
          <w:color w:val="auto"/>
        </w:rPr>
        <w:t>” means the shares of Common Stock issuable upon conversion of the Preferred Shares.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Schedules</w:t>
      </w:r>
      <w:r>
        <w:rPr>
          <w:rFonts w:ascii="Arial" w:cs="Arial" w:eastAsia="Arial" w:hAnsi="Arial"/>
          <w:sz w:val="22"/>
          <w:szCs w:val="22"/>
          <w:color w:val="auto"/>
        </w:rPr>
        <w:t>” shall have the meaning ascribed to such term in Section 3.1.</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Evaluation Date</w:t>
      </w:r>
      <w:r>
        <w:rPr>
          <w:rFonts w:ascii="Arial" w:cs="Arial" w:eastAsia="Arial" w:hAnsi="Arial"/>
          <w:sz w:val="22"/>
          <w:szCs w:val="22"/>
          <w:color w:val="auto"/>
        </w:rPr>
        <w:t>” shall have the meaning ascribed to such term in Section 3.1(r).</w:t>
      </w:r>
    </w:p>
    <w:p>
      <w:pPr>
        <w:spacing w:after="0" w:line="233" w:lineRule="exact"/>
        <w:rPr>
          <w:sz w:val="20"/>
          <w:szCs w:val="20"/>
          <w:color w:val="auto"/>
        </w:rPr>
      </w:pPr>
    </w:p>
    <w:p>
      <w:pPr>
        <w:jc w:val="both"/>
        <w:ind w:right="49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200" w:lineRule="exact"/>
        <w:rPr>
          <w:sz w:val="20"/>
          <w:szCs w:val="20"/>
          <w:color w:val="auto"/>
        </w:rPr>
      </w:pPr>
    </w:p>
    <w:p>
      <w:pPr>
        <w:jc w:val="both"/>
        <w:ind w:right="479"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Exempt Issuance</w:t>
      </w:r>
      <w:r>
        <w:rPr>
          <w:rFonts w:ascii="Arial" w:cs="Arial" w:eastAsia="Arial" w:hAnsi="Arial"/>
          <w:sz w:val="19"/>
          <w:szCs w:val="19"/>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and</w:t>
      </w:r>
    </w:p>
    <w:p>
      <w:pPr>
        <w:spacing w:after="0" w:line="4" w:lineRule="exact"/>
        <w:rPr>
          <w:sz w:val="20"/>
          <w:szCs w:val="20"/>
          <w:color w:val="auto"/>
        </w:rPr>
      </w:pPr>
    </w:p>
    <w:p>
      <w:pPr>
        <w:jc w:val="both"/>
        <w:ind w:right="499" w:firstLine="8"/>
        <w:spacing w:after="0" w:line="275" w:lineRule="auto"/>
        <w:tabs>
          <w:tab w:leader="none" w:pos="297" w:val="left"/>
        </w:tabs>
        <w:numPr>
          <w:ilvl w:val="0"/>
          <w:numId w:val="70"/>
        </w:numPr>
        <w:rPr>
          <w:rFonts w:ascii="Arial" w:cs="Arial" w:eastAsia="Arial" w:hAnsi="Arial"/>
          <w:sz w:val="19"/>
          <w:szCs w:val="19"/>
          <w:color w:val="auto"/>
        </w:rPr>
      </w:pPr>
      <w:r>
        <w:rPr>
          <w:rFonts w:ascii="Arial" w:cs="Arial" w:eastAsia="Arial" w:hAnsi="Arial"/>
          <w:sz w:val="19"/>
          <w:szCs w:val="19"/>
          <w:color w:val="auto"/>
        </w:rPr>
        <w:t>securities issued pursuant to acquisitions or strategic transactions approved by a majority of the disinterested directors of the Company,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means the Foreign Corrupt Practices Act of 1977, as amended.</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FDA</w:t>
      </w:r>
      <w:r>
        <w:rPr>
          <w:rFonts w:ascii="Arial" w:cs="Arial" w:eastAsia="Arial" w:hAnsi="Arial"/>
          <w:sz w:val="22"/>
          <w:szCs w:val="22"/>
          <w:color w:val="auto"/>
        </w:rPr>
        <w:t>” shall have the meaning ascribed to such term in Section 3.1(jj).</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FDCA</w:t>
      </w:r>
      <w:r>
        <w:rPr>
          <w:rFonts w:ascii="Arial" w:cs="Arial" w:eastAsia="Arial" w:hAnsi="Arial"/>
          <w:sz w:val="22"/>
          <w:szCs w:val="22"/>
          <w:color w:val="auto"/>
        </w:rPr>
        <w:t>” shall have the meaning ascribed to such term in Section 3.1(jj).</w:t>
      </w:r>
    </w:p>
    <w:p>
      <w:pPr>
        <w:spacing w:after="0" w:line="233" w:lineRule="exact"/>
        <w:rPr>
          <w:sz w:val="20"/>
          <w:szCs w:val="20"/>
          <w:color w:val="auto"/>
        </w:rPr>
      </w:pPr>
    </w:p>
    <w:p>
      <w:pPr>
        <w:jc w:val="both"/>
        <w:ind w:right="479"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Final Dismissal Order</w:t>
      </w:r>
      <w:r>
        <w:rPr>
          <w:rFonts w:ascii="Arial" w:cs="Arial" w:eastAsia="Arial" w:hAnsi="Arial"/>
          <w:sz w:val="21"/>
          <w:szCs w:val="21"/>
          <w:color w:val="auto"/>
        </w:rPr>
        <w:t>” means an order entered by the Bankruptcy Court dismissing the Bankruptcy Case and for which no appeal has been timely filed or, if a timely appeal or a request for extension of time within which to file such an appeal has been filed, that no stay of enforcement or effectiveness of such order has been entered within the initial period to timely file such appeal.</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shall have the meaning ascribed to such term in Section 3.1(h).</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shall have the meaning ascribed to such term in Section 3.1(aa).</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shall have the meaning ascribed to such term in Section 3.1(o).</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Legend Removal Date</w:t>
      </w:r>
      <w:r>
        <w:rPr>
          <w:rFonts w:ascii="Arial" w:cs="Arial" w:eastAsia="Arial" w:hAnsi="Arial"/>
          <w:sz w:val="21"/>
          <w:szCs w:val="21"/>
          <w:color w:val="auto"/>
        </w:rPr>
        <w:t>” shall have the meaning ascribed to such term in Section 4.1(c).</w:t>
      </w:r>
    </w:p>
    <w:p>
      <w:pPr>
        <w:spacing w:after="0" w:line="245" w:lineRule="exact"/>
        <w:rPr>
          <w:sz w:val="20"/>
          <w:szCs w:val="20"/>
          <w:color w:val="auto"/>
        </w:rPr>
      </w:pPr>
    </w:p>
    <w:p>
      <w:pPr>
        <w:jc w:val="both"/>
        <w:ind w:right="49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Liens</w:t>
      </w:r>
      <w:r>
        <w:rPr>
          <w:rFonts w:ascii="Arial" w:cs="Arial" w:eastAsia="Arial" w:hAnsi="Arial"/>
          <w:sz w:val="22"/>
          <w:szCs w:val="22"/>
          <w:color w:val="auto"/>
        </w:rPr>
        <w:t>” means a lien, charge pledge, security interest, encumbrance, right of first refusal, preemptive right or other restriction.</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shall have the meaning assigned to such term in Section 3.1(b).</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Permits</w:t>
      </w:r>
      <w:r>
        <w:rPr>
          <w:rFonts w:ascii="Arial" w:cs="Arial" w:eastAsia="Arial" w:hAnsi="Arial"/>
          <w:sz w:val="22"/>
          <w:szCs w:val="22"/>
          <w:color w:val="auto"/>
        </w:rPr>
        <w:t>” shall have the meaning ascribed to such term in Section 3.1(m).</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Participation Maximum</w:t>
      </w:r>
      <w:r>
        <w:rPr>
          <w:rFonts w:ascii="Arial" w:cs="Arial" w:eastAsia="Arial" w:hAnsi="Arial"/>
          <w:sz w:val="21"/>
          <w:szCs w:val="21"/>
          <w:color w:val="auto"/>
        </w:rPr>
        <w:t>” shall have the meaning ascribed to such term in Section 4.11(a).</w:t>
      </w:r>
    </w:p>
    <w:p>
      <w:pPr>
        <w:spacing w:after="0" w:line="245" w:lineRule="exact"/>
        <w:rPr>
          <w:sz w:val="20"/>
          <w:szCs w:val="20"/>
          <w:color w:val="auto"/>
        </w:rPr>
      </w:pPr>
    </w:p>
    <w:p>
      <w:pPr>
        <w:jc w:val="both"/>
        <w:ind w:right="49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Pharmaceutical Product</w:t>
      </w:r>
      <w:r>
        <w:rPr>
          <w:rFonts w:ascii="Arial" w:cs="Arial" w:eastAsia="Arial" w:hAnsi="Arial"/>
          <w:sz w:val="21"/>
          <w:szCs w:val="21"/>
          <w:color w:val="auto"/>
        </w:rPr>
        <w:t>” shall have the meaning ascribed to such term in Section 3.1(jj).</w:t>
      </w:r>
    </w:p>
    <w:p>
      <w:pPr>
        <w:sectPr>
          <w:pgSz w:w="11900" w:h="16838" w:orient="portrait"/>
          <w:cols w:equalWidth="0" w:num="1">
            <w:col w:w="10219"/>
          </w:cols>
          <w:pgMar w:left="240" w:top="361" w:right="1440" w:bottom="402"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6174740" cy="78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4740" cy="78740"/>
                    </a:xfrm>
                    <a:prstGeom prst="rect">
                      <a:avLst/>
                    </a:prstGeom>
                    <a:noFill/>
                  </pic:spPr>
                </pic:pic>
              </a:graphicData>
            </a:graphic>
          </wp:anchor>
        </w:drawing>
      </w:r>
    </w:p>
    <w:p>
      <w:pPr>
        <w:sectPr>
          <w:pgSz w:w="11900" w:h="16838" w:orient="portrait"/>
          <w:cols w:equalWidth="0" w:num="1">
            <w:col w:w="10219"/>
          </w:cols>
          <w:pgMar w:left="240" w:top="361" w:right="1440" w:bottom="402" w:gutter="0" w:footer="0" w:header="0"/>
          <w:type w:val="continuous"/>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both"/>
        <w:ind w:right="49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Shares</w:t>
      </w:r>
      <w:r>
        <w:rPr>
          <w:rFonts w:ascii="Arial" w:cs="Arial" w:eastAsia="Arial" w:hAnsi="Arial"/>
          <w:sz w:val="22"/>
          <w:szCs w:val="22"/>
          <w:color w:val="auto"/>
        </w:rPr>
        <w:t>” means the shares of Series A Preferred Stock, issued or issuable to the Purchaser pursuant to this Agreement.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Pre-Notice</w:t>
      </w:r>
      <w:r>
        <w:rPr>
          <w:rFonts w:ascii="Arial" w:cs="Arial" w:eastAsia="Arial" w:hAnsi="Arial"/>
          <w:sz w:val="22"/>
          <w:szCs w:val="22"/>
          <w:color w:val="auto"/>
        </w:rPr>
        <w:t>” shall have the meaning ascribed to such term in Section 4.11(b).</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Portion</w:t>
      </w:r>
      <w:r>
        <w:rPr>
          <w:rFonts w:ascii="Arial" w:cs="Arial" w:eastAsia="Arial" w:hAnsi="Arial"/>
          <w:sz w:val="22"/>
          <w:szCs w:val="22"/>
          <w:color w:val="auto"/>
        </w:rPr>
        <w:t>” shall have the meaning ascribed to such term in Section 4.11(e).</w:t>
      </w:r>
    </w:p>
    <w:p>
      <w:pPr>
        <w:spacing w:after="0" w:line="233" w:lineRule="exact"/>
        <w:rPr>
          <w:sz w:val="20"/>
          <w:szCs w:val="20"/>
          <w:color w:val="auto"/>
        </w:rPr>
      </w:pPr>
    </w:p>
    <w:p>
      <w:pPr>
        <w:jc w:val="both"/>
        <w:ind w:right="49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means an action, claim, suit, investigation or proceeding (including, without limitation, an informal investigation or partial proceeding, such as a deposition), whether commenced or threatened.</w:t>
      </w:r>
    </w:p>
    <w:p>
      <w:pPr>
        <w:spacing w:after="0" w:line="213" w:lineRule="exact"/>
        <w:rPr>
          <w:sz w:val="20"/>
          <w:szCs w:val="20"/>
          <w:color w:val="auto"/>
        </w:rPr>
      </w:pPr>
    </w:p>
    <w:p>
      <w:pPr>
        <w:jc w:val="right"/>
        <w:ind w:right="4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Information Failure Payments</w:t>
      </w:r>
      <w:r>
        <w:rPr>
          <w:rFonts w:ascii="Arial" w:cs="Arial" w:eastAsia="Arial" w:hAnsi="Arial"/>
          <w:sz w:val="22"/>
          <w:szCs w:val="22"/>
          <w:color w:val="auto"/>
        </w:rPr>
        <w:t>” shall have the meaning ascribed to such term in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Section 4.2(b).</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Information Failure</w:t>
      </w:r>
      <w:r>
        <w:rPr>
          <w:rFonts w:ascii="Arial" w:cs="Arial" w:eastAsia="Arial" w:hAnsi="Arial"/>
          <w:sz w:val="19"/>
          <w:szCs w:val="19"/>
          <w:color w:val="auto"/>
        </w:rPr>
        <w:t>” shall have the meaning ascribed to such term in Section 4.2(b).</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Purchaser Party</w:t>
      </w:r>
      <w:r>
        <w:rPr>
          <w:rFonts w:ascii="Arial" w:cs="Arial" w:eastAsia="Arial" w:hAnsi="Arial"/>
          <w:sz w:val="22"/>
          <w:szCs w:val="22"/>
          <w:color w:val="auto"/>
        </w:rPr>
        <w:t>” shall have the meaning ascribed to such term in Section 4.8.</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shall have the meaning ascribed to such term in Section 2.2(a)(ii).</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Approvals</w:t>
      </w:r>
      <w:r>
        <w:rPr>
          <w:rFonts w:ascii="Arial" w:cs="Arial" w:eastAsia="Arial" w:hAnsi="Arial"/>
          <w:sz w:val="22"/>
          <w:szCs w:val="22"/>
          <w:color w:val="auto"/>
        </w:rPr>
        <w:t>” shall have the meaning ascribed to such term in Section 3.1(e).</w:t>
      </w:r>
    </w:p>
    <w:p>
      <w:pPr>
        <w:spacing w:after="0" w:line="233" w:lineRule="exact"/>
        <w:rPr>
          <w:sz w:val="20"/>
          <w:szCs w:val="20"/>
          <w:color w:val="auto"/>
        </w:rPr>
      </w:pPr>
    </w:p>
    <w:p>
      <w:pPr>
        <w:jc w:val="both"/>
        <w:ind w:right="499"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144</w:t>
      </w:r>
      <w:r>
        <w:rPr>
          <w:rFonts w:ascii="Arial" w:cs="Arial" w:eastAsia="Arial" w:hAnsi="Arial"/>
          <w:sz w:val="21"/>
          <w:szCs w:val="21"/>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94" w:lineRule="exact"/>
        <w:rPr>
          <w:sz w:val="20"/>
          <w:szCs w:val="20"/>
          <w:color w:val="auto"/>
        </w:rPr>
      </w:pPr>
    </w:p>
    <w:p>
      <w:pPr>
        <w:jc w:val="both"/>
        <w:ind w:right="499"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424</w:t>
      </w:r>
      <w:r>
        <w:rPr>
          <w:rFonts w:ascii="Arial" w:cs="Arial" w:eastAsia="Arial" w:hAnsi="Arial"/>
          <w:sz w:val="21"/>
          <w:szCs w:val="21"/>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 Reports</w:t>
      </w:r>
      <w:r>
        <w:rPr>
          <w:rFonts w:ascii="Arial" w:cs="Arial" w:eastAsia="Arial" w:hAnsi="Arial"/>
          <w:sz w:val="22"/>
          <w:szCs w:val="22"/>
          <w:color w:val="auto"/>
        </w:rPr>
        <w:t>” shall have the meaning ascribed to such term in Section 3.1(h).</w:t>
      </w:r>
    </w:p>
    <w:p>
      <w:pPr>
        <w:spacing w:after="0" w:line="233" w:lineRule="exact"/>
        <w:rPr>
          <w:sz w:val="20"/>
          <w:szCs w:val="20"/>
          <w:color w:val="auto"/>
        </w:rPr>
      </w:pPr>
    </w:p>
    <w:p>
      <w:pPr>
        <w:jc w:val="both"/>
        <w:ind w:right="49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and the rules and regulations promulgated thereunder.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w:t>
      </w:r>
      <w:r>
        <w:rPr>
          <w:rFonts w:ascii="Arial" w:cs="Arial" w:eastAsia="Arial" w:hAnsi="Arial"/>
          <w:sz w:val="22"/>
          <w:szCs w:val="22"/>
          <w:color w:val="auto"/>
        </w:rPr>
        <w:t>” means the Preferred Shares and the Conversion Shares.</w:t>
      </w:r>
    </w:p>
    <w:p>
      <w:pPr>
        <w:spacing w:after="0" w:line="233" w:lineRule="exact"/>
        <w:rPr>
          <w:sz w:val="20"/>
          <w:szCs w:val="20"/>
          <w:color w:val="auto"/>
        </w:rPr>
      </w:pPr>
    </w:p>
    <w:p>
      <w:pPr>
        <w:jc w:val="both"/>
        <w:ind w:right="49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 Sales</w:t>
      </w:r>
      <w:r>
        <w:rPr>
          <w:rFonts w:ascii="Arial" w:cs="Arial" w:eastAsia="Arial" w:hAnsi="Arial"/>
          <w:sz w:val="22"/>
          <w:szCs w:val="22"/>
          <w:color w:val="auto"/>
        </w:rPr>
        <w:t>” means all “short sales” as defined in Rule 200 of Regulation SHO under the Exchange Act (but shall not be deemed to include the location and/or reservation of borrowable shares of Common Stock).</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Subscription Amount</w:t>
      </w:r>
      <w:r>
        <w:rPr>
          <w:rFonts w:ascii="Arial" w:cs="Arial" w:eastAsia="Arial" w:hAnsi="Arial"/>
          <w:sz w:val="22"/>
          <w:szCs w:val="22"/>
          <w:color w:val="auto"/>
        </w:rPr>
        <w:t>” shall have the meaning ascribed to such term in Section 2.1.</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Subsequent Financing Notice</w:t>
      </w:r>
      <w:r>
        <w:rPr>
          <w:rFonts w:ascii="Arial" w:cs="Arial" w:eastAsia="Arial" w:hAnsi="Arial"/>
          <w:sz w:val="19"/>
          <w:szCs w:val="19"/>
          <w:color w:val="auto"/>
        </w:rPr>
        <w:t>” shall have the meaning ascribed to such term in Section 4.11(b).</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Subsequent Financing</w:t>
      </w:r>
      <w:r>
        <w:rPr>
          <w:rFonts w:ascii="Arial" w:cs="Arial" w:eastAsia="Arial" w:hAnsi="Arial"/>
          <w:sz w:val="21"/>
          <w:szCs w:val="21"/>
          <w:color w:val="auto"/>
        </w:rPr>
        <w:t>” shall have the meaning ascribed to such term in Section 4.11(a).</w:t>
      </w:r>
    </w:p>
    <w:p>
      <w:pPr>
        <w:spacing w:after="0" w:line="245" w:lineRule="exact"/>
        <w:rPr>
          <w:sz w:val="20"/>
          <w:szCs w:val="20"/>
          <w:color w:val="auto"/>
        </w:rPr>
      </w:pPr>
    </w:p>
    <w:p>
      <w:pPr>
        <w:jc w:val="both"/>
        <w:ind w:right="49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xml:space="preserve">” means any subsidiary of the Company as set forth on </w:t>
      </w:r>
      <w:r>
        <w:rPr>
          <w:rFonts w:ascii="Arial" w:cs="Arial" w:eastAsia="Arial" w:hAnsi="Arial"/>
          <w:sz w:val="22"/>
          <w:szCs w:val="22"/>
          <w:u w:val="single" w:color="auto"/>
          <w:color w:val="auto"/>
        </w:rPr>
        <w:t>Schedule 3.1(a)</w:t>
      </w:r>
      <w:r>
        <w:rPr>
          <w:rFonts w:ascii="Arial" w:cs="Arial" w:eastAsia="Arial" w:hAnsi="Arial"/>
          <w:sz w:val="22"/>
          <w:szCs w:val="22"/>
          <w:color w:val="auto"/>
        </w:rPr>
        <w:t xml:space="preserve"> and shall, where applicable, also include any direct or indirect subsidiary of the Company formed or acquired after the date hereof.</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on which the principal Trading Market is open for trading.</w:t>
      </w:r>
    </w:p>
    <w:p>
      <w:pPr>
        <w:spacing w:after="0" w:line="233" w:lineRule="exact"/>
        <w:rPr>
          <w:sz w:val="20"/>
          <w:szCs w:val="20"/>
          <w:color w:val="auto"/>
        </w:rPr>
      </w:pPr>
    </w:p>
    <w:p>
      <w:pPr>
        <w:jc w:val="both"/>
        <w:ind w:right="479"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Trading Market</w:t>
      </w:r>
      <w:r>
        <w:rPr>
          <w:rFonts w:ascii="Arial" w:cs="Arial" w:eastAsia="Arial" w:hAnsi="Arial"/>
          <w:sz w:val="19"/>
          <w:szCs w:val="19"/>
          <w:color w:val="auto"/>
        </w:rPr>
        <w:t>” means any of the following markets or exchanges on which the Common Stock is listed or quoted for trading on the date in question: the NYSE AMEX, the Nasdaq Capital Market, the Nasdaq Global Market, the Nasdaq Global Select Market, the New York Stock Exchange, the OTC Bulletin Board or the “Pink Sheets” published by Pink OTC Markets, Inc. (or any successors to any of the foregoing).</w:t>
      </w:r>
    </w:p>
    <w:p>
      <w:pPr>
        <w:spacing w:after="0" w:line="170" w:lineRule="exact"/>
        <w:rPr>
          <w:sz w:val="20"/>
          <w:szCs w:val="20"/>
          <w:color w:val="auto"/>
        </w:rPr>
      </w:pPr>
    </w:p>
    <w:p>
      <w:pPr>
        <w:jc w:val="both"/>
        <w:ind w:right="49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this Agreement, the Certificate of Designation, all exhibits and schedules thereto and hereto and any other documents or agreements executed in connection with the transactions contemplated hereunder.</w:t>
      </w:r>
    </w:p>
    <w:p>
      <w:pPr>
        <w:sectPr>
          <w:pgSz w:w="11900" w:h="16838" w:orient="portrait"/>
          <w:cols w:equalWidth="0" w:num="1">
            <w:col w:w="10219"/>
          </w:cols>
          <w:pgMar w:left="240" w:top="361" w:right="1440" w:bottom="402"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6174740" cy="78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4740" cy="78740"/>
                    </a:xfrm>
                    <a:prstGeom prst="rect">
                      <a:avLst/>
                    </a:prstGeom>
                    <a:noFill/>
                  </pic:spPr>
                </pic:pic>
              </a:graphicData>
            </a:graphic>
          </wp:anchor>
        </w:drawing>
      </w:r>
    </w:p>
    <w:p>
      <w:pPr>
        <w:sectPr>
          <w:pgSz w:w="11900" w:h="16838" w:orient="portrait"/>
          <w:cols w:equalWidth="0" w:num="1">
            <w:col w:w="10219"/>
          </w:cols>
          <w:pgMar w:left="240" w:top="361" w:right="1440" w:bottom="402" w:gutter="0" w:footer="0" w:header="0"/>
          <w:type w:val="continuous"/>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 Agent</w:t>
      </w:r>
      <w:r>
        <w:rPr>
          <w:rFonts w:ascii="Arial" w:cs="Arial" w:eastAsia="Arial" w:hAnsi="Arial"/>
          <w:sz w:val="19"/>
          <w:szCs w:val="19"/>
          <w:color w:val="auto"/>
        </w:rPr>
        <w:t>” means _____________________, the current transfer agent of the Company,</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with a mailing address of ___________________ and a facsimile number of _______________, and any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successor transfer agent of the Company.</w:t>
      </w:r>
    </w:p>
    <w:p>
      <w:pPr>
        <w:spacing w:after="0" w:line="215" w:lineRule="exact"/>
        <w:rPr>
          <w:sz w:val="20"/>
          <w:szCs w:val="20"/>
          <w:color w:val="auto"/>
        </w:rPr>
      </w:pPr>
    </w:p>
    <w:p>
      <w:pPr>
        <w:jc w:val="both"/>
        <w:ind w:right="479" w:firstLine="12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VWAP</w:t>
      </w:r>
      <w:r>
        <w:rPr>
          <w:rFonts w:ascii="Arial" w:cs="Arial" w:eastAsia="Arial" w:hAnsi="Arial"/>
          <w:sz w:val="19"/>
          <w:szCs w:val="19"/>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 Bulletin Board is not a Trading Market, the volume weighted average price of the Common Stock for such date (or the nearest preceding date) on the OTC Bulletin Board, (c) if the Common Stock is not then listed or quoted for trading on the OTC Bulletin Board and if prices for the Common Stock are then reported in the “Pink Sheets” published by Pink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Shares then outstanding and reasonably acceptable to the Company, the fees and expenses of which shall be paid by the Company.</w:t>
      </w:r>
    </w:p>
    <w:p>
      <w:pPr>
        <w:spacing w:after="0" w:line="178"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PURCHASE AND SALE</w:t>
      </w:r>
    </w:p>
    <w:p>
      <w:pPr>
        <w:spacing w:after="0" w:line="215" w:lineRule="exact"/>
        <w:rPr>
          <w:sz w:val="20"/>
          <w:szCs w:val="20"/>
          <w:color w:val="auto"/>
        </w:rPr>
      </w:pPr>
    </w:p>
    <w:p>
      <w:pPr>
        <w:jc w:val="both"/>
        <w:ind w:right="499" w:firstLine="648"/>
        <w:spacing w:after="0" w:line="273"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Closing</w:t>
      </w:r>
      <w:r>
        <w:rPr>
          <w:rFonts w:ascii="Arial" w:cs="Arial" w:eastAsia="Arial" w:hAnsi="Arial"/>
          <w:sz w:val="19"/>
          <w:szCs w:val="19"/>
          <w:color w:val="auto"/>
        </w:rPr>
        <w:t>. On the Closing Date, upon the terms and subject to the conditions set forth herein, the Company agrees to sell, and the Purchaser agrees to purchase, an aggregate of ten (10) Preferred Shares for an aggregate purchase price of $100,000 (the "</w:t>
      </w:r>
      <w:r>
        <w:rPr>
          <w:rFonts w:ascii="Arial" w:cs="Arial" w:eastAsia="Arial" w:hAnsi="Arial"/>
          <w:sz w:val="19"/>
          <w:szCs w:val="19"/>
          <w:u w:val="single" w:color="auto"/>
          <w:color w:val="auto"/>
        </w:rPr>
        <w:t>Subscription Amount</w:t>
      </w:r>
      <w:r>
        <w:rPr>
          <w:rFonts w:ascii="Arial" w:cs="Arial" w:eastAsia="Arial" w:hAnsi="Arial"/>
          <w:sz w:val="19"/>
          <w:szCs w:val="19"/>
          <w:color w:val="auto"/>
        </w:rPr>
        <w:t xml:space="preserve">"). The Purchaser shall deliver to the Company, via wire transfer, immediately available funds equal to the Subscription Amount, and the Company shall deliver to the Purchaser its Preferred Shares, and the Company and each Purchaser shall deliver the other items set forth in Section 2.2 deliverable at the Closing. Upon satisfaction of the covenants and conditions set forth in Sections 2.2 and 2.3, the Closing shall occur at Morrison &amp; Foerster LLP, San Diego, California or such other location as the parties shall mutually agree. The Preferred Shares shall have the rights, privileges and preferences contained in the Certificate of Designations of Series A Preferred Stock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Certificate of Designation</w:t>
      </w:r>
      <w:r>
        <w:rPr>
          <w:rFonts w:ascii="Arial" w:cs="Arial" w:eastAsia="Arial" w:hAnsi="Arial"/>
          <w:sz w:val="19"/>
          <w:szCs w:val="19"/>
          <w:color w:val="auto"/>
        </w:rPr>
        <w:t>”).</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Deliveries</w:t>
      </w:r>
      <w:r>
        <w:rPr>
          <w:rFonts w:ascii="Arial" w:cs="Arial" w:eastAsia="Arial" w:hAnsi="Arial"/>
          <w:sz w:val="19"/>
          <w:szCs w:val="19"/>
          <w:color w:val="auto"/>
        </w:rPr>
        <w:t>.</w:t>
      </w:r>
    </w:p>
    <w:p>
      <w:pPr>
        <w:spacing w:after="0" w:line="233" w:lineRule="exact"/>
        <w:rPr>
          <w:sz w:val="20"/>
          <w:szCs w:val="20"/>
          <w:color w:val="auto"/>
        </w:rPr>
      </w:pPr>
    </w:p>
    <w:p>
      <w:pPr>
        <w:ind w:right="499" w:firstLine="1305"/>
        <w:spacing w:after="0" w:line="251" w:lineRule="auto"/>
        <w:tabs>
          <w:tab w:leader="none" w:pos="1918" w:val="left"/>
        </w:tabs>
        <w:numPr>
          <w:ilvl w:val="0"/>
          <w:numId w:val="71"/>
        </w:numPr>
        <w:rPr>
          <w:rFonts w:ascii="Arial" w:cs="Arial" w:eastAsia="Arial" w:hAnsi="Arial"/>
          <w:sz w:val="22"/>
          <w:szCs w:val="22"/>
          <w:color w:val="auto"/>
        </w:rPr>
      </w:pPr>
      <w:r>
        <w:rPr>
          <w:rFonts w:ascii="Arial" w:cs="Arial" w:eastAsia="Arial" w:hAnsi="Arial"/>
          <w:sz w:val="22"/>
          <w:szCs w:val="22"/>
          <w:color w:val="auto"/>
        </w:rPr>
        <w:t>On or prior to the Closing Date, the Company shall deliver or cause to be delivered to the Purchaser the following:</w:t>
      </w:r>
    </w:p>
    <w:p>
      <w:pPr>
        <w:spacing w:after="0" w:line="200" w:lineRule="exact"/>
        <w:rPr>
          <w:rFonts w:ascii="Arial" w:cs="Arial" w:eastAsia="Arial" w:hAnsi="Arial"/>
          <w:sz w:val="22"/>
          <w:szCs w:val="22"/>
          <w:color w:val="auto"/>
        </w:rPr>
      </w:pPr>
    </w:p>
    <w:p>
      <w:pPr>
        <w:ind w:left="2580" w:hanging="627"/>
        <w:spacing w:after="0"/>
        <w:tabs>
          <w:tab w:leader="none" w:pos="258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this Agreement duly executed by the Company;</w:t>
      </w:r>
    </w:p>
    <w:p>
      <w:pPr>
        <w:spacing w:after="0" w:line="233" w:lineRule="exact"/>
        <w:rPr>
          <w:rFonts w:ascii="Arial" w:cs="Arial" w:eastAsia="Arial" w:hAnsi="Arial"/>
          <w:sz w:val="22"/>
          <w:szCs w:val="22"/>
          <w:color w:val="auto"/>
        </w:rPr>
      </w:pPr>
    </w:p>
    <w:p>
      <w:pPr>
        <w:jc w:val="both"/>
        <w:ind w:right="499" w:firstLine="1953"/>
        <w:spacing w:after="0" w:line="238" w:lineRule="auto"/>
        <w:tabs>
          <w:tab w:leader="none" w:pos="2566" w:val="left"/>
        </w:tabs>
        <w:numPr>
          <w:ilvl w:val="1"/>
          <w:numId w:val="71"/>
        </w:numPr>
        <w:rPr>
          <w:rFonts w:ascii="Arial" w:cs="Arial" w:eastAsia="Arial" w:hAnsi="Arial"/>
          <w:sz w:val="22"/>
          <w:szCs w:val="22"/>
          <w:color w:val="auto"/>
        </w:rPr>
      </w:pPr>
      <w:r>
        <w:rPr>
          <w:rFonts w:ascii="Arial" w:cs="Arial" w:eastAsia="Arial" w:hAnsi="Arial"/>
          <w:sz w:val="22"/>
          <w:szCs w:val="22"/>
          <w:color w:val="auto"/>
        </w:rPr>
        <w:t xml:space="preserve">(A) a Mutual General Release Agreement in the form attached hereto as </w:t>
      </w:r>
      <w:r>
        <w:rPr>
          <w:rFonts w:ascii="Arial" w:cs="Arial" w:eastAsia="Arial" w:hAnsi="Arial"/>
          <w:sz w:val="22"/>
          <w:szCs w:val="22"/>
          <w:u w:val="single" w:color="auto"/>
          <w:color w:val="auto"/>
        </w:rPr>
        <w:t>Exhibit B-1</w:t>
      </w:r>
      <w:r>
        <w:rPr>
          <w:rFonts w:ascii="Arial" w:cs="Arial" w:eastAsia="Arial" w:hAnsi="Arial"/>
          <w:sz w:val="22"/>
          <w:szCs w:val="22"/>
          <w:color w:val="auto"/>
        </w:rPr>
        <w:t xml:space="preserve"> executed by each of the Persons identified on </w:t>
      </w:r>
      <w:r>
        <w:rPr>
          <w:rFonts w:ascii="Arial" w:cs="Arial" w:eastAsia="Arial" w:hAnsi="Arial"/>
          <w:sz w:val="22"/>
          <w:szCs w:val="22"/>
          <w:u w:val="single" w:color="auto"/>
          <w:color w:val="auto"/>
        </w:rPr>
        <w:t>Schedule A-1</w:t>
      </w:r>
      <w:r>
        <w:rPr>
          <w:rFonts w:ascii="Arial" w:cs="Arial" w:eastAsia="Arial" w:hAnsi="Arial"/>
          <w:sz w:val="22"/>
          <w:szCs w:val="22"/>
          <w:color w:val="auto"/>
        </w:rPr>
        <w:t xml:space="preserve"> hereto and (B) a Mutual General Release Agreement in the form attached hereto as </w:t>
      </w:r>
      <w:r>
        <w:rPr>
          <w:rFonts w:ascii="Arial" w:cs="Arial" w:eastAsia="Arial" w:hAnsi="Arial"/>
          <w:sz w:val="22"/>
          <w:szCs w:val="22"/>
          <w:u w:val="single" w:color="auto"/>
          <w:color w:val="auto"/>
        </w:rPr>
        <w:t>Exhibit B-2</w:t>
      </w:r>
      <w:r>
        <w:rPr>
          <w:rFonts w:ascii="Arial" w:cs="Arial" w:eastAsia="Arial" w:hAnsi="Arial"/>
          <w:sz w:val="22"/>
          <w:szCs w:val="22"/>
          <w:color w:val="auto"/>
        </w:rPr>
        <w:t xml:space="preserve"> executed by each of the Persons identified on </w:t>
      </w:r>
      <w:r>
        <w:rPr>
          <w:rFonts w:ascii="Arial" w:cs="Arial" w:eastAsia="Arial" w:hAnsi="Arial"/>
          <w:sz w:val="22"/>
          <w:szCs w:val="22"/>
          <w:u w:val="single" w:color="auto"/>
          <w:color w:val="auto"/>
        </w:rPr>
        <w:t>Schedule A-2</w:t>
      </w:r>
      <w:r>
        <w:rPr>
          <w:rFonts w:ascii="Arial" w:cs="Arial" w:eastAsia="Arial" w:hAnsi="Arial"/>
          <w:sz w:val="22"/>
          <w:szCs w:val="22"/>
          <w:color w:val="auto"/>
        </w:rPr>
        <w:t xml:space="preserve"> (each, a "</w:t>
      </w:r>
      <w:r>
        <w:rPr>
          <w:rFonts w:ascii="Arial" w:cs="Arial" w:eastAsia="Arial" w:hAnsi="Arial"/>
          <w:sz w:val="22"/>
          <w:szCs w:val="22"/>
          <w:u w:val="single" w:color="auto"/>
          <w:color w:val="auto"/>
        </w:rPr>
        <w:t>Release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2580" w:hanging="627"/>
        <w:spacing w:after="0"/>
        <w:tabs>
          <w:tab w:leader="none" w:pos="2580" w:val="left"/>
        </w:tabs>
        <w:numPr>
          <w:ilvl w:val="1"/>
          <w:numId w:val="71"/>
        </w:numPr>
        <w:rPr>
          <w:rFonts w:ascii="Arial" w:cs="Arial" w:eastAsia="Arial" w:hAnsi="Arial"/>
          <w:sz w:val="21"/>
          <w:szCs w:val="21"/>
          <w:color w:val="auto"/>
        </w:rPr>
      </w:pPr>
      <w:r>
        <w:rPr>
          <w:rFonts w:ascii="Arial" w:cs="Arial" w:eastAsia="Arial" w:hAnsi="Arial"/>
          <w:sz w:val="21"/>
          <w:szCs w:val="21"/>
          <w:color w:val="auto"/>
        </w:rPr>
        <w:t>a certificate evidencing ten (10) Preferred Shares registered in the name of</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Purchaser.</w:t>
      </w:r>
    </w:p>
    <w:p>
      <w:pPr>
        <w:spacing w:after="0" w:line="215" w:lineRule="exact"/>
        <w:rPr>
          <w:rFonts w:ascii="Arial" w:cs="Arial" w:eastAsia="Arial" w:hAnsi="Arial"/>
          <w:sz w:val="21"/>
          <w:szCs w:val="21"/>
          <w:color w:val="auto"/>
        </w:rPr>
      </w:pPr>
    </w:p>
    <w:p>
      <w:pPr>
        <w:ind w:right="499" w:firstLine="1305"/>
        <w:spacing w:after="0" w:line="251" w:lineRule="auto"/>
        <w:tabs>
          <w:tab w:leader="none" w:pos="1918" w:val="left"/>
        </w:tabs>
        <w:numPr>
          <w:ilvl w:val="0"/>
          <w:numId w:val="71"/>
        </w:numPr>
        <w:rPr>
          <w:rFonts w:ascii="Arial" w:cs="Arial" w:eastAsia="Arial" w:hAnsi="Arial"/>
          <w:sz w:val="22"/>
          <w:szCs w:val="22"/>
          <w:color w:val="auto"/>
        </w:rPr>
      </w:pPr>
      <w:r>
        <w:rPr>
          <w:rFonts w:ascii="Arial" w:cs="Arial" w:eastAsia="Arial" w:hAnsi="Arial"/>
          <w:sz w:val="22"/>
          <w:szCs w:val="22"/>
          <w:color w:val="auto"/>
        </w:rPr>
        <w:t>On or prior to the Closing Date, the Purchaser shall deliver or cause to be delivered to the Company the following:</w:t>
      </w:r>
    </w:p>
    <w:p>
      <w:pPr>
        <w:spacing w:after="0" w:line="200" w:lineRule="exact"/>
        <w:rPr>
          <w:rFonts w:ascii="Arial" w:cs="Arial" w:eastAsia="Arial" w:hAnsi="Arial"/>
          <w:sz w:val="22"/>
          <w:szCs w:val="22"/>
          <w:color w:val="auto"/>
        </w:rPr>
      </w:pPr>
    </w:p>
    <w:p>
      <w:pPr>
        <w:ind w:left="2580" w:hanging="627"/>
        <w:spacing w:after="0"/>
        <w:tabs>
          <w:tab w:leader="none" w:pos="258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this Agreement duly executed by Purchaser; and</w:t>
      </w:r>
    </w:p>
    <w:p>
      <w:pPr>
        <w:spacing w:after="0" w:line="233" w:lineRule="exact"/>
        <w:rPr>
          <w:rFonts w:ascii="Arial" w:cs="Arial" w:eastAsia="Arial" w:hAnsi="Arial"/>
          <w:sz w:val="22"/>
          <w:szCs w:val="22"/>
          <w:color w:val="auto"/>
        </w:rPr>
      </w:pPr>
    </w:p>
    <w:p>
      <w:pPr>
        <w:ind w:left="2580" w:hanging="627"/>
        <w:spacing w:after="0"/>
        <w:tabs>
          <w:tab w:leader="none" w:pos="2580" w:val="left"/>
        </w:tabs>
        <w:numPr>
          <w:ilvl w:val="1"/>
          <w:numId w:val="71"/>
        </w:numPr>
        <w:rPr>
          <w:rFonts w:ascii="Arial" w:cs="Arial" w:eastAsia="Arial" w:hAnsi="Arial"/>
          <w:sz w:val="19"/>
          <w:szCs w:val="19"/>
          <w:color w:val="auto"/>
        </w:rPr>
      </w:pPr>
      <w:r>
        <w:rPr>
          <w:rFonts w:ascii="Arial" w:cs="Arial" w:eastAsia="Arial" w:hAnsi="Arial"/>
          <w:sz w:val="19"/>
          <w:szCs w:val="19"/>
          <w:color w:val="auto"/>
        </w:rPr>
        <w:t>Purchaser’s Subscription Amount by wire transfer to an account specified by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1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Closing Conditions</w:t>
      </w:r>
      <w:r>
        <w:rPr>
          <w:rFonts w:ascii="Arial" w:cs="Arial" w:eastAsia="Arial" w:hAnsi="Arial"/>
          <w:sz w:val="19"/>
          <w:szCs w:val="19"/>
          <w:color w:val="auto"/>
        </w:rPr>
        <w:t>.</w:t>
      </w:r>
    </w:p>
    <w:p>
      <w:pPr>
        <w:spacing w:after="0" w:line="233" w:lineRule="exact"/>
        <w:rPr>
          <w:sz w:val="20"/>
          <w:szCs w:val="20"/>
          <w:color w:val="auto"/>
        </w:rPr>
      </w:pPr>
    </w:p>
    <w:p>
      <w:pPr>
        <w:ind w:right="499" w:firstLine="1305"/>
        <w:spacing w:after="0" w:line="251" w:lineRule="auto"/>
        <w:tabs>
          <w:tab w:leader="none" w:pos="1918"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obligations of the Company hereunder in connection with the Closing are subject to the following conditions being met:</w:t>
      </w:r>
    </w:p>
    <w:p>
      <w:pPr>
        <w:spacing w:after="0" w:line="200" w:lineRule="exact"/>
        <w:rPr>
          <w:rFonts w:ascii="Arial" w:cs="Arial" w:eastAsia="Arial" w:hAnsi="Arial"/>
          <w:sz w:val="22"/>
          <w:szCs w:val="22"/>
          <w:color w:val="auto"/>
        </w:rPr>
      </w:pPr>
    </w:p>
    <w:p>
      <w:pPr>
        <w:jc w:val="both"/>
        <w:ind w:right="499" w:firstLine="1953"/>
        <w:spacing w:after="0"/>
        <w:tabs>
          <w:tab w:leader="none" w:pos="2566"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accuracy in all material respects on the Closing Date of the representations and warranties of the Purchasers contained herein (unless as of a specific date therein in which case they shall be accurate as of such date);</w:t>
      </w:r>
    </w:p>
    <w:p>
      <w:pPr>
        <w:spacing w:after="0" w:line="213" w:lineRule="exact"/>
        <w:rPr>
          <w:rFonts w:ascii="Arial" w:cs="Arial" w:eastAsia="Arial" w:hAnsi="Arial"/>
          <w:sz w:val="22"/>
          <w:szCs w:val="22"/>
          <w:color w:val="auto"/>
        </w:rPr>
      </w:pPr>
    </w:p>
    <w:p>
      <w:pPr>
        <w:ind w:right="499" w:firstLine="1953"/>
        <w:spacing w:after="0" w:line="251" w:lineRule="auto"/>
        <w:tabs>
          <w:tab w:leader="none" w:pos="2566" w:val="left"/>
        </w:tabs>
        <w:numPr>
          <w:ilvl w:val="1"/>
          <w:numId w:val="72"/>
        </w:numPr>
        <w:rPr>
          <w:rFonts w:ascii="Arial" w:cs="Arial" w:eastAsia="Arial" w:hAnsi="Arial"/>
          <w:sz w:val="22"/>
          <w:szCs w:val="22"/>
          <w:color w:val="auto"/>
        </w:rPr>
      </w:pPr>
      <w:r>
        <w:rPr>
          <w:rFonts w:ascii="Arial" w:cs="Arial" w:eastAsia="Arial" w:hAnsi="Arial"/>
          <w:sz w:val="22"/>
          <w:szCs w:val="22"/>
          <w:color w:val="auto"/>
        </w:rPr>
        <w:t>all obligations, covenants and agreements of each Purchaser required to be performed at or prior to the Closing Date shall have been performed; and</w:t>
      </w:r>
    </w:p>
    <w:p>
      <w:pPr>
        <w:sectPr>
          <w:pgSz w:w="11900" w:h="16838" w:orient="portrait"/>
          <w:cols w:equalWidth="0" w:num="1">
            <w:col w:w="10219"/>
          </w:cols>
          <w:pgMar w:left="240" w:top="361" w:right="1440" w:bottom="0" w:gutter="0" w:footer="0" w:header="0"/>
        </w:sectPr>
      </w:pPr>
    </w:p>
    <w:bookmarkStart w:id="74" w:name="page75"/>
    <w:bookmarkEnd w:id="74"/>
    <w:p>
      <w:pPr>
        <w:ind w:left="36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447040</wp:posOffset>
            </wp:positionV>
            <wp:extent cx="6174740"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75" w:name="page76"/>
    <w:bookmarkEnd w:id="75"/>
    <w:p>
      <w:pPr>
        <w:ind w:left="1960"/>
        <w:spacing w:after="0"/>
        <w:tabs>
          <w:tab w:leader="none" w:pos="2560" w:val="left"/>
        </w:tabs>
        <w:rPr>
          <w:sz w:val="20"/>
          <w:szCs w:val="20"/>
          <w:color w:val="auto"/>
        </w:rPr>
      </w:pPr>
      <w:r>
        <w:rPr>
          <w:rFonts w:ascii="Arial" w:cs="Arial" w:eastAsia="Arial" w:hAnsi="Arial"/>
          <w:sz w:val="21"/>
          <w:szCs w:val="21"/>
          <w:color w:val="auto"/>
        </w:rPr>
        <w:t>(iii)</w:t>
        <w:tab/>
        <w:t>the delivery by each Purchaser of the items set forth in Section 2.2(b) of this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p>
      <w:pPr>
        <w:ind w:right="499" w:firstLine="1305"/>
        <w:spacing w:after="0" w:line="251" w:lineRule="auto"/>
        <w:tabs>
          <w:tab w:leader="none" w:pos="1918"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obligations of the Purchaser hereunder in connection with the Closing are subject to the following conditions being met:</w:t>
      </w:r>
    </w:p>
    <w:p>
      <w:pPr>
        <w:spacing w:after="0" w:line="200" w:lineRule="exact"/>
        <w:rPr>
          <w:rFonts w:ascii="Arial" w:cs="Arial" w:eastAsia="Arial" w:hAnsi="Arial"/>
          <w:sz w:val="22"/>
          <w:szCs w:val="22"/>
          <w:color w:val="auto"/>
        </w:rPr>
      </w:pPr>
    </w:p>
    <w:p>
      <w:pPr>
        <w:ind w:left="2580" w:hanging="627"/>
        <w:spacing w:after="0"/>
        <w:tabs>
          <w:tab w:leader="none" w:pos="2580" w:val="left"/>
        </w:tabs>
        <w:numPr>
          <w:ilvl w:val="1"/>
          <w:numId w:val="73"/>
        </w:numPr>
        <w:rPr>
          <w:rFonts w:ascii="Arial" w:cs="Arial" w:eastAsia="Arial" w:hAnsi="Arial"/>
          <w:sz w:val="21"/>
          <w:szCs w:val="21"/>
          <w:color w:val="auto"/>
        </w:rPr>
      </w:pPr>
      <w:r>
        <w:rPr>
          <w:rFonts w:ascii="Arial" w:cs="Arial" w:eastAsia="Arial" w:hAnsi="Arial"/>
          <w:sz w:val="21"/>
          <w:szCs w:val="21"/>
          <w:color w:val="auto"/>
        </w:rPr>
        <w:t>the  filing  with  the  Secretary  of  State  of  Delaware  of  the  Certificate  of</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Designations;</w:t>
      </w:r>
    </w:p>
    <w:p>
      <w:pPr>
        <w:spacing w:after="0" w:line="215" w:lineRule="exact"/>
        <w:rPr>
          <w:rFonts w:ascii="Arial" w:cs="Arial" w:eastAsia="Arial" w:hAnsi="Arial"/>
          <w:sz w:val="21"/>
          <w:szCs w:val="21"/>
          <w:color w:val="auto"/>
        </w:rPr>
      </w:pPr>
    </w:p>
    <w:p>
      <w:pPr>
        <w:ind w:right="499" w:firstLine="1953"/>
        <w:spacing w:after="0" w:line="328" w:lineRule="auto"/>
        <w:tabs>
          <w:tab w:leader="none" w:pos="2566"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accuracy in all material respects when made and on the Closing Date of the representations and warranties of the Company contained herein (unless as of a specific date therein);</w:t>
      </w:r>
    </w:p>
    <w:p>
      <w:pPr>
        <w:spacing w:after="0" w:line="132" w:lineRule="exact"/>
        <w:rPr>
          <w:rFonts w:ascii="Arial" w:cs="Arial" w:eastAsia="Arial" w:hAnsi="Arial"/>
          <w:sz w:val="19"/>
          <w:szCs w:val="19"/>
          <w:color w:val="auto"/>
        </w:rPr>
      </w:pPr>
    </w:p>
    <w:p>
      <w:pPr>
        <w:ind w:right="479" w:firstLine="1953"/>
        <w:spacing w:after="0" w:line="251" w:lineRule="auto"/>
        <w:tabs>
          <w:tab w:leader="none" w:pos="2566" w:val="left"/>
        </w:tabs>
        <w:numPr>
          <w:ilvl w:val="1"/>
          <w:numId w:val="73"/>
        </w:numPr>
        <w:rPr>
          <w:rFonts w:ascii="Arial" w:cs="Arial" w:eastAsia="Arial" w:hAnsi="Arial"/>
          <w:sz w:val="22"/>
          <w:szCs w:val="22"/>
          <w:color w:val="auto"/>
        </w:rPr>
      </w:pPr>
      <w:r>
        <w:rPr>
          <w:rFonts w:ascii="Arial" w:cs="Arial" w:eastAsia="Arial" w:hAnsi="Arial"/>
          <w:sz w:val="22"/>
          <w:szCs w:val="22"/>
          <w:color w:val="auto"/>
        </w:rPr>
        <w:t>all obligations, covenants and agreements of the Company required to be performed at or prior to the Closing Date shall have been performed;</w:t>
      </w:r>
    </w:p>
    <w:p>
      <w:pPr>
        <w:spacing w:after="0" w:line="200" w:lineRule="exact"/>
        <w:rPr>
          <w:rFonts w:ascii="Arial" w:cs="Arial" w:eastAsia="Arial" w:hAnsi="Arial"/>
          <w:sz w:val="22"/>
          <w:szCs w:val="22"/>
          <w:color w:val="auto"/>
        </w:rPr>
      </w:pPr>
    </w:p>
    <w:p>
      <w:pPr>
        <w:ind w:left="2580" w:hanging="627"/>
        <w:spacing w:after="0"/>
        <w:tabs>
          <w:tab w:leader="none" w:pos="2580"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delivery by the Company of the items set forth in Section 2.2(a) of this</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215" w:lineRule="exact"/>
        <w:rPr>
          <w:rFonts w:ascii="Arial" w:cs="Arial" w:eastAsia="Arial" w:hAnsi="Arial"/>
          <w:sz w:val="22"/>
          <w:szCs w:val="22"/>
          <w:color w:val="auto"/>
        </w:rPr>
      </w:pPr>
    </w:p>
    <w:p>
      <w:pPr>
        <w:ind w:left="2580" w:hanging="627"/>
        <w:spacing w:after="0"/>
        <w:tabs>
          <w:tab w:leader="none" w:pos="2580"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entry of the Final Dismissal Order by the Bankruptcy Court; and</w:t>
      </w:r>
    </w:p>
    <w:p>
      <w:pPr>
        <w:spacing w:after="0" w:line="233" w:lineRule="exact"/>
        <w:rPr>
          <w:rFonts w:ascii="Arial" w:cs="Arial" w:eastAsia="Arial" w:hAnsi="Arial"/>
          <w:sz w:val="22"/>
          <w:szCs w:val="22"/>
          <w:color w:val="auto"/>
        </w:rPr>
      </w:pPr>
    </w:p>
    <w:p>
      <w:pPr>
        <w:ind w:left="2580" w:hanging="627"/>
        <w:spacing w:after="0"/>
        <w:tabs>
          <w:tab w:leader="none" w:pos="2580"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there shall have been no Material Adverse Effect with respect to the Company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since the date hereof.</w:t>
      </w:r>
    </w:p>
    <w:p>
      <w:pPr>
        <w:spacing w:after="0" w:line="209"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REPRESENTATIONS AND WARRANTIES</w:t>
      </w:r>
    </w:p>
    <w:p>
      <w:pPr>
        <w:spacing w:after="0" w:line="215" w:lineRule="exact"/>
        <w:rPr>
          <w:sz w:val="20"/>
          <w:szCs w:val="20"/>
          <w:color w:val="auto"/>
        </w:rPr>
      </w:pPr>
    </w:p>
    <w:p>
      <w:pPr>
        <w:jc w:val="both"/>
        <w:ind w:right="499" w:firstLine="648"/>
        <w:spacing w:after="0" w:line="287"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Representations and Warranties of the Company</w:t>
      </w:r>
      <w:r>
        <w:rPr>
          <w:rFonts w:ascii="Arial" w:cs="Arial" w:eastAsia="Arial" w:hAnsi="Arial"/>
          <w:sz w:val="19"/>
          <w:szCs w:val="19"/>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70" w:lineRule="exact"/>
        <w:rPr>
          <w:sz w:val="20"/>
          <w:szCs w:val="20"/>
          <w:color w:val="auto"/>
        </w:rPr>
      </w:pPr>
    </w:p>
    <w:p>
      <w:pPr>
        <w:jc w:val="both"/>
        <w:ind w:right="479" w:firstLine="1305"/>
        <w:spacing w:after="0" w:line="279" w:lineRule="auto"/>
        <w:tabs>
          <w:tab w:leader="none" w:pos="1918"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All of the direct and indirect subsidiaries of the Company are set forth on </w:t>
      </w:r>
      <w:r>
        <w:rPr>
          <w:rFonts w:ascii="Arial" w:cs="Arial" w:eastAsia="Arial" w:hAnsi="Arial"/>
          <w:sz w:val="19"/>
          <w:szCs w:val="19"/>
          <w:u w:val="single" w:color="auto"/>
          <w:color w:val="auto"/>
        </w:rPr>
        <w:t>Schedule 3.1(a)</w:t>
      </w:r>
      <w:r>
        <w:rPr>
          <w:rFonts w:ascii="Arial" w:cs="Arial" w:eastAsia="Arial" w:hAnsi="Arial"/>
          <w:sz w:val="19"/>
          <w:szCs w:val="19"/>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77" w:lineRule="exact"/>
        <w:rPr>
          <w:rFonts w:ascii="Arial" w:cs="Arial" w:eastAsia="Arial" w:hAnsi="Arial"/>
          <w:sz w:val="19"/>
          <w:szCs w:val="19"/>
          <w:color w:val="auto"/>
        </w:rPr>
      </w:pPr>
    </w:p>
    <w:p>
      <w:pPr>
        <w:jc w:val="both"/>
        <w:ind w:right="479" w:firstLine="1305"/>
        <w:spacing w:after="0" w:line="271" w:lineRule="auto"/>
        <w:tabs>
          <w:tab w:leader="none" w:pos="1918"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Organization and Qualification</w:t>
      </w:r>
      <w:r>
        <w:rPr>
          <w:rFonts w:ascii="Arial" w:cs="Arial" w:eastAsia="Arial" w:hAnsi="Arial"/>
          <w:sz w:val="19"/>
          <w:szCs w:val="19"/>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and no Proceeding has been instituted in any such jurisdiction revoking, limiting or curtailing or seeking to revoke, limit or curtail such power and authority or qualification.</w:t>
      </w:r>
    </w:p>
    <w:p>
      <w:pPr>
        <w:sectPr>
          <w:pgSz w:w="11900" w:h="16838" w:orient="portrait"/>
          <w:cols w:equalWidth="0" w:num="1">
            <w:col w:w="10219"/>
          </w:cols>
          <w:pgMar w:left="240" w:top="3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617474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type w:val="continuous"/>
        </w:sectPr>
      </w:pPr>
    </w:p>
    <w:bookmarkStart w:id="76" w:name="page77"/>
    <w:bookmarkEnd w:id="76"/>
    <w:p>
      <w:pPr>
        <w:jc w:val="both"/>
        <w:ind w:right="499" w:firstLine="1305"/>
        <w:spacing w:after="0" w:line="271" w:lineRule="auto"/>
        <w:tabs>
          <w:tab w:leader="none" w:pos="191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Authorization; Enforcement</w:t>
      </w:r>
      <w:r>
        <w:rPr>
          <w:rFonts w:ascii="Arial" w:cs="Arial" w:eastAsia="Arial" w:hAnsi="Arial"/>
          <w:sz w:val="19"/>
          <w:szCs w:val="19"/>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each of this Agreement and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right="479" w:firstLine="1305"/>
        <w:spacing w:after="0" w:line="271" w:lineRule="auto"/>
        <w:tabs>
          <w:tab w:leader="none" w:pos="191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No Conflicts</w:t>
      </w:r>
      <w:r>
        <w:rPr>
          <w:rFonts w:ascii="Arial" w:cs="Arial" w:eastAsia="Arial" w:hAnsi="Arial"/>
          <w:sz w:val="19"/>
          <w:szCs w:val="19"/>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right="499" w:firstLine="1305"/>
        <w:spacing w:after="0" w:line="275" w:lineRule="auto"/>
        <w:tabs>
          <w:tab w:leader="none" w:pos="191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Filings, Consents and Approvals</w:t>
      </w:r>
      <w:r>
        <w:rPr>
          <w:rFonts w:ascii="Arial" w:cs="Arial" w:eastAsia="Arial" w:hAnsi="Arial"/>
          <w:sz w:val="19"/>
          <w:szCs w:val="19"/>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notice and/or application(s) to each applicable Trading Market for the issuance and sale of the Securities and the listing of the Conversion Shares and for trading thereon in the time and manner required thereby and (iii) the filing of Form D with the Commission and such filings as are required to be made under applicable state securities laws (collectively, the “</w:t>
      </w:r>
      <w:r>
        <w:rPr>
          <w:rFonts w:ascii="Arial" w:cs="Arial" w:eastAsia="Arial" w:hAnsi="Arial"/>
          <w:sz w:val="19"/>
          <w:szCs w:val="19"/>
          <w:u w:val="single" w:color="auto"/>
          <w:color w:val="auto"/>
        </w:rPr>
        <w:t>Required Approvals</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jc w:val="both"/>
        <w:ind w:right="479" w:firstLine="1305"/>
        <w:spacing w:after="0" w:line="275" w:lineRule="auto"/>
        <w:tabs>
          <w:tab w:leader="none" w:pos="191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Issuance of the Securities</w:t>
      </w:r>
      <w:r>
        <w:rPr>
          <w:rFonts w:ascii="Arial" w:cs="Arial" w:eastAsia="Arial" w:hAnsi="Arial"/>
          <w:sz w:val="19"/>
          <w:szCs w:val="19"/>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Conversion Shares, when issued in accordance with the terms of the Transaction Documents,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to the fullest extent permitted under its Certificate of Incorporation.</w:t>
      </w:r>
    </w:p>
    <w:p>
      <w:pPr>
        <w:spacing w:after="0" w:line="200" w:lineRule="exact"/>
        <w:rPr>
          <w:sz w:val="20"/>
          <w:szCs w:val="20"/>
          <w:color w:val="auto"/>
        </w:rPr>
      </w:pPr>
    </w:p>
    <w:p>
      <w:pPr>
        <w:spacing w:after="0" w:line="22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6174740"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77" w:name="page78"/>
    <w:bookmarkEnd w:id="77"/>
    <w:p>
      <w:pPr>
        <w:jc w:val="both"/>
        <w:ind w:left="-1200" w:right="479" w:firstLine="1305"/>
        <w:spacing w:after="0" w:line="269" w:lineRule="auto"/>
        <w:tabs>
          <w:tab w:leader="none" w:pos="718"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Capitalization</w:t>
      </w:r>
      <w:r>
        <w:rPr>
          <w:rFonts w:ascii="Arial" w:cs="Arial" w:eastAsia="Arial" w:hAnsi="Arial"/>
          <w:sz w:val="19"/>
          <w:szCs w:val="19"/>
          <w:color w:val="auto"/>
        </w:rPr>
        <w:t xml:space="preserve">. The capitalization of the Company is as set forth on </w:t>
      </w:r>
      <w:r>
        <w:rPr>
          <w:rFonts w:ascii="Arial" w:cs="Arial" w:eastAsia="Arial" w:hAnsi="Arial"/>
          <w:sz w:val="19"/>
          <w:szCs w:val="19"/>
          <w:u w:val="single" w:color="auto"/>
          <w:color w:val="auto"/>
        </w:rPr>
        <w:t>Schedule 3.1(g)</w:t>
      </w:r>
      <w:r>
        <w:rPr>
          <w:rFonts w:ascii="Arial" w:cs="Arial" w:eastAsia="Arial" w:hAnsi="Arial"/>
          <w:sz w:val="19"/>
          <w:szCs w:val="19"/>
          <w:color w:val="auto"/>
        </w:rPr>
        <w:t xml:space="preserve">, which </w:t>
      </w:r>
      <w:r>
        <w:rPr>
          <w:rFonts w:ascii="Arial" w:cs="Arial" w:eastAsia="Arial" w:hAnsi="Arial"/>
          <w:sz w:val="19"/>
          <w:szCs w:val="19"/>
          <w:u w:val="single" w:color="auto"/>
          <w:color w:val="auto"/>
        </w:rPr>
        <w:t>Schedule 3.1(g)</w:t>
      </w:r>
      <w:r>
        <w:rPr>
          <w:rFonts w:ascii="Arial" w:cs="Arial" w:eastAsia="Arial" w:hAnsi="Arial"/>
          <w:sz w:val="19"/>
          <w:szCs w:val="19"/>
          <w:color w:val="auto"/>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issuance and sale of the Securities will not obligate the Company to issue shares of Common Stock or other securities to any Person (other than the Purchasers) and will not result in a right of any holder of Company securities to adjust the exercise, conversion, exchange or reset price under any of such securities.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0" w:lineRule="exact"/>
        <w:rPr>
          <w:rFonts w:ascii="Arial" w:cs="Arial" w:eastAsia="Arial" w:hAnsi="Arial"/>
          <w:sz w:val="19"/>
          <w:szCs w:val="19"/>
          <w:color w:val="auto"/>
        </w:rPr>
      </w:pPr>
    </w:p>
    <w:p>
      <w:pPr>
        <w:jc w:val="both"/>
        <w:ind w:left="-1200" w:right="479" w:firstLine="1305"/>
        <w:spacing w:after="0" w:line="270" w:lineRule="auto"/>
        <w:tabs>
          <w:tab w:leader="none" w:pos="718"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SEC Reports; Financial Statements</w:t>
      </w:r>
      <w:r>
        <w:rPr>
          <w:rFonts w:ascii="Arial" w:cs="Arial" w:eastAsia="Arial" w:hAnsi="Arial"/>
          <w:sz w:val="19"/>
          <w:szCs w:val="19"/>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9"/>
          <w:szCs w:val="19"/>
          <w:u w:val="single" w:color="auto"/>
          <w:color w:val="auto"/>
        </w:rPr>
        <w:t>SEC Reports</w:t>
      </w:r>
      <w:r>
        <w:rPr>
          <w:rFonts w:ascii="Arial" w:cs="Arial" w:eastAsia="Arial" w:hAnsi="Arial"/>
          <w:sz w:val="19"/>
          <w:szCs w:val="19"/>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9"/>
          <w:szCs w:val="19"/>
          <w:u w:val="single" w:color="auto"/>
          <w:color w:val="auto"/>
        </w:rPr>
        <w:t>GAAP</w:t>
      </w:r>
      <w:r>
        <w:rPr>
          <w:rFonts w:ascii="Arial" w:cs="Arial" w:eastAsia="Arial" w:hAnsi="Arial"/>
          <w:sz w:val="19"/>
          <w:szCs w:val="19"/>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ind w:left="-1200" w:right="479" w:firstLine="1305"/>
        <w:spacing w:after="0" w:line="270" w:lineRule="auto"/>
        <w:tabs>
          <w:tab w:leader="none" w:pos="718"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Material Changes; Undisclosed Events, Liabilities or Developments</w:t>
      </w:r>
      <w:r>
        <w:rPr>
          <w:rFonts w:ascii="Arial" w:cs="Arial" w:eastAsia="Arial" w:hAnsi="Arial"/>
          <w:sz w:val="19"/>
          <w:szCs w:val="19"/>
          <w:color w:val="auto"/>
        </w:rPr>
        <w:t xml:space="preserve">. Since the date of the latest audited financial statements included within the SEC Reports, except as specifically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Arial" w:cs="Arial" w:eastAsia="Arial" w:hAnsi="Arial"/>
          <w:sz w:val="19"/>
          <w:szCs w:val="19"/>
          <w:u w:val="single" w:color="auto"/>
          <w:color w:val="auto"/>
        </w:rPr>
        <w:t>Schedule 3.1(i)</w:t>
      </w:r>
      <w:r>
        <w:rPr>
          <w:rFonts w:ascii="Arial" w:cs="Arial" w:eastAsia="Arial" w:hAnsi="Arial"/>
          <w:sz w:val="19"/>
          <w:szCs w:val="19"/>
          <w:color w:val="auto"/>
        </w:rPr>
        <w: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ectPr>
          <w:pgSz w:w="11900" w:h="16838" w:orient="portrait"/>
          <w:cols w:equalWidth="0" w:num="1">
            <w:col w:w="9019"/>
          </w:cols>
          <w:pgMar w:left="1440" w:top="361" w:right="1440" w:bottom="63" w:gutter="0" w:footer="0" w:header="0"/>
        </w:sectPr>
      </w:pPr>
    </w:p>
    <w:bookmarkStart w:id="78" w:name="page79"/>
    <w:bookmarkEnd w:id="78"/>
    <w:p>
      <w:pPr>
        <w:ind w:left="36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447040</wp:posOffset>
            </wp:positionV>
            <wp:extent cx="6174740"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9" w:name="page80"/>
    <w:bookmarkEnd w:id="79"/>
    <w:p>
      <w:pPr>
        <w:jc w:val="both"/>
        <w:ind w:left="-1200" w:right="479" w:firstLine="1305"/>
        <w:spacing w:after="0" w:line="272" w:lineRule="auto"/>
        <w:tabs>
          <w:tab w:leader="none" w:pos="718"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Litigation</w:t>
      </w:r>
      <w:r>
        <w:rPr>
          <w:rFonts w:ascii="Arial" w:cs="Arial" w:eastAsia="Arial" w:hAnsi="Arial"/>
          <w:sz w:val="19"/>
          <w:szCs w:val="19"/>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9"/>
          <w:szCs w:val="19"/>
          <w:u w:val="single" w:color="auto"/>
          <w:color w:val="auto"/>
        </w:rPr>
        <w:t>Action</w:t>
      </w:r>
      <w:r>
        <w:rPr>
          <w:rFonts w:ascii="Arial" w:cs="Arial" w:eastAsia="Arial" w:hAnsi="Arial"/>
          <w:sz w:val="19"/>
          <w:szCs w:val="19"/>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1200" w:right="479" w:firstLine="1305"/>
        <w:spacing w:after="0" w:line="243" w:lineRule="auto"/>
        <w:tabs>
          <w:tab w:leader="none" w:pos="718"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Labor Relations</w:t>
      </w:r>
      <w:r>
        <w:rPr>
          <w:rFonts w:ascii="Arial" w:cs="Arial" w:eastAsia="Arial" w:hAnsi="Arial"/>
          <w:sz w:val="21"/>
          <w:szCs w:val="21"/>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222" w:lineRule="exact"/>
        <w:rPr>
          <w:rFonts w:ascii="Arial" w:cs="Arial" w:eastAsia="Arial" w:hAnsi="Arial"/>
          <w:sz w:val="21"/>
          <w:szCs w:val="21"/>
          <w:color w:val="auto"/>
        </w:rPr>
      </w:pPr>
    </w:p>
    <w:p>
      <w:pPr>
        <w:jc w:val="both"/>
        <w:ind w:left="-1200" w:right="479" w:firstLine="1305"/>
        <w:spacing w:after="0" w:line="244" w:lineRule="auto"/>
        <w:tabs>
          <w:tab w:leader="none" w:pos="718"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Compliance</w:t>
      </w:r>
      <w:r>
        <w:rPr>
          <w:rFonts w:ascii="Arial" w:cs="Arial" w:eastAsia="Arial" w:hAnsi="Arial"/>
          <w:sz w:val="21"/>
          <w:szCs w:val="21"/>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216" w:lineRule="exact"/>
        <w:rPr>
          <w:rFonts w:ascii="Arial" w:cs="Arial" w:eastAsia="Arial" w:hAnsi="Arial"/>
          <w:sz w:val="21"/>
          <w:szCs w:val="21"/>
          <w:color w:val="auto"/>
        </w:rPr>
      </w:pPr>
    </w:p>
    <w:p>
      <w:pPr>
        <w:jc w:val="both"/>
        <w:ind w:left="-1200" w:right="499" w:firstLine="1305"/>
        <w:spacing w:after="0" w:line="235" w:lineRule="auto"/>
        <w:tabs>
          <w:tab w:leader="none" w:pos="718"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Regulatory Permits</w:t>
      </w:r>
      <w:r>
        <w:rPr>
          <w:rFonts w:ascii="Arial" w:cs="Arial" w:eastAsia="Arial" w:hAnsi="Arial"/>
          <w:sz w:val="22"/>
          <w:szCs w:val="22"/>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22"/>
          <w:szCs w:val="22"/>
          <w:u w:val="single" w:color="auto"/>
          <w:color w:val="auto"/>
        </w:rPr>
        <w:t>Material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Permits</w:t>
      </w:r>
      <w:r>
        <w:rPr>
          <w:rFonts w:ascii="Arial" w:cs="Arial" w:eastAsia="Arial" w:hAnsi="Arial"/>
          <w:sz w:val="22"/>
          <w:szCs w:val="22"/>
          <w:color w:val="auto"/>
        </w:rPr>
        <w:t>”), and neither the Company nor any Subsidiary has received any notice of proceedings relating to the revocation or modification of any Material Permit.</w:t>
      </w:r>
    </w:p>
    <w:p>
      <w:pPr>
        <w:spacing w:after="0" w:line="215" w:lineRule="exact"/>
        <w:rPr>
          <w:rFonts w:ascii="Arial" w:cs="Arial" w:eastAsia="Arial" w:hAnsi="Arial"/>
          <w:sz w:val="22"/>
          <w:szCs w:val="22"/>
          <w:color w:val="auto"/>
        </w:rPr>
      </w:pPr>
    </w:p>
    <w:p>
      <w:pPr>
        <w:jc w:val="both"/>
        <w:ind w:left="-1200" w:right="499" w:firstLine="1305"/>
        <w:spacing w:after="0" w:line="274" w:lineRule="auto"/>
        <w:tabs>
          <w:tab w:leader="none" w:pos="718"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Title to Assets</w:t>
      </w:r>
      <w:r>
        <w:rPr>
          <w:rFonts w:ascii="Arial" w:cs="Arial" w:eastAsia="Arial" w:hAnsi="Arial"/>
          <w:sz w:val="19"/>
          <w:szCs w:val="19"/>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ectPr>
          <w:pgSz w:w="11900" w:h="16838" w:orient="portrait"/>
          <w:cols w:equalWidth="0" w:num="1">
            <w:col w:w="9019"/>
          </w:cols>
          <w:pgMar w:left="1440" w:top="361" w:right="1440" w:bottom="1131"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6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447040</wp:posOffset>
            </wp:positionV>
            <wp:extent cx="6174740"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361" w:right="1440" w:bottom="1131" w:gutter="0" w:footer="0" w:header="0"/>
          <w:type w:val="continuous"/>
        </w:sectPr>
      </w:pPr>
    </w:p>
    <w:bookmarkStart w:id="80" w:name="page81"/>
    <w:bookmarkEnd w:id="80"/>
    <w:p>
      <w:pPr>
        <w:spacing w:after="0" w:line="76" w:lineRule="exact"/>
        <w:rPr>
          <w:sz w:val="20"/>
          <w:szCs w:val="20"/>
          <w:color w:val="auto"/>
        </w:rPr>
      </w:pPr>
    </w:p>
    <w:p>
      <w:pPr>
        <w:jc w:val="both"/>
        <w:ind w:left="-8" w:right="479" w:firstLine="1305"/>
        <w:spacing w:after="0" w:line="271" w:lineRule="auto"/>
        <w:tabs>
          <w:tab w:leader="none" w:pos="1910"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Intellectual Property</w:t>
      </w:r>
      <w:r>
        <w:rPr>
          <w:rFonts w:ascii="Arial" w:cs="Arial" w:eastAsia="Arial" w:hAnsi="Arial"/>
          <w:sz w:val="19"/>
          <w:szCs w:val="19"/>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as described in the SEC Reports as necessary or required for use in connection with their respective businesses and which the failure to so have could have a Material Adverse Effect (collectively, the “</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or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8" w:right="499" w:firstLine="1305"/>
        <w:spacing w:after="0" w:line="247" w:lineRule="auto"/>
        <w:tabs>
          <w:tab w:leader="none" w:pos="1910" w:val="left"/>
        </w:tabs>
        <w:numPr>
          <w:ilvl w:val="1"/>
          <w:numId w:val="78"/>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205" w:lineRule="exact"/>
        <w:rPr>
          <w:rFonts w:ascii="Arial" w:cs="Arial" w:eastAsia="Arial" w:hAnsi="Arial"/>
          <w:sz w:val="21"/>
          <w:szCs w:val="21"/>
          <w:color w:val="auto"/>
        </w:rPr>
      </w:pPr>
    </w:p>
    <w:p>
      <w:pPr>
        <w:jc w:val="both"/>
        <w:ind w:left="-8" w:right="479" w:firstLine="1305"/>
        <w:spacing w:after="0" w:line="269" w:lineRule="auto"/>
        <w:tabs>
          <w:tab w:leader="none" w:pos="1910"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Transactions With Affiliates and Employees</w:t>
      </w:r>
      <w:r>
        <w:rPr>
          <w:rFonts w:ascii="Arial" w:cs="Arial" w:eastAsia="Arial" w:hAnsi="Arial"/>
          <w:sz w:val="19"/>
          <w:szCs w:val="19"/>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w:t>
      </w:r>
    </w:p>
    <w:p>
      <w:pPr>
        <w:ind w:left="372" w:hanging="372"/>
        <w:spacing w:after="0"/>
        <w:tabs>
          <w:tab w:leader="none" w:pos="372" w:val="left"/>
        </w:tabs>
        <w:numPr>
          <w:ilvl w:val="0"/>
          <w:numId w:val="79"/>
        </w:numPr>
        <w:rPr>
          <w:rFonts w:ascii="Arial" w:cs="Arial" w:eastAsia="Arial" w:hAnsi="Arial"/>
          <w:sz w:val="19"/>
          <w:szCs w:val="19"/>
          <w:color w:val="auto"/>
        </w:rPr>
      </w:pPr>
      <w:r>
        <w:rPr>
          <w:rFonts w:ascii="Arial" w:cs="Arial" w:eastAsia="Arial" w:hAnsi="Arial"/>
          <w:sz w:val="19"/>
          <w:szCs w:val="19"/>
          <w:color w:val="auto"/>
        </w:rPr>
        <w:t>other employee benefits, including stock option agreements under any stock option plan of the Company.</w:t>
      </w:r>
    </w:p>
    <w:p>
      <w:pPr>
        <w:spacing w:after="0" w:line="249" w:lineRule="exact"/>
        <w:rPr>
          <w:rFonts w:ascii="Arial" w:cs="Arial" w:eastAsia="Arial" w:hAnsi="Arial"/>
          <w:sz w:val="19"/>
          <w:szCs w:val="19"/>
          <w:color w:val="auto"/>
        </w:rPr>
      </w:pPr>
    </w:p>
    <w:p>
      <w:pPr>
        <w:jc w:val="both"/>
        <w:ind w:left="-8" w:right="479" w:firstLine="1305"/>
        <w:spacing w:after="0" w:line="269" w:lineRule="auto"/>
        <w:tabs>
          <w:tab w:leader="none" w:pos="1910"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Sarbanes-Oxley; Internal Accounting Controls</w:t>
      </w:r>
      <w:r>
        <w:rPr>
          <w:rFonts w:ascii="Arial" w:cs="Arial" w:eastAsia="Arial" w:hAnsi="Arial"/>
          <w:sz w:val="19"/>
          <w:szCs w:val="19"/>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9"/>
          <w:szCs w:val="19"/>
          <w:u w:val="single" w:color="auto"/>
          <w:color w:val="auto"/>
        </w:rPr>
        <w:t>Evaluation Date</w:t>
      </w:r>
      <w:r>
        <w:rPr>
          <w:rFonts w:ascii="Arial" w:cs="Arial" w:eastAsia="Arial" w:hAnsi="Arial"/>
          <w:sz w:val="19"/>
          <w:szCs w:val="19"/>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or its Subsidiaries.</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jc w:val="both"/>
        <w:ind w:left="-8" w:right="499" w:firstLine="1305"/>
        <w:spacing w:after="0" w:line="279" w:lineRule="auto"/>
        <w:tabs>
          <w:tab w:leader="none" w:pos="1910"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Certain Fees</w:t>
      </w:r>
      <w:r>
        <w:rPr>
          <w:rFonts w:ascii="Arial" w:cs="Arial" w:eastAsia="Arial" w:hAnsi="Arial"/>
          <w:sz w:val="19"/>
          <w:szCs w:val="19"/>
          <w:color w:val="auto"/>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ectPr>
          <w:pgSz w:w="11900" w:h="16914" w:orient="portrait"/>
          <w:cols w:equalWidth="0" w:num="1">
            <w:col w:w="10211"/>
          </w:cols>
          <w:pgMar w:left="248" w:top="361" w:right="1440" w:bottom="0" w:gutter="0" w:footer="0" w:header="0"/>
        </w:sectPr>
      </w:pPr>
    </w:p>
    <w:bookmarkStart w:id="81" w:name="page82"/>
    <w:bookmarkEnd w:id="81"/>
    <w:p>
      <w:pPr>
        <w:ind w:left="36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447040</wp:posOffset>
            </wp:positionV>
            <wp:extent cx="6174740" cy="94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82" w:name="page83"/>
    <w:bookmarkEnd w:id="82"/>
    <w:p>
      <w:pPr>
        <w:jc w:val="both"/>
        <w:ind w:left="-1200" w:right="499" w:firstLine="1305"/>
        <w:spacing w:after="0" w:line="252" w:lineRule="auto"/>
        <w:tabs>
          <w:tab w:leader="none" w:pos="718"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Private Placement</w:t>
      </w:r>
      <w:r>
        <w:rPr>
          <w:rFonts w:ascii="Arial" w:cs="Arial" w:eastAsia="Arial" w:hAnsi="Arial"/>
          <w:sz w:val="21"/>
          <w:szCs w:val="21"/>
          <w:color w:val="auto"/>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spacing w:after="0" w:line="201" w:lineRule="exact"/>
        <w:rPr>
          <w:rFonts w:ascii="Arial" w:cs="Arial" w:eastAsia="Arial" w:hAnsi="Arial"/>
          <w:sz w:val="21"/>
          <w:szCs w:val="21"/>
          <w:color w:val="auto"/>
        </w:rPr>
      </w:pPr>
    </w:p>
    <w:p>
      <w:pPr>
        <w:jc w:val="both"/>
        <w:ind w:left="-1200" w:right="479" w:firstLine="1305"/>
        <w:spacing w:after="0" w:line="236" w:lineRule="auto"/>
        <w:tabs>
          <w:tab w:leader="none" w:pos="71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Investment Company</w:t>
      </w:r>
      <w:r>
        <w:rPr>
          <w:rFonts w:ascii="Arial" w:cs="Arial" w:eastAsia="Arial" w:hAnsi="Arial"/>
          <w:sz w:val="22"/>
          <w:szCs w:val="22"/>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214" w:lineRule="exact"/>
        <w:rPr>
          <w:rFonts w:ascii="Arial" w:cs="Arial" w:eastAsia="Arial" w:hAnsi="Arial"/>
          <w:sz w:val="22"/>
          <w:szCs w:val="22"/>
          <w:color w:val="auto"/>
        </w:rPr>
      </w:pPr>
    </w:p>
    <w:p>
      <w:pPr>
        <w:ind w:left="-1200" w:right="499" w:firstLine="1305"/>
        <w:spacing w:after="0" w:line="251" w:lineRule="auto"/>
        <w:tabs>
          <w:tab w:leader="none" w:pos="71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Registration Rights</w:t>
      </w:r>
      <w:r>
        <w:rPr>
          <w:rFonts w:ascii="Arial" w:cs="Arial" w:eastAsia="Arial" w:hAnsi="Arial"/>
          <w:sz w:val="22"/>
          <w:szCs w:val="22"/>
          <w:color w:val="auto"/>
        </w:rPr>
        <w:t>. No Person has any right to cause the Company to effect the registration under the Securities Act of any securities of the Company or any Subsidiary.</w:t>
      </w:r>
    </w:p>
    <w:p>
      <w:pPr>
        <w:spacing w:after="0" w:line="200" w:lineRule="exact"/>
        <w:rPr>
          <w:rFonts w:ascii="Arial" w:cs="Arial" w:eastAsia="Arial" w:hAnsi="Arial"/>
          <w:sz w:val="22"/>
          <w:szCs w:val="22"/>
          <w:color w:val="auto"/>
        </w:rPr>
      </w:pPr>
    </w:p>
    <w:p>
      <w:pPr>
        <w:jc w:val="both"/>
        <w:ind w:left="-1200" w:right="479" w:firstLine="1305"/>
        <w:spacing w:after="0" w:line="245" w:lineRule="auto"/>
        <w:tabs>
          <w:tab w:leader="none" w:pos="718"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Listing and Maintenance Requirements</w:t>
      </w:r>
      <w:r>
        <w:rPr>
          <w:rFonts w:ascii="Arial" w:cs="Arial" w:eastAsia="Arial" w:hAnsi="Arial"/>
          <w:sz w:val="21"/>
          <w:szCs w:val="21"/>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w:t>
      </w:r>
    </w:p>
    <w:p>
      <w:pPr>
        <w:spacing w:after="0" w:line="212" w:lineRule="exact"/>
        <w:rPr>
          <w:rFonts w:ascii="Arial" w:cs="Arial" w:eastAsia="Arial" w:hAnsi="Arial"/>
          <w:sz w:val="21"/>
          <w:szCs w:val="21"/>
          <w:color w:val="auto"/>
        </w:rPr>
      </w:pPr>
    </w:p>
    <w:p>
      <w:pPr>
        <w:jc w:val="both"/>
        <w:ind w:left="-1200" w:right="479" w:firstLine="1305"/>
        <w:spacing w:after="0" w:line="234" w:lineRule="auto"/>
        <w:tabs>
          <w:tab w:leader="none" w:pos="71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Application of Takeover Protections</w:t>
      </w:r>
      <w:r>
        <w:rPr>
          <w:rFonts w:ascii="Arial" w:cs="Arial" w:eastAsia="Arial" w:hAnsi="Arial"/>
          <w:sz w:val="22"/>
          <w:szCs w:val="22"/>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214" w:lineRule="exact"/>
        <w:rPr>
          <w:rFonts w:ascii="Arial" w:cs="Arial" w:eastAsia="Arial" w:hAnsi="Arial"/>
          <w:sz w:val="22"/>
          <w:szCs w:val="22"/>
          <w:color w:val="auto"/>
        </w:rPr>
      </w:pPr>
    </w:p>
    <w:p>
      <w:pPr>
        <w:jc w:val="both"/>
        <w:ind w:left="-1200" w:right="479" w:firstLine="1305"/>
        <w:spacing w:after="0" w:line="271" w:lineRule="auto"/>
        <w:tabs>
          <w:tab w:leader="none" w:pos="71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Disclosure</w:t>
      </w:r>
      <w:r>
        <w:rPr>
          <w:rFonts w:ascii="Arial" w:cs="Arial" w:eastAsia="Arial" w:hAnsi="Arial"/>
          <w:sz w:val="19"/>
          <w:szCs w:val="19"/>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1200" w:right="499" w:firstLine="1305"/>
        <w:spacing w:after="0" w:line="277" w:lineRule="auto"/>
        <w:tabs>
          <w:tab w:leader="none" w:pos="71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No Integrated Offering</w:t>
      </w:r>
      <w:r>
        <w:rPr>
          <w:rFonts w:ascii="Arial" w:cs="Arial" w:eastAsia="Arial" w:hAnsi="Arial"/>
          <w:sz w:val="19"/>
          <w:szCs w:val="19"/>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ectPr>
          <w:pgSz w:w="11900" w:h="16838" w:orient="portrait"/>
          <w:cols w:equalWidth="0" w:num="1">
            <w:col w:w="9019"/>
          </w:cols>
          <w:pgMar w:left="1440" w:top="361"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67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432435</wp:posOffset>
            </wp:positionV>
            <wp:extent cx="6174740"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83" w:name="page84"/>
    <w:bookmarkEnd w:id="83"/>
    <w:p>
      <w:pPr>
        <w:ind w:left="720" w:hanging="615"/>
        <w:spacing w:after="0"/>
        <w:tabs>
          <w:tab w:leader="none" w:pos="72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Solvency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80" w:hanging="627"/>
        <w:spacing w:after="0"/>
        <w:tabs>
          <w:tab w:leader="none" w:pos="1380" w:val="left"/>
        </w:tabs>
        <w:numPr>
          <w:ilvl w:val="1"/>
          <w:numId w:val="81"/>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jc w:val="both"/>
        <w:ind w:left="-1200" w:right="479" w:firstLine="1953"/>
        <w:spacing w:after="0" w:line="273" w:lineRule="auto"/>
        <w:tabs>
          <w:tab w:leader="none" w:pos="1366"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Schedule 3.1(aa)</w:t>
      </w:r>
      <w:r>
        <w:rPr>
          <w:rFonts w:ascii="Arial" w:cs="Arial" w:eastAsia="Arial" w:hAnsi="Arial"/>
          <w:sz w:val="19"/>
          <w:szCs w:val="19"/>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9"/>
          <w:szCs w:val="19"/>
          <w:u w:val="single" w:color="auto"/>
          <w:color w:val="auto"/>
        </w:rPr>
        <w:t>Indebtedness</w:t>
      </w:r>
      <w:r>
        <w:rPr>
          <w:rFonts w:ascii="Arial" w:cs="Arial" w:eastAsia="Arial" w:hAnsi="Arial"/>
          <w:sz w:val="19"/>
          <w:szCs w:val="19"/>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88" w:lineRule="exact"/>
        <w:rPr>
          <w:rFonts w:ascii="Arial" w:cs="Arial" w:eastAsia="Arial" w:hAnsi="Arial"/>
          <w:sz w:val="19"/>
          <w:szCs w:val="19"/>
          <w:color w:val="auto"/>
        </w:rPr>
      </w:pPr>
    </w:p>
    <w:p>
      <w:pPr>
        <w:jc w:val="both"/>
        <w:ind w:left="-1200" w:right="499" w:firstLine="1305"/>
        <w:spacing w:after="0" w:line="274" w:lineRule="auto"/>
        <w:tabs>
          <w:tab w:leader="none" w:pos="718"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Tax Status</w:t>
      </w:r>
      <w:r>
        <w:rPr>
          <w:rFonts w:ascii="Arial" w:cs="Arial" w:eastAsia="Arial" w:hAnsi="Arial"/>
          <w:sz w:val="19"/>
          <w:szCs w:val="19"/>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5" w:lineRule="exact"/>
        <w:rPr>
          <w:rFonts w:ascii="Arial" w:cs="Arial" w:eastAsia="Arial" w:hAnsi="Arial"/>
          <w:sz w:val="19"/>
          <w:szCs w:val="19"/>
          <w:color w:val="auto"/>
        </w:rPr>
      </w:pPr>
    </w:p>
    <w:p>
      <w:pPr>
        <w:jc w:val="both"/>
        <w:ind w:left="-1200" w:right="499" w:firstLine="1305"/>
        <w:spacing w:after="0" w:line="238" w:lineRule="auto"/>
        <w:tabs>
          <w:tab w:leader="none" w:pos="718"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No General Solicitation</w:t>
      </w:r>
      <w:r>
        <w:rPr>
          <w:rFonts w:ascii="Arial" w:cs="Arial" w:eastAsia="Arial" w:hAnsi="Arial"/>
          <w:sz w:val="22"/>
          <w:szCs w:val="22"/>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spacing w:after="0" w:line="212" w:lineRule="exact"/>
        <w:rPr>
          <w:rFonts w:ascii="Arial" w:cs="Arial" w:eastAsia="Arial" w:hAnsi="Arial"/>
          <w:sz w:val="22"/>
          <w:szCs w:val="22"/>
          <w:color w:val="auto"/>
        </w:rPr>
      </w:pPr>
    </w:p>
    <w:p>
      <w:pPr>
        <w:jc w:val="both"/>
        <w:ind w:left="-1200" w:right="499" w:firstLine="1305"/>
        <w:spacing w:after="0" w:line="246" w:lineRule="auto"/>
        <w:tabs>
          <w:tab w:leader="none" w:pos="718"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Foreign Corrupt Practices</w:t>
      </w:r>
      <w:r>
        <w:rPr>
          <w:rFonts w:ascii="Arial" w:cs="Arial" w:eastAsia="Arial" w:hAnsi="Arial"/>
          <w:sz w:val="21"/>
          <w:szCs w:val="21"/>
          <w:color w:val="auto"/>
        </w:rPr>
        <w:t>. Neither the Company nor any Subsidiary,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207" w:lineRule="exact"/>
        <w:rPr>
          <w:rFonts w:ascii="Arial" w:cs="Arial" w:eastAsia="Arial" w:hAnsi="Arial"/>
          <w:sz w:val="21"/>
          <w:szCs w:val="21"/>
          <w:color w:val="auto"/>
        </w:rPr>
      </w:pPr>
    </w:p>
    <w:p>
      <w:pPr>
        <w:ind w:left="720" w:hanging="615"/>
        <w:spacing w:after="0"/>
        <w:tabs>
          <w:tab w:leader="none" w:pos="7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jc w:val="both"/>
        <w:ind w:left="-1200" w:right="499" w:firstLine="1305"/>
        <w:spacing w:after="0" w:line="249" w:lineRule="auto"/>
        <w:tabs>
          <w:tab w:leader="none" w:pos="718"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No Disagreements with Accountants and Lawyers</w:t>
      </w:r>
      <w:r>
        <w:rPr>
          <w:rFonts w:ascii="Arial" w:cs="Arial" w:eastAsia="Arial" w:hAnsi="Arial"/>
          <w:sz w:val="21"/>
          <w:szCs w:val="21"/>
          <w:color w:val="auto"/>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205" w:lineRule="exact"/>
        <w:rPr>
          <w:rFonts w:ascii="Arial" w:cs="Arial" w:eastAsia="Arial" w:hAnsi="Arial"/>
          <w:sz w:val="21"/>
          <w:szCs w:val="21"/>
          <w:color w:val="auto"/>
        </w:rPr>
      </w:pPr>
    </w:p>
    <w:p>
      <w:pPr>
        <w:jc w:val="both"/>
        <w:ind w:left="-1200" w:right="479" w:firstLine="1305"/>
        <w:spacing w:after="0" w:line="273" w:lineRule="auto"/>
        <w:tabs>
          <w:tab w:leader="none" w:pos="718"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Acknowledgment Regarding Purchasers’ Purchase of Securities</w:t>
      </w:r>
      <w:r>
        <w:rPr>
          <w:rFonts w:ascii="Arial" w:cs="Arial" w:eastAsia="Arial" w:hAnsi="Arial"/>
          <w:sz w:val="19"/>
          <w:szCs w:val="19"/>
          <w:color w:val="auto"/>
        </w:rPr>
        <w:t>. The Company acknowledges and agrees that the Purchaser is acting solely in the capacity of an arm’s length purchaser with respect to the Transaction Documents and the transactions contemplated thereby. The Company further acknowledges that the Purchaser is not acting as a financial advisor or fiduciary of the Company (or in any similar capacity) with respect to the Transaction Documents and the transactions contemplated thereby and any advice given by the Purchaser or any of its respective representatives or agents in connection with the Transaction Documents and the transactions contemplated thereby is merely incidental to the Purchaser's purchase of the Securities. The Company further represents to the Purchaser that the Company’s decision to enter into this Agreement and the other Transaction Documents has been based solely on the independent evaluation of the transactions contemplated hereby by the Company and its representatives.</w:t>
      </w:r>
    </w:p>
    <w:p>
      <w:pPr>
        <w:sectPr>
          <w:pgSz w:w="11900" w:h="16838" w:orient="portrait"/>
          <w:cols w:equalWidth="0" w:num="1">
            <w:col w:w="9019"/>
          </w:cols>
          <w:pgMar w:left="1440" w:top="361"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67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432435</wp:posOffset>
            </wp:positionV>
            <wp:extent cx="6174740"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84" w:name="page85"/>
    <w:bookmarkEnd w:id="84"/>
    <w:p>
      <w:pPr>
        <w:jc w:val="both"/>
        <w:ind w:right="479" w:firstLine="1305"/>
        <w:spacing w:after="0" w:line="269" w:lineRule="auto"/>
        <w:tabs>
          <w:tab w:leader="none" w:pos="1918"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Acknowledgment Regarding Purchaser’s Trading Activity</w:t>
      </w:r>
      <w:r>
        <w:rPr>
          <w:rFonts w:ascii="Arial" w:cs="Arial" w:eastAsia="Arial" w:hAnsi="Arial"/>
          <w:sz w:val="19"/>
          <w:szCs w:val="19"/>
          <w:color w:val="auto"/>
        </w:rPr>
        <w:t xml:space="preserve"> .. Anything in this Agreement or elsewhere herein to the contrary notwithstanding (except for Sections 3.2(f) and 4.14 hereof), it is understood and acknowledged by the Company that: (i) the Purchaser has not been asked by the Company to agree, nor has Purchaser agreed, to desist from purchasing or selling, long and/or short, securities of the Company, or “derivative” securities based on securities issued by the Company or to hold the Securities for any specified term, (ii) past or future open market or other transactions by the Purchaser, specifically including, without limitation, Short Sales or “derivative” transactions, before or after the closing of this or future private placement</w:t>
      </w:r>
    </w:p>
    <w:p>
      <w:pPr>
        <w:spacing w:after="0"/>
        <w:tabs>
          <w:tab w:leader="none" w:pos="1240" w:val="left"/>
          <w:tab w:leader="none" w:pos="1780" w:val="left"/>
          <w:tab w:leader="none" w:pos="2860" w:val="left"/>
          <w:tab w:leader="none" w:pos="3600" w:val="left"/>
          <w:tab w:leader="none" w:pos="4040" w:val="left"/>
          <w:tab w:leader="none" w:pos="4800" w:val="left"/>
          <w:tab w:leader="none" w:pos="5400" w:val="left"/>
          <w:tab w:leader="none" w:pos="5760" w:val="left"/>
          <w:tab w:leader="none" w:pos="6180" w:val="left"/>
          <w:tab w:leader="none" w:pos="7340" w:val="left"/>
          <w:tab w:leader="none" w:pos="8820" w:val="left"/>
        </w:tabs>
        <w:rPr>
          <w:sz w:val="20"/>
          <w:szCs w:val="20"/>
          <w:color w:val="auto"/>
        </w:rPr>
      </w:pPr>
      <w:r>
        <w:rPr>
          <w:rFonts w:ascii="Arial" w:cs="Arial" w:eastAsia="Arial" w:hAnsi="Arial"/>
          <w:sz w:val="22"/>
          <w:szCs w:val="22"/>
          <w:color w:val="auto"/>
        </w:rPr>
        <w:t>transactions,</w:t>
        <w:tab/>
        <w:t>may</w:t>
        <w:tab/>
        <w:t>negatively</w:t>
        <w:tab/>
        <w:t>impact</w:t>
        <w:tab/>
        <w:t>the</w:t>
        <w:tab/>
        <w:t>market</w:t>
        <w:tab/>
        <w:t>price</w:t>
        <w:tab/>
        <w:t>of</w:t>
        <w:tab/>
        <w:t>the</w:t>
        <w:tab/>
        <w:t>Company’s</w:t>
        <w:tab/>
        <w:t>publicly-traded</w:t>
      </w:r>
      <w:r>
        <w:rPr>
          <w:sz w:val="20"/>
          <w:szCs w:val="20"/>
          <w:color w:val="auto"/>
        </w:rPr>
        <w:tab/>
      </w:r>
      <w:r>
        <w:rPr>
          <w:rFonts w:ascii="Arial" w:cs="Arial" w:eastAsia="Arial" w:hAnsi="Arial"/>
          <w:sz w:val="19"/>
          <w:szCs w:val="19"/>
          <w:color w:val="auto"/>
        </w:rPr>
        <w:t>securities,</w:t>
      </w:r>
    </w:p>
    <w:p>
      <w:pPr>
        <w:spacing w:after="0" w:line="1" w:lineRule="exact"/>
        <w:rPr>
          <w:sz w:val="20"/>
          <w:szCs w:val="20"/>
          <w:color w:val="auto"/>
        </w:rPr>
      </w:pPr>
    </w:p>
    <w:p>
      <w:pPr>
        <w:jc w:val="both"/>
        <w:ind w:right="499" w:firstLine="8"/>
        <w:spacing w:after="0" w:line="273" w:lineRule="auto"/>
        <w:tabs>
          <w:tab w:leader="none" w:pos="408" w:val="left"/>
        </w:tabs>
        <w:numPr>
          <w:ilvl w:val="0"/>
          <w:numId w:val="83"/>
        </w:numPr>
        <w:rPr>
          <w:rFonts w:ascii="Arial" w:cs="Arial" w:eastAsia="Arial" w:hAnsi="Arial"/>
          <w:sz w:val="19"/>
          <w:szCs w:val="19"/>
          <w:color w:val="auto"/>
        </w:rPr>
      </w:pPr>
      <w:r>
        <w:rPr>
          <w:rFonts w:ascii="Arial" w:cs="Arial" w:eastAsia="Arial" w:hAnsi="Arial"/>
          <w:sz w:val="19"/>
          <w:szCs w:val="19"/>
          <w:color w:val="auto"/>
        </w:rPr>
        <w:t>Purchaser, and counter-parties in “derivative” transactions to which the Purchaser is a party, directly or indirectly, may presently have a “short” position in the Common Stock and (iv) Purchaser shall not be deemed to have any affiliation with or control over any arm’s length counter-party in any “derivative” transaction. The Company further understands and acknowledges that (y) the Purchaser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1" w:lineRule="exact"/>
        <w:rPr>
          <w:rFonts w:ascii="Arial" w:cs="Arial" w:eastAsia="Arial" w:hAnsi="Arial"/>
          <w:sz w:val="19"/>
          <w:szCs w:val="19"/>
          <w:color w:val="auto"/>
        </w:rPr>
      </w:pPr>
    </w:p>
    <w:p>
      <w:pPr>
        <w:jc w:val="both"/>
        <w:ind w:right="499" w:firstLine="1305"/>
        <w:spacing w:after="0" w:line="273" w:lineRule="auto"/>
        <w:tabs>
          <w:tab w:leader="none" w:pos="1918"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Regulation M Compliance</w:t>
      </w:r>
      <w:r>
        <w:rPr>
          <w:rFonts w:ascii="Arial" w:cs="Arial" w:eastAsia="Arial" w:hAnsi="Arial"/>
          <w:sz w:val="19"/>
          <w:szCs w:val="19"/>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w:t>
      </w:r>
    </w:p>
    <w:p>
      <w:pPr>
        <w:spacing w:after="0" w:line="1" w:lineRule="exact"/>
        <w:rPr>
          <w:rFonts w:ascii="Arial" w:cs="Arial" w:eastAsia="Arial" w:hAnsi="Arial"/>
          <w:sz w:val="19"/>
          <w:szCs w:val="19"/>
          <w:color w:val="auto"/>
        </w:rPr>
      </w:pPr>
    </w:p>
    <w:p>
      <w:pPr>
        <w:ind w:left="360" w:hanging="352"/>
        <w:spacing w:after="0"/>
        <w:tabs>
          <w:tab w:leader="none" w:pos="3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sold, bid for, purchased, or paid any compensation for soliciting purchases of, any of the Securities, or</w:t>
      </w:r>
    </w:p>
    <w:p>
      <w:pPr>
        <w:spacing w:after="0" w:line="24" w:lineRule="exact"/>
        <w:rPr>
          <w:rFonts w:ascii="Arial" w:cs="Arial" w:eastAsia="Arial" w:hAnsi="Arial"/>
          <w:sz w:val="19"/>
          <w:szCs w:val="19"/>
          <w:color w:val="auto"/>
        </w:rPr>
      </w:pPr>
    </w:p>
    <w:p>
      <w:pPr>
        <w:jc w:val="both"/>
        <w:ind w:right="479" w:firstLine="8"/>
        <w:spacing w:after="0" w:line="234" w:lineRule="auto"/>
        <w:tabs>
          <w:tab w:leader="none" w:pos="3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214" w:lineRule="exact"/>
        <w:rPr>
          <w:sz w:val="20"/>
          <w:szCs w:val="20"/>
          <w:color w:val="auto"/>
        </w:rPr>
      </w:pPr>
    </w:p>
    <w:p>
      <w:pPr>
        <w:jc w:val="both"/>
        <w:ind w:right="479" w:firstLine="1305"/>
        <w:spacing w:after="0" w:line="268" w:lineRule="auto"/>
        <w:tabs>
          <w:tab w:leader="none" w:pos="1918"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FDA</w:t>
      </w:r>
      <w:r>
        <w:rPr>
          <w:rFonts w:ascii="Arial" w:cs="Arial" w:eastAsia="Arial" w:hAnsi="Arial"/>
          <w:sz w:val="19"/>
          <w:szCs w:val="19"/>
          <w:color w:val="auto"/>
        </w:rPr>
        <w:t>. As to each product subject to the jurisdiction of the U.S. Food and Drug Administration (“</w:t>
      </w:r>
      <w:r>
        <w:rPr>
          <w:rFonts w:ascii="Arial" w:cs="Arial" w:eastAsia="Arial" w:hAnsi="Arial"/>
          <w:sz w:val="19"/>
          <w:szCs w:val="19"/>
          <w:u w:val="single" w:color="auto"/>
          <w:color w:val="auto"/>
        </w:rPr>
        <w:t>FDA</w:t>
      </w:r>
      <w:r>
        <w:rPr>
          <w:rFonts w:ascii="Arial" w:cs="Arial" w:eastAsia="Arial" w:hAnsi="Arial"/>
          <w:sz w:val="19"/>
          <w:szCs w:val="19"/>
          <w:color w:val="auto"/>
        </w:rPr>
        <w:t>”) under the Federal Food, Drug and Cosmetic Act, as amended, and the regulations thereunder (“</w:t>
      </w:r>
      <w:r>
        <w:rPr>
          <w:rFonts w:ascii="Arial" w:cs="Arial" w:eastAsia="Arial" w:hAnsi="Arial"/>
          <w:sz w:val="19"/>
          <w:szCs w:val="19"/>
          <w:u w:val="single" w:color="auto"/>
          <w:color w:val="auto"/>
        </w:rPr>
        <w:t>FDCA</w:t>
      </w:r>
      <w:r>
        <w:rPr>
          <w:rFonts w:ascii="Arial" w:cs="Arial" w:eastAsia="Arial" w:hAnsi="Arial"/>
          <w:sz w:val="19"/>
          <w:szCs w:val="19"/>
          <w:color w:val="auto"/>
        </w:rPr>
        <w:t>”) that is manufactured, packaged, labeled, tested, distributed, sold, and/or marketed by the Company or any of its Subsidiaries (each such product, a “</w:t>
      </w:r>
      <w:r>
        <w:rPr>
          <w:rFonts w:ascii="Arial" w:cs="Arial" w:eastAsia="Arial" w:hAnsi="Arial"/>
          <w:sz w:val="19"/>
          <w:szCs w:val="19"/>
          <w:u w:val="single" w:color="auto"/>
          <w:color w:val="auto"/>
        </w:rPr>
        <w:t>Pharmaceutical Product</w:t>
      </w:r>
      <w:r>
        <w:rPr>
          <w:rFonts w:ascii="Arial" w:cs="Arial" w:eastAsia="Arial" w:hAnsi="Arial"/>
          <w:sz w:val="19"/>
          <w:szCs w:val="19"/>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w:t>
      </w:r>
    </w:p>
    <w:p>
      <w:pPr>
        <w:spacing w:after="0" w:line="6" w:lineRule="exact"/>
        <w:rPr>
          <w:rFonts w:ascii="Arial" w:cs="Arial" w:eastAsia="Arial" w:hAnsi="Arial"/>
          <w:sz w:val="19"/>
          <w:szCs w:val="19"/>
          <w:color w:val="auto"/>
        </w:rPr>
      </w:pPr>
    </w:p>
    <w:p>
      <w:pPr>
        <w:jc w:val="both"/>
        <w:ind w:right="479" w:firstLine="8"/>
        <w:spacing w:after="0" w:line="270" w:lineRule="auto"/>
        <w:tabs>
          <w:tab w:leader="none" w:pos="275" w:val="left"/>
        </w:tabs>
        <w:numPr>
          <w:ilvl w:val="0"/>
          <w:numId w:val="86"/>
        </w:numPr>
        <w:rPr>
          <w:rFonts w:ascii="Arial" w:cs="Arial" w:eastAsia="Arial" w:hAnsi="Arial"/>
          <w:sz w:val="19"/>
          <w:szCs w:val="19"/>
          <w:color w:val="auto"/>
        </w:rPr>
      </w:pPr>
      <w:r>
        <w:rPr>
          <w:rFonts w:ascii="Arial" w:cs="Arial" w:eastAsia="Arial" w:hAnsi="Arial"/>
          <w:sz w:val="19"/>
          <w:szCs w:val="19"/>
          <w:color w:val="auto"/>
        </w:rPr>
        <w:t>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87" w:lineRule="exact"/>
        <w:rPr>
          <w:rFonts w:ascii="Arial" w:cs="Arial" w:eastAsia="Arial" w:hAnsi="Arial"/>
          <w:sz w:val="19"/>
          <w:szCs w:val="19"/>
          <w:color w:val="auto"/>
        </w:rPr>
      </w:pPr>
    </w:p>
    <w:p>
      <w:pPr>
        <w:jc w:val="both"/>
        <w:ind w:right="479" w:firstLine="1305"/>
        <w:spacing w:after="0" w:line="275" w:lineRule="auto"/>
        <w:tabs>
          <w:tab w:leader="none" w:pos="1918"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Stock Option Plans</w:t>
      </w:r>
      <w:r>
        <w:rPr>
          <w:rFonts w:ascii="Arial" w:cs="Arial" w:eastAsia="Arial" w:hAnsi="Arial"/>
          <w:sz w:val="19"/>
          <w:szCs w:val="19"/>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5" w:lineRule="exact"/>
        <w:rPr>
          <w:rFonts w:ascii="Arial" w:cs="Arial" w:eastAsia="Arial" w:hAnsi="Arial"/>
          <w:sz w:val="19"/>
          <w:szCs w:val="19"/>
          <w:color w:val="auto"/>
        </w:rPr>
      </w:pPr>
    </w:p>
    <w:p>
      <w:pPr>
        <w:jc w:val="both"/>
        <w:ind w:right="499" w:firstLine="1305"/>
        <w:spacing w:after="0" w:line="238" w:lineRule="auto"/>
        <w:tabs>
          <w:tab w:leader="none" w:pos="1918"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Office of Foreign Assets Control</w:t>
      </w:r>
      <w:r>
        <w:rPr>
          <w:rFonts w:ascii="Arial" w:cs="Arial" w:eastAsia="Arial" w:hAnsi="Arial"/>
          <w:sz w:val="22"/>
          <w:szCs w:val="22"/>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22"/>
          <w:szCs w:val="22"/>
          <w:u w:val="single" w:color="auto"/>
          <w:color w:val="auto"/>
        </w:rPr>
        <w:t>OFAC</w:t>
      </w:r>
      <w:r>
        <w:rPr>
          <w:rFonts w:ascii="Arial" w:cs="Arial" w:eastAsia="Arial" w:hAnsi="Arial"/>
          <w:sz w:val="22"/>
          <w:szCs w:val="22"/>
          <w:color w:val="auto"/>
        </w:rPr>
        <w:t>”).</w:t>
      </w:r>
    </w:p>
    <w:p>
      <w:pPr>
        <w:sectPr>
          <w:pgSz w:w="11900" w:h="16838" w:orient="portrait"/>
          <w:cols w:equalWidth="0" w:num="1">
            <w:col w:w="10219"/>
          </w:cols>
          <w:pgMar w:left="240" w:top="361" w:right="1440" w:bottom="0" w:gutter="0" w:footer="0" w:header="0"/>
        </w:sectPr>
      </w:pPr>
    </w:p>
    <w:bookmarkStart w:id="85" w:name="page86"/>
    <w:bookmarkEnd w:id="85"/>
    <w:p>
      <w:pPr>
        <w:ind w:left="356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432435</wp:posOffset>
            </wp:positionV>
            <wp:extent cx="6174740"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86" w:name="page87"/>
    <w:bookmarkEnd w:id="86"/>
    <w:p>
      <w:pPr>
        <w:jc w:val="both"/>
        <w:ind w:right="499" w:firstLine="1305"/>
        <w:spacing w:after="0"/>
        <w:tabs>
          <w:tab w:leader="none" w:pos="191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Real Property Holding Corporation</w:t>
      </w:r>
      <w:r>
        <w:rPr>
          <w:rFonts w:ascii="Arial" w:cs="Arial" w:eastAsia="Arial" w:hAnsi="Arial"/>
          <w:sz w:val="22"/>
          <w:szCs w:val="22"/>
          <w:color w:val="auto"/>
        </w:rPr>
        <w:t>. The Company is not and has never been a U.S. real property holding corporation within the meaning of Section 897 of the Internal Revenue Code of 1986, as amended, and the Company shall so certify upon Purchaser’s request.</w:t>
      </w:r>
    </w:p>
    <w:p>
      <w:pPr>
        <w:spacing w:after="0" w:line="213" w:lineRule="exact"/>
        <w:rPr>
          <w:rFonts w:ascii="Arial" w:cs="Arial" w:eastAsia="Arial" w:hAnsi="Arial"/>
          <w:sz w:val="22"/>
          <w:szCs w:val="22"/>
          <w:color w:val="auto"/>
        </w:rPr>
      </w:pPr>
    </w:p>
    <w:p>
      <w:pPr>
        <w:jc w:val="both"/>
        <w:ind w:right="499" w:firstLine="1305"/>
        <w:spacing w:after="0" w:line="275" w:lineRule="auto"/>
        <w:tabs>
          <w:tab w:leader="none" w:pos="1918"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Bank Holding Company Act</w:t>
      </w:r>
      <w:r>
        <w:rPr>
          <w:rFonts w:ascii="Arial" w:cs="Arial" w:eastAsia="Arial" w:hAnsi="Arial"/>
          <w:sz w:val="19"/>
          <w:szCs w:val="19"/>
          <w:color w:val="auto"/>
        </w:rPr>
        <w:t>. Neither the Company nor any of its Subsidiaries or Affiliates is subject to the Bank Holding Company Act of 1956, as amended (the “</w:t>
      </w:r>
      <w:r>
        <w:rPr>
          <w:rFonts w:ascii="Arial" w:cs="Arial" w:eastAsia="Arial" w:hAnsi="Arial"/>
          <w:sz w:val="19"/>
          <w:szCs w:val="19"/>
          <w:u w:val="single" w:color="auto"/>
          <w:color w:val="auto"/>
        </w:rPr>
        <w:t>BHCA</w:t>
      </w:r>
      <w:r>
        <w:rPr>
          <w:rFonts w:ascii="Arial" w:cs="Arial" w:eastAsia="Arial" w:hAnsi="Arial"/>
          <w:sz w:val="19"/>
          <w:szCs w:val="19"/>
          <w:color w:val="auto"/>
        </w:rPr>
        <w:t>”) and to regulation by the Board of Governors of the Federal Reserve System (the “</w:t>
      </w:r>
      <w:r>
        <w:rPr>
          <w:rFonts w:ascii="Arial" w:cs="Arial" w:eastAsia="Arial" w:hAnsi="Arial"/>
          <w:sz w:val="19"/>
          <w:szCs w:val="19"/>
          <w:u w:val="single" w:color="auto"/>
          <w:color w:val="auto"/>
        </w:rPr>
        <w:t>Federal Reserve</w:t>
      </w:r>
      <w:r>
        <w:rPr>
          <w:rFonts w:ascii="Arial" w:cs="Arial" w:eastAsia="Arial" w:hAnsi="Arial"/>
          <w:sz w:val="19"/>
          <w:szCs w:val="19"/>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5" w:lineRule="exact"/>
        <w:rPr>
          <w:rFonts w:ascii="Arial" w:cs="Arial" w:eastAsia="Arial" w:hAnsi="Arial"/>
          <w:sz w:val="19"/>
          <w:szCs w:val="19"/>
          <w:color w:val="auto"/>
        </w:rPr>
      </w:pPr>
    </w:p>
    <w:p>
      <w:pPr>
        <w:jc w:val="both"/>
        <w:ind w:right="499" w:firstLine="1305"/>
        <w:spacing w:after="0" w:line="247" w:lineRule="auto"/>
        <w:tabs>
          <w:tab w:leader="none" w:pos="1918"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Money Laundering</w:t>
      </w:r>
      <w:r>
        <w:rPr>
          <w:rFonts w:ascii="Arial" w:cs="Arial" w:eastAsia="Arial" w:hAnsi="Arial"/>
          <w:sz w:val="21"/>
          <w:szCs w:val="21"/>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21"/>
          <w:szCs w:val="21"/>
          <w:u w:val="single" w:color="auto"/>
          <w:color w:val="auto"/>
        </w:rPr>
        <w:t>Money Laundering Laws</w:t>
      </w:r>
      <w:r>
        <w:rPr>
          <w:rFonts w:ascii="Arial" w:cs="Arial" w:eastAsia="Arial" w:hAnsi="Arial"/>
          <w:sz w:val="21"/>
          <w:szCs w:val="21"/>
          <w:color w:val="auto"/>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205" w:lineRule="exact"/>
        <w:rPr>
          <w:sz w:val="20"/>
          <w:szCs w:val="20"/>
          <w:color w:val="auto"/>
        </w:rPr>
      </w:pPr>
    </w:p>
    <w:p>
      <w:pPr>
        <w:jc w:val="both"/>
        <w:ind w:right="499" w:firstLine="648"/>
        <w:spacing w:after="0" w:line="328"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Representations and Warranties of the Purchasers</w:t>
      </w:r>
      <w:r>
        <w:rPr>
          <w:rFonts w:ascii="Arial" w:cs="Arial" w:eastAsia="Arial" w:hAnsi="Arial"/>
          <w:sz w:val="19"/>
          <w:szCs w:val="19"/>
          <w:color w:val="auto"/>
        </w:rPr>
        <w:t>. The Purchaser hereby represents and warrants as of the date hereof and as of the Closing Date to the Company as follows (unless as of a specific date therein):</w:t>
      </w:r>
    </w:p>
    <w:p>
      <w:pPr>
        <w:spacing w:after="0" w:line="132" w:lineRule="exact"/>
        <w:rPr>
          <w:sz w:val="20"/>
          <w:szCs w:val="20"/>
          <w:color w:val="auto"/>
        </w:rPr>
      </w:pPr>
    </w:p>
    <w:p>
      <w:pPr>
        <w:jc w:val="both"/>
        <w:ind w:right="479" w:firstLine="1305"/>
        <w:spacing w:after="0" w:line="272" w:lineRule="auto"/>
        <w:tabs>
          <w:tab w:leader="none" w:pos="191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Organization; Authority</w:t>
      </w:r>
      <w:r>
        <w:rPr>
          <w:rFonts w:ascii="Arial" w:cs="Arial" w:eastAsia="Arial" w:hAnsi="Arial"/>
          <w:sz w:val="19"/>
          <w:szCs w:val="19"/>
          <w:color w:val="auto"/>
        </w:rPr>
        <w:t>. The Purchaser is an entity duly incorporated or formed, validly existing and in good standing under the laws of the jurisdiction of its formation with full right power and authority to enter into and to consummate the transactions contemplated by the Transaction Documents and otherwise to carry out its obligations hereunder and thereunder. The execution and delivery of the Transaction Documents and performance by the Purchaser of the transactions contemplated by the Transaction Documents have been duly authorized by all necessary limited liability company action on the part of the Purchaser. Each Transaction Document to which it is a party has been duly executed by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4" w:lineRule="exact"/>
        <w:rPr>
          <w:rFonts w:ascii="Arial" w:cs="Arial" w:eastAsia="Arial" w:hAnsi="Arial"/>
          <w:sz w:val="19"/>
          <w:szCs w:val="19"/>
          <w:color w:val="auto"/>
        </w:rPr>
      </w:pPr>
    </w:p>
    <w:p>
      <w:pPr>
        <w:jc w:val="both"/>
        <w:ind w:right="479" w:firstLine="1305"/>
        <w:spacing w:after="0" w:line="273" w:lineRule="auto"/>
        <w:tabs>
          <w:tab w:leader="none" w:pos="191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Own Account</w:t>
      </w:r>
      <w:r>
        <w:rPr>
          <w:rFonts w:ascii="Arial" w:cs="Arial" w:eastAsia="Arial" w:hAnsi="Arial"/>
          <w:sz w:val="19"/>
          <w:szCs w:val="19"/>
          <w:color w:val="auto"/>
        </w:rPr>
        <w:t>.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Purchaser’s right to sell the Securities pursuant to the Registration Statement or otherwise in compliance with applicable federal and state securities laws). Purchaser is acquiring the Securities hereunder in the ordinary course of its business.</w:t>
      </w:r>
    </w:p>
    <w:p>
      <w:pPr>
        <w:spacing w:after="0" w:line="188" w:lineRule="exact"/>
        <w:rPr>
          <w:rFonts w:ascii="Arial" w:cs="Arial" w:eastAsia="Arial" w:hAnsi="Arial"/>
          <w:sz w:val="19"/>
          <w:szCs w:val="19"/>
          <w:color w:val="auto"/>
        </w:rPr>
      </w:pPr>
    </w:p>
    <w:p>
      <w:pPr>
        <w:jc w:val="both"/>
        <w:ind w:right="479" w:firstLine="1305"/>
        <w:spacing w:after="0" w:line="249" w:lineRule="auto"/>
        <w:tabs>
          <w:tab w:leader="none" w:pos="1918"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Purchaser Status</w:t>
      </w:r>
      <w:r>
        <w:rPr>
          <w:rFonts w:ascii="Arial" w:cs="Arial" w:eastAsia="Arial" w:hAnsi="Arial"/>
          <w:sz w:val="21"/>
          <w:szCs w:val="21"/>
          <w:color w:val="auto"/>
        </w:rPr>
        <w:t>. At the time Purchaser was offered the Securities, it was, and as of the date hereof it is, and on each date on which it converts the Preferred Shares, it will be either: (i) an “accredited investor” as defined in Rule 501(a)(1), (a)(2), (a)(3), (a)(7) or (a)(8) under the Securities Act or (ii) a “qualified institutional buyer” as defined in Rule 144A(a) under the Securities Act. Purchaser is not required to be registered as a broker-dealer under Section 15 of the Exchange Act.</w:t>
      </w:r>
    </w:p>
    <w:p>
      <w:pPr>
        <w:spacing w:after="0" w:line="205" w:lineRule="exact"/>
        <w:rPr>
          <w:rFonts w:ascii="Arial" w:cs="Arial" w:eastAsia="Arial" w:hAnsi="Arial"/>
          <w:sz w:val="21"/>
          <w:szCs w:val="21"/>
          <w:color w:val="auto"/>
        </w:rPr>
      </w:pPr>
    </w:p>
    <w:p>
      <w:pPr>
        <w:jc w:val="both"/>
        <w:ind w:right="479" w:firstLine="1305"/>
        <w:spacing w:after="0" w:line="282" w:lineRule="auto"/>
        <w:tabs>
          <w:tab w:leader="none" w:pos="191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Experience of Purchaser</w:t>
      </w:r>
      <w:r>
        <w:rPr>
          <w:rFonts w:ascii="Arial" w:cs="Arial" w:eastAsia="Arial" w:hAnsi="Arial"/>
          <w:sz w:val="19"/>
          <w:szCs w:val="19"/>
          <w:color w:val="auto"/>
        </w:rPr>
        <w:t>.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Purchaser is able to bear the economic risk of an investment in the Securities and, at the present time, is able to afford a complete loss of such investment.</w:t>
      </w:r>
    </w:p>
    <w:p>
      <w:pPr>
        <w:spacing w:after="0" w:line="174" w:lineRule="exact"/>
        <w:rPr>
          <w:rFonts w:ascii="Arial" w:cs="Arial" w:eastAsia="Arial" w:hAnsi="Arial"/>
          <w:sz w:val="19"/>
          <w:szCs w:val="19"/>
          <w:color w:val="auto"/>
        </w:rPr>
      </w:pPr>
    </w:p>
    <w:p>
      <w:pPr>
        <w:jc w:val="both"/>
        <w:ind w:right="479" w:firstLine="1305"/>
        <w:spacing w:after="0" w:line="238" w:lineRule="auto"/>
        <w:tabs>
          <w:tab w:leader="none" w:pos="191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General Solicitation</w:t>
      </w:r>
      <w:r>
        <w:rPr>
          <w:rFonts w:ascii="Arial" w:cs="Arial" w:eastAsia="Arial" w:hAnsi="Arial"/>
          <w:sz w:val="22"/>
          <w:szCs w:val="22"/>
          <w:color w:val="auto"/>
        </w:rPr>
        <w:t>. Purchaser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p>
      <w:pPr>
        <w:sectPr>
          <w:pgSz w:w="11900" w:h="16838" w:orient="portrait"/>
          <w:cols w:equalWidth="0" w:num="1">
            <w:col w:w="10219"/>
          </w:cols>
          <w:pgMar w:left="240" w:top="361" w:right="1440" w:bottom="80" w:gutter="0" w:footer="0" w:header="0"/>
        </w:sectPr>
      </w:pPr>
    </w:p>
    <w:bookmarkStart w:id="87" w:name="page88"/>
    <w:bookmarkEnd w:id="87"/>
    <w:p>
      <w:pPr>
        <w:ind w:left="356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432435</wp:posOffset>
            </wp:positionV>
            <wp:extent cx="6174740" cy="94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8" w:name="page89"/>
    <w:bookmarkEnd w:id="88"/>
    <w:p>
      <w:pPr>
        <w:jc w:val="both"/>
        <w:ind w:right="479" w:firstLine="1305"/>
        <w:spacing w:after="0" w:line="273" w:lineRule="auto"/>
        <w:tabs>
          <w:tab w:leader="none" w:pos="1918"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Certain Transactions and Confidentiality</w:t>
      </w:r>
      <w:r>
        <w:rPr>
          <w:rFonts w:ascii="Arial" w:cs="Arial" w:eastAsia="Arial" w:hAnsi="Arial"/>
          <w:sz w:val="19"/>
          <w:szCs w:val="19"/>
          <w:color w:val="auto"/>
        </w:rPr>
        <w:t>. Other than consummating the transactions contemplated hereunder, Purchaser has not directly or indirectly, nor has any Person acting on behalf of or pursuant to any understanding with Purchaser, executed any purchases or sales, including Short Sales, of the securities of the Company during the period commencing as of the time that Purchaser first received a term sheet (written or oral) from the Company or any other Person representing the Company setting forth the material terms of the transactions contemplated hereunder and ending immediately prior to the execution hereof. Other than to other Persons party to this Agreement,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83" w:lineRule="exact"/>
        <w:rPr>
          <w:sz w:val="20"/>
          <w:szCs w:val="20"/>
          <w:color w:val="auto"/>
        </w:rPr>
      </w:pPr>
    </w:p>
    <w:p>
      <w:pPr>
        <w:jc w:val="both"/>
        <w:ind w:right="499"/>
        <w:spacing w:after="0" w:line="236" w:lineRule="auto"/>
        <w:rPr>
          <w:sz w:val="20"/>
          <w:szCs w:val="20"/>
          <w:color w:val="auto"/>
        </w:rPr>
      </w:pPr>
      <w:r>
        <w:rPr>
          <w:rFonts w:ascii="Arial" w:cs="Arial" w:eastAsia="Arial" w:hAnsi="Arial"/>
          <w:sz w:val="22"/>
          <w:szCs w:val="22"/>
          <w:color w:val="auto"/>
        </w:rPr>
        <w:t>The Company acknowledges and agrees that the representations contained in Section 3.2 shall not modify, amend or affect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spacing w:after="0" w:line="209"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OTHER AGREEMENTS OF THE PARTIES</w:t>
      </w:r>
    </w:p>
    <w:p>
      <w:pPr>
        <w:spacing w:after="0" w:line="21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Transfer Restrictions</w:t>
      </w:r>
      <w:r>
        <w:rPr>
          <w:rFonts w:ascii="Arial" w:cs="Arial" w:eastAsia="Arial" w:hAnsi="Arial"/>
          <w:sz w:val="19"/>
          <w:szCs w:val="19"/>
          <w:color w:val="auto"/>
        </w:rPr>
        <w:t>.</w:t>
      </w:r>
    </w:p>
    <w:p>
      <w:pPr>
        <w:spacing w:after="0" w:line="233" w:lineRule="exact"/>
        <w:rPr>
          <w:sz w:val="20"/>
          <w:szCs w:val="20"/>
          <w:color w:val="auto"/>
        </w:rPr>
      </w:pPr>
    </w:p>
    <w:p>
      <w:pPr>
        <w:jc w:val="both"/>
        <w:ind w:right="479" w:firstLine="1305"/>
        <w:spacing w:after="0" w:line="245" w:lineRule="auto"/>
        <w:tabs>
          <w:tab w:leader="none" w:pos="1918"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Securities may only be disposed of in compliance with state and federal securities laws. In connection with any transfer of Securities other than pursuant to an effective registration statement or Rule 144, to the Company or to an Affiliate of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and obligations of Purchaser under this Agreement.</w:t>
      </w:r>
    </w:p>
    <w:p>
      <w:pPr>
        <w:spacing w:after="0" w:line="212" w:lineRule="exact"/>
        <w:rPr>
          <w:rFonts w:ascii="Arial" w:cs="Arial" w:eastAsia="Arial" w:hAnsi="Arial"/>
          <w:sz w:val="21"/>
          <w:szCs w:val="21"/>
          <w:color w:val="auto"/>
        </w:rPr>
      </w:pPr>
    </w:p>
    <w:p>
      <w:pPr>
        <w:ind w:right="499" w:firstLine="1305"/>
        <w:spacing w:after="0" w:line="251" w:lineRule="auto"/>
        <w:tabs>
          <w:tab w:leader="none" w:pos="1918" w:val="left"/>
        </w:tabs>
        <w:numPr>
          <w:ilvl w:val="0"/>
          <w:numId w:val="90"/>
        </w:numPr>
        <w:rPr>
          <w:rFonts w:ascii="Arial" w:cs="Arial" w:eastAsia="Arial" w:hAnsi="Arial"/>
          <w:sz w:val="22"/>
          <w:szCs w:val="22"/>
          <w:color w:val="auto"/>
        </w:rPr>
      </w:pPr>
      <w:r>
        <w:rPr>
          <w:rFonts w:ascii="Arial" w:cs="Arial" w:eastAsia="Arial" w:hAnsi="Arial"/>
          <w:sz w:val="22"/>
          <w:szCs w:val="22"/>
          <w:color w:val="auto"/>
        </w:rPr>
        <w:t>Purchaser agrees to the imprinting, so long as is required by this Section 4.1, of a legend on any of the Securities in the following form:</w:t>
      </w:r>
    </w:p>
    <w:p>
      <w:pPr>
        <w:spacing w:after="0" w:line="200" w:lineRule="exact"/>
        <w:rPr>
          <w:sz w:val="20"/>
          <w:szCs w:val="20"/>
          <w:color w:val="auto"/>
        </w:rPr>
      </w:pPr>
    </w:p>
    <w:p>
      <w:pPr>
        <w:jc w:val="both"/>
        <w:ind w:right="479"/>
        <w:spacing w:after="0" w:line="233" w:lineRule="auto"/>
        <w:rPr>
          <w:sz w:val="20"/>
          <w:szCs w:val="20"/>
          <w:color w:val="auto"/>
        </w:rPr>
      </w:pPr>
      <w:r>
        <w:rPr>
          <w:rFonts w:ascii="Arial" w:cs="Arial" w:eastAsia="Arial" w:hAnsi="Arial"/>
          <w:sz w:val="22"/>
          <w:szCs w:val="22"/>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w:t>
      </w:r>
    </w:p>
    <w:p>
      <w:pPr>
        <w:spacing w:after="0" w:line="218" w:lineRule="exact"/>
        <w:rPr>
          <w:sz w:val="20"/>
          <w:szCs w:val="20"/>
          <w:color w:val="auto"/>
        </w:rPr>
      </w:pPr>
    </w:p>
    <w:p>
      <w:pPr>
        <w:jc w:val="both"/>
        <w:ind w:right="479" w:firstLine="648"/>
        <w:spacing w:after="0" w:line="272" w:lineRule="auto"/>
        <w:rPr>
          <w:sz w:val="20"/>
          <w:szCs w:val="20"/>
          <w:color w:val="auto"/>
        </w:rPr>
      </w:pPr>
      <w:r>
        <w:rPr>
          <w:rFonts w:ascii="Arial" w:cs="Arial" w:eastAsia="Arial" w:hAnsi="Arial"/>
          <w:sz w:val="19"/>
          <w:szCs w:val="19"/>
          <w:color w:val="auto"/>
        </w:rPr>
        <w:t>The Company acknowledges and agrees that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who agrees to be bound by the provisions of this Agreement and, if required under the terms of such arrangement,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Purchaser’s expense, the Company will execute and deliver such reasonable documentation as a pledgee or secured party of Securities may reasonably request in connection with a pledge or transfer of the Securities, including, if applicable, the preparation and filing of any required prospectus supplement under Rule 424(b)(3) under the Securities Act or other applicable provision of the Securities Act to appropriately amend the list of selling stockholders thereunder.</w:t>
      </w:r>
    </w:p>
    <w:p>
      <w:pPr>
        <w:sectPr>
          <w:pgSz w:w="11900" w:h="16838" w:orient="portrait"/>
          <w:cols w:equalWidth="0" w:num="1">
            <w:col w:w="10219"/>
          </w:cols>
          <w:pgMar w:left="240" w:top="361" w:right="1440" w:bottom="865"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47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617474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361" w:right="1440" w:bottom="865" w:gutter="0" w:footer="0" w:header="0"/>
          <w:type w:val="continuous"/>
        </w:sectPr>
      </w:pPr>
    </w:p>
    <w:bookmarkStart w:id="89" w:name="page90"/>
    <w:bookmarkEnd w:id="89"/>
    <w:p>
      <w:pPr>
        <w:jc w:val="both"/>
        <w:ind w:left="-660" w:right="479" w:firstLine="1305"/>
        <w:spacing w:after="0" w:line="269" w:lineRule="auto"/>
        <w:tabs>
          <w:tab w:leader="none" w:pos="1258" w:val="left"/>
        </w:tabs>
        <w:numPr>
          <w:ilvl w:val="0"/>
          <w:numId w:val="91"/>
        </w:numPr>
        <w:rPr>
          <w:rFonts w:ascii="Arial" w:cs="Arial" w:eastAsia="Arial" w:hAnsi="Arial"/>
          <w:sz w:val="19"/>
          <w:szCs w:val="19"/>
          <w:color w:val="auto"/>
        </w:rPr>
      </w:pPr>
      <w:r>
        <w:rPr>
          <w:rFonts w:ascii="Arial" w:cs="Arial" w:eastAsia="Arial" w:hAnsi="Arial"/>
          <w:sz w:val="19"/>
          <w:szCs w:val="19"/>
          <w:color w:val="auto"/>
        </w:rPr>
        <w:t>Certificates evidencing the Securities shall not contain any legend (including the legend set forth in Section 4.1(b) hereof), (i) while a registration statement covering the resale of such Securities is effective under the Securities Act, (ii) following any sale of such Securities, (iii) if such Securities are eligible for sale under Rule 144, without the requirement for the Company to be in compliance with the current public information required under Rule 144 as to such Conversion Shares and without volume or manner-of-sale restrictions, or (iv) if such legend is not required under applicable requirements of the Securities Act (including judicial interpretations and pronouncements issued by the staff of the Commission). In such case, the Company shall cause its counsel to issue a legal opinion to the Transfer Agent promptly after the Effective Date if required by the Transfer Agent to effect the removal of the legend hereunder. If all or any portion of the Preferred Shares are converted at a time when there is an effective registration statement to cover the resale of the Conversion Shares, or if such Conversion Shares may be sold under Rule 144 and the Company is then in compliance with the current public information required under Rule 144, or if the Conversion Shares may be sold under Rule 144 without the requirement for the Company to be in compliance with the current public information required under Rule 144 as to such Conversion Shares or if such legend is not otherwise required under applicable requirements of the Securities Act (including judicial interpretations and pronouncements issued by the staff of the Commission) then such Conversion Shares shall be issued free of all legends. The Company agrees that at such time as such legend is no longer required under this Section 4.1(c), it will, no later than three Trading Days following the delivery by Purchaser to the Company or the Transfer Agent of a certificate representing Conversion Shares issued with a restrictive legend (such third Trading Day, the “</w:t>
      </w:r>
      <w:r>
        <w:rPr>
          <w:rFonts w:ascii="Arial" w:cs="Arial" w:eastAsia="Arial" w:hAnsi="Arial"/>
          <w:sz w:val="19"/>
          <w:szCs w:val="19"/>
          <w:u w:val="single" w:color="auto"/>
          <w:color w:val="auto"/>
        </w:rPr>
        <w:t>Legend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Removal Date</w:t>
      </w:r>
      <w:r>
        <w:rPr>
          <w:rFonts w:ascii="Arial" w:cs="Arial" w:eastAsia="Arial" w:hAnsi="Arial"/>
          <w:sz w:val="19"/>
          <w:szCs w:val="19"/>
          <w:color w:val="auto"/>
        </w:rPr>
        <w:t>”), deliver or cause to be delivered to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Securities subject to legend removal hereunder may be transmitted by the Transfer Agent to the Purchaser by crediting the account of the Purchaser’s prime broker with the Depository Trust Company System as directed by Purchaser.</w:t>
      </w:r>
    </w:p>
    <w:p>
      <w:pPr>
        <w:spacing w:after="0" w:line="200" w:lineRule="exact"/>
        <w:rPr>
          <w:rFonts w:ascii="Arial" w:cs="Arial" w:eastAsia="Arial" w:hAnsi="Arial"/>
          <w:sz w:val="19"/>
          <w:szCs w:val="19"/>
          <w:color w:val="auto"/>
        </w:rPr>
      </w:pPr>
    </w:p>
    <w:p>
      <w:pPr>
        <w:spacing w:after="0" w:line="243" w:lineRule="exact"/>
        <w:rPr>
          <w:rFonts w:ascii="Arial" w:cs="Arial" w:eastAsia="Arial" w:hAnsi="Arial"/>
          <w:sz w:val="19"/>
          <w:szCs w:val="19"/>
          <w:color w:val="auto"/>
        </w:rPr>
      </w:pPr>
    </w:p>
    <w:p>
      <w:pPr>
        <w:jc w:val="both"/>
        <w:ind w:left="-660" w:right="479" w:firstLine="1305"/>
        <w:spacing w:after="0" w:line="274" w:lineRule="auto"/>
        <w:tabs>
          <w:tab w:leader="none" w:pos="1258"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 addition to Purchaser’s other available remedies, the Company shall pay to Purchaser, in cash, as partial liquidated damages and not as a penalty, for each $1,000 of Conversion Shares (based on the VWAP of the Common Stock on the date such Securities are submitted to the Transfer Agent) delivered for removal of the restrictive legend and subject to Section 4.1(c), $10 per Trading Day (increasing to $20 per Trading Day five (5) Trading Days after such damages have begun to accrue) for each Trading Day after the Legend Removal Date until such certificate is delivered without a legend. Nothing herein shall limit Purchaser’s right to pursue actual damages for the Company’s failure to deliver certificates representing any Securities as required by the Transaction Documents, and Purchaser shall have the right to pursue all remedies available to it at law or in equity including, without limitation, a decree of specific performance and/or injunctive relief.</w:t>
      </w:r>
    </w:p>
    <w:p>
      <w:pPr>
        <w:spacing w:after="0" w:line="185" w:lineRule="exact"/>
        <w:rPr>
          <w:rFonts w:ascii="Arial" w:cs="Arial" w:eastAsia="Arial" w:hAnsi="Arial"/>
          <w:sz w:val="19"/>
          <w:szCs w:val="19"/>
          <w:color w:val="auto"/>
        </w:rPr>
      </w:pPr>
    </w:p>
    <w:p>
      <w:pPr>
        <w:jc w:val="both"/>
        <w:ind w:left="-660" w:right="499" w:firstLine="1305"/>
        <w:spacing w:after="0" w:line="248" w:lineRule="auto"/>
        <w:tabs>
          <w:tab w:leader="none" w:pos="1258" w:val="left"/>
        </w:tabs>
        <w:numPr>
          <w:ilvl w:val="0"/>
          <w:numId w:val="91"/>
        </w:numPr>
        <w:rPr>
          <w:rFonts w:ascii="Arial" w:cs="Arial" w:eastAsia="Arial" w:hAnsi="Arial"/>
          <w:sz w:val="21"/>
          <w:szCs w:val="21"/>
          <w:color w:val="auto"/>
        </w:rPr>
      </w:pPr>
      <w:r>
        <w:rPr>
          <w:rFonts w:ascii="Arial" w:cs="Arial" w:eastAsia="Arial" w:hAnsi="Arial"/>
          <w:sz w:val="21"/>
          <w:szCs w:val="21"/>
          <w:color w:val="auto"/>
        </w:rPr>
        <w:t>Purchaser agrees with the Company that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204" w:lineRule="exact"/>
        <w:rPr>
          <w:rFonts w:ascii="Arial" w:cs="Arial" w:eastAsia="Arial" w:hAnsi="Arial"/>
          <w:sz w:val="21"/>
          <w:szCs w:val="21"/>
          <w:color w:val="auto"/>
        </w:rPr>
      </w:pPr>
    </w:p>
    <w:p>
      <w:pPr>
        <w:jc w:val="both"/>
        <w:ind w:left="-660" w:right="499" w:firstLine="1305"/>
        <w:spacing w:after="0" w:line="248" w:lineRule="auto"/>
        <w:tabs>
          <w:tab w:leader="none" w:pos="1258" w:val="left"/>
        </w:tabs>
        <w:numPr>
          <w:ilvl w:val="0"/>
          <w:numId w:val="91"/>
        </w:numPr>
        <w:rPr>
          <w:rFonts w:ascii="Arial" w:cs="Arial" w:eastAsia="Arial" w:hAnsi="Arial"/>
          <w:sz w:val="21"/>
          <w:szCs w:val="21"/>
          <w:color w:val="auto"/>
        </w:rPr>
      </w:pPr>
      <w:r>
        <w:rPr>
          <w:rFonts w:ascii="Arial" w:cs="Arial" w:eastAsia="Arial" w:hAnsi="Arial"/>
          <w:sz w:val="21"/>
          <w:szCs w:val="21"/>
          <w:color w:val="auto"/>
        </w:rPr>
        <w:t xml:space="preserve">The Company is under no obligation to register the resale of the Securities under the Securities Act or any state securities laws;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Company consummates a Subsequent Financing, any and all registration rights applicable to Common Stock issued or issuable to investors in connection with such Subsequent Financing shall automatically, and with no further action by the Company or the Purchaser, be deemed to apply to the Conversion Shares and the Company shall take all actions and execute all documents necessary to effectuate the same.</w:t>
      </w:r>
    </w:p>
    <w:p>
      <w:pPr>
        <w:spacing w:after="0" w:line="204"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Furnishing of Information; Public Information</w:t>
      </w:r>
      <w:r>
        <w:rPr>
          <w:rFonts w:ascii="Arial" w:cs="Arial" w:eastAsia="Arial" w:hAnsi="Arial"/>
          <w:sz w:val="19"/>
          <w:szCs w:val="19"/>
          <w:color w:val="auto"/>
        </w:rPr>
        <w:t>.</w:t>
      </w:r>
    </w:p>
    <w:p>
      <w:pPr>
        <w:spacing w:after="0" w:line="233" w:lineRule="exact"/>
        <w:rPr>
          <w:sz w:val="20"/>
          <w:szCs w:val="20"/>
          <w:color w:val="auto"/>
        </w:rPr>
      </w:pPr>
    </w:p>
    <w:p>
      <w:pPr>
        <w:jc w:val="both"/>
        <w:ind w:left="-660" w:right="499" w:firstLine="1305"/>
        <w:spacing w:after="0" w:line="252" w:lineRule="auto"/>
        <w:tabs>
          <w:tab w:leader="none" w:pos="1258"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until such time as Purchaser owns no Securities.</w:t>
      </w:r>
    </w:p>
    <w:p>
      <w:pPr>
        <w:sectPr>
          <w:pgSz w:w="11900" w:h="16838" w:orient="portrait"/>
          <w:cols w:equalWidth="0" w:num="1">
            <w:col w:w="9559"/>
          </w:cols>
          <w:pgMar w:left="900" w:top="361"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13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432435</wp:posOffset>
            </wp:positionV>
            <wp:extent cx="6174740" cy="94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559"/>
          </w:cols>
          <w:pgMar w:left="900" w:top="361" w:right="1440" w:bottom="1440" w:gutter="0" w:footer="0" w:header="0"/>
          <w:type w:val="continuous"/>
        </w:sectPr>
      </w:pPr>
    </w:p>
    <w:bookmarkStart w:id="90" w:name="page91"/>
    <w:bookmarkEnd w:id="90"/>
    <w:p>
      <w:pPr>
        <w:jc w:val="both"/>
        <w:ind w:right="479" w:firstLine="1305"/>
        <w:spacing w:after="0" w:line="270" w:lineRule="auto"/>
        <w:tabs>
          <w:tab w:leader="none" w:pos="1918" w:val="left"/>
        </w:tabs>
        <w:numPr>
          <w:ilvl w:val="0"/>
          <w:numId w:val="93"/>
        </w:numPr>
        <w:rPr>
          <w:rFonts w:ascii="Arial" w:cs="Arial" w:eastAsia="Arial" w:hAnsi="Arial"/>
          <w:sz w:val="19"/>
          <w:szCs w:val="19"/>
          <w:color w:val="auto"/>
        </w:rPr>
      </w:pPr>
      <w:r>
        <w:rPr>
          <w:rFonts w:ascii="Arial" w:cs="Arial" w:eastAsia="Arial" w:hAnsi="Arial"/>
          <w:sz w:val="19"/>
          <w:szCs w:val="19"/>
          <w:color w:val="auto"/>
        </w:rPr>
        <w:t>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shall fail for any reason to satisfy the current public information requirement under Rule 144(c) (a “</w:t>
      </w:r>
      <w:r>
        <w:rPr>
          <w:rFonts w:ascii="Arial" w:cs="Arial" w:eastAsia="Arial" w:hAnsi="Arial"/>
          <w:sz w:val="19"/>
          <w:szCs w:val="19"/>
          <w:u w:val="single" w:color="auto"/>
          <w:color w:val="auto"/>
        </w:rPr>
        <w:t>Public Information Failure</w:t>
      </w:r>
      <w:r>
        <w:rPr>
          <w:rFonts w:ascii="Arial" w:cs="Arial" w:eastAsia="Arial" w:hAnsi="Arial"/>
          <w:sz w:val="19"/>
          <w:szCs w:val="19"/>
          <w:color w:val="auto"/>
        </w:rPr>
        <w:t>”) then, in addition to Purchaser’s other available remedies, the Company shall pay to Purchaser, in cash, as partial liquidated damages and not as a penalty, by reason of any such delay in or reduction of its ability to sell the Securities, an amount in cash equal to two percent (2.0%) of the aggregate</w:t>
      </w:r>
    </w:p>
    <w:p>
      <w:pPr>
        <w:spacing w:after="0" w:line="4" w:lineRule="exact"/>
        <w:rPr>
          <w:sz w:val="20"/>
          <w:szCs w:val="20"/>
          <w:color w:val="auto"/>
        </w:rPr>
      </w:pPr>
    </w:p>
    <w:p>
      <w:pPr>
        <w:jc w:val="both"/>
        <w:ind w:right="479"/>
        <w:spacing w:after="0" w:line="237" w:lineRule="auto"/>
        <w:rPr>
          <w:sz w:val="20"/>
          <w:szCs w:val="20"/>
          <w:color w:val="auto"/>
        </w:rPr>
      </w:pPr>
      <w:r>
        <w:rPr>
          <w:rFonts w:ascii="Arial" w:cs="Arial" w:eastAsia="Arial" w:hAnsi="Arial"/>
          <w:sz w:val="20"/>
          <w:szCs w:val="20"/>
          <w:color w:val="auto"/>
        </w:rPr>
        <w:t>Subscription Amount on the day of a Public Information Failure and on every thirtieth (30</w:t>
      </w:r>
      <w:r>
        <w:rPr>
          <w:rFonts w:ascii="Arial" w:cs="Arial" w:eastAsia="Arial" w:hAnsi="Arial"/>
          <w:sz w:val="33"/>
          <w:szCs w:val="33"/>
          <w:color w:val="auto"/>
          <w:vertAlign w:val="superscript"/>
        </w:rPr>
        <w:t>th</w:t>
      </w:r>
      <w:r>
        <w:rPr>
          <w:rFonts w:ascii="Arial" w:cs="Arial" w:eastAsia="Arial" w:hAnsi="Arial"/>
          <w:sz w:val="20"/>
          <w:szCs w:val="20"/>
          <w:color w:val="auto"/>
        </w:rPr>
        <w:t>) day (pro rated for periods totaling less than thirty days) thereafter until the earlier of (a) the date such Public Information Failure is cured and (b) such time that such public information is no longer required for Purchaser to transfer the Securities pursuant to Rule 144. The payments to which Purchaser shall be entitled pursuant to this Section 4.2(b) are referred to herein as “</w:t>
      </w:r>
      <w:r>
        <w:rPr>
          <w:rFonts w:ascii="Arial" w:cs="Arial" w:eastAsia="Arial" w:hAnsi="Arial"/>
          <w:sz w:val="20"/>
          <w:szCs w:val="20"/>
          <w:u w:val="single" w:color="auto"/>
          <w:color w:val="auto"/>
        </w:rPr>
        <w:t>Public Information Failure Payments</w:t>
      </w:r>
      <w:r>
        <w:rPr>
          <w:rFonts w:ascii="Arial" w:cs="Arial" w:eastAsia="Arial" w:hAnsi="Arial"/>
          <w:sz w:val="20"/>
          <w:szCs w:val="20"/>
          <w:color w:val="auto"/>
        </w:rPr>
        <w:t>.” Public Information Failure Payments shall be paid on the earlier of (i) the last day of the calendar month during which such Public</w:t>
      </w:r>
    </w:p>
    <w:p>
      <w:pPr>
        <w:spacing w:after="0" w:line="2" w:lineRule="exact"/>
        <w:rPr>
          <w:sz w:val="20"/>
          <w:szCs w:val="20"/>
          <w:color w:val="auto"/>
        </w:rPr>
      </w:pPr>
    </w:p>
    <w:p>
      <w:pPr>
        <w:jc w:val="both"/>
        <w:ind w:right="479"/>
        <w:spacing w:after="0" w:line="219" w:lineRule="auto"/>
        <w:rPr>
          <w:sz w:val="20"/>
          <w:szCs w:val="20"/>
          <w:color w:val="auto"/>
        </w:rPr>
      </w:pPr>
      <w:r>
        <w:rPr>
          <w:rFonts w:ascii="Arial" w:cs="Arial" w:eastAsia="Arial" w:hAnsi="Arial"/>
          <w:sz w:val="22"/>
          <w:szCs w:val="22"/>
          <w:color w:val="auto"/>
        </w:rPr>
        <w:t>Information Failure Payments are incurred and (ii) the third (3</w:t>
      </w:r>
      <w:r>
        <w:rPr>
          <w:rFonts w:ascii="Arial" w:cs="Arial" w:eastAsia="Arial" w:hAnsi="Arial"/>
          <w:sz w:val="36"/>
          <w:szCs w:val="36"/>
          <w:color w:val="auto"/>
          <w:vertAlign w:val="superscript"/>
        </w:rPr>
        <w:t>rd</w:t>
      </w:r>
      <w:r>
        <w:rPr>
          <w:rFonts w:ascii="Arial" w:cs="Arial" w:eastAsia="Arial" w:hAnsi="Arial"/>
          <w:sz w:val="22"/>
          <w:szCs w:val="22"/>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Purchaser’s right to pursue actual damages for the Public Information Failure, and Purchaser shall have the right to pursue all remedies available to it at law or in equity including, without limitation, a decree of specific performance and/or injunctive relief.</w:t>
      </w:r>
    </w:p>
    <w:p>
      <w:pPr>
        <w:spacing w:after="0" w:line="213" w:lineRule="exact"/>
        <w:rPr>
          <w:sz w:val="20"/>
          <w:szCs w:val="20"/>
          <w:color w:val="auto"/>
        </w:rPr>
      </w:pPr>
    </w:p>
    <w:p>
      <w:pPr>
        <w:jc w:val="both"/>
        <w:ind w:right="499" w:firstLine="648"/>
        <w:spacing w:after="0" w:line="279"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Integration</w:t>
      </w:r>
      <w:r>
        <w:rPr>
          <w:rFonts w:ascii="Arial" w:cs="Arial" w:eastAsia="Arial" w:hAnsi="Arial"/>
          <w:sz w:val="19"/>
          <w:szCs w:val="19"/>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78" w:lineRule="exact"/>
        <w:rPr>
          <w:sz w:val="20"/>
          <w:szCs w:val="20"/>
          <w:color w:val="auto"/>
        </w:rPr>
      </w:pPr>
    </w:p>
    <w:p>
      <w:pPr>
        <w:jc w:val="both"/>
        <w:ind w:right="479" w:firstLine="648"/>
        <w:spacing w:after="0" w:line="274"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Securities Laws Disclosure; Publicity</w:t>
      </w:r>
      <w:r>
        <w:rPr>
          <w:rFonts w:ascii="Arial" w:cs="Arial" w:eastAsia="Arial" w:hAnsi="Arial"/>
          <w:sz w:val="19"/>
          <w:szCs w:val="19"/>
          <w:color w:val="auto"/>
        </w:rPr>
        <w:t>. The Company shall file a Current Report on Form 8-K, including the Transaction Documents as exhibits thereto, with the Commission within the time required by the Exchange Act. The Company and Purchaser shall consult with each other in issuing any other press releases with respect to the transactions contemplated hereby, and neither the Company nor Purchaser shall issue any such press release nor otherwise make any such public statement without the prior consent of the Company, with respect to any press release of Purchaser, or without the prior consent of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w:t>
      </w:r>
    </w:p>
    <w:p>
      <w:pPr>
        <w:spacing w:after="0" w:line="186" w:lineRule="exact"/>
        <w:rPr>
          <w:sz w:val="20"/>
          <w:szCs w:val="20"/>
          <w:color w:val="auto"/>
        </w:rPr>
      </w:pPr>
    </w:p>
    <w:p>
      <w:pPr>
        <w:jc w:val="both"/>
        <w:ind w:right="479" w:firstLine="648"/>
        <w:spacing w:after="0" w:line="279"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Shareholder Rights Plan</w:t>
      </w:r>
      <w:r>
        <w:rPr>
          <w:rFonts w:ascii="Arial" w:cs="Arial" w:eastAsia="Arial" w:hAnsi="Arial"/>
          <w:sz w:val="19"/>
          <w:szCs w:val="19"/>
          <w:color w:val="auto"/>
        </w:rPr>
        <w:t>. No claim will be made or enforced by the Company or, with the consent of the Company, any other Person, that Purchaser is an “Acquiring Person” under any control share acquisition, business combination, poison pill (including any distribution under a rights agreement) or similar anti-takeover plan or arrangement in effect or hereafter adopted by the Company, or that Purchaser could be deemed to trigger the provisions of any such plan or arrangement, by virtue of receiving Securities under the Transaction Documents or under any other agreement between the Company and Purchasers.</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color w:val="auto"/>
        </w:rPr>
        <w:t>[Intentionally omitted.]</w:t>
      </w:r>
    </w:p>
    <w:p>
      <w:pPr>
        <w:spacing w:after="0" w:line="233" w:lineRule="exact"/>
        <w:rPr>
          <w:sz w:val="20"/>
          <w:szCs w:val="20"/>
          <w:color w:val="auto"/>
        </w:rPr>
      </w:pPr>
    </w:p>
    <w:p>
      <w:pPr>
        <w:ind w:right="499" w:firstLine="648"/>
        <w:spacing w:after="0" w:line="287"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The Subscription Amount shall be deposited into an account in the Company's name and subject to the Purchaser's security interest perfected through a Deposit Account Control Agreement. All or a portion of the Subscription Amount may be used by the Company in the settlement of any amounts owed to the Company's general unsecured creditors other than those creditors listed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hereto.</w:t>
      </w:r>
    </w:p>
    <w:p>
      <w:pPr>
        <w:sectPr>
          <w:pgSz w:w="11900" w:h="16838" w:orient="portrait"/>
          <w:cols w:equalWidth="0" w:num="1">
            <w:col w:w="10219"/>
          </w:cols>
          <w:pgMar w:left="240" w:top="361"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47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6174740"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type w:val="continuous"/>
        </w:sectPr>
      </w:pPr>
    </w:p>
    <w:bookmarkStart w:id="91" w:name="page92"/>
    <w:bookmarkEnd w:id="91"/>
    <w:p>
      <w:pPr>
        <w:jc w:val="both"/>
        <w:ind w:right="479" w:firstLine="648"/>
        <w:spacing w:after="0" w:line="268"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Indemnification of Purchasers</w:t>
      </w:r>
      <w:r>
        <w:rPr>
          <w:rFonts w:ascii="Arial" w:cs="Arial" w:eastAsia="Arial" w:hAnsi="Arial"/>
          <w:sz w:val="19"/>
          <w:szCs w:val="19"/>
          <w:color w:val="auto"/>
        </w:rPr>
        <w:t>. Subject to the provisions of this Section 4.8, the Company will indemnify and hold Purchaser and its directors, officers, shareholders, members, partners, employees and agents (and any other Persons with a functionally equivalent role of a Person holding such titles notwithstanding a lack of such title or any other title), each Person who controls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9"/>
          <w:szCs w:val="19"/>
          <w:u w:val="single" w:color="auto"/>
          <w:color w:val="auto"/>
        </w:rPr>
        <w:t>Purchaser Party</w:t>
      </w:r>
      <w:r>
        <w:rPr>
          <w:rFonts w:ascii="Arial" w:cs="Arial" w:eastAsia="Arial" w:hAnsi="Arial"/>
          <w:sz w:val="19"/>
          <w:szCs w:val="19"/>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Parties, with respect to any of the transactions contemplated by the Transaction Documents (unless such action is based upon a breach of such Purchaser Party’s representations, warranties or covenants under the Transaction Documents or any agreements or understandings such Purchaser Parties may have with any such stockholder or any violations by such Purchaser Parties of state or federal securities laws or any conduct by such Purchaser Parties which constitutes fraud, gross negligence, willful misconduct or malfeasance).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54" w:lineRule="exact"/>
        <w:rPr>
          <w:sz w:val="20"/>
          <w:szCs w:val="20"/>
          <w:color w:val="auto"/>
        </w:rPr>
      </w:pPr>
    </w:p>
    <w:p>
      <w:pPr>
        <w:jc w:val="both"/>
        <w:ind w:right="499" w:firstLine="648"/>
        <w:spacing w:after="0" w:line="287"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u w:val="single" w:color="auto"/>
          <w:color w:val="auto"/>
        </w:rPr>
        <w:t>Reservation of Common Stock</w:t>
      </w:r>
      <w:r>
        <w:rPr>
          <w:rFonts w:ascii="Arial" w:cs="Arial" w:eastAsia="Arial" w:hAnsi="Arial"/>
          <w:sz w:val="19"/>
          <w:szCs w:val="19"/>
          <w:color w:val="auto"/>
        </w:rPr>
        <w:t>. As of the date hereof, the Company has reserved and the Company shall continue to reserve and keep available at all times, free of preemptive rights, the maximum allowable number of shares of Common Stock under the Company's Amended and Restated Certificate of Incorporation necessary to issue Conversion Shares pursuant to any conversion of the Preferred Shares.</w:t>
      </w:r>
    </w:p>
    <w:p>
      <w:pPr>
        <w:spacing w:after="0" w:line="170" w:lineRule="exact"/>
        <w:rPr>
          <w:sz w:val="20"/>
          <w:szCs w:val="20"/>
          <w:color w:val="auto"/>
        </w:rPr>
      </w:pPr>
    </w:p>
    <w:p>
      <w:pPr>
        <w:jc w:val="both"/>
        <w:ind w:right="479" w:firstLine="648"/>
        <w:spacing w:after="0" w:line="273"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Listing of Common Stock</w:t>
      </w:r>
      <w:r>
        <w:rPr>
          <w:rFonts w:ascii="Arial" w:cs="Arial" w:eastAsia="Arial" w:hAnsi="Arial"/>
          <w:sz w:val="19"/>
          <w:szCs w:val="19"/>
          <w:color w:val="auto"/>
        </w:rPr>
        <w:t>. The Company hereby agrees to use best efforts to maintain the listing or quotation of the Common Stock on the Trading Market on which it is currently listed, and concurrently with the Closing, the Company shall apply to list or quote all of the Conversion Shares on such Trading Market and promptly secure the listing of all of the Conversion Shares on such Trading Market. The Company further agrees, if the Company applies to have the Common Stock traded on any other Trading Market, it will then include in such application all of the Conversion Shares, and will take such other action as is necessary to cause all of the Conversion Shares to be listed or quoted on such other Trading Market as promptly as possible. The Company will then take all action reasonably necessary to continue the listing or quotation and trading of its Common Stock on a Trading Market and will comply in all respects with the Company’s reporting, filing and other obligations under the bylaws or rules of the Trading Market.</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u w:val="single" w:color="auto"/>
          <w:color w:val="auto"/>
        </w:rPr>
        <w:t>Participation in Future Financing</w:t>
      </w:r>
      <w:r>
        <w:rPr>
          <w:rFonts w:ascii="Arial" w:cs="Arial" w:eastAsia="Arial" w:hAnsi="Arial"/>
          <w:sz w:val="19"/>
          <w:szCs w:val="19"/>
          <w:color w:val="auto"/>
        </w:rPr>
        <w:t>.</w:t>
      </w:r>
    </w:p>
    <w:p>
      <w:pPr>
        <w:spacing w:after="0" w:line="233" w:lineRule="exact"/>
        <w:rPr>
          <w:sz w:val="20"/>
          <w:szCs w:val="20"/>
          <w:color w:val="auto"/>
        </w:rPr>
      </w:pPr>
    </w:p>
    <w:p>
      <w:pPr>
        <w:jc w:val="both"/>
        <w:ind w:right="479" w:firstLine="1305"/>
        <w:spacing w:after="0" w:line="235" w:lineRule="auto"/>
        <w:tabs>
          <w:tab w:leader="none" w:pos="1918" w:val="left"/>
        </w:tabs>
        <w:numPr>
          <w:ilvl w:val="0"/>
          <w:numId w:val="94"/>
        </w:numPr>
        <w:rPr>
          <w:rFonts w:ascii="Arial" w:cs="Arial" w:eastAsia="Arial" w:hAnsi="Arial"/>
          <w:sz w:val="22"/>
          <w:szCs w:val="22"/>
          <w:color w:val="auto"/>
        </w:rPr>
      </w:pPr>
      <w:r>
        <w:rPr>
          <w:rFonts w:ascii="Arial" w:cs="Arial" w:eastAsia="Arial" w:hAnsi="Arial"/>
          <w:sz w:val="22"/>
          <w:szCs w:val="22"/>
          <w:color w:val="auto"/>
        </w:rPr>
        <w:t>From the date hereof until the date that is the sixty (60) month anniversary of the Effective Date, upon any issuance by the Company or any of its Subsidiaries of Common Stock, Common Stock Equivalents for cash consideration, Indebtedness or a combination of units hereof (a “</w:t>
      </w:r>
      <w:r>
        <w:rPr>
          <w:rFonts w:ascii="Arial" w:cs="Arial" w:eastAsia="Arial" w:hAnsi="Arial"/>
          <w:sz w:val="22"/>
          <w:szCs w:val="22"/>
          <w:u w:val="single" w:color="auto"/>
          <w:color w:val="auto"/>
        </w:rPr>
        <w:t>Subsequent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Financing</w:t>
      </w:r>
      <w:r>
        <w:rPr>
          <w:rFonts w:ascii="Arial" w:cs="Arial" w:eastAsia="Arial" w:hAnsi="Arial"/>
          <w:sz w:val="22"/>
          <w:szCs w:val="22"/>
          <w:color w:val="auto"/>
        </w:rPr>
        <w:t>”), Purchaser shall have the right to participate in up to an amount of the Subsequent Financing equal to 50% of the Subsequent Financing (the “</w:t>
      </w:r>
      <w:r>
        <w:rPr>
          <w:rFonts w:ascii="Arial" w:cs="Arial" w:eastAsia="Arial" w:hAnsi="Arial"/>
          <w:sz w:val="22"/>
          <w:szCs w:val="22"/>
          <w:u w:val="single" w:color="auto"/>
          <w:color w:val="auto"/>
        </w:rPr>
        <w:t>Participation Maximum</w:t>
      </w:r>
      <w:r>
        <w:rPr>
          <w:rFonts w:ascii="Arial" w:cs="Arial" w:eastAsia="Arial" w:hAnsi="Arial"/>
          <w:sz w:val="22"/>
          <w:szCs w:val="22"/>
          <w:color w:val="auto"/>
        </w:rPr>
        <w:t>”) on the same terms, conditions and price provided for in the Subsequent Financing.</w:t>
      </w:r>
    </w:p>
    <w:p>
      <w:pPr>
        <w:sectPr>
          <w:pgSz w:w="11900" w:h="16838" w:orient="portrait"/>
          <w:cols w:equalWidth="0" w:num="1">
            <w:col w:w="10219"/>
          </w:cols>
          <w:pgMar w:left="240" w:top="361" w:right="1440" w:bottom="136"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479"/>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0219"/>
          </w:cols>
          <w:pgMar w:left="240" w:top="361" w:right="1440" w:bottom="136" w:gutter="0" w:footer="0" w:header="0"/>
          <w:type w:val="continuous"/>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73" w:lineRule="exact"/>
        <w:rPr>
          <w:sz w:val="20"/>
          <w:szCs w:val="20"/>
          <w:color w:val="auto"/>
        </w:rPr>
      </w:pPr>
    </w:p>
    <w:p>
      <w:pPr>
        <w:jc w:val="both"/>
        <w:ind w:right="479" w:firstLine="1305"/>
        <w:spacing w:after="0" w:line="274" w:lineRule="auto"/>
        <w:tabs>
          <w:tab w:leader="none" w:pos="1918" w:val="left"/>
        </w:tabs>
        <w:numPr>
          <w:ilvl w:val="0"/>
          <w:numId w:val="95"/>
        </w:numPr>
        <w:rPr>
          <w:rFonts w:ascii="Arial" w:cs="Arial" w:eastAsia="Arial" w:hAnsi="Arial"/>
          <w:sz w:val="19"/>
          <w:szCs w:val="19"/>
          <w:color w:val="auto"/>
        </w:rPr>
      </w:pPr>
      <w:r>
        <w:rPr>
          <w:rFonts w:ascii="Arial" w:cs="Arial" w:eastAsia="Arial" w:hAnsi="Arial"/>
          <w:sz w:val="19"/>
          <w:szCs w:val="19"/>
          <w:color w:val="auto"/>
        </w:rPr>
        <w:t>At least five (5) Trading Days prior to the closing of the Subsequent Financing, the Company shall deliver to Purchaser a written notice of its intention to effect a Subsequent Financing (“</w:t>
      </w:r>
      <w:r>
        <w:rPr>
          <w:rFonts w:ascii="Arial" w:cs="Arial" w:eastAsia="Arial" w:hAnsi="Arial"/>
          <w:sz w:val="19"/>
          <w:szCs w:val="19"/>
          <w:u w:val="single" w:color="auto"/>
          <w:color w:val="auto"/>
        </w:rPr>
        <w:t>Pre-Notice</w:t>
      </w:r>
      <w:r>
        <w:rPr>
          <w:rFonts w:ascii="Arial" w:cs="Arial" w:eastAsia="Arial" w:hAnsi="Arial"/>
          <w:sz w:val="19"/>
          <w:szCs w:val="19"/>
          <w:color w:val="auto"/>
        </w:rPr>
        <w:t>”), which Pre-Notice shall ask Purchaser if it wants to review the details of such financing (such additional notice, a “</w:t>
      </w:r>
      <w:r>
        <w:rPr>
          <w:rFonts w:ascii="Arial" w:cs="Arial" w:eastAsia="Arial" w:hAnsi="Arial"/>
          <w:sz w:val="19"/>
          <w:szCs w:val="19"/>
          <w:u w:val="single" w:color="auto"/>
          <w:color w:val="auto"/>
        </w:rPr>
        <w:t>Subsequent Financing Notice</w:t>
      </w:r>
      <w:r>
        <w:rPr>
          <w:rFonts w:ascii="Arial" w:cs="Arial" w:eastAsia="Arial" w:hAnsi="Arial"/>
          <w:sz w:val="19"/>
          <w:szCs w:val="19"/>
          <w:color w:val="auto"/>
        </w:rPr>
        <w:t>”). Upon the request of Purchaser, and only upon a request by Purchaser, for a Subsequent Financing Notice, the Company shall promptly, but no later than one (1) Trading Day after such request, deliver a Subsequent Financing Notice to Purchaser. The Subsequent Financing Notice shall describe in reasonable detail the proposed terms of such Subsequent Financing, the amount of proceeds intended to be raised thereunder and the Person or Persons through or with whom such Subsequent Financing is proposed to be effected and shall include a term sheet or similar document relating thereto as an attachment.</w:t>
      </w:r>
    </w:p>
    <w:p>
      <w:pPr>
        <w:spacing w:after="0" w:line="185" w:lineRule="exact"/>
        <w:rPr>
          <w:rFonts w:ascii="Arial" w:cs="Arial" w:eastAsia="Arial" w:hAnsi="Arial"/>
          <w:sz w:val="19"/>
          <w:szCs w:val="19"/>
          <w:color w:val="auto"/>
        </w:rPr>
      </w:pPr>
    </w:p>
    <w:p>
      <w:pPr>
        <w:ind w:left="1920" w:hanging="615"/>
        <w:spacing w:after="0"/>
        <w:tabs>
          <w:tab w:leader="none" w:pos="19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If Purchaser desires to participate in such Subsequent Financing, Purchaser must provide</w:t>
      </w:r>
    </w:p>
    <w:p>
      <w:pPr>
        <w:spacing w:after="0" w:line="48" w:lineRule="exact"/>
        <w:rPr>
          <w:sz w:val="20"/>
          <w:szCs w:val="20"/>
          <w:color w:val="auto"/>
        </w:rPr>
      </w:pPr>
    </w:p>
    <w:p>
      <w:pPr>
        <w:jc w:val="both"/>
        <w:ind w:right="479"/>
        <w:spacing w:after="0" w:line="243" w:lineRule="auto"/>
        <w:rPr>
          <w:sz w:val="20"/>
          <w:szCs w:val="20"/>
          <w:color w:val="auto"/>
        </w:rPr>
      </w:pPr>
      <w:r>
        <w:rPr>
          <w:rFonts w:ascii="Arial" w:cs="Arial" w:eastAsia="Arial" w:hAnsi="Arial"/>
          <w:sz w:val="19"/>
          <w:szCs w:val="19"/>
          <w:color w:val="auto"/>
        </w:rPr>
        <w:t>written notice to the Company by not later than 5:30 p.m. (New York City time) on the fifth (5</w:t>
      </w:r>
      <w:r>
        <w:rPr>
          <w:rFonts w:ascii="Arial" w:cs="Arial" w:eastAsia="Arial" w:hAnsi="Arial"/>
          <w:sz w:val="31"/>
          <w:szCs w:val="31"/>
          <w:color w:val="auto"/>
          <w:vertAlign w:val="superscript"/>
        </w:rPr>
        <w:t>th</w:t>
      </w:r>
      <w:r>
        <w:rPr>
          <w:rFonts w:ascii="Arial" w:cs="Arial" w:eastAsia="Arial" w:hAnsi="Arial"/>
          <w:sz w:val="19"/>
          <w:szCs w:val="19"/>
          <w:color w:val="auto"/>
        </w:rPr>
        <w:t>) Trading Day after Purchaser has received the Pre-Notice that Purchaser is willing to participate in the Subsequent Financing, the amount of Purchaser’s participation, and representing and warranting that Purchaser has such funds ready, willing, and available for investment on the terms set forth in the Subsequent Financing Notice. If the Company</w:t>
      </w:r>
    </w:p>
    <w:p>
      <w:pPr>
        <w:spacing w:after="0" w:line="2" w:lineRule="exact"/>
        <w:rPr>
          <w:sz w:val="20"/>
          <w:szCs w:val="20"/>
          <w:color w:val="auto"/>
        </w:rPr>
      </w:pPr>
    </w:p>
    <w:p>
      <w:pPr>
        <w:jc w:val="both"/>
        <w:ind w:right="499"/>
        <w:spacing w:after="0" w:line="197" w:lineRule="auto"/>
        <w:rPr>
          <w:sz w:val="20"/>
          <w:szCs w:val="20"/>
          <w:color w:val="auto"/>
        </w:rPr>
      </w:pPr>
      <w:r>
        <w:rPr>
          <w:rFonts w:ascii="Arial" w:cs="Arial" w:eastAsia="Arial" w:hAnsi="Arial"/>
          <w:sz w:val="22"/>
          <w:szCs w:val="22"/>
          <w:color w:val="auto"/>
        </w:rPr>
        <w:t>receives no such notice from Purchaser as of such fifth (5</w:t>
      </w:r>
      <w:r>
        <w:rPr>
          <w:rFonts w:ascii="Arial" w:cs="Arial" w:eastAsia="Arial" w:hAnsi="Arial"/>
          <w:sz w:val="36"/>
          <w:szCs w:val="36"/>
          <w:color w:val="auto"/>
          <w:vertAlign w:val="superscript"/>
        </w:rPr>
        <w:t>th</w:t>
      </w:r>
      <w:r>
        <w:rPr>
          <w:rFonts w:ascii="Arial" w:cs="Arial" w:eastAsia="Arial" w:hAnsi="Arial"/>
          <w:sz w:val="22"/>
          <w:szCs w:val="22"/>
          <w:color w:val="auto"/>
        </w:rPr>
        <w:t>) Trading Day, Purchaser shall be deemed to have notified the Company that it does not elect to participate.</w:t>
      </w:r>
    </w:p>
    <w:p>
      <w:pPr>
        <w:spacing w:after="0" w:line="220" w:lineRule="exact"/>
        <w:rPr>
          <w:sz w:val="20"/>
          <w:szCs w:val="20"/>
          <w:color w:val="auto"/>
        </w:rPr>
      </w:pPr>
    </w:p>
    <w:p>
      <w:pPr>
        <w:jc w:val="both"/>
        <w:ind w:right="499" w:firstLine="1305"/>
        <w:spacing w:after="0" w:line="214" w:lineRule="auto"/>
        <w:tabs>
          <w:tab w:leader="none" w:pos="1918" w:val="left"/>
        </w:tabs>
        <w:numPr>
          <w:ilvl w:val="0"/>
          <w:numId w:val="96"/>
        </w:numPr>
        <w:rPr>
          <w:rFonts w:ascii="Arial" w:cs="Arial" w:eastAsia="Arial" w:hAnsi="Arial"/>
          <w:sz w:val="42"/>
          <w:szCs w:val="42"/>
          <w:color w:val="auto"/>
          <w:vertAlign w:val="superscript"/>
        </w:rPr>
      </w:pPr>
      <w:r>
        <w:rPr>
          <w:rFonts w:ascii="Arial" w:cs="Arial" w:eastAsia="Arial" w:hAnsi="Arial"/>
          <w:sz w:val="21"/>
          <w:szCs w:val="21"/>
          <w:color w:val="auto"/>
        </w:rPr>
        <w:t>If by 5:30 p.m. (New York City time) on the fifth (5</w:t>
      </w:r>
      <w:r>
        <w:rPr>
          <w:rFonts w:ascii="Arial" w:cs="Arial" w:eastAsia="Arial" w:hAnsi="Arial"/>
          <w:sz w:val="35"/>
          <w:szCs w:val="35"/>
          <w:color w:val="auto"/>
          <w:vertAlign w:val="superscript"/>
        </w:rPr>
        <w:t>th</w:t>
      </w:r>
      <w:r>
        <w:rPr>
          <w:rFonts w:ascii="Arial" w:cs="Arial" w:eastAsia="Arial" w:hAnsi="Arial"/>
          <w:sz w:val="21"/>
          <w:szCs w:val="21"/>
          <w:color w:val="auto"/>
        </w:rPr>
        <w:t>) Trading Day after Purchaser has received the Pre-Notice, notifications by Purchaser of its willingness to participate in the Subsequent Financing (or to cause their designees to participate) is, in the aggregate, less than the total amount of the Subsequent Financing, then the Company may effect the remaining portion of such Subsequent Financing on the terms and with the Persons set forth in the Subsequent Financing Notice.</w:t>
      </w:r>
    </w:p>
    <w:p>
      <w:pPr>
        <w:spacing w:after="0" w:line="213" w:lineRule="exact"/>
        <w:rPr>
          <w:rFonts w:ascii="Arial" w:cs="Arial" w:eastAsia="Arial" w:hAnsi="Arial"/>
          <w:sz w:val="42"/>
          <w:szCs w:val="42"/>
          <w:color w:val="auto"/>
          <w:vertAlign w:val="superscript"/>
        </w:rPr>
      </w:pPr>
    </w:p>
    <w:p>
      <w:pPr>
        <w:jc w:val="both"/>
        <w:ind w:right="479" w:firstLine="1305"/>
        <w:spacing w:after="0" w:line="236" w:lineRule="auto"/>
        <w:tabs>
          <w:tab w:leader="none" w:pos="1918"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Company must provide Purchaser with a second Subsequent Financing Notice, and Purchaser will again have the right of participation set forth above in this Section 4.11, if the Subsequent Financing subject to the initial Subsequent Financing Notice is not consummated for any reason on the terms set forth in such Subsequent Financing Notice within thirty (30) Trading Days after the date of the initial Subsequent Financing Notice.</w:t>
      </w:r>
    </w:p>
    <w:p>
      <w:pPr>
        <w:spacing w:after="0" w:line="214" w:lineRule="exact"/>
        <w:rPr>
          <w:rFonts w:ascii="Arial" w:cs="Arial" w:eastAsia="Arial" w:hAnsi="Arial"/>
          <w:sz w:val="22"/>
          <w:szCs w:val="22"/>
          <w:color w:val="auto"/>
        </w:rPr>
      </w:pPr>
    </w:p>
    <w:p>
      <w:pPr>
        <w:jc w:val="both"/>
        <w:ind w:right="479" w:firstLine="1305"/>
        <w:spacing w:after="0" w:line="235" w:lineRule="auto"/>
        <w:tabs>
          <w:tab w:leader="none" w:pos="1918"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Company and Purchaser agree that if Purchaser elects to participate in the Subsequent Financing, the transaction documents related to the Subsequent Financing shall not include any term or provision whereby Purchaser shall be required to agree to any restrictions on trading as to any of the Securities purchased hereunder or be required to consent to any amendment to or termination of, or grant any waiver, release or the like under or in connection with, this Agreement, without the prior written consent of Purchaser.</w:t>
      </w:r>
    </w:p>
    <w:p>
      <w:pPr>
        <w:spacing w:after="0" w:line="215" w:lineRule="exact"/>
        <w:rPr>
          <w:rFonts w:ascii="Arial" w:cs="Arial" w:eastAsia="Arial" w:hAnsi="Arial"/>
          <w:sz w:val="22"/>
          <w:szCs w:val="22"/>
          <w:color w:val="auto"/>
        </w:rPr>
      </w:pPr>
    </w:p>
    <w:p>
      <w:pPr>
        <w:jc w:val="both"/>
        <w:ind w:right="499" w:firstLine="1305"/>
        <w:spacing w:after="0" w:line="252" w:lineRule="auto"/>
        <w:tabs>
          <w:tab w:leader="none" w:pos="1918" w:val="left"/>
        </w:tabs>
        <w:numPr>
          <w:ilvl w:val="0"/>
          <w:numId w:val="96"/>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4.11 and unless otherwise agreed to by Purchaser, the Company shall either confirm in writing to Purchaser that the transaction with respect to the Subsequent Financing has been abandoned or shall publicly disclose its intention to issue the securities in the Subsequent Financing, in either case in such a manner such that Purchaser will not be in possession of any material, non-public information, by the tenth (10</w:t>
      </w:r>
      <w:r>
        <w:rPr>
          <w:rFonts w:ascii="Arial" w:cs="Arial" w:eastAsia="Arial" w:hAnsi="Arial"/>
          <w:sz w:val="31"/>
          <w:szCs w:val="31"/>
          <w:color w:val="auto"/>
          <w:vertAlign w:val="superscript"/>
        </w:rPr>
        <w:t>th</w:t>
      </w:r>
      <w:r>
        <w:rPr>
          <w:rFonts w:ascii="Arial" w:cs="Arial" w:eastAsia="Arial" w:hAnsi="Arial"/>
          <w:sz w:val="19"/>
          <w:szCs w:val="19"/>
          <w:color w:val="auto"/>
        </w:rPr>
        <w:t>) Business Day following delivery of the Subsequent</w:t>
      </w:r>
    </w:p>
    <w:p>
      <w:pPr>
        <w:spacing w:after="0" w:line="1" w:lineRule="exact"/>
        <w:rPr>
          <w:sz w:val="20"/>
          <w:szCs w:val="20"/>
          <w:color w:val="auto"/>
        </w:rPr>
      </w:pPr>
    </w:p>
    <w:p>
      <w:pPr>
        <w:jc w:val="both"/>
        <w:ind w:right="499"/>
        <w:spacing w:after="0" w:line="215" w:lineRule="auto"/>
        <w:rPr>
          <w:sz w:val="20"/>
          <w:szCs w:val="20"/>
          <w:color w:val="auto"/>
        </w:rPr>
      </w:pPr>
      <w:r>
        <w:rPr>
          <w:rFonts w:ascii="Arial" w:cs="Arial" w:eastAsia="Arial" w:hAnsi="Arial"/>
          <w:sz w:val="22"/>
          <w:szCs w:val="22"/>
          <w:color w:val="auto"/>
        </w:rPr>
        <w:t>Financing Notice. If by such tenth (10</w:t>
      </w:r>
      <w:r>
        <w:rPr>
          <w:rFonts w:ascii="Arial" w:cs="Arial" w:eastAsia="Arial" w:hAnsi="Arial"/>
          <w:sz w:val="36"/>
          <w:szCs w:val="36"/>
          <w:color w:val="auto"/>
          <w:vertAlign w:val="superscript"/>
        </w:rPr>
        <w:t>th</w:t>
      </w:r>
      <w:r>
        <w:rPr>
          <w:rFonts w:ascii="Arial" w:cs="Arial" w:eastAsia="Arial" w:hAnsi="Arial"/>
          <w:sz w:val="22"/>
          <w:szCs w:val="22"/>
          <w:color w:val="auto"/>
        </w:rPr>
        <w:t>) Business Day, no public disclosure regarding a transaction with respect to the Subsequent Financing has been made, and no notice regarding the abandonment of such transaction has been received by Purchaser, such transaction shall be deemed to have been abandoned and Purchaser shall not be deemed to be in possession of any material, non-public information with respect to the Company or any of its Subsidiaries.</w:t>
      </w:r>
    </w:p>
    <w:p>
      <w:pPr>
        <w:spacing w:after="0" w:line="212" w:lineRule="exact"/>
        <w:rPr>
          <w:sz w:val="20"/>
          <w:szCs w:val="20"/>
          <w:color w:val="auto"/>
        </w:rPr>
      </w:pPr>
    </w:p>
    <w:p>
      <w:pPr>
        <w:ind w:right="499" w:firstLine="1305"/>
        <w:spacing w:after="0" w:line="251" w:lineRule="auto"/>
        <w:tabs>
          <w:tab w:leader="none" w:pos="1918" w:val="left"/>
        </w:tabs>
        <w:numPr>
          <w:ilvl w:val="0"/>
          <w:numId w:val="97"/>
        </w:numPr>
        <w:rPr>
          <w:rFonts w:ascii="Arial" w:cs="Arial" w:eastAsia="Arial" w:hAnsi="Arial"/>
          <w:sz w:val="22"/>
          <w:szCs w:val="22"/>
          <w:color w:val="auto"/>
        </w:rPr>
      </w:pPr>
      <w:r>
        <w:rPr>
          <w:rFonts w:ascii="Arial" w:cs="Arial" w:eastAsia="Arial" w:hAnsi="Arial"/>
          <w:sz w:val="22"/>
          <w:szCs w:val="22"/>
          <w:color w:val="auto"/>
        </w:rPr>
        <w:t>Notwithstanding the foregoing, this Section 4.11 shall not apply in respect of (i) an Exempt Issuance, or (ii) an underwritten public offering of Common Stock ..</w:t>
      </w:r>
    </w:p>
    <w:p>
      <w:pPr>
        <w:spacing w:after="0" w:line="200" w:lineRule="exact"/>
        <w:rPr>
          <w:sz w:val="20"/>
          <w:szCs w:val="20"/>
          <w:color w:val="auto"/>
        </w:rPr>
      </w:pPr>
    </w:p>
    <w:p>
      <w:pPr>
        <w:jc w:val="both"/>
        <w:ind w:right="499" w:firstLine="648"/>
        <w:spacing w:after="0" w:line="235" w:lineRule="auto"/>
        <w:rPr>
          <w:sz w:val="20"/>
          <w:szCs w:val="20"/>
          <w:color w:val="auto"/>
        </w:rPr>
      </w:pPr>
      <w:r>
        <w:rPr>
          <w:rFonts w:ascii="Arial" w:cs="Arial" w:eastAsia="Arial" w:hAnsi="Arial"/>
          <w:sz w:val="22"/>
          <w:szCs w:val="22"/>
          <w:color w:val="auto"/>
        </w:rPr>
        <w:t xml:space="preserve">4.12 </w:t>
      </w:r>
      <w:r>
        <w:rPr>
          <w:rFonts w:ascii="Arial" w:cs="Arial" w:eastAsia="Arial" w:hAnsi="Arial"/>
          <w:sz w:val="22"/>
          <w:szCs w:val="22"/>
          <w:u w:val="single" w:color="auto"/>
          <w:color w:val="auto"/>
        </w:rPr>
        <w:t>Form D; Blue Sky Filings</w:t>
      </w:r>
      <w:r>
        <w:rPr>
          <w:rFonts w:ascii="Arial" w:cs="Arial" w:eastAsia="Arial" w:hAnsi="Arial"/>
          <w:sz w:val="22"/>
          <w:szCs w:val="22"/>
          <w:color w:val="auto"/>
        </w:rPr>
        <w:t>. The Company agrees to timely file a Form D with respect to the Securities as required under Regulation D and to provide a copy thereof, promptly upon request of Purchaser. The Company shall take such action as the Company shall reasonably determine is necessary in order to obtain an exemption for, or to qualify the Securities for, sale to Purchaser at the Closing under applicable securities or “Blue Sky” laws of the states of the United States, and shall provide evidence of such actions promptly upon request of Purchaser.</w:t>
      </w:r>
    </w:p>
    <w:p>
      <w:pPr>
        <w:spacing w:after="0" w:line="215" w:lineRule="exact"/>
        <w:rPr>
          <w:sz w:val="20"/>
          <w:szCs w:val="20"/>
          <w:color w:val="auto"/>
        </w:rPr>
      </w:pPr>
    </w:p>
    <w:p>
      <w:pPr>
        <w:jc w:val="both"/>
        <w:ind w:right="479" w:firstLine="648"/>
        <w:spacing w:after="0" w:line="246" w:lineRule="auto"/>
        <w:rPr>
          <w:sz w:val="20"/>
          <w:szCs w:val="20"/>
          <w:color w:val="auto"/>
        </w:rPr>
      </w:pPr>
      <w:r>
        <w:rPr>
          <w:rFonts w:ascii="Arial" w:cs="Arial" w:eastAsia="Arial" w:hAnsi="Arial"/>
          <w:sz w:val="21"/>
          <w:szCs w:val="21"/>
          <w:color w:val="auto"/>
        </w:rPr>
        <w:t xml:space="preserve">4.13 </w:t>
      </w:r>
      <w:r>
        <w:rPr>
          <w:rFonts w:ascii="Arial" w:cs="Arial" w:eastAsia="Arial" w:hAnsi="Arial"/>
          <w:sz w:val="21"/>
          <w:szCs w:val="21"/>
          <w:u w:val="single" w:color="auto"/>
          <w:color w:val="auto"/>
        </w:rPr>
        <w:t>Acknowledgment of Dilution</w:t>
      </w:r>
      <w:r>
        <w:rPr>
          <w:rFonts w:ascii="Arial" w:cs="Arial" w:eastAsia="Arial" w:hAnsi="Arial"/>
          <w:sz w:val="21"/>
          <w:szCs w:val="21"/>
          <w:color w:val="auto"/>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Preferred Shares and Conversion Shares pursuant to the Transaction Documents, are unconditional and absolute and not subject to any right of set off, counterclaim, delay or reduction, regardless of the effect of any such dilution or any claim the Company may have against Purchaser and regardless of the dilutive effect that such issuance may have on the ownership of the other stockholders of the Company.</w:t>
      </w:r>
    </w:p>
    <w:p>
      <w:pPr>
        <w:sectPr>
          <w:pgSz w:w="11900" w:h="16911" w:orient="portrait"/>
          <w:cols w:equalWidth="0" w:num="1">
            <w:col w:w="10219"/>
          </w:cols>
          <w:pgMar w:left="240" w:top="361" w:right="1440" w:bottom="0" w:gutter="0" w:footer="0" w:header="0"/>
        </w:sectPr>
      </w:pPr>
    </w:p>
    <w:bookmarkStart w:id="94" w:name="page95"/>
    <w:bookmarkEnd w:id="94"/>
    <w:p>
      <w:pPr>
        <w:ind w:left="3560"/>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432435</wp:posOffset>
            </wp:positionV>
            <wp:extent cx="6174740"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95" w:name="page96"/>
    <w:bookmarkEnd w:id="95"/>
    <w:p>
      <w:pPr>
        <w:jc w:val="center"/>
        <w:ind w:right="479"/>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jc w:val="both"/>
        <w:ind w:right="479" w:firstLine="648"/>
        <w:spacing w:after="0" w:line="251"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may be terminated by Purchaser by written notice to the Company, if the Closing has not been consummated on or before November 30, 2011.</w:t>
      </w:r>
    </w:p>
    <w:p>
      <w:pPr>
        <w:spacing w:after="0" w:line="200" w:lineRule="exact"/>
        <w:rPr>
          <w:sz w:val="20"/>
          <w:szCs w:val="20"/>
          <w:color w:val="auto"/>
        </w:rPr>
      </w:pPr>
    </w:p>
    <w:p>
      <w:pPr>
        <w:jc w:val="both"/>
        <w:ind w:right="479" w:firstLine="648"/>
        <w:spacing w:after="0" w:line="245"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Fees and Expenses</w:t>
      </w:r>
      <w:r>
        <w:rPr>
          <w:rFonts w:ascii="Arial" w:cs="Arial" w:eastAsia="Arial" w:hAnsi="Arial"/>
          <w:sz w:val="21"/>
          <w:szCs w:val="21"/>
          <w:color w:val="auto"/>
        </w:rPr>
        <w:t>. The Company shall pay the reasonable fees and expenses of its and the Purchaser’s advisers, counsel, accountants and other experts, if any, and all other expenses incurred by such party incident to the negotiation, preparation, execution, delivery and performance of this Agreement. In addition, the Company shall reimburse Purchaser for all other documented reasonable travel and other out-of-pocket expenses incurred by Purchaser in connection with the negotiation and consummation of the transactions contemplated by this Agreement, provided that the aggregate amount of such expenses shall not exceed $50,000. The Company shall pay all Transfer Agent fees (including, without limitation, any fees required for same-day processing of any instruction letter delivered by the Company and any exercise notice delivered by Purchaser), stamp taxes and other taxes and duties levied in connection with the delivery of any Securities to the Purchaser.</w:t>
      </w:r>
    </w:p>
    <w:p>
      <w:pPr>
        <w:spacing w:after="0" w:line="209" w:lineRule="exact"/>
        <w:rPr>
          <w:sz w:val="20"/>
          <w:szCs w:val="20"/>
          <w:color w:val="auto"/>
        </w:rPr>
      </w:pPr>
    </w:p>
    <w:p>
      <w:pPr>
        <w:jc w:val="both"/>
        <w:ind w:right="499" w:firstLine="648"/>
        <w:spacing w:after="0" w:line="287"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Entire Agreement</w:t>
      </w:r>
      <w:r>
        <w:rPr>
          <w:rFonts w:ascii="Arial" w:cs="Arial" w:eastAsia="Arial" w:hAnsi="Arial"/>
          <w:sz w:val="19"/>
          <w:szCs w:val="19"/>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0" w:lineRule="exact"/>
        <w:rPr>
          <w:sz w:val="20"/>
          <w:szCs w:val="20"/>
          <w:color w:val="auto"/>
        </w:rPr>
      </w:pPr>
    </w:p>
    <w:p>
      <w:pPr>
        <w:jc w:val="both"/>
        <w:ind w:right="479" w:firstLine="648"/>
        <w:spacing w:after="0" w:line="271"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Notices</w:t>
      </w:r>
      <w:r>
        <w:rPr>
          <w:rFonts w:ascii="Arial" w:cs="Arial" w:eastAsia="Arial" w:hAnsi="Arial"/>
          <w:sz w:val="19"/>
          <w:szCs w:val="19"/>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set forth on the signature pages attached hereto at or prior to 5:30 p.m. (New York City time) on a Trading Day, (b) the next Trading Day after the date of transmission, if such notice or communication is delivered via facsimile at the facsimile number set forth on the signature pages attached hereto on a day that is not a Trading Day or later than</w:t>
      </w:r>
    </w:p>
    <w:p>
      <w:pPr>
        <w:spacing w:after="0" w:line="1" w:lineRule="exact"/>
        <w:rPr>
          <w:sz w:val="20"/>
          <w:szCs w:val="20"/>
          <w:color w:val="auto"/>
        </w:rPr>
      </w:pPr>
    </w:p>
    <w:p>
      <w:pPr>
        <w:jc w:val="both"/>
        <w:ind w:right="499"/>
        <w:spacing w:after="0" w:line="211" w:lineRule="auto"/>
        <w:rPr>
          <w:sz w:val="20"/>
          <w:szCs w:val="20"/>
          <w:color w:val="auto"/>
        </w:rPr>
      </w:pPr>
      <w:r>
        <w:rPr>
          <w:rFonts w:ascii="Arial" w:cs="Arial" w:eastAsia="Arial" w:hAnsi="Arial"/>
          <w:sz w:val="22"/>
          <w:szCs w:val="22"/>
          <w:color w:val="auto"/>
        </w:rPr>
        <w:t>5:30 p.m. (New York City time) on any Trading Day, (c) the second (2</w:t>
      </w:r>
      <w:r>
        <w:rPr>
          <w:rFonts w:ascii="Arial" w:cs="Arial" w:eastAsia="Arial" w:hAnsi="Arial"/>
          <w:sz w:val="36"/>
          <w:szCs w:val="36"/>
          <w:color w:val="auto"/>
          <w:vertAlign w:val="superscript"/>
        </w:rPr>
        <w:t>nd</w:t>
      </w:r>
      <w:r>
        <w:rPr>
          <w:rFonts w:ascii="Arial" w:cs="Arial" w:eastAsia="Arial" w:hAnsi="Arial"/>
          <w:sz w:val="22"/>
          <w:szCs w:val="22"/>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15" w:lineRule="exact"/>
        <w:rPr>
          <w:sz w:val="20"/>
          <w:szCs w:val="20"/>
          <w:color w:val="auto"/>
        </w:rPr>
      </w:pPr>
    </w:p>
    <w:p>
      <w:pPr>
        <w:jc w:val="both"/>
        <w:ind w:right="479" w:firstLine="648"/>
        <w:spacing w:after="0" w:line="277"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Amendments; Waivers</w:t>
      </w:r>
      <w:r>
        <w:rPr>
          <w:rFonts w:ascii="Arial" w:cs="Arial" w:eastAsia="Arial" w:hAnsi="Arial"/>
          <w:sz w:val="19"/>
          <w:szCs w:val="19"/>
          <w:color w:val="auto"/>
        </w:rPr>
        <w:t>. No provision of this Agreement may be waived, modified, supplemented or amended except in a written instrument signed, in the case of an amendment, by the Company and Purchaser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0" w:lineRule="exact"/>
        <w:rPr>
          <w:sz w:val="20"/>
          <w:szCs w:val="20"/>
          <w:color w:val="auto"/>
        </w:rPr>
      </w:pPr>
    </w:p>
    <w:p>
      <w:pPr>
        <w:jc w:val="both"/>
        <w:ind w:right="499" w:firstLine="648"/>
        <w:spacing w:after="0" w:line="251"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herein are for convenience only, do not constitute a part of this Agreement and shall not be deemed to limit or affect any of the provisions hereof.</w:t>
      </w:r>
    </w:p>
    <w:p>
      <w:pPr>
        <w:spacing w:after="0" w:line="200" w:lineRule="exact"/>
        <w:rPr>
          <w:sz w:val="20"/>
          <w:szCs w:val="20"/>
          <w:color w:val="auto"/>
        </w:rPr>
      </w:pPr>
    </w:p>
    <w:p>
      <w:pPr>
        <w:jc w:val="both"/>
        <w:ind w:right="499" w:firstLine="648"/>
        <w:spacing w:after="0" w:line="279"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be binding upon and inure to the benefit of the parties and their successors and permitted assigns. The Company may not assign this Agreement or any rights or obligations hereunder without the prior written consent of Purchaser (other than by merger). Purchaser may assign any or all of its rights under this Agreement to any Person to whom Purchaser assigns or transfers any Securities, provided that such transferee agrees in writing to be bound, with respect to the transferred Securities, by the provisions of the Transaction Documents that apply to the “Purchaser.”</w:t>
      </w:r>
    </w:p>
    <w:p>
      <w:pPr>
        <w:spacing w:after="0" w:line="178" w:lineRule="exact"/>
        <w:rPr>
          <w:sz w:val="20"/>
          <w:szCs w:val="20"/>
          <w:color w:val="auto"/>
        </w:rPr>
      </w:pPr>
    </w:p>
    <w:p>
      <w:pPr>
        <w:jc w:val="both"/>
        <w:ind w:right="479" w:firstLine="648"/>
        <w:spacing w:after="0"/>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This Agreement is intended for the benefit of the parties hereto and their respective successors and permitted assigns and is not for the benefit of, nor may any provision hereof be enforced by, any other Person, except as otherwise set forth in Section 4.8.</w:t>
      </w:r>
    </w:p>
    <w:p>
      <w:pPr>
        <w:sectPr>
          <w:pgSz w:w="11900" w:h="16838" w:orient="portrait"/>
          <w:cols w:equalWidth="0" w:num="1">
            <w:col w:w="10219"/>
          </w:cols>
          <w:pgMar w:left="240" w:top="355"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47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6174740"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type w:val="continuous"/>
        </w:sectPr>
      </w:pPr>
    </w:p>
    <w:bookmarkStart w:id="96" w:name="page97"/>
    <w:bookmarkEnd w:id="96"/>
    <w:p>
      <w:pPr>
        <w:jc w:val="both"/>
        <w:ind w:right="479" w:firstLine="648"/>
        <w:spacing w:after="0" w:line="270"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Governing Law</w:t>
      </w:r>
      <w:r>
        <w:rPr>
          <w:rFonts w:ascii="Arial" w:cs="Arial" w:eastAsia="Arial" w:hAnsi="Arial"/>
          <w:sz w:val="19"/>
          <w:szCs w:val="19"/>
          <w:color w:val="auto"/>
        </w:rPr>
        <w:t>. All questions concerning the construction, validity, enforcement and interpretation of the Transaction Documents shall be governed by and construed and enforced in accordance with the internal laws of the State of California,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San Diego, California. Each party hereby irrevocably submits to the exclusive jurisdiction of the state and federal courts sitting in San Diego, California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Transaction Documents, then in addition to the obligations of the Company under Section 4.8, the prevailing party in such action, suit or proceeding shall be reimbursed by the other party for its reasonable attorneys’ fees and other costs and expenses incurred with the investigation, preparation and prosecution of such action or proceeding.</w:t>
      </w:r>
    </w:p>
    <w:p>
      <w:pPr>
        <w:spacing w:after="0" w:line="200" w:lineRule="exact"/>
        <w:rPr>
          <w:sz w:val="20"/>
          <w:szCs w:val="20"/>
          <w:color w:val="auto"/>
        </w:rPr>
      </w:pPr>
    </w:p>
    <w:p>
      <w:pPr>
        <w:spacing w:after="0" w:line="229" w:lineRule="exact"/>
        <w:rPr>
          <w:sz w:val="20"/>
          <w:szCs w:val="20"/>
          <w:color w:val="auto"/>
        </w:rPr>
      </w:pPr>
    </w:p>
    <w:p>
      <w:pPr>
        <w:jc w:val="both"/>
        <w:ind w:right="479" w:firstLine="648"/>
        <w:spacing w:after="0" w:line="251"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Survival</w:t>
      </w:r>
      <w:r>
        <w:rPr>
          <w:rFonts w:ascii="Arial" w:cs="Arial" w:eastAsia="Arial" w:hAnsi="Arial"/>
          <w:sz w:val="22"/>
          <w:szCs w:val="22"/>
          <w:color w:val="auto"/>
        </w:rPr>
        <w:t>. The representations and warranties contained herein shall survive the Closing and the delivery of the Securities.</w:t>
      </w:r>
    </w:p>
    <w:p>
      <w:pPr>
        <w:spacing w:after="0" w:line="200" w:lineRule="exact"/>
        <w:rPr>
          <w:sz w:val="20"/>
          <w:szCs w:val="20"/>
          <w:color w:val="auto"/>
        </w:rPr>
      </w:pPr>
    </w:p>
    <w:p>
      <w:pPr>
        <w:jc w:val="both"/>
        <w:ind w:right="479" w:firstLine="648"/>
        <w:spacing w:after="0" w:line="247" w:lineRule="auto"/>
        <w:rPr>
          <w:sz w:val="20"/>
          <w:szCs w:val="20"/>
          <w:color w:val="auto"/>
        </w:rPr>
      </w:pPr>
      <w:r>
        <w:rPr>
          <w:rFonts w:ascii="Arial" w:cs="Arial" w:eastAsia="Arial" w:hAnsi="Arial"/>
          <w:sz w:val="21"/>
          <w:szCs w:val="21"/>
          <w:color w:val="auto"/>
        </w:rPr>
        <w:t xml:space="preserve">5.11 </w:t>
      </w:r>
      <w:r>
        <w:rPr>
          <w:rFonts w:ascii="Arial" w:cs="Arial" w:eastAsia="Arial" w:hAnsi="Arial"/>
          <w:sz w:val="21"/>
          <w:szCs w:val="21"/>
          <w:u w:val="single" w:color="auto"/>
          <w:color w:val="auto"/>
        </w:rPr>
        <w:t>Execution</w:t>
      </w:r>
      <w:r>
        <w:rPr>
          <w:rFonts w:ascii="Arial" w:cs="Arial" w:eastAsia="Arial" w:hAnsi="Arial"/>
          <w:sz w:val="21"/>
          <w:szCs w:val="21"/>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205" w:lineRule="exact"/>
        <w:rPr>
          <w:sz w:val="20"/>
          <w:szCs w:val="20"/>
          <w:color w:val="auto"/>
        </w:rPr>
      </w:pPr>
    </w:p>
    <w:p>
      <w:pPr>
        <w:jc w:val="both"/>
        <w:ind w:right="499" w:firstLine="648"/>
        <w:spacing w:after="0" w:line="275" w:lineRule="auto"/>
        <w:rPr>
          <w:sz w:val="20"/>
          <w:szCs w:val="20"/>
          <w:color w:val="auto"/>
        </w:rPr>
      </w:pPr>
      <w:r>
        <w:rPr>
          <w:rFonts w:ascii="Arial" w:cs="Arial" w:eastAsia="Arial" w:hAnsi="Arial"/>
          <w:sz w:val="19"/>
          <w:szCs w:val="19"/>
          <w:color w:val="auto"/>
        </w:rPr>
        <w:t xml:space="preserve">5.12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5" w:lineRule="exact"/>
        <w:rPr>
          <w:sz w:val="20"/>
          <w:szCs w:val="20"/>
          <w:color w:val="auto"/>
        </w:rPr>
      </w:pPr>
    </w:p>
    <w:p>
      <w:pPr>
        <w:jc w:val="both"/>
        <w:ind w:right="479" w:firstLine="648"/>
        <w:spacing w:after="0" w:line="248" w:lineRule="auto"/>
        <w:rPr>
          <w:sz w:val="20"/>
          <w:szCs w:val="20"/>
          <w:color w:val="auto"/>
        </w:rPr>
      </w:pPr>
      <w:r>
        <w:rPr>
          <w:rFonts w:ascii="Arial" w:cs="Arial" w:eastAsia="Arial" w:hAnsi="Arial"/>
          <w:sz w:val="21"/>
          <w:szCs w:val="21"/>
          <w:color w:val="auto"/>
        </w:rPr>
        <w:t xml:space="preserve">5.13 </w:t>
      </w:r>
      <w:r>
        <w:rPr>
          <w:rFonts w:ascii="Arial" w:cs="Arial" w:eastAsia="Arial" w:hAnsi="Arial"/>
          <w:sz w:val="21"/>
          <w:szCs w:val="21"/>
          <w:u w:val="single" w:color="auto"/>
          <w:color w:val="auto"/>
        </w:rPr>
        <w:t>Rescission and Withdrawal Right</w:t>
      </w:r>
      <w:r>
        <w:rPr>
          <w:rFonts w:ascii="Arial" w:cs="Arial" w:eastAsia="Arial" w:hAnsi="Arial"/>
          <w:sz w:val="21"/>
          <w:szCs w:val="21"/>
          <w:color w:val="auto"/>
        </w:rPr>
        <w:t>. Notwithstanding anything to the contrary contained in (and without limiting any similar provisions of) any of the other Transaction Documents, whenever Purchaser exercises a right, election, demand or option under a Transaction Document and the Company does not timely perform its related obligations within the periods therein provided, then Purchaser may rescind or withdraw, in its sole discretion from time to time upon written notice to the Company, any relevant notice, demand or election in whole or in part without prejudice to its future actions and rights.</w:t>
      </w:r>
    </w:p>
    <w:p>
      <w:pPr>
        <w:spacing w:after="0" w:line="204" w:lineRule="exact"/>
        <w:rPr>
          <w:sz w:val="20"/>
          <w:szCs w:val="20"/>
          <w:color w:val="auto"/>
        </w:rPr>
      </w:pPr>
    </w:p>
    <w:p>
      <w:pPr>
        <w:jc w:val="both"/>
        <w:ind w:right="499" w:firstLine="648"/>
        <w:spacing w:after="0" w:line="234" w:lineRule="auto"/>
        <w:rPr>
          <w:sz w:val="20"/>
          <w:szCs w:val="20"/>
          <w:color w:val="auto"/>
        </w:rPr>
      </w:pPr>
      <w:r>
        <w:rPr>
          <w:rFonts w:ascii="Arial" w:cs="Arial" w:eastAsia="Arial" w:hAnsi="Arial"/>
          <w:sz w:val="22"/>
          <w:szCs w:val="22"/>
          <w:color w:val="auto"/>
        </w:rPr>
        <w:t xml:space="preserve">5.14 </w:t>
      </w:r>
      <w:r>
        <w:rPr>
          <w:rFonts w:ascii="Arial" w:cs="Arial" w:eastAsia="Arial" w:hAnsi="Arial"/>
          <w:sz w:val="22"/>
          <w:szCs w:val="22"/>
          <w:u w:val="single" w:color="auto"/>
          <w:color w:val="auto"/>
        </w:rPr>
        <w:t>Replacement of Securities</w:t>
      </w:r>
      <w:r>
        <w:rPr>
          <w:rFonts w:ascii="Arial" w:cs="Arial" w:eastAsia="Arial" w:hAnsi="Arial"/>
          <w:sz w:val="22"/>
          <w:szCs w:val="22"/>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218" w:lineRule="exact"/>
        <w:rPr>
          <w:sz w:val="20"/>
          <w:szCs w:val="20"/>
          <w:color w:val="auto"/>
        </w:rPr>
      </w:pPr>
    </w:p>
    <w:p>
      <w:pPr>
        <w:jc w:val="both"/>
        <w:ind w:right="479" w:firstLine="648"/>
        <w:spacing w:after="0" w:line="248" w:lineRule="auto"/>
        <w:rPr>
          <w:sz w:val="20"/>
          <w:szCs w:val="20"/>
          <w:color w:val="auto"/>
        </w:rPr>
      </w:pPr>
      <w:r>
        <w:rPr>
          <w:rFonts w:ascii="Arial" w:cs="Arial" w:eastAsia="Arial" w:hAnsi="Arial"/>
          <w:sz w:val="21"/>
          <w:szCs w:val="21"/>
          <w:color w:val="auto"/>
        </w:rPr>
        <w:t xml:space="preserve">5.15 </w:t>
      </w:r>
      <w:r>
        <w:rPr>
          <w:rFonts w:ascii="Arial" w:cs="Arial" w:eastAsia="Arial" w:hAnsi="Arial"/>
          <w:sz w:val="21"/>
          <w:szCs w:val="21"/>
          <w:u w:val="single" w:color="auto"/>
          <w:color w:val="auto"/>
        </w:rPr>
        <w:t>Remedies</w:t>
      </w:r>
      <w:r>
        <w:rPr>
          <w:rFonts w:ascii="Arial" w:cs="Arial" w:eastAsia="Arial" w:hAnsi="Arial"/>
          <w:sz w:val="21"/>
          <w:szCs w:val="21"/>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ectPr>
          <w:pgSz w:w="11900" w:h="16838" w:orient="portrait"/>
          <w:cols w:equalWidth="0" w:num="1">
            <w:col w:w="10219"/>
          </w:cols>
          <w:pgMar w:left="240" w:top="361" w:right="144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0219"/>
          </w:cols>
          <w:pgMar w:left="240" w:top="361" w:right="1440" w:bottom="0" w:gutter="0" w:footer="0" w:header="0"/>
          <w:type w:val="continuous"/>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6174740"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both"/>
        <w:ind w:right="479" w:firstLine="648"/>
        <w:spacing w:after="0" w:line="245" w:lineRule="auto"/>
        <w:rPr>
          <w:sz w:val="20"/>
          <w:szCs w:val="20"/>
          <w:color w:val="auto"/>
        </w:rPr>
      </w:pPr>
      <w:r>
        <w:rPr>
          <w:rFonts w:ascii="Arial" w:cs="Arial" w:eastAsia="Arial" w:hAnsi="Arial"/>
          <w:sz w:val="21"/>
          <w:szCs w:val="21"/>
          <w:color w:val="auto"/>
        </w:rPr>
        <w:t xml:space="preserve">5.16 </w:t>
      </w:r>
      <w:r>
        <w:rPr>
          <w:rFonts w:ascii="Arial" w:cs="Arial" w:eastAsia="Arial" w:hAnsi="Arial"/>
          <w:sz w:val="21"/>
          <w:szCs w:val="21"/>
          <w:u w:val="single" w:color="auto"/>
          <w:color w:val="auto"/>
        </w:rPr>
        <w:t>Payment Set Aside</w:t>
      </w:r>
      <w:r>
        <w:rPr>
          <w:rFonts w:ascii="Arial" w:cs="Arial" w:eastAsia="Arial" w:hAnsi="Arial"/>
          <w:sz w:val="21"/>
          <w:szCs w:val="21"/>
          <w:color w:val="auto"/>
        </w:rPr>
        <w:t>. To the extent that the Company makes a payment or payments to Purchaser pursuant to any Transaction Document or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212" w:lineRule="exact"/>
        <w:rPr>
          <w:sz w:val="20"/>
          <w:szCs w:val="20"/>
          <w:color w:val="auto"/>
        </w:rPr>
      </w:pPr>
    </w:p>
    <w:p>
      <w:pPr>
        <w:jc w:val="both"/>
        <w:ind w:right="479" w:firstLine="648"/>
        <w:spacing w:after="0" w:line="236" w:lineRule="auto"/>
        <w:rPr>
          <w:sz w:val="20"/>
          <w:szCs w:val="20"/>
          <w:color w:val="auto"/>
        </w:rPr>
      </w:pPr>
      <w:r>
        <w:rPr>
          <w:rFonts w:ascii="Arial" w:cs="Arial" w:eastAsia="Arial" w:hAnsi="Arial"/>
          <w:sz w:val="22"/>
          <w:szCs w:val="22"/>
          <w:color w:val="auto"/>
        </w:rPr>
        <w:t xml:space="preserve">5.17 </w:t>
      </w:r>
      <w:r>
        <w:rPr>
          <w:rFonts w:ascii="Arial" w:cs="Arial" w:eastAsia="Arial" w:hAnsi="Arial"/>
          <w:sz w:val="22"/>
          <w:szCs w:val="22"/>
          <w:u w:val="single" w:color="auto"/>
          <w:color w:val="auto"/>
        </w:rPr>
        <w:t>Liquidated Damages</w:t>
      </w:r>
      <w:r>
        <w:rPr>
          <w:rFonts w:ascii="Arial" w:cs="Arial" w:eastAsia="Arial" w:hAnsi="Arial"/>
          <w:sz w:val="22"/>
          <w:szCs w:val="22"/>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215" w:lineRule="exact"/>
        <w:rPr>
          <w:sz w:val="20"/>
          <w:szCs w:val="20"/>
          <w:color w:val="auto"/>
        </w:rPr>
      </w:pPr>
    </w:p>
    <w:p>
      <w:pPr>
        <w:jc w:val="both"/>
        <w:ind w:right="499" w:firstLine="648"/>
        <w:spacing w:after="0"/>
        <w:rPr>
          <w:sz w:val="20"/>
          <w:szCs w:val="20"/>
          <w:color w:val="auto"/>
        </w:rPr>
      </w:pPr>
      <w:r>
        <w:rPr>
          <w:rFonts w:ascii="Arial" w:cs="Arial" w:eastAsia="Arial" w:hAnsi="Arial"/>
          <w:sz w:val="22"/>
          <w:szCs w:val="22"/>
          <w:color w:val="auto"/>
        </w:rPr>
        <w:t xml:space="preserve">5.18 </w:t>
      </w:r>
      <w:r>
        <w:rPr>
          <w:rFonts w:ascii="Arial" w:cs="Arial" w:eastAsia="Arial" w:hAnsi="Arial"/>
          <w:sz w:val="22"/>
          <w:szCs w:val="22"/>
          <w:u w:val="single" w:color="auto"/>
          <w:color w:val="auto"/>
        </w:rPr>
        <w:t>Saturdays, Sundays, Holidays, etc</w:t>
      </w:r>
      <w:r>
        <w:rPr>
          <w:rFonts w:ascii="Arial" w:cs="Arial" w:eastAsia="Arial" w:hAnsi="Arial"/>
          <w:sz w:val="22"/>
          <w:szCs w:val="22"/>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213" w:lineRule="exact"/>
        <w:rPr>
          <w:sz w:val="20"/>
          <w:szCs w:val="20"/>
          <w:color w:val="auto"/>
        </w:rPr>
      </w:pPr>
    </w:p>
    <w:p>
      <w:pPr>
        <w:jc w:val="both"/>
        <w:ind w:right="479" w:firstLine="648"/>
        <w:spacing w:after="0" w:line="247" w:lineRule="auto"/>
        <w:rPr>
          <w:sz w:val="20"/>
          <w:szCs w:val="20"/>
          <w:color w:val="auto"/>
        </w:rPr>
      </w:pPr>
      <w:r>
        <w:rPr>
          <w:rFonts w:ascii="Arial" w:cs="Arial" w:eastAsia="Arial" w:hAnsi="Arial"/>
          <w:sz w:val="21"/>
          <w:szCs w:val="21"/>
          <w:color w:val="auto"/>
        </w:rPr>
        <w:t xml:space="preserve">5.19 </w:t>
      </w:r>
      <w:r>
        <w:rPr>
          <w:rFonts w:ascii="Arial" w:cs="Arial" w:eastAsia="Arial" w:hAnsi="Arial"/>
          <w:sz w:val="21"/>
          <w:szCs w:val="21"/>
          <w:u w:val="single" w:color="auto"/>
          <w:color w:val="auto"/>
        </w:rPr>
        <w:t>Construction</w:t>
      </w:r>
      <w:r>
        <w:rPr>
          <w:rFonts w:ascii="Arial" w:cs="Arial" w:eastAsia="Arial" w:hAnsi="Arial"/>
          <w:sz w:val="21"/>
          <w:szCs w:val="21"/>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99" w:lineRule="exact"/>
        <w:rPr>
          <w:sz w:val="20"/>
          <w:szCs w:val="20"/>
          <w:color w:val="auto"/>
        </w:rPr>
      </w:pPr>
    </w:p>
    <w:p>
      <w:pPr>
        <w:jc w:val="both"/>
        <w:ind w:right="479" w:firstLine="648"/>
        <w:spacing w:after="0" w:line="237" w:lineRule="auto"/>
        <w:rPr>
          <w:sz w:val="20"/>
          <w:szCs w:val="20"/>
          <w:color w:val="auto"/>
        </w:rPr>
      </w:pPr>
      <w:r>
        <w:rPr>
          <w:rFonts w:ascii="Arial" w:cs="Arial" w:eastAsia="Arial" w:hAnsi="Arial"/>
          <w:sz w:val="22"/>
          <w:szCs w:val="22"/>
          <w:color w:val="auto"/>
        </w:rPr>
        <w:t xml:space="preserve">5.20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xml:space="preserve">. </w:t>
      </w:r>
      <w:r>
        <w:rPr>
          <w:rFonts w:ascii="Arial" w:cs="Arial" w:eastAsia="Arial" w:hAnsi="Arial"/>
          <w:sz w:val="22"/>
          <w:szCs w:val="22"/>
          <w:b w:val="1"/>
          <w:bCs w:val="1"/>
          <w:color w:val="auto"/>
        </w:rPr>
        <w:t>IN ANY ACTION, SUIT, OR PROCEEDING IN ANY</w:t>
      </w:r>
      <w:r>
        <w:rPr>
          <w:rFonts w:ascii="Arial" w:cs="Arial" w:eastAsia="Arial" w:hAnsi="Arial"/>
          <w:sz w:val="22"/>
          <w:szCs w:val="22"/>
          <w:color w:val="auto"/>
        </w:rPr>
        <w:t xml:space="preserve"> </w:t>
      </w:r>
      <w:r>
        <w:rPr>
          <w:rFonts w:ascii="Arial" w:cs="Arial" w:eastAsia="Arial" w:hAnsi="Arial"/>
          <w:sz w:val="22"/>
          <w:szCs w:val="22"/>
          <w:b w:val="1"/>
          <w:bCs w:val="1"/>
          <w:color w:val="auto"/>
        </w:rPr>
        <w:t>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216" w:lineRule="exact"/>
        <w:rPr>
          <w:sz w:val="20"/>
          <w:szCs w:val="20"/>
          <w:color w:val="auto"/>
        </w:rPr>
      </w:pPr>
    </w:p>
    <w:p>
      <w:pPr>
        <w:ind w:left="3760"/>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617474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99" w:name="page100"/>
    <w:bookmarkEnd w:id="99"/>
    <w:p>
      <w:pPr>
        <w:ind w:right="499" w:firstLine="648"/>
        <w:spacing w:after="0" w:line="274" w:lineRule="auto"/>
        <w:rPr>
          <w:sz w:val="20"/>
          <w:szCs w:val="20"/>
          <w:color w:val="auto"/>
        </w:rPr>
      </w:pPr>
      <w:r>
        <w:rPr>
          <w:rFonts w:ascii="Arial" w:cs="Arial" w:eastAsia="Arial" w:hAnsi="Arial"/>
          <w:sz w:val="21"/>
          <w:szCs w:val="21"/>
          <w:color w:val="auto"/>
        </w:rPr>
        <w:t>IN WITNESS WHEREOF, the parties hereto have caused this Securities Purchase Agreement to be duly executed by their respective authorized signatories as of the date first indicated above.</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TRANSDEL PHARMACEUTICALS, INC.</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Address for Notice:</w:t>
            </w:r>
          </w:p>
        </w:tc>
      </w:tr>
      <w:tr>
        <w:trPr>
          <w:trHeight w:val="412"/>
        </w:trPr>
        <w:tc>
          <w:tcPr>
            <w:tcW w:w="5300" w:type="dxa"/>
            <w:vAlign w:val="bottom"/>
            <w:gridSpan w:val="3"/>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Terry M. Nida</w:t>
            </w:r>
          </w:p>
        </w:tc>
        <w:tc>
          <w:tcPr>
            <w:tcW w:w="1420" w:type="dxa"/>
            <w:vAlign w:val="bottom"/>
          </w:tcPr>
          <w:p>
            <w:pPr>
              <w:spacing w:after="0"/>
              <w:rPr>
                <w:sz w:val="20"/>
                <w:szCs w:val="20"/>
                <w:color w:val="auto"/>
              </w:rPr>
            </w:pPr>
            <w:r>
              <w:rPr>
                <w:rFonts w:ascii="Arial" w:cs="Arial" w:eastAsia="Arial" w:hAnsi="Arial"/>
                <w:sz w:val="18"/>
                <w:szCs w:val="18"/>
                <w:color w:val="auto"/>
              </w:rPr>
              <w:t>Fax:</w:t>
            </w:r>
          </w:p>
        </w:tc>
      </w:tr>
      <w:tr>
        <w:trPr>
          <w:trHeight w:val="20"/>
        </w:trPr>
        <w:tc>
          <w:tcPr>
            <w:tcW w:w="3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2"/>
        </w:trPr>
        <w:tc>
          <w:tcPr>
            <w:tcW w:w="5300" w:type="dxa"/>
            <w:vAlign w:val="bottom"/>
            <w:gridSpan w:val="3"/>
          </w:tcPr>
          <w:p>
            <w:pPr>
              <w:ind w:left="280"/>
              <w:spacing w:after="0"/>
              <w:rPr>
                <w:sz w:val="20"/>
                <w:szCs w:val="20"/>
                <w:color w:val="auto"/>
              </w:rPr>
            </w:pPr>
            <w:r>
              <w:rPr>
                <w:rFonts w:ascii="Arial" w:cs="Arial" w:eastAsia="Arial" w:hAnsi="Arial"/>
                <w:sz w:val="18"/>
                <w:szCs w:val="18"/>
                <w:color w:val="auto"/>
              </w:rPr>
              <w:t>Name: Terry M. Nida</w:t>
            </w:r>
          </w:p>
        </w:tc>
        <w:tc>
          <w:tcPr>
            <w:tcW w:w="1420" w:type="dxa"/>
            <w:vAlign w:val="bottom"/>
          </w:tcPr>
          <w:p>
            <w:pPr>
              <w:spacing w:after="0"/>
              <w:rPr>
                <w:sz w:val="19"/>
                <w:szCs w:val="19"/>
                <w:color w:val="auto"/>
              </w:rPr>
            </w:pPr>
          </w:p>
        </w:tc>
      </w:tr>
      <w:tr>
        <w:trPr>
          <w:trHeight w:val="216"/>
        </w:trPr>
        <w:tc>
          <w:tcPr>
            <w:tcW w:w="5300" w:type="dxa"/>
            <w:vAlign w:val="bottom"/>
            <w:gridSpan w:val="3"/>
          </w:tcPr>
          <w:p>
            <w:pPr>
              <w:ind w:left="280"/>
              <w:spacing w:after="0"/>
              <w:rPr>
                <w:sz w:val="20"/>
                <w:szCs w:val="20"/>
                <w:color w:val="auto"/>
              </w:rPr>
            </w:pPr>
            <w:r>
              <w:rPr>
                <w:rFonts w:ascii="Arial" w:cs="Arial" w:eastAsia="Arial" w:hAnsi="Arial"/>
                <w:sz w:val="18"/>
                <w:szCs w:val="18"/>
                <w:color w:val="auto"/>
              </w:rPr>
              <w:t>Title:</w:t>
            </w:r>
          </w:p>
        </w:tc>
        <w:tc>
          <w:tcPr>
            <w:tcW w:w="1420" w:type="dxa"/>
            <w:vAlign w:val="bottom"/>
          </w:tcPr>
          <w:p>
            <w:pPr>
              <w:spacing w:after="0"/>
              <w:rPr>
                <w:sz w:val="18"/>
                <w:szCs w:val="18"/>
                <w:color w:val="auto"/>
              </w:rPr>
            </w:pPr>
          </w:p>
        </w:tc>
      </w:tr>
      <w:tr>
        <w:trPr>
          <w:trHeight w:val="230"/>
        </w:trPr>
        <w:tc>
          <w:tcPr>
            <w:tcW w:w="5300" w:type="dxa"/>
            <w:vAlign w:val="bottom"/>
            <w:gridSpan w:val="3"/>
          </w:tcPr>
          <w:p>
            <w:pPr>
              <w:spacing w:after="0"/>
              <w:rPr>
                <w:sz w:val="20"/>
                <w:szCs w:val="20"/>
                <w:color w:val="auto"/>
              </w:rPr>
            </w:pPr>
            <w:r>
              <w:rPr>
                <w:rFonts w:ascii="Arial" w:cs="Arial" w:eastAsia="Arial" w:hAnsi="Arial"/>
                <w:sz w:val="18"/>
                <w:szCs w:val="18"/>
                <w:color w:val="auto"/>
              </w:rPr>
              <w:t>With a copy to (which shall not constitute notice):</w:t>
            </w: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[REMAINDER OF PAGE INTENTIONALLY LEFT BLANK</w:t>
      </w:r>
    </w:p>
    <w:p>
      <w:pPr>
        <w:spacing w:after="0" w:line="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SIGNATURE PAGE FOR PURCHASER FOLLOWS]</w:t>
      </w:r>
    </w:p>
    <w:p>
      <w:pPr>
        <w:spacing w:after="0" w:line="200" w:lineRule="exact"/>
        <w:rPr>
          <w:sz w:val="20"/>
          <w:szCs w:val="20"/>
          <w:color w:val="auto"/>
        </w:rPr>
      </w:pPr>
    </w:p>
    <w:p>
      <w:pPr>
        <w:spacing w:after="0" w:line="25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617474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100" w:name="page101"/>
    <w:bookmarkEnd w:id="100"/>
    <w:p>
      <w:pPr>
        <w:ind w:right="519" w:firstLine="648"/>
        <w:spacing w:after="0" w:line="274" w:lineRule="auto"/>
        <w:rPr>
          <w:sz w:val="20"/>
          <w:szCs w:val="20"/>
          <w:color w:val="auto"/>
        </w:rPr>
      </w:pPr>
      <w:r>
        <w:rPr>
          <w:rFonts w:ascii="Arial" w:cs="Arial" w:eastAsia="Arial" w:hAnsi="Arial"/>
          <w:sz w:val="21"/>
          <w:szCs w:val="21"/>
          <w:color w:val="auto"/>
        </w:rPr>
        <w:t>IN WITNESS WHEREOF, the parties hereto have caused this Securities Purchase Agreement to be duly executed by their respective authorized signatories as of the date first indicated above.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DERMASTAR INTERNATIONAL, LLC</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Address for Notice:</w:t>
            </w:r>
          </w:p>
        </w:tc>
      </w:tr>
      <w:tr>
        <w:trPr>
          <w:trHeight w:val="412"/>
        </w:trPr>
        <w:tc>
          <w:tcPr>
            <w:tcW w:w="5300" w:type="dxa"/>
            <w:vAlign w:val="bottom"/>
            <w:gridSpan w:val="3"/>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tc>
        <w:tc>
          <w:tcPr>
            <w:tcW w:w="1420" w:type="dxa"/>
            <w:vAlign w:val="bottom"/>
          </w:tcPr>
          <w:p>
            <w:pPr>
              <w:spacing w:after="0"/>
              <w:rPr>
                <w:sz w:val="20"/>
                <w:szCs w:val="20"/>
                <w:color w:val="auto"/>
              </w:rPr>
            </w:pPr>
            <w:r>
              <w:rPr>
                <w:rFonts w:ascii="Arial" w:cs="Arial" w:eastAsia="Arial" w:hAnsi="Arial"/>
                <w:sz w:val="18"/>
                <w:szCs w:val="18"/>
                <w:color w:val="auto"/>
              </w:rPr>
              <w:t>Fax:</w:t>
            </w:r>
          </w:p>
        </w:tc>
      </w:tr>
      <w:tr>
        <w:trPr>
          <w:trHeight w:val="20"/>
        </w:trPr>
        <w:tc>
          <w:tcPr>
            <w:tcW w:w="32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2"/>
        </w:trPr>
        <w:tc>
          <w:tcPr>
            <w:tcW w:w="5300" w:type="dxa"/>
            <w:vAlign w:val="bottom"/>
            <w:gridSpan w:val="3"/>
          </w:tcPr>
          <w:p>
            <w:pPr>
              <w:ind w:left="280"/>
              <w:spacing w:after="0"/>
              <w:rPr>
                <w:sz w:val="20"/>
                <w:szCs w:val="20"/>
                <w:color w:val="auto"/>
              </w:rPr>
            </w:pPr>
            <w:r>
              <w:rPr>
                <w:rFonts w:ascii="Arial" w:cs="Arial" w:eastAsia="Arial" w:hAnsi="Arial"/>
                <w:sz w:val="18"/>
                <w:szCs w:val="18"/>
                <w:color w:val="auto"/>
              </w:rPr>
              <w:t>Name: Mark L. Baum</w:t>
            </w:r>
          </w:p>
        </w:tc>
        <w:tc>
          <w:tcPr>
            <w:tcW w:w="1420" w:type="dxa"/>
            <w:vAlign w:val="bottom"/>
          </w:tcPr>
          <w:p>
            <w:pPr>
              <w:spacing w:after="0"/>
              <w:rPr>
                <w:sz w:val="19"/>
                <w:szCs w:val="19"/>
                <w:color w:val="auto"/>
              </w:rPr>
            </w:pPr>
          </w:p>
        </w:tc>
      </w:tr>
      <w:tr>
        <w:trPr>
          <w:trHeight w:val="216"/>
        </w:trPr>
        <w:tc>
          <w:tcPr>
            <w:tcW w:w="5300" w:type="dxa"/>
            <w:vAlign w:val="bottom"/>
            <w:gridSpan w:val="3"/>
          </w:tcPr>
          <w:p>
            <w:pPr>
              <w:ind w:left="280"/>
              <w:spacing w:after="0"/>
              <w:rPr>
                <w:sz w:val="20"/>
                <w:szCs w:val="20"/>
                <w:color w:val="auto"/>
              </w:rPr>
            </w:pPr>
            <w:r>
              <w:rPr>
                <w:rFonts w:ascii="Arial" w:cs="Arial" w:eastAsia="Arial" w:hAnsi="Arial"/>
                <w:sz w:val="18"/>
                <w:szCs w:val="18"/>
                <w:color w:val="auto"/>
              </w:rPr>
              <w:t>Title:  Managing Member</w:t>
            </w:r>
          </w:p>
        </w:tc>
        <w:tc>
          <w:tcPr>
            <w:tcW w:w="1420" w:type="dxa"/>
            <w:vAlign w:val="bottom"/>
          </w:tcPr>
          <w:p>
            <w:pPr>
              <w:spacing w:after="0"/>
              <w:rPr>
                <w:sz w:val="18"/>
                <w:szCs w:val="18"/>
                <w:color w:val="auto"/>
              </w:rPr>
            </w:pPr>
          </w:p>
        </w:tc>
      </w:tr>
      <w:tr>
        <w:trPr>
          <w:trHeight w:val="230"/>
        </w:trPr>
        <w:tc>
          <w:tcPr>
            <w:tcW w:w="5300" w:type="dxa"/>
            <w:vAlign w:val="bottom"/>
            <w:gridSpan w:val="3"/>
          </w:tcPr>
          <w:p>
            <w:pPr>
              <w:spacing w:after="0"/>
              <w:rPr>
                <w:sz w:val="20"/>
                <w:szCs w:val="20"/>
                <w:color w:val="auto"/>
              </w:rPr>
            </w:pPr>
            <w:r>
              <w:rPr>
                <w:rFonts w:ascii="Arial" w:cs="Arial" w:eastAsia="Arial" w:hAnsi="Arial"/>
                <w:sz w:val="18"/>
                <w:szCs w:val="18"/>
                <w:color w:val="auto"/>
              </w:rPr>
              <w:t>With a copy to (which shall not constitute notice):</w:t>
            </w: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617474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101" w:name="page102"/>
    <w:bookmarkEnd w:id="101"/>
    <w:p>
      <w:pPr>
        <w:jc w:val="right"/>
        <w:ind w:right="4739"/>
        <w:spacing w:after="0"/>
        <w:rPr>
          <w:sz w:val="20"/>
          <w:szCs w:val="20"/>
          <w:color w:val="auto"/>
        </w:rPr>
      </w:pPr>
      <w:r>
        <w:rPr>
          <w:rFonts w:ascii="Arial" w:cs="Arial" w:eastAsia="Arial" w:hAnsi="Arial"/>
          <w:sz w:val="22"/>
          <w:szCs w:val="22"/>
          <w:b w:val="1"/>
          <w:bCs w:val="1"/>
          <w:u w:val="single" w:color="auto"/>
          <w:color w:val="auto"/>
        </w:rPr>
        <w:t>Schedule A-1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John Bonfiglio</w:t>
      </w:r>
    </w:p>
    <w:p>
      <w:pPr>
        <w:spacing w:after="0" w:line="230" w:lineRule="auto"/>
        <w:rPr>
          <w:sz w:val="20"/>
          <w:szCs w:val="20"/>
          <w:color w:val="auto"/>
        </w:rPr>
      </w:pPr>
      <w:r>
        <w:rPr>
          <w:rFonts w:ascii="Arial" w:cs="Arial" w:eastAsia="Arial" w:hAnsi="Arial"/>
          <w:sz w:val="22"/>
          <w:szCs w:val="22"/>
          <w:color w:val="auto"/>
        </w:rPr>
        <w:t>Ysabella Fernando</w:t>
      </w:r>
    </w:p>
    <w:p>
      <w:pPr>
        <w:spacing w:after="0" w:line="231" w:lineRule="auto"/>
        <w:rPr>
          <w:sz w:val="20"/>
          <w:szCs w:val="20"/>
          <w:color w:val="auto"/>
        </w:rPr>
      </w:pPr>
      <w:r>
        <w:rPr>
          <w:rFonts w:ascii="Arial" w:cs="Arial" w:eastAsia="Arial" w:hAnsi="Arial"/>
          <w:sz w:val="22"/>
          <w:szCs w:val="22"/>
          <w:color w:val="auto"/>
        </w:rPr>
        <w:t>John Lomorro</w:t>
      </w:r>
    </w:p>
    <w:p>
      <w:pPr>
        <w:spacing w:after="0" w:line="230" w:lineRule="auto"/>
        <w:rPr>
          <w:sz w:val="20"/>
          <w:szCs w:val="20"/>
          <w:color w:val="auto"/>
        </w:rPr>
      </w:pPr>
      <w:r>
        <w:rPr>
          <w:rFonts w:ascii="Arial" w:cs="Arial" w:eastAsia="Arial" w:hAnsi="Arial"/>
          <w:sz w:val="22"/>
          <w:szCs w:val="22"/>
          <w:color w:val="auto"/>
        </w:rPr>
        <w:t>Terry M. Nida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Joachim Schupp</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617474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sectPr>
      </w:pPr>
    </w:p>
    <w:bookmarkStart w:id="102" w:name="page103"/>
    <w:bookmarkEnd w:id="102"/>
    <w:p>
      <w:pPr>
        <w:jc w:val="right"/>
        <w:ind w:right="4739"/>
        <w:spacing w:after="0"/>
        <w:rPr>
          <w:sz w:val="20"/>
          <w:szCs w:val="20"/>
          <w:color w:val="auto"/>
        </w:rPr>
      </w:pPr>
      <w:r>
        <w:rPr>
          <w:rFonts w:ascii="Arial" w:cs="Arial" w:eastAsia="Arial" w:hAnsi="Arial"/>
          <w:sz w:val="22"/>
          <w:szCs w:val="22"/>
          <w:b w:val="1"/>
          <w:bCs w:val="1"/>
          <w:u w:val="single" w:color="auto"/>
          <w:color w:val="auto"/>
        </w:rPr>
        <w:t>Schedule A-2</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617474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sectPr>
      </w:pPr>
    </w:p>
    <w:bookmarkStart w:id="103" w:name="page104"/>
    <w:bookmarkEnd w:id="103"/>
    <w:p>
      <w:pPr>
        <w:jc w:val="center"/>
        <w:ind w:right="479"/>
        <w:spacing w:after="0"/>
        <w:rPr>
          <w:sz w:val="20"/>
          <w:szCs w:val="20"/>
          <w:color w:val="auto"/>
        </w:rPr>
      </w:pPr>
      <w:r>
        <w:rPr>
          <w:rFonts w:ascii="Arial" w:cs="Arial" w:eastAsia="Arial" w:hAnsi="Arial"/>
          <w:sz w:val="22"/>
          <w:szCs w:val="22"/>
          <w:b w:val="1"/>
          <w:bCs w:val="1"/>
          <w:u w:val="single" w:color="auto"/>
          <w:color w:val="auto"/>
        </w:rPr>
        <w:t>Exhibit A</w:t>
      </w:r>
    </w:p>
    <w:p>
      <w:pPr>
        <w:spacing w:after="0" w:line="14"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Certificate of Designation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[filed separately]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6174740" cy="94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sectPr>
      </w:pPr>
    </w:p>
    <w:bookmarkStart w:id="104" w:name="page105"/>
    <w:bookmarkEnd w:id="104"/>
    <w:p>
      <w:pPr>
        <w:ind w:left="4340"/>
        <w:spacing w:after="0"/>
        <w:rPr>
          <w:sz w:val="20"/>
          <w:szCs w:val="20"/>
          <w:color w:val="auto"/>
        </w:rPr>
      </w:pPr>
      <w:r>
        <w:rPr>
          <w:rFonts w:ascii="Arial" w:cs="Arial" w:eastAsia="Arial" w:hAnsi="Arial"/>
          <w:sz w:val="22"/>
          <w:szCs w:val="22"/>
          <w:b w:val="1"/>
          <w:bCs w:val="1"/>
          <w:u w:val="single" w:color="auto"/>
          <w:color w:val="auto"/>
        </w:rPr>
        <w:t>Exhibit B-1</w:t>
      </w:r>
    </w:p>
    <w:p>
      <w:pPr>
        <w:spacing w:after="0" w:line="4" w:lineRule="exact"/>
        <w:rPr>
          <w:sz w:val="20"/>
          <w:szCs w:val="20"/>
          <w:color w:val="auto"/>
        </w:rPr>
      </w:pPr>
    </w:p>
    <w:p>
      <w:pPr>
        <w:jc w:val="right"/>
        <w:ind w:right="3359"/>
        <w:spacing w:after="0"/>
        <w:rPr>
          <w:sz w:val="20"/>
          <w:szCs w:val="20"/>
          <w:color w:val="auto"/>
        </w:rPr>
      </w:pPr>
      <w:r>
        <w:rPr>
          <w:rFonts w:ascii="Arial" w:cs="Arial" w:eastAsia="Arial" w:hAnsi="Arial"/>
          <w:sz w:val="22"/>
          <w:szCs w:val="22"/>
          <w:b w:val="1"/>
          <w:bCs w:val="1"/>
          <w:color w:val="auto"/>
        </w:rPr>
        <w:t>Form of Mutual General Release Agreement</w:t>
      </w:r>
    </w:p>
    <w:p>
      <w:pPr>
        <w:ind w:left="3300"/>
        <w:spacing w:after="0" w:line="230" w:lineRule="auto"/>
        <w:rPr>
          <w:sz w:val="20"/>
          <w:szCs w:val="20"/>
          <w:color w:val="auto"/>
        </w:rPr>
      </w:pPr>
      <w:r>
        <w:rPr>
          <w:rFonts w:ascii="Arial" w:cs="Arial" w:eastAsia="Arial" w:hAnsi="Arial"/>
          <w:sz w:val="22"/>
          <w:szCs w:val="22"/>
          <w:b w:val="1"/>
          <w:bCs w:val="1"/>
          <w:color w:val="auto"/>
        </w:rPr>
        <w:t>(Employees, Officers &amp; Directors)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[filed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6174740" cy="94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sectPr>
      </w:pPr>
    </w:p>
    <w:bookmarkStart w:id="105" w:name="page106"/>
    <w:bookmarkEnd w:id="105"/>
    <w:p>
      <w:pPr>
        <w:jc w:val="center"/>
        <w:ind w:right="479"/>
        <w:spacing w:after="0"/>
        <w:rPr>
          <w:sz w:val="20"/>
          <w:szCs w:val="20"/>
          <w:color w:val="auto"/>
        </w:rPr>
      </w:pPr>
      <w:r>
        <w:rPr>
          <w:rFonts w:ascii="Arial" w:cs="Arial" w:eastAsia="Arial" w:hAnsi="Arial"/>
          <w:sz w:val="22"/>
          <w:szCs w:val="22"/>
          <w:b w:val="1"/>
          <w:bCs w:val="1"/>
          <w:u w:val="single" w:color="auto"/>
          <w:color w:val="auto"/>
        </w:rPr>
        <w:t>Exhibit B-2</w:t>
      </w:r>
    </w:p>
    <w:p>
      <w:pPr>
        <w:spacing w:after="0" w:line="14"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Form of Mutual General Release Agreement</w:t>
      </w:r>
    </w:p>
    <w:p>
      <w:pPr>
        <w:spacing w:after="0" w:line="15"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(Creditors)</w:t>
      </w: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5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19"/>
          </w:cols>
          <w:pgMar w:left="240" w:top="1030" w:right="1440" w:bottom="1440" w:gutter="0" w:footer="0" w:header="0"/>
        </w:sectPr>
      </w:pPr>
    </w:p>
    <w:bookmarkStart w:id="106" w:name="page107"/>
    <w:bookmarkEnd w:id="106"/>
    <w:p>
      <w:pPr>
        <w:jc w:val="center"/>
        <w:ind w:right="479"/>
        <w:spacing w:after="0"/>
        <w:rPr>
          <w:sz w:val="20"/>
          <w:szCs w:val="20"/>
          <w:color w:val="auto"/>
        </w:rPr>
      </w:pPr>
      <w:r>
        <w:rPr>
          <w:rFonts w:ascii="Arial" w:cs="Arial" w:eastAsia="Arial" w:hAnsi="Arial"/>
          <w:sz w:val="22"/>
          <w:szCs w:val="22"/>
          <w:color w:val="auto"/>
        </w:rPr>
        <w:t>Exhibit 10.5</w:t>
      </w:r>
    </w:p>
    <w:p>
      <w:pPr>
        <w:spacing w:after="0" w:line="227"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MUTUAL GENERAL RELEASE AGREEMENT</w:t>
      </w:r>
    </w:p>
    <w:p>
      <w:pPr>
        <w:spacing w:after="0" w:line="239" w:lineRule="exact"/>
        <w:rPr>
          <w:sz w:val="20"/>
          <w:szCs w:val="20"/>
          <w:color w:val="auto"/>
        </w:rPr>
      </w:pPr>
    </w:p>
    <w:p>
      <w:pPr>
        <w:jc w:val="both"/>
        <w:ind w:right="479" w:firstLine="648"/>
        <w:spacing w:after="0" w:line="238" w:lineRule="auto"/>
        <w:rPr>
          <w:sz w:val="20"/>
          <w:szCs w:val="20"/>
          <w:color w:val="auto"/>
        </w:rPr>
      </w:pPr>
      <w:r>
        <w:rPr>
          <w:rFonts w:ascii="Arial" w:cs="Arial" w:eastAsia="Arial" w:hAnsi="Arial"/>
          <w:sz w:val="22"/>
          <w:szCs w:val="22"/>
          <w:color w:val="auto"/>
        </w:rPr>
        <w:t>THIS MUTUAL GENERAL RELEASE AGREEMENT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entered into as of December 13, 2011 by and between Transdel Pharmaceuticals,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each of the undersigned current and/or former directors, officers or employees of the Company (the “</w:t>
      </w:r>
      <w:r>
        <w:rPr>
          <w:rFonts w:ascii="Arial" w:cs="Arial" w:eastAsia="Arial" w:hAnsi="Arial"/>
          <w:sz w:val="22"/>
          <w:szCs w:val="22"/>
          <w:b w:val="1"/>
          <w:bCs w:val="1"/>
          <w:i w:val="1"/>
          <w:iCs w:val="1"/>
          <w:color w:val="auto"/>
        </w:rPr>
        <w:t>Directors and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Officers</w:t>
      </w:r>
      <w:r>
        <w:rPr>
          <w:rFonts w:ascii="Arial" w:cs="Arial" w:eastAsia="Arial" w:hAnsi="Arial"/>
          <w:sz w:val="22"/>
          <w:szCs w:val="22"/>
          <w:color w:val="auto"/>
        </w:rPr>
        <w:t>”).</w:t>
      </w:r>
    </w:p>
    <w:p>
      <w:pPr>
        <w:spacing w:after="0" w:line="212" w:lineRule="exact"/>
        <w:rPr>
          <w:sz w:val="20"/>
          <w:szCs w:val="20"/>
          <w:color w:val="auto"/>
        </w:rPr>
      </w:pPr>
    </w:p>
    <w:p>
      <w:pPr>
        <w:jc w:val="both"/>
        <w:ind w:right="499" w:firstLine="648"/>
        <w:spacing w:after="0" w:line="248" w:lineRule="auto"/>
        <w:rPr>
          <w:sz w:val="20"/>
          <w:szCs w:val="20"/>
          <w:color w:val="auto"/>
        </w:rPr>
      </w:pPr>
      <w:r>
        <w:rPr>
          <w:rFonts w:ascii="Arial" w:cs="Arial" w:eastAsia="Arial" w:hAnsi="Arial"/>
          <w:sz w:val="21"/>
          <w:szCs w:val="21"/>
          <w:color w:val="auto"/>
        </w:rPr>
        <w:t>WHEREAS, the Company and DermaStar International, LLC, a Nevada limited liability company (the “</w:t>
      </w:r>
      <w:r>
        <w:rPr>
          <w:rFonts w:ascii="Arial" w:cs="Arial" w:eastAsia="Arial" w:hAnsi="Arial"/>
          <w:sz w:val="21"/>
          <w:szCs w:val="21"/>
          <w:b w:val="1"/>
          <w:bCs w:val="1"/>
          <w:i w:val="1"/>
          <w:iCs w:val="1"/>
          <w:color w:val="auto"/>
        </w:rPr>
        <w:t>Investor</w:t>
      </w:r>
      <w:r>
        <w:rPr>
          <w:rFonts w:ascii="Arial" w:cs="Arial" w:eastAsia="Arial" w:hAnsi="Arial"/>
          <w:sz w:val="21"/>
          <w:szCs w:val="21"/>
          <w:color w:val="auto"/>
        </w:rPr>
        <w:t>”) have entered into that certain Securities Purchase Agreement dated November 21, 2011 (the “</w:t>
      </w:r>
      <w:r>
        <w:rPr>
          <w:rFonts w:ascii="Arial" w:cs="Arial" w:eastAsia="Arial" w:hAnsi="Arial"/>
          <w:sz w:val="21"/>
          <w:szCs w:val="21"/>
          <w:b w:val="1"/>
          <w:bCs w:val="1"/>
          <w:i w:val="1"/>
          <w:iCs w:val="1"/>
          <w:color w:val="auto"/>
        </w:rPr>
        <w:t>Securities Purchase Agreement</w:t>
      </w:r>
      <w:r>
        <w:rPr>
          <w:rFonts w:ascii="Arial" w:cs="Arial" w:eastAsia="Arial" w:hAnsi="Arial"/>
          <w:sz w:val="21"/>
          <w:szCs w:val="21"/>
          <w:color w:val="auto"/>
        </w:rPr>
        <w:t>”) pursuant to which the Investor has agreed to purchase, and the Company has agreed to sell, certain shares of Series A Preferred Stock of the Company, and that certain Line of Credit Letter Agreement (the “</w:t>
      </w:r>
      <w:r>
        <w:rPr>
          <w:rFonts w:ascii="Arial" w:cs="Arial" w:eastAsia="Arial" w:hAnsi="Arial"/>
          <w:sz w:val="21"/>
          <w:szCs w:val="21"/>
          <w:b w:val="1"/>
          <w:bCs w:val="1"/>
          <w:i w:val="1"/>
          <w:iCs w:val="1"/>
          <w:color w:val="auto"/>
        </w:rPr>
        <w:t>Letter Agreement</w:t>
      </w:r>
      <w:r>
        <w:rPr>
          <w:rFonts w:ascii="Arial" w:cs="Arial" w:eastAsia="Arial" w:hAnsi="Arial"/>
          <w:sz w:val="21"/>
          <w:szCs w:val="21"/>
          <w:color w:val="auto"/>
        </w:rPr>
        <w:t>”) pursuant to which the Investor has agreed to extend credit to the Company on certain terms and under certain conditions.</w:t>
      </w:r>
    </w:p>
    <w:p>
      <w:pPr>
        <w:spacing w:after="0" w:line="204" w:lineRule="exact"/>
        <w:rPr>
          <w:sz w:val="20"/>
          <w:szCs w:val="20"/>
          <w:color w:val="auto"/>
        </w:rPr>
      </w:pPr>
    </w:p>
    <w:p>
      <w:pPr>
        <w:jc w:val="both"/>
        <w:ind w:right="499" w:firstLine="648"/>
        <w:spacing w:after="0"/>
        <w:rPr>
          <w:sz w:val="20"/>
          <w:szCs w:val="20"/>
          <w:color w:val="auto"/>
        </w:rPr>
      </w:pPr>
      <w:r>
        <w:rPr>
          <w:rFonts w:ascii="Arial" w:cs="Arial" w:eastAsia="Arial" w:hAnsi="Arial"/>
          <w:sz w:val="22"/>
          <w:szCs w:val="22"/>
          <w:color w:val="auto"/>
        </w:rPr>
        <w:t>WHEREAS, as a condition to (i) the transactions set forth in the Securities Purchase Agreement and (ii) the extension of credit under the Letter Agreement, the Investor requires that this Agreement be executed and delivered by the parties hereto.</w:t>
      </w:r>
    </w:p>
    <w:p>
      <w:pPr>
        <w:spacing w:after="0" w:line="213" w:lineRule="exact"/>
        <w:rPr>
          <w:sz w:val="20"/>
          <w:szCs w:val="20"/>
          <w:color w:val="auto"/>
        </w:rPr>
      </w:pPr>
    </w:p>
    <w:p>
      <w:pPr>
        <w:jc w:val="both"/>
        <w:ind w:right="479" w:firstLine="648"/>
        <w:spacing w:after="0"/>
        <w:rPr>
          <w:sz w:val="20"/>
          <w:szCs w:val="20"/>
          <w:color w:val="auto"/>
        </w:rPr>
      </w:pPr>
      <w:r>
        <w:rPr>
          <w:rFonts w:ascii="Arial" w:cs="Arial" w:eastAsia="Arial" w:hAnsi="Arial"/>
          <w:sz w:val="22"/>
          <w:szCs w:val="22"/>
          <w:color w:val="auto"/>
        </w:rPr>
        <w:t>NOW THEREFORE, in consideration of the foregoing and the covenants and conditions set forth herein, and other good and valuable consideration the receipt and sufficiency of which are hereby acknowledged, the parties hereby agree as follows:</w:t>
      </w:r>
    </w:p>
    <w:p>
      <w:pPr>
        <w:spacing w:after="0" w:line="213" w:lineRule="exact"/>
        <w:rPr>
          <w:sz w:val="20"/>
          <w:szCs w:val="20"/>
          <w:color w:val="auto"/>
        </w:rPr>
      </w:pPr>
    </w:p>
    <w:p>
      <w:pPr>
        <w:ind w:left="1280" w:hanging="624"/>
        <w:spacing w:after="0"/>
        <w:tabs>
          <w:tab w:leader="none" w:pos="1280" w:val="left"/>
        </w:tabs>
        <w:numPr>
          <w:ilvl w:val="0"/>
          <w:numId w:val="98"/>
        </w:numPr>
        <w:rPr>
          <w:rFonts w:ascii="Arial" w:cs="Arial" w:eastAsia="Arial" w:hAnsi="Arial"/>
          <w:sz w:val="22"/>
          <w:szCs w:val="22"/>
          <w:b w:val="1"/>
          <w:bCs w:val="1"/>
          <w:color w:val="auto"/>
        </w:rPr>
      </w:pPr>
      <w:r>
        <w:rPr>
          <w:rFonts w:ascii="Arial" w:cs="Arial" w:eastAsia="Arial" w:hAnsi="Arial"/>
          <w:sz w:val="22"/>
          <w:szCs w:val="22"/>
          <w:u w:val="single" w:color="auto"/>
          <w:color w:val="auto"/>
        </w:rPr>
        <w:t>Release by the Directors and Officers</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right="479" w:firstLine="1305"/>
        <w:spacing w:after="0" w:line="272" w:lineRule="auto"/>
        <w:tabs>
          <w:tab w:leader="none" w:pos="1918" w:val="left"/>
        </w:tabs>
        <w:numPr>
          <w:ilvl w:val="1"/>
          <w:numId w:val="98"/>
        </w:numPr>
        <w:rPr>
          <w:rFonts w:ascii="Arial" w:cs="Arial" w:eastAsia="Arial" w:hAnsi="Arial"/>
          <w:sz w:val="19"/>
          <w:szCs w:val="19"/>
          <w:color w:val="auto"/>
        </w:rPr>
      </w:pPr>
      <w:r>
        <w:rPr>
          <w:rFonts w:ascii="Arial" w:cs="Arial" w:eastAsia="Arial" w:hAnsi="Arial"/>
          <w:sz w:val="19"/>
          <w:szCs w:val="19"/>
          <w:color w:val="auto"/>
        </w:rPr>
        <w:t>Effective immediately, each of the Directors and Officers, and their agents, representatives, and all of their successors and assigns (collectively, “</w:t>
      </w:r>
      <w:r>
        <w:rPr>
          <w:rFonts w:ascii="Arial" w:cs="Arial" w:eastAsia="Arial" w:hAnsi="Arial"/>
          <w:sz w:val="19"/>
          <w:szCs w:val="19"/>
          <w:b w:val="1"/>
          <w:bCs w:val="1"/>
          <w:i w:val="1"/>
          <w:iCs w:val="1"/>
          <w:color w:val="auto"/>
        </w:rPr>
        <w:t>D&amp;O Releasors</w:t>
      </w:r>
      <w:r>
        <w:rPr>
          <w:rFonts w:ascii="Arial" w:cs="Arial" w:eastAsia="Arial" w:hAnsi="Arial"/>
          <w:sz w:val="19"/>
          <w:szCs w:val="19"/>
          <w:color w:val="auto"/>
        </w:rPr>
        <w:t>”) hereby fully and forever release, discharge and acquit the Company and its past and present officers, directors, stockholders, attorneys, accountants, legal representatives, agents and employees, and their successors, heirs and assigns and each of them (collectively, the “</w:t>
      </w:r>
      <w:r>
        <w:rPr>
          <w:rFonts w:ascii="Arial" w:cs="Arial" w:eastAsia="Arial" w:hAnsi="Arial"/>
          <w:sz w:val="19"/>
          <w:szCs w:val="19"/>
          <w:b w:val="1"/>
          <w:bCs w:val="1"/>
          <w:i w:val="1"/>
          <w:iCs w:val="1"/>
          <w:color w:val="auto"/>
        </w:rPr>
        <w:t>Company Parties</w:t>
      </w:r>
      <w:r>
        <w:rPr>
          <w:rFonts w:ascii="Arial" w:cs="Arial" w:eastAsia="Arial" w:hAnsi="Arial"/>
          <w:sz w:val="19"/>
          <w:szCs w:val="19"/>
          <w:color w:val="auto"/>
        </w:rPr>
        <w:t>”), of and from and against any and all claims, demands, obligations, duties, liabilities, damages, expenses, indebtedness, debts, breaches of contract, duty or relationship, acts, omissions, misfeasance, malfeasance, causes of action, sums of money, accounts, compensation, contracts, controversies, promises, damages, costs, losses and remedies therefor, choses in action, rights of indemnity or liability of any type, kind, nature, description or character whatsoever, and irrespective of how, why or by reason of what facts, whether known or unknown, whether liquidated or unliquidated which the D&amp;O Releasors or any of their respective affiliates may now have or heretofore have had against any Company Party, by reason of, arising out of or based upon any fact, matter, transaction or event, whether known or unknown, as of the date hereof (collectively, the “</w:t>
      </w:r>
      <w:r>
        <w:rPr>
          <w:rFonts w:ascii="Arial" w:cs="Arial" w:eastAsia="Arial" w:hAnsi="Arial"/>
          <w:sz w:val="19"/>
          <w:szCs w:val="19"/>
          <w:b w:val="1"/>
          <w:bCs w:val="1"/>
          <w:i w:val="1"/>
          <w:iCs w:val="1"/>
          <w:color w:val="auto"/>
        </w:rPr>
        <w:t>D&amp;O Released Claims</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right="479" w:firstLine="1305"/>
        <w:spacing w:after="0" w:line="245" w:lineRule="auto"/>
        <w:tabs>
          <w:tab w:leader="none" w:pos="1918" w:val="left"/>
        </w:tabs>
        <w:numPr>
          <w:ilvl w:val="1"/>
          <w:numId w:val="98"/>
        </w:numPr>
        <w:rPr>
          <w:rFonts w:ascii="Arial" w:cs="Arial" w:eastAsia="Arial" w:hAnsi="Arial"/>
          <w:sz w:val="21"/>
          <w:szCs w:val="21"/>
          <w:color w:val="auto"/>
        </w:rPr>
      </w:pPr>
      <w:r>
        <w:rPr>
          <w:rFonts w:ascii="Arial" w:cs="Arial" w:eastAsia="Arial" w:hAnsi="Arial"/>
          <w:sz w:val="21"/>
          <w:szCs w:val="21"/>
          <w:color w:val="auto"/>
        </w:rPr>
        <w:t>Each of the D&amp;O Releasors hereby agree, represent and warrant that they each realize and acknowledge that factual matters now unknown to him may have given or may hereafter give rise to causes of action, claims, demands, debts, controversies, damages, costs, losses and expenses, which are presently unknown, unanticipated and unsuspected, and they each further agree, represent and warrant that this Agreement has been negotiated and agreed upon in light of that realization and that each D&amp;O Releasor nevertheless hereby intends to release, discharge and acquit the Company Parties from all D&amp;O Released Claims. In furtherance of this intention, the D&amp;O Releasors expressly waive any and all rights conferred upon each D&amp;O Releasor by the provisions of California Civil Code Section 1542, and expressly agree that this Agreement shall be given full force and effect according to each of its express provisions. California Civil Code Section 1542 provides:</w:t>
      </w:r>
    </w:p>
    <w:p>
      <w:pPr>
        <w:spacing w:after="0" w:line="203" w:lineRule="exact"/>
        <w:rPr>
          <w:sz w:val="20"/>
          <w:szCs w:val="20"/>
          <w:color w:val="auto"/>
        </w:rPr>
      </w:pPr>
    </w:p>
    <w:p>
      <w:pPr>
        <w:jc w:val="both"/>
        <w:ind w:right="479" w:firstLine="648"/>
        <w:spacing w:after="0" w:line="239" w:lineRule="auto"/>
        <w:rPr>
          <w:sz w:val="20"/>
          <w:szCs w:val="20"/>
          <w:color w:val="auto"/>
        </w:rPr>
      </w:pPr>
      <w:r>
        <w:rPr>
          <w:rFonts w:ascii="Arial" w:cs="Arial" w:eastAsia="Arial" w:hAnsi="Arial"/>
          <w:sz w:val="22"/>
          <w:szCs w:val="22"/>
          <w:b w:val="1"/>
          <w:bCs w:val="1"/>
          <w:color w:val="auto"/>
        </w:rPr>
        <w:t>“A GENERAL RELEASE DOES NOT EXTEND TO CLAIMS WHICH CREDITOR DOES NOT KNOW OR SUSPECT TO EXIST IN HIS OR HER FAVOR AT THE TIME OF EXECUTING THE RELEASE, WHICH IF KNOWN BY HIM OR HER MUST HAVE MATERIALLY AFFECTED HIS OR HER SETTLEMENT WITH THE DEBTOR.”</w:t>
      </w:r>
    </w:p>
    <w:p>
      <w:pPr>
        <w:spacing w:after="0" w:line="214" w:lineRule="exact"/>
        <w:rPr>
          <w:sz w:val="20"/>
          <w:szCs w:val="20"/>
          <w:color w:val="auto"/>
        </w:rPr>
      </w:pPr>
    </w:p>
    <w:p>
      <w:pPr>
        <w:jc w:val="both"/>
        <w:ind w:right="499" w:firstLine="1305"/>
        <w:spacing w:after="0" w:line="236" w:lineRule="auto"/>
        <w:tabs>
          <w:tab w:leader="none" w:pos="1918"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D&amp;O Releasors hereby agree, represent and warrant that they have had advice of counsel of their own respective choosing in negotiations for and the preparation of this Agreement, that they have read this Agreement or have had the same read to them by their respective counsel, that they have each had this Agreement fully explained by such counsel and that they are each fully aware of the contents and legal effect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6174740"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604" w:right="1440" w:bottom="812" w:gutter="0" w:footer="0" w:header="0"/>
        </w:sectPr>
      </w:pPr>
    </w:p>
    <w:bookmarkStart w:id="107" w:name="page108"/>
    <w:bookmarkEnd w:id="107"/>
    <w:p>
      <w:pPr>
        <w:ind w:left="1280" w:hanging="624"/>
        <w:spacing w:after="0"/>
        <w:tabs>
          <w:tab w:leader="none" w:pos="1280" w:val="left"/>
        </w:tabs>
        <w:numPr>
          <w:ilvl w:val="0"/>
          <w:numId w:val="100"/>
        </w:numPr>
        <w:rPr>
          <w:rFonts w:ascii="Arial" w:cs="Arial" w:eastAsia="Arial" w:hAnsi="Arial"/>
          <w:sz w:val="22"/>
          <w:szCs w:val="22"/>
          <w:b w:val="1"/>
          <w:bCs w:val="1"/>
          <w:color w:val="auto"/>
        </w:rPr>
      </w:pPr>
      <w:r>
        <w:rPr>
          <w:rFonts w:ascii="Arial" w:cs="Arial" w:eastAsia="Arial" w:hAnsi="Arial"/>
          <w:sz w:val="22"/>
          <w:szCs w:val="22"/>
          <w:u w:val="single" w:color="auto"/>
          <w:color w:val="auto"/>
        </w:rPr>
        <w:t>Release by the Company</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right="479" w:firstLine="1305"/>
        <w:spacing w:after="0" w:line="272" w:lineRule="auto"/>
        <w:tabs>
          <w:tab w:leader="none" w:pos="1918" w:val="left"/>
        </w:tabs>
        <w:numPr>
          <w:ilvl w:val="1"/>
          <w:numId w:val="100"/>
        </w:numPr>
        <w:rPr>
          <w:rFonts w:ascii="Arial" w:cs="Arial" w:eastAsia="Arial" w:hAnsi="Arial"/>
          <w:sz w:val="19"/>
          <w:szCs w:val="19"/>
          <w:color w:val="auto"/>
        </w:rPr>
      </w:pPr>
      <w:r>
        <w:rPr>
          <w:rFonts w:ascii="Arial" w:cs="Arial" w:eastAsia="Arial" w:hAnsi="Arial"/>
          <w:sz w:val="19"/>
          <w:szCs w:val="19"/>
          <w:color w:val="auto"/>
        </w:rPr>
        <w:t>Effective immediately, the Company and its agents, representatives, and all of their successors and assigns (collectively, “</w:t>
      </w:r>
      <w:r>
        <w:rPr>
          <w:rFonts w:ascii="Arial" w:cs="Arial" w:eastAsia="Arial" w:hAnsi="Arial"/>
          <w:sz w:val="19"/>
          <w:szCs w:val="19"/>
          <w:b w:val="1"/>
          <w:bCs w:val="1"/>
          <w:i w:val="1"/>
          <w:iCs w:val="1"/>
          <w:color w:val="auto"/>
        </w:rPr>
        <w:t>Company Releasors</w:t>
      </w:r>
      <w:r>
        <w:rPr>
          <w:rFonts w:ascii="Arial" w:cs="Arial" w:eastAsia="Arial" w:hAnsi="Arial"/>
          <w:sz w:val="19"/>
          <w:szCs w:val="19"/>
          <w:color w:val="auto"/>
        </w:rPr>
        <w:t>”) hereby fully and forever release, discharge and acquit each of the Directors and Officers and their attorneys, accountants, legal representatives, agents and employees, and their successors, heirs and assigns and each of them (collectively, the “</w:t>
      </w:r>
      <w:r>
        <w:rPr>
          <w:rFonts w:ascii="Arial" w:cs="Arial" w:eastAsia="Arial" w:hAnsi="Arial"/>
          <w:sz w:val="19"/>
          <w:szCs w:val="19"/>
          <w:b w:val="1"/>
          <w:bCs w:val="1"/>
          <w:i w:val="1"/>
          <w:iCs w:val="1"/>
          <w:color w:val="auto"/>
        </w:rPr>
        <w:t>D&amp;O Parties</w:t>
      </w:r>
      <w:r>
        <w:rPr>
          <w:rFonts w:ascii="Arial" w:cs="Arial" w:eastAsia="Arial" w:hAnsi="Arial"/>
          <w:sz w:val="19"/>
          <w:szCs w:val="19"/>
          <w:color w:val="auto"/>
        </w:rPr>
        <w:t>”), of and from and against any and all claims, demands, obligations, duties, liabilities, damages, expenses, indebtedness, debts, breaches of contract, duty or relationship, acts, omissions, misfeasance, malfeasance, causes of action, sums of money, accounts, compensation, contracts, controversies, promises, damages, costs, losses and remedies therefor, chooses in action, rights of indemnity or liability of any type, kind, nature, description or character whatsoever, and irrespective of how, why or by reason of what facts, whether known or unknown, whether liquidated or unliquidated which Company Releasors or any of their respective subsidiaries may now have or heretofore have had against any D&amp;O Party, by reason of, arising out of or based upon any fact, matter, transaction or event, whether known or unknown, as of the date hereof (collectively, the “</w:t>
      </w:r>
      <w:r>
        <w:rPr>
          <w:rFonts w:ascii="Arial" w:cs="Arial" w:eastAsia="Arial" w:hAnsi="Arial"/>
          <w:sz w:val="19"/>
          <w:szCs w:val="19"/>
          <w:b w:val="1"/>
          <w:bCs w:val="1"/>
          <w:i w:val="1"/>
          <w:iCs w:val="1"/>
          <w:color w:val="auto"/>
        </w:rPr>
        <w:t>Company Released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right="479" w:firstLine="1305"/>
        <w:spacing w:after="0" w:line="245" w:lineRule="auto"/>
        <w:tabs>
          <w:tab w:leader="none" w:pos="1918" w:val="left"/>
        </w:tabs>
        <w:numPr>
          <w:ilvl w:val="1"/>
          <w:numId w:val="100"/>
        </w:numPr>
        <w:rPr>
          <w:rFonts w:ascii="Arial" w:cs="Arial" w:eastAsia="Arial" w:hAnsi="Arial"/>
          <w:sz w:val="21"/>
          <w:szCs w:val="21"/>
          <w:color w:val="auto"/>
        </w:rPr>
      </w:pPr>
      <w:r>
        <w:rPr>
          <w:rFonts w:ascii="Arial" w:cs="Arial" w:eastAsia="Arial" w:hAnsi="Arial"/>
          <w:sz w:val="21"/>
          <w:szCs w:val="21"/>
          <w:color w:val="auto"/>
        </w:rPr>
        <w:t>Each of the Company Releasors hereby agree, represent and warrant that they each realize and acknowledge that factual matters now unknown to it may have given or may hereafter give rise to causes of action, claims, demands, debts, controversies, damages, costs, losses and expenses, which are presently unknown, unanticipated and unsuspected, and they each further agree, represent and warrant that this Agreement has been negotiated and agreed upon in light of that realization and that each Company Releasor nevertheless hereby intends to release, discharge and acquit the D&amp;O Parties from all Company Released Claims. In furtherance of this intention, Company Releasors expressly waive any and all rights conferred upon each Company Releasor by the provisions of California Civil Code Section 1542, and expressly agree that this Agreement shall be given full force and effect according to each of its express provisions. California Civil Code Section 1542 provides:</w:t>
      </w:r>
    </w:p>
    <w:p>
      <w:pPr>
        <w:spacing w:after="0" w:line="203" w:lineRule="exact"/>
        <w:rPr>
          <w:sz w:val="20"/>
          <w:szCs w:val="20"/>
          <w:color w:val="auto"/>
        </w:rPr>
      </w:pPr>
    </w:p>
    <w:p>
      <w:pPr>
        <w:jc w:val="both"/>
        <w:ind w:right="479" w:firstLine="648"/>
        <w:spacing w:after="0" w:line="239" w:lineRule="auto"/>
        <w:rPr>
          <w:sz w:val="20"/>
          <w:szCs w:val="20"/>
          <w:color w:val="auto"/>
        </w:rPr>
      </w:pPr>
      <w:r>
        <w:rPr>
          <w:rFonts w:ascii="Arial" w:cs="Arial" w:eastAsia="Arial" w:hAnsi="Arial"/>
          <w:sz w:val="22"/>
          <w:szCs w:val="22"/>
          <w:b w:val="1"/>
          <w:bCs w:val="1"/>
          <w:color w:val="auto"/>
        </w:rPr>
        <w:t>“A GENERAL RELEASE DOES NOT EXTEND TO CLAIMS WHICH CREDITOR DOES NOT KNOW OR SUSPECT TO EXIST IN HIS OR HER FAVOR AT THE TIME OF EXECUTING THE RELEASE, WHICH IF KNOWN BY HIM OR HER MUST HAVE MATERIALLY AFFECTED HIS OR HER SETTLEMENT WITH THE DEBTOR.”</w:t>
      </w:r>
    </w:p>
    <w:p>
      <w:pPr>
        <w:spacing w:after="0" w:line="214" w:lineRule="exact"/>
        <w:rPr>
          <w:sz w:val="20"/>
          <w:szCs w:val="20"/>
          <w:color w:val="auto"/>
        </w:rPr>
      </w:pPr>
    </w:p>
    <w:p>
      <w:pPr>
        <w:jc w:val="both"/>
        <w:ind w:right="479" w:firstLine="1305"/>
        <w:spacing w:after="0" w:line="236" w:lineRule="auto"/>
        <w:tabs>
          <w:tab w:leader="none" w:pos="1918"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Company Releasors hereby agree, represent and warrant that they have had advice of counsel of their own respective choosing in negotiations for and the preparation of this Agreement, that they have read this Agreement or have had the same read to them by their respective counsel, that they have each had this Agreement fully explained by such counsel and that they are each fully aware of the contents and legal effect of this Agreement.</w:t>
      </w:r>
    </w:p>
    <w:p>
      <w:pPr>
        <w:spacing w:after="0" w:line="214" w:lineRule="exact"/>
        <w:rPr>
          <w:rFonts w:ascii="Arial" w:cs="Arial" w:eastAsia="Arial" w:hAnsi="Arial"/>
          <w:sz w:val="22"/>
          <w:szCs w:val="22"/>
          <w:color w:val="auto"/>
        </w:rPr>
      </w:pPr>
    </w:p>
    <w:p>
      <w:pPr>
        <w:jc w:val="both"/>
        <w:ind w:right="479" w:firstLine="656"/>
        <w:spacing w:after="0" w:line="277" w:lineRule="auto"/>
        <w:tabs>
          <w:tab w:leader="none" w:pos="1270" w:val="left"/>
        </w:tabs>
        <w:numPr>
          <w:ilvl w:val="0"/>
          <w:numId w:val="102"/>
        </w:numPr>
        <w:rPr>
          <w:rFonts w:ascii="Arial" w:cs="Arial" w:eastAsia="Arial" w:hAnsi="Arial"/>
          <w:sz w:val="19"/>
          <w:szCs w:val="19"/>
          <w:b w:val="1"/>
          <w:bCs w:val="1"/>
          <w:color w:val="auto"/>
        </w:rPr>
      </w:pPr>
      <w:r>
        <w:rPr>
          <w:rFonts w:ascii="Arial" w:cs="Arial" w:eastAsia="Arial" w:hAnsi="Arial"/>
          <w:sz w:val="19"/>
          <w:szCs w:val="19"/>
          <w:u w:val="single" w:color="auto"/>
          <w:color w:val="auto"/>
        </w:rPr>
        <w:t>Warranty Against Assignment and Warranty of Authority</w:t>
      </w:r>
      <w:r>
        <w:rPr>
          <w:rFonts w:ascii="Arial" w:cs="Arial" w:eastAsia="Arial" w:hAnsi="Arial"/>
          <w:sz w:val="19"/>
          <w:szCs w:val="19"/>
          <w:color w:val="auto"/>
        </w:rPr>
        <w:t>. Each party hereto represents, warrants, covenants, and acknowledges that it has not assigned, conveyed, or granted to any Persons, either individually, collectively, directly, or indirectly, including by subrogation or operation of law, any of the D&amp;O Released Claims and the Company Released Claims released in this Agreement. Each party hereto further represents, warrants, covenants, and acknowledges that they have the power to execute and deliver this Agreement and that they have secured all necessary authorizations for the execution and delivery of this Agreement including, but not limited to, all necessary corporate approvals and consents.</w:t>
      </w:r>
    </w:p>
    <w:p>
      <w:pPr>
        <w:spacing w:after="0" w:line="179" w:lineRule="exact"/>
        <w:rPr>
          <w:rFonts w:ascii="Arial" w:cs="Arial" w:eastAsia="Arial" w:hAnsi="Arial"/>
          <w:sz w:val="19"/>
          <w:szCs w:val="19"/>
          <w:b w:val="1"/>
          <w:bCs w:val="1"/>
          <w:color w:val="auto"/>
        </w:rPr>
      </w:pPr>
    </w:p>
    <w:p>
      <w:pPr>
        <w:jc w:val="both"/>
        <w:ind w:right="499" w:firstLine="656"/>
        <w:spacing w:after="0"/>
        <w:tabs>
          <w:tab w:leader="none" w:pos="1270" w:val="left"/>
        </w:tabs>
        <w:numPr>
          <w:ilvl w:val="0"/>
          <w:numId w:val="102"/>
        </w:numPr>
        <w:rPr>
          <w:rFonts w:ascii="Arial" w:cs="Arial" w:eastAsia="Arial" w:hAnsi="Arial"/>
          <w:sz w:val="22"/>
          <w:szCs w:val="22"/>
          <w:b w:val="1"/>
          <w:bCs w:val="1"/>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shall inure to the benefit of the parties hereto and their stockholders, employees, agents, representatives, executors, administrators, heirs, successors-in-interest, and assigns.</w:t>
      </w:r>
    </w:p>
    <w:p>
      <w:pPr>
        <w:spacing w:after="0" w:line="213" w:lineRule="exact"/>
        <w:rPr>
          <w:rFonts w:ascii="Arial" w:cs="Arial" w:eastAsia="Arial" w:hAnsi="Arial"/>
          <w:sz w:val="22"/>
          <w:szCs w:val="22"/>
          <w:b w:val="1"/>
          <w:bCs w:val="1"/>
          <w:color w:val="auto"/>
        </w:rPr>
      </w:pPr>
    </w:p>
    <w:p>
      <w:pPr>
        <w:jc w:val="both"/>
        <w:ind w:right="499" w:firstLine="656"/>
        <w:spacing w:after="0" w:line="236" w:lineRule="auto"/>
        <w:tabs>
          <w:tab w:leader="none" w:pos="1270" w:val="left"/>
        </w:tabs>
        <w:numPr>
          <w:ilvl w:val="0"/>
          <w:numId w:val="102"/>
        </w:numPr>
        <w:rPr>
          <w:rFonts w:ascii="Arial" w:cs="Arial" w:eastAsia="Arial" w:hAnsi="Arial"/>
          <w:sz w:val="22"/>
          <w:szCs w:val="22"/>
          <w:b w:val="1"/>
          <w:bCs w:val="1"/>
          <w:color w:val="auto"/>
        </w:rPr>
      </w:pPr>
      <w:r>
        <w:rPr>
          <w:rFonts w:ascii="Arial" w:cs="Arial" w:eastAsia="Arial" w:hAnsi="Arial"/>
          <w:sz w:val="22"/>
          <w:szCs w:val="22"/>
          <w:u w:val="single" w:color="auto"/>
          <w:color w:val="auto"/>
        </w:rPr>
        <w:t>No Admission of Wrongdoing</w:t>
      </w:r>
      <w:r>
        <w:rPr>
          <w:rFonts w:ascii="Arial" w:cs="Arial" w:eastAsia="Arial" w:hAnsi="Arial"/>
          <w:sz w:val="22"/>
          <w:szCs w:val="22"/>
          <w:color w:val="auto"/>
        </w:rPr>
        <w:t>. Neither the execution of this Agreement nor the performance by the parties hereto of their respective obligations under this Agreement shall constitute any admission by either such party, express or implied, of any wrongdoing on the part of any party hereto, and the all parties hereto, on behalf of themselves and the other D&amp;O Parties and Company Parties, have expressly denied liability of any nature whatsoever.</w:t>
      </w:r>
    </w:p>
    <w:p>
      <w:pPr>
        <w:spacing w:after="0" w:line="214" w:lineRule="exact"/>
        <w:rPr>
          <w:rFonts w:ascii="Arial" w:cs="Arial" w:eastAsia="Arial" w:hAnsi="Arial"/>
          <w:sz w:val="22"/>
          <w:szCs w:val="22"/>
          <w:b w:val="1"/>
          <w:bCs w:val="1"/>
          <w:color w:val="auto"/>
        </w:rPr>
      </w:pPr>
    </w:p>
    <w:p>
      <w:pPr>
        <w:jc w:val="both"/>
        <w:ind w:right="479" w:firstLine="656"/>
        <w:spacing w:after="0" w:line="258" w:lineRule="auto"/>
        <w:tabs>
          <w:tab w:leader="none" w:pos="1270" w:val="left"/>
        </w:tabs>
        <w:numPr>
          <w:ilvl w:val="0"/>
          <w:numId w:val="102"/>
        </w:numPr>
        <w:rPr>
          <w:rFonts w:ascii="Arial" w:cs="Arial" w:eastAsia="Arial" w:hAnsi="Arial"/>
          <w:sz w:val="21"/>
          <w:szCs w:val="21"/>
          <w:b w:val="1"/>
          <w:bCs w:val="1"/>
          <w:color w:val="auto"/>
        </w:rPr>
      </w:pPr>
      <w:r>
        <w:rPr>
          <w:rFonts w:ascii="Arial" w:cs="Arial" w:eastAsia="Arial" w:hAnsi="Arial"/>
          <w:sz w:val="21"/>
          <w:szCs w:val="21"/>
          <w:u w:val="single" w:color="auto"/>
          <w:color w:val="auto"/>
        </w:rPr>
        <w:t>Singular and Plural</w:t>
      </w:r>
      <w:r>
        <w:rPr>
          <w:rFonts w:ascii="Arial" w:cs="Arial" w:eastAsia="Arial" w:hAnsi="Arial"/>
          <w:sz w:val="21"/>
          <w:szCs w:val="21"/>
          <w:color w:val="auto"/>
        </w:rPr>
        <w:t>. When required by the context of this Agreement, whenever the singular number is used in this Agreement, the same shall include the plural, and the plural shall include the singular; and the masculine gender shall include the feminine and neuter genders and vice versa.</w:t>
      </w:r>
    </w:p>
    <w:p>
      <w:pPr>
        <w:spacing w:after="0" w:line="193" w:lineRule="exact"/>
        <w:rPr>
          <w:rFonts w:ascii="Arial" w:cs="Arial" w:eastAsia="Arial" w:hAnsi="Arial"/>
          <w:sz w:val="21"/>
          <w:szCs w:val="21"/>
          <w:b w:val="1"/>
          <w:bCs w:val="1"/>
          <w:color w:val="auto"/>
        </w:rPr>
      </w:pPr>
    </w:p>
    <w:p>
      <w:pPr>
        <w:jc w:val="both"/>
        <w:ind w:right="499" w:firstLine="656"/>
        <w:spacing w:after="0" w:line="328" w:lineRule="auto"/>
        <w:tabs>
          <w:tab w:leader="none" w:pos="1270" w:val="left"/>
        </w:tabs>
        <w:numPr>
          <w:ilvl w:val="0"/>
          <w:numId w:val="102"/>
        </w:numPr>
        <w:rPr>
          <w:rFonts w:ascii="Arial" w:cs="Arial" w:eastAsia="Arial" w:hAnsi="Arial"/>
          <w:sz w:val="19"/>
          <w:szCs w:val="19"/>
          <w:b w:val="1"/>
          <w:bCs w:val="1"/>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interpreted under and construed and enforced in accordance with the laws of the State of California, without regard to principles of conflicts of laws.</w:t>
      </w:r>
    </w:p>
    <w:p>
      <w:pPr>
        <w:sectPr>
          <w:pgSz w:w="11900" w:h="16838" w:orient="portrait"/>
          <w:cols w:equalWidth="0" w:num="1">
            <w:col w:w="10219"/>
          </w:cols>
          <w:pgMar w:left="240" w:top="847" w:right="1440" w:bottom="0" w:gutter="0" w:footer="0" w:header="0"/>
        </w:sectPr>
      </w:pPr>
    </w:p>
    <w:p>
      <w:pPr>
        <w:spacing w:after="0" w:line="36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8.</w:t>
      </w:r>
    </w:p>
    <w:p>
      <w:pPr>
        <w:sectPr>
          <w:pgSz w:w="11900" w:h="16838" w:orient="portrait"/>
          <w:cols w:equalWidth="0" w:num="1">
            <w:col w:w="10219"/>
          </w:cols>
          <w:pgMar w:left="240" w:top="847" w:right="1440" w:bottom="0" w:gutter="0" w:footer="0" w:header="0"/>
          <w:type w:val="continuous"/>
        </w:sectPr>
      </w:pPr>
    </w:p>
    <w:bookmarkStart w:id="108" w:name="page109"/>
    <w:bookmarkEnd w:id="108"/>
    <w:p>
      <w:pPr>
        <w:jc w:val="both"/>
        <w:ind w:right="479" w:hanging="26"/>
        <w:spacing w:after="0" w:line="235" w:lineRule="auto"/>
        <w:rPr>
          <w:sz w:val="20"/>
          <w:szCs w:val="20"/>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In the event any action, suit or proceeding is commenced or instituted with respect to this Agreement, either to enforce the terms of this Agreement, recover damages for the breach of this Agreement, or obtain declaratory or other relief with respect to this Agreement, the prevailing party in any such action, suit or proceeding shall be entitled to recover, in addition to such other relief as the court may award, all reasonable attorneys’ fees, costs of suit and costs of investigation suffered or incurred by such prevailing party in connection with such action, suit or proceeding.</w:t>
      </w:r>
    </w:p>
    <w:p>
      <w:pPr>
        <w:spacing w:after="0" w:line="200" w:lineRule="exact"/>
        <w:rPr>
          <w:sz w:val="20"/>
          <w:szCs w:val="20"/>
          <w:color w:val="auto"/>
        </w:rPr>
      </w:pPr>
    </w:p>
    <w:p>
      <w:pPr>
        <w:spacing w:after="0" w:line="232"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6174740"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109" w:name="page110"/>
    <w:bookmarkEnd w:id="109"/>
    <w:p>
      <w:pPr>
        <w:jc w:val="both"/>
        <w:ind w:right="479" w:firstLine="656"/>
        <w:spacing w:after="0" w:line="234" w:lineRule="auto"/>
        <w:tabs>
          <w:tab w:leader="none" w:pos="1270" w:val="left"/>
        </w:tabs>
        <w:numPr>
          <w:ilvl w:val="0"/>
          <w:numId w:val="103"/>
        </w:numPr>
        <w:rPr>
          <w:rFonts w:ascii="Arial" w:cs="Arial" w:eastAsia="Arial" w:hAnsi="Arial"/>
          <w:sz w:val="22"/>
          <w:szCs w:val="22"/>
          <w:b w:val="1"/>
          <w:bCs w:val="1"/>
          <w:color w:val="auto"/>
        </w:rPr>
      </w:pPr>
      <w:r>
        <w:rPr>
          <w:rFonts w:ascii="Arial" w:cs="Arial" w:eastAsia="Arial" w:hAnsi="Arial"/>
          <w:sz w:val="22"/>
          <w:szCs w:val="22"/>
          <w:u w:val="single" w:color="auto"/>
          <w:color w:val="auto"/>
        </w:rPr>
        <w:t>Severability; Entire Agreement; Amendments</w:t>
      </w:r>
      <w:r>
        <w:rPr>
          <w:rFonts w:ascii="Arial" w:cs="Arial" w:eastAsia="Arial" w:hAnsi="Arial"/>
          <w:sz w:val="22"/>
          <w:szCs w:val="22"/>
          <w:color w:val="auto"/>
        </w:rPr>
        <w:t>. If any provision of this Agreement or its application is held invalid, the invalidity shall not affect other provisions or applications of this Agreement that can be given effect without the invalid provision or application and, therefore, the provisions of this Agreement are severable. This Agreement is an integrated Agreement and is the entire Agreement of the parties with respect to the subject matter hereof. It supersedes all prior negotiations and all agreements, whether written or oral, relating to the subject matter of this Agreement. This Agreement may be modified only in writing signed by both parties.</w:t>
      </w:r>
    </w:p>
    <w:p>
      <w:pPr>
        <w:spacing w:after="0" w:line="218" w:lineRule="exact"/>
        <w:rPr>
          <w:rFonts w:ascii="Arial" w:cs="Arial" w:eastAsia="Arial" w:hAnsi="Arial"/>
          <w:sz w:val="22"/>
          <w:szCs w:val="22"/>
          <w:b w:val="1"/>
          <w:bCs w:val="1"/>
          <w:color w:val="auto"/>
        </w:rPr>
      </w:pPr>
    </w:p>
    <w:p>
      <w:pPr>
        <w:jc w:val="both"/>
        <w:ind w:right="479" w:firstLine="656"/>
        <w:spacing w:after="0" w:line="236" w:lineRule="auto"/>
        <w:tabs>
          <w:tab w:leader="none" w:pos="1270" w:val="left"/>
        </w:tabs>
        <w:numPr>
          <w:ilvl w:val="0"/>
          <w:numId w:val="103"/>
        </w:numPr>
        <w:rPr>
          <w:rFonts w:ascii="Arial" w:cs="Arial" w:eastAsia="Arial" w:hAnsi="Arial"/>
          <w:sz w:val="22"/>
          <w:szCs w:val="22"/>
          <w:b w:val="1"/>
          <w:bCs w:val="1"/>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and all of which together shall constitute one and the same instrument, binding on all parties hereto. Any signature page of this Agreement may be detached from any counterpart of this Agreement and re-attached to any other counterpart of this Agreement identical in form hereto by having attached to it one or more additional signature pages.</w:t>
      </w:r>
    </w:p>
    <w:p>
      <w:pPr>
        <w:spacing w:after="0" w:line="215"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6174740"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847" w:right="1440" w:bottom="1440" w:gutter="0" w:footer="0" w:header="0"/>
        </w:sectPr>
      </w:pPr>
    </w:p>
    <w:bookmarkStart w:id="110" w:name="page111"/>
    <w:bookmarkEnd w:id="110"/>
    <w:p>
      <w:pPr>
        <w:ind w:right="659" w:firstLine="648"/>
        <w:spacing w:after="0" w:line="251" w:lineRule="auto"/>
        <w:rPr>
          <w:sz w:val="20"/>
          <w:szCs w:val="20"/>
          <w:color w:val="auto"/>
        </w:rPr>
      </w:pPr>
      <w:r>
        <w:rPr>
          <w:rFonts w:ascii="Arial" w:cs="Arial" w:eastAsia="Arial" w:hAnsi="Arial"/>
          <w:sz w:val="22"/>
          <w:szCs w:val="22"/>
          <w:color w:val="auto"/>
        </w:rPr>
        <w:t>IN WITNESS WHEREOF, the parties hereto have executed and delivered this Mutual General Release Agreement as of the date first above written.</w:t>
      </w:r>
    </w:p>
    <w:p>
      <w:pPr>
        <w:spacing w:after="0" w:line="194"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TRANSDEL PHARMACEUTICALS, INC.</w:t>
      </w:r>
    </w:p>
    <w:p>
      <w:pPr>
        <w:spacing w:after="0" w:line="1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 Delaware corporation</w:t>
      </w:r>
    </w:p>
    <w:p>
      <w:pPr>
        <w:spacing w:after="0" w:line="215"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Terry M. Nida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-17780</wp:posOffset>
            </wp:positionV>
            <wp:extent cx="14204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20495" cy="8890"/>
                    </a:xfrm>
                    <a:prstGeom prst="rect">
                      <a:avLst/>
                    </a:prstGeom>
                    <a:noFill/>
                  </pic:spPr>
                </pic:pic>
              </a:graphicData>
            </a:graphic>
          </wp:anchor>
        </w:drawing>
      </w:r>
    </w:p>
    <w:p>
      <w:pPr>
        <w:ind w:left="3880"/>
        <w:spacing w:after="0" w:line="238" w:lineRule="auto"/>
        <w:rPr>
          <w:sz w:val="20"/>
          <w:szCs w:val="20"/>
          <w:color w:val="auto"/>
        </w:rPr>
      </w:pPr>
      <w:r>
        <w:rPr>
          <w:rFonts w:ascii="Arial" w:cs="Arial" w:eastAsia="Arial" w:hAnsi="Arial"/>
          <w:sz w:val="22"/>
          <w:szCs w:val="22"/>
          <w:color w:val="auto"/>
        </w:rPr>
        <w:t>Name: Terry M. Nida</w:t>
      </w:r>
    </w:p>
    <w:p>
      <w:pPr>
        <w:ind w:left="3880"/>
        <w:spacing w:after="0"/>
        <w:rPr>
          <w:sz w:val="20"/>
          <w:szCs w:val="20"/>
          <w:color w:val="auto"/>
        </w:rPr>
      </w:pPr>
      <w:r>
        <w:rPr>
          <w:rFonts w:ascii="Arial" w:cs="Arial" w:eastAsia="Arial" w:hAnsi="Arial"/>
          <w:sz w:val="22"/>
          <w:szCs w:val="22"/>
          <w:color w:val="auto"/>
        </w:rPr>
        <w:t>Title: Principal Officer</w:t>
      </w:r>
    </w:p>
    <w:p>
      <w:pPr>
        <w:spacing w:after="0" w:line="200" w:lineRule="exact"/>
        <w:rPr>
          <w:sz w:val="20"/>
          <w:szCs w:val="20"/>
          <w:color w:val="auto"/>
        </w:rPr>
      </w:pPr>
    </w:p>
    <w:p>
      <w:pPr>
        <w:spacing w:after="0" w:line="252"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DIRECTORS, OFFICERS AND EMPLOYEES</w:t>
      </w:r>
      <w:r>
        <w:rPr>
          <w:rFonts w:ascii="Arial" w:cs="Arial" w:eastAsia="Arial" w:hAnsi="Arial"/>
          <w:sz w:val="22"/>
          <w:szCs w:val="22"/>
          <w:color w:val="auto"/>
        </w:rPr>
        <w:t>:</w:t>
      </w:r>
    </w:p>
    <w:p>
      <w:pPr>
        <w:spacing w:after="0" w:line="200" w:lineRule="exact"/>
        <w:rPr>
          <w:sz w:val="20"/>
          <w:szCs w:val="20"/>
          <w:color w:val="auto"/>
        </w:rPr>
      </w:pPr>
    </w:p>
    <w:p>
      <w:pPr>
        <w:spacing w:after="0" w:line="282" w:lineRule="exact"/>
        <w:rPr>
          <w:sz w:val="20"/>
          <w:szCs w:val="20"/>
          <w:color w:val="auto"/>
        </w:rPr>
      </w:pPr>
    </w:p>
    <w:p>
      <w:pPr>
        <w:ind w:left="3880"/>
        <w:spacing w:after="0"/>
        <w:rPr>
          <w:sz w:val="20"/>
          <w:szCs w:val="20"/>
          <w:color w:val="auto"/>
        </w:rPr>
      </w:pPr>
      <w:r>
        <w:rPr>
          <w:rFonts w:ascii="Arial" w:cs="Arial" w:eastAsia="Arial" w:hAnsi="Arial"/>
          <w:sz w:val="22"/>
          <w:szCs w:val="22"/>
          <w:i w:val="1"/>
          <w:iCs w:val="1"/>
          <w:color w:val="auto"/>
        </w:rPr>
        <w:t>/s/ John Bonfiglio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-17780</wp:posOffset>
            </wp:positionV>
            <wp:extent cx="16960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96085" cy="8890"/>
                    </a:xfrm>
                    <a:prstGeom prst="rect">
                      <a:avLst/>
                    </a:prstGeom>
                    <a:noFill/>
                  </pic:spPr>
                </pic:pic>
              </a:graphicData>
            </a:graphic>
          </wp:anchor>
        </w:drawing>
      </w:r>
    </w:p>
    <w:p>
      <w:pPr>
        <w:ind w:left="3880"/>
        <w:spacing w:after="0"/>
        <w:rPr>
          <w:sz w:val="20"/>
          <w:szCs w:val="20"/>
          <w:color w:val="auto"/>
        </w:rPr>
      </w:pPr>
      <w:r>
        <w:rPr>
          <w:rFonts w:ascii="Arial" w:cs="Arial" w:eastAsia="Arial" w:hAnsi="Arial"/>
          <w:sz w:val="22"/>
          <w:szCs w:val="22"/>
          <w:color w:val="auto"/>
        </w:rPr>
        <w:t>John Bonfiglio</w:t>
      </w:r>
    </w:p>
    <w:p>
      <w:pPr>
        <w:spacing w:after="0" w:line="200" w:lineRule="exact"/>
        <w:rPr>
          <w:sz w:val="20"/>
          <w:szCs w:val="20"/>
          <w:color w:val="auto"/>
        </w:rPr>
      </w:pPr>
    </w:p>
    <w:p>
      <w:pPr>
        <w:spacing w:after="0" w:line="258" w:lineRule="exact"/>
        <w:rPr>
          <w:sz w:val="20"/>
          <w:szCs w:val="20"/>
          <w:color w:val="auto"/>
        </w:rPr>
      </w:pPr>
    </w:p>
    <w:p>
      <w:pPr>
        <w:ind w:left="3880"/>
        <w:spacing w:after="0"/>
        <w:rPr>
          <w:sz w:val="20"/>
          <w:szCs w:val="20"/>
          <w:color w:val="auto"/>
        </w:rPr>
      </w:pPr>
      <w:r>
        <w:rPr>
          <w:rFonts w:ascii="Arial" w:cs="Arial" w:eastAsia="Arial" w:hAnsi="Arial"/>
          <w:sz w:val="22"/>
          <w:szCs w:val="22"/>
          <w:i w:val="1"/>
          <w:iCs w:val="1"/>
          <w:color w:val="auto"/>
        </w:rPr>
        <w:t>/s/ Ysabella Fernando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-17780</wp:posOffset>
            </wp:positionV>
            <wp:extent cx="17265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26565" cy="8890"/>
                    </a:xfrm>
                    <a:prstGeom prst="rect">
                      <a:avLst/>
                    </a:prstGeom>
                    <a:noFill/>
                  </pic:spPr>
                </pic:pic>
              </a:graphicData>
            </a:graphic>
          </wp:anchor>
        </w:drawing>
      </w:r>
    </w:p>
    <w:p>
      <w:pPr>
        <w:ind w:left="3880"/>
        <w:spacing w:after="0"/>
        <w:rPr>
          <w:sz w:val="20"/>
          <w:szCs w:val="20"/>
          <w:color w:val="auto"/>
        </w:rPr>
      </w:pPr>
      <w:r>
        <w:rPr>
          <w:rFonts w:ascii="Arial" w:cs="Arial" w:eastAsia="Arial" w:hAnsi="Arial"/>
          <w:sz w:val="22"/>
          <w:szCs w:val="22"/>
          <w:color w:val="auto"/>
        </w:rPr>
        <w:t>Ysabella Fernando</w:t>
      </w:r>
    </w:p>
    <w:p>
      <w:pPr>
        <w:spacing w:after="0" w:line="200" w:lineRule="exact"/>
        <w:rPr>
          <w:sz w:val="20"/>
          <w:szCs w:val="20"/>
          <w:color w:val="auto"/>
        </w:rPr>
      </w:pPr>
    </w:p>
    <w:p>
      <w:pPr>
        <w:spacing w:after="0" w:line="258" w:lineRule="exact"/>
        <w:rPr>
          <w:sz w:val="20"/>
          <w:szCs w:val="20"/>
          <w:color w:val="auto"/>
        </w:rPr>
      </w:pPr>
    </w:p>
    <w:p>
      <w:pPr>
        <w:ind w:left="3880"/>
        <w:spacing w:after="0"/>
        <w:rPr>
          <w:sz w:val="20"/>
          <w:szCs w:val="20"/>
          <w:color w:val="auto"/>
        </w:rPr>
      </w:pPr>
      <w:r>
        <w:rPr>
          <w:rFonts w:ascii="Arial" w:cs="Arial" w:eastAsia="Arial" w:hAnsi="Arial"/>
          <w:sz w:val="22"/>
          <w:szCs w:val="22"/>
          <w:i w:val="1"/>
          <w:iCs w:val="1"/>
          <w:color w:val="auto"/>
        </w:rPr>
        <w:t>/s/ John Lomoro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-17780</wp:posOffset>
            </wp:positionV>
            <wp:extent cx="17176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7675" cy="8890"/>
                    </a:xfrm>
                    <a:prstGeom prst="rect">
                      <a:avLst/>
                    </a:prstGeom>
                    <a:noFill/>
                  </pic:spPr>
                </pic:pic>
              </a:graphicData>
            </a:graphic>
          </wp:anchor>
        </w:drawing>
      </w:r>
    </w:p>
    <w:p>
      <w:pPr>
        <w:ind w:left="3880"/>
        <w:spacing w:after="0"/>
        <w:rPr>
          <w:sz w:val="20"/>
          <w:szCs w:val="20"/>
          <w:color w:val="auto"/>
        </w:rPr>
      </w:pPr>
      <w:r>
        <w:rPr>
          <w:rFonts w:ascii="Arial" w:cs="Arial" w:eastAsia="Arial" w:hAnsi="Arial"/>
          <w:sz w:val="22"/>
          <w:szCs w:val="22"/>
          <w:color w:val="auto"/>
        </w:rPr>
        <w:t>John Lomorro</w:t>
      </w:r>
    </w:p>
    <w:p>
      <w:pPr>
        <w:spacing w:after="0" w:line="200" w:lineRule="exact"/>
        <w:rPr>
          <w:sz w:val="20"/>
          <w:szCs w:val="20"/>
          <w:color w:val="auto"/>
        </w:rPr>
      </w:pPr>
    </w:p>
    <w:p>
      <w:pPr>
        <w:spacing w:after="0" w:line="258" w:lineRule="exact"/>
        <w:rPr>
          <w:sz w:val="20"/>
          <w:szCs w:val="20"/>
          <w:color w:val="auto"/>
        </w:rPr>
      </w:pPr>
    </w:p>
    <w:p>
      <w:pPr>
        <w:ind w:left="3880"/>
        <w:spacing w:after="0"/>
        <w:rPr>
          <w:sz w:val="20"/>
          <w:szCs w:val="20"/>
          <w:color w:val="auto"/>
        </w:rPr>
      </w:pPr>
      <w:r>
        <w:rPr>
          <w:rFonts w:ascii="Arial" w:cs="Arial" w:eastAsia="Arial" w:hAnsi="Arial"/>
          <w:sz w:val="22"/>
          <w:szCs w:val="22"/>
          <w:i w:val="1"/>
          <w:iCs w:val="1"/>
          <w:color w:val="auto"/>
        </w:rPr>
        <w:t>/s/ Terry M. Nida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-17780</wp:posOffset>
            </wp:positionV>
            <wp:extent cx="17291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29105" cy="8890"/>
                    </a:xfrm>
                    <a:prstGeom prst="rect">
                      <a:avLst/>
                    </a:prstGeom>
                    <a:noFill/>
                  </pic:spPr>
                </pic:pic>
              </a:graphicData>
            </a:graphic>
          </wp:anchor>
        </w:drawing>
      </w:r>
    </w:p>
    <w:p>
      <w:pPr>
        <w:ind w:left="3880"/>
        <w:spacing w:after="0"/>
        <w:rPr>
          <w:sz w:val="20"/>
          <w:szCs w:val="20"/>
          <w:color w:val="auto"/>
        </w:rPr>
      </w:pPr>
      <w:r>
        <w:rPr>
          <w:rFonts w:ascii="Arial" w:cs="Arial" w:eastAsia="Arial" w:hAnsi="Arial"/>
          <w:sz w:val="22"/>
          <w:szCs w:val="22"/>
          <w:color w:val="auto"/>
        </w:rPr>
        <w:t>Terry M. Nida</w:t>
      </w:r>
    </w:p>
    <w:p>
      <w:pPr>
        <w:spacing w:after="0" w:line="200" w:lineRule="exact"/>
        <w:rPr>
          <w:sz w:val="20"/>
          <w:szCs w:val="20"/>
          <w:color w:val="auto"/>
        </w:rPr>
      </w:pPr>
    </w:p>
    <w:p>
      <w:pPr>
        <w:spacing w:after="0" w:line="258" w:lineRule="exact"/>
        <w:rPr>
          <w:sz w:val="20"/>
          <w:szCs w:val="20"/>
          <w:color w:val="auto"/>
        </w:rPr>
      </w:pPr>
    </w:p>
    <w:p>
      <w:pPr>
        <w:ind w:left="3880"/>
        <w:spacing w:after="0"/>
        <w:rPr>
          <w:sz w:val="20"/>
          <w:szCs w:val="20"/>
          <w:color w:val="auto"/>
        </w:rPr>
      </w:pPr>
      <w:r>
        <w:rPr>
          <w:rFonts w:ascii="Arial" w:cs="Arial" w:eastAsia="Arial" w:hAnsi="Arial"/>
          <w:sz w:val="22"/>
          <w:szCs w:val="22"/>
          <w:i w:val="1"/>
          <w:iCs w:val="1"/>
          <w:color w:val="auto"/>
        </w:rPr>
        <w:t>/s/ Joachim Schupp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-17780</wp:posOffset>
            </wp:positionV>
            <wp:extent cx="17532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53235" cy="8890"/>
                    </a:xfrm>
                    <a:prstGeom prst="rect">
                      <a:avLst/>
                    </a:prstGeom>
                    <a:noFill/>
                  </pic:spPr>
                </pic:pic>
              </a:graphicData>
            </a:graphic>
          </wp:anchor>
        </w:drawing>
      </w:r>
    </w:p>
    <w:p>
      <w:pPr>
        <w:ind w:left="3880"/>
        <w:spacing w:after="0"/>
        <w:rPr>
          <w:sz w:val="20"/>
          <w:szCs w:val="20"/>
          <w:color w:val="auto"/>
        </w:rPr>
      </w:pPr>
      <w:r>
        <w:rPr>
          <w:rFonts w:ascii="Arial" w:cs="Arial" w:eastAsia="Arial" w:hAnsi="Arial"/>
          <w:sz w:val="22"/>
          <w:szCs w:val="22"/>
          <w:color w:val="auto"/>
        </w:rPr>
        <w:t>Joachim Schupp</w:t>
      </w:r>
    </w:p>
    <w:p>
      <w:pPr>
        <w:spacing w:after="0" w:line="200" w:lineRule="exact"/>
        <w:rPr>
          <w:sz w:val="20"/>
          <w:szCs w:val="20"/>
          <w:color w:val="auto"/>
        </w:rPr>
      </w:pPr>
    </w:p>
    <w:p>
      <w:pPr>
        <w:spacing w:after="0" w:line="231"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4</w:t>
      </w:r>
    </w:p>
    <w:sectPr>
      <w:pgSz w:w="11900" w:h="16838" w:orient="portrait"/>
      <w:cols w:equalWidth="0" w:num="1">
        <w:col w:w="10219"/>
      </w:cols>
      <w:pgMar w:left="240" w:top="6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1)"/>
      <w:numFmt w:val="lowerLetter"/>
      <w:start w:val="2"/>
    </w:lvl>
  </w:abstractNum>
  <w:abstractNum w:abstractNumId="1">
    <w:nsid w:val="12E685FB"/>
    <w:multiLevelType w:val="hybridMultilevel"/>
    <w:lvl w:ilvl="0">
      <w:lvlJc w:val="left"/>
      <w:lvlText w:val="(%1)"/>
      <w:numFmt w:val="lowerLetter"/>
      <w:start w:val="4"/>
    </w:lvl>
  </w:abstractNum>
  <w:abstractNum w:abstractNumId="2">
    <w:nsid w:val="70C6A529"/>
    <w:multiLevelType w:val="hybridMultilevel"/>
    <w:lvl w:ilvl="0">
      <w:lvlJc w:val="left"/>
      <w:lvlText w:val="(%1)"/>
      <w:numFmt w:val="lowerRoman"/>
      <w:start w:val="5"/>
    </w:lvl>
  </w:abstractNum>
  <w:abstractNum w:abstractNumId="3">
    <w:nsid w:val="520EEDD1"/>
    <w:multiLevelType w:val="hybridMultilevel"/>
    <w:lvl w:ilvl="0">
      <w:lvlJc w:val="left"/>
      <w:lvlText w:val="(%1)"/>
      <w:numFmt w:val="lowerLetter"/>
      <w:start w:val="1"/>
    </w:lvl>
  </w:abstractNum>
  <w:abstractNum w:abstractNumId="4">
    <w:nsid w:val="374A3FE6"/>
    <w:multiLevelType w:val="hybridMultilevel"/>
    <w:lvl w:ilvl="0">
      <w:lvlJc w:val="left"/>
      <w:lvlText w:val="(%1)"/>
      <w:numFmt w:val="lowerLetter"/>
      <w:start w:val="1"/>
    </w:lvl>
  </w:abstractNum>
  <w:abstractNum w:abstractNumId="5">
    <w:nsid w:val="4F4EF005"/>
    <w:multiLevelType w:val="hybridMultilevel"/>
    <w:lvl w:ilvl="0">
      <w:lvlJc w:val="left"/>
      <w:lvlText w:val="(%1)"/>
      <w:numFmt w:val="lowerLetter"/>
      <w:start w:val="3"/>
    </w:lvl>
  </w:abstractNum>
  <w:abstractNum w:abstractNumId="6">
    <w:nsid w:val="23F9C13C"/>
    <w:multiLevelType w:val="hybridMultilevel"/>
    <w:lvl w:ilvl="0">
      <w:lvlJc w:val="left"/>
      <w:lvlText w:val="(%1)"/>
      <w:numFmt w:val="lowerLetter"/>
      <w:start w:val="1"/>
    </w:lvl>
  </w:abstractNum>
  <w:abstractNum w:abstractNumId="7">
    <w:nsid w:val="649BB77C"/>
    <w:multiLevelType w:val="hybridMultilevel"/>
    <w:lvl w:ilvl="0">
      <w:lvlJc w:val="left"/>
      <w:lvlText w:val="(%1)"/>
      <w:numFmt w:val="lowerLetter"/>
      <w:start w:val="2"/>
    </w:lvl>
  </w:abstractNum>
  <w:abstractNum w:abstractNumId="8">
    <w:nsid w:val="275AC794"/>
    <w:multiLevelType w:val="hybridMultilevel"/>
    <w:lvl w:ilvl="0">
      <w:lvlJc w:val="left"/>
      <w:lvlText w:val="(%1)"/>
      <w:numFmt w:val="lowerLetter"/>
      <w:start w:val="1"/>
    </w:lvl>
    <w:lvl w:ilvl="1">
      <w:lvlJc w:val="left"/>
      <w:lvlText w:val="(%2)"/>
      <w:numFmt w:val="lowerLetter"/>
      <w:start w:val="9"/>
    </w:lvl>
  </w:abstractNum>
  <w:abstractNum w:abstractNumId="9">
    <w:nsid w:val="39386575"/>
    <w:multiLevelType w:val="hybridMultilevel"/>
    <w:lvl w:ilvl="0">
      <w:lvlJc w:val="left"/>
      <w:lvlText w:val="%1"/>
      <w:numFmt w:val="lowerRoman"/>
      <w:start w:val="1"/>
    </w:lvl>
    <w:lvl w:ilvl="1">
      <w:lvlJc w:val="left"/>
      <w:lvlText w:val="(%2)"/>
      <w:numFmt w:val="lowerRoman"/>
      <w:start w:val="2"/>
    </w:lvl>
  </w:abstractNum>
  <w:abstractNum w:abstractNumId="10">
    <w:nsid w:val="1CF10FD8"/>
    <w:multiLevelType w:val="hybridMultilevel"/>
    <w:lvl w:ilvl="0">
      <w:lvlJc w:val="left"/>
      <w:lvlText w:val="(%1)"/>
      <w:numFmt w:val="lowerRoman"/>
      <w:start w:val="10"/>
    </w:lvl>
    <w:lvl w:ilvl="1">
      <w:lvlJc w:val="left"/>
      <w:lvlText w:val="%2"/>
      <w:numFmt w:val="lowerRoman"/>
      <w:start w:val="1"/>
    </w:lvl>
  </w:abstractNum>
  <w:abstractNum w:abstractNumId="11">
    <w:nsid w:val="180115BE"/>
    <w:multiLevelType w:val="hybridMultilevel"/>
    <w:lvl w:ilvl="0">
      <w:lvlJc w:val="left"/>
      <w:lvlText w:val="(%1)"/>
      <w:numFmt w:val="lowerRoman"/>
      <w:start w:val="2"/>
    </w:lvl>
  </w:abstractNum>
  <w:abstractNum w:abstractNumId="12">
    <w:nsid w:val="235BA861"/>
    <w:multiLevelType w:val="hybridMultilevel"/>
    <w:lvl w:ilvl="0">
      <w:lvlJc w:val="left"/>
      <w:lvlText w:val="%1"/>
      <w:numFmt w:val="lowerLetter"/>
      <w:start w:val="1"/>
    </w:lvl>
    <w:lvl w:ilvl="1">
      <w:lvlJc w:val="left"/>
      <w:lvlText w:val="(%2)"/>
      <w:numFmt w:val="lowerRoman"/>
      <w:start w:val="4"/>
    </w:lvl>
  </w:abstractNum>
  <w:abstractNum w:abstractNumId="13">
    <w:nsid w:val="47398C89"/>
    <w:multiLevelType w:val="hybridMultilevel"/>
    <w:lvl w:ilvl="0">
      <w:lvlJc w:val="left"/>
      <w:lvlText w:val="(%1)"/>
      <w:numFmt w:val="lowerLetter"/>
      <w:start w:val="4"/>
    </w:lvl>
    <w:lvl w:ilvl="1">
      <w:lvlJc w:val="left"/>
      <w:lvlText w:val="%2"/>
      <w:numFmt w:val="lowerRoman"/>
      <w:start w:val="1"/>
    </w:lvl>
  </w:abstractNum>
  <w:abstractNum w:abstractNumId="14">
    <w:nsid w:val="354FE9F9"/>
    <w:multiLevelType w:val="hybridMultilevel"/>
    <w:lvl w:ilvl="0">
      <w:lvlJc w:val="left"/>
      <w:lvlText w:val="(%1)"/>
      <w:numFmt w:val="lowerLetter"/>
      <w:start w:val="1"/>
    </w:lvl>
  </w:abstractNum>
  <w:abstractNum w:abstractNumId="15">
    <w:nsid w:val="15B5AF5C"/>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6">
    <w:nsid w:val="741226BB"/>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17">
    <w:nsid w:val="D34B6A8"/>
    <w:multiLevelType w:val="hybridMultilevel"/>
    <w:lvl w:ilvl="0">
      <w:lvlJc w:val="left"/>
      <w:lvlText w:val="(%1)"/>
      <w:numFmt w:val="lowerLetter"/>
      <w:start w:val="1"/>
    </w:lvl>
  </w:abstractNum>
  <w:abstractNum w:abstractNumId="18">
    <w:nsid w:val="10233C99"/>
    <w:multiLevelType w:val="hybridMultilevel"/>
    <w:lvl w:ilvl="0">
      <w:lvlJc w:val="left"/>
      <w:lvlText w:val="(%1)"/>
      <w:numFmt w:val="lowerLetter"/>
      <w:start w:val="8"/>
    </w:lvl>
  </w:abstractNum>
  <w:abstractNum w:abstractNumId="19">
    <w:nsid w:val="3F6AB60F"/>
    <w:multiLevelType w:val="hybridMultilevel"/>
    <w:lvl w:ilvl="0">
      <w:lvlJc w:val="left"/>
      <w:lvlText w:val="(%1)"/>
      <w:numFmt w:val="lowerLetter"/>
      <w:start w:val="1"/>
    </w:lvl>
  </w:abstractNum>
  <w:abstractNum w:abstractNumId="20">
    <w:nsid w:val="61574095"/>
    <w:multiLevelType w:val="hybridMultilevel"/>
    <w:lvl w:ilvl="0">
      <w:lvlJc w:val="left"/>
      <w:lvlText w:val="(%1)"/>
      <w:numFmt w:val="decimal"/>
      <w:start w:val="1"/>
    </w:lvl>
  </w:abstractNum>
  <w:abstractNum w:abstractNumId="21">
    <w:nsid w:val="7E0C57B1"/>
    <w:multiLevelType w:val="hybridMultilevel"/>
    <w:lvl w:ilvl="0">
      <w:lvlJc w:val="left"/>
      <w:lvlText w:val="(%1)"/>
      <w:numFmt w:val="lowerLetter"/>
      <w:start w:val="2"/>
    </w:lvl>
  </w:abstractNum>
  <w:abstractNum w:abstractNumId="22">
    <w:nsid w:val="77AE35EB"/>
    <w:multiLevelType w:val="hybridMultilevel"/>
    <w:lvl w:ilvl="0">
      <w:lvlJc w:val="left"/>
      <w:lvlText w:val="(%1)"/>
      <w:numFmt w:val="lowerLetter"/>
      <w:start w:val="1"/>
    </w:lvl>
  </w:abstractNum>
  <w:abstractNum w:abstractNumId="23">
    <w:nsid w:val="579BE4F1"/>
    <w:multiLevelType w:val="hybridMultilevel"/>
    <w:lvl w:ilvl="0">
      <w:lvlJc w:val="left"/>
      <w:lvlText w:val="(%1)"/>
      <w:numFmt w:val="lowerLetter"/>
      <w:start w:val="2"/>
    </w:lvl>
  </w:abstractNum>
  <w:abstractNum w:abstractNumId="24">
    <w:nsid w:val="310C50B3"/>
    <w:multiLevelType w:val="hybridMultilevel"/>
    <w:lvl w:ilvl="0">
      <w:lvlJc w:val="left"/>
      <w:lvlText w:val="(%1)"/>
      <w:numFmt w:val="lowerLetter"/>
      <w:start w:val="9"/>
    </w:lvl>
  </w:abstractNum>
  <w:abstractNum w:abstractNumId="25">
    <w:nsid w:val="5FF87E05"/>
    <w:multiLevelType w:val="hybridMultilevel"/>
    <w:lvl w:ilvl="0">
      <w:lvlJc w:val="left"/>
      <w:lvlText w:val="(%1)"/>
      <w:numFmt w:val="lowerLetter"/>
      <w:start w:val="4"/>
    </w:lvl>
  </w:abstractNum>
  <w:abstractNum w:abstractNumId="26">
    <w:nsid w:val="2F305DEF"/>
    <w:multiLevelType w:val="hybridMultilevel"/>
    <w:lvl w:ilvl="0">
      <w:lvlJc w:val="left"/>
      <w:lvlText w:val="(%1)"/>
      <w:numFmt w:val="lowerLetter"/>
      <w:start w:val="1"/>
    </w:lvl>
  </w:abstractNum>
  <w:abstractNum w:abstractNumId="27">
    <w:nsid w:val="25A70BF7"/>
    <w:multiLevelType w:val="hybridMultilevel"/>
    <w:lvl w:ilvl="0">
      <w:lvlJc w:val="left"/>
      <w:lvlText w:val="(%1)"/>
      <w:numFmt w:val="lowerLetter"/>
      <w:start w:val="9"/>
    </w:lvl>
  </w:abstractNum>
  <w:abstractNum w:abstractNumId="28">
    <w:nsid w:val="1DBABF00"/>
    <w:multiLevelType w:val="hybridMultilevel"/>
    <w:lvl w:ilvl="0">
      <w:lvlJc w:val="left"/>
      <w:lvlText w:val="(%1)"/>
      <w:numFmt w:val="lowerLetter"/>
      <w:start w:val="7"/>
    </w:lvl>
  </w:abstractNum>
  <w:abstractNum w:abstractNumId="29">
    <w:nsid w:val="4AD084E9"/>
    <w:multiLevelType w:val="hybridMultilevel"/>
    <w:lvl w:ilvl="0">
      <w:lvlJc w:val="left"/>
      <w:lvlText w:val="(%1)"/>
      <w:numFmt w:val="upperLetter"/>
      <w:start w:val="3"/>
    </w:lvl>
  </w:abstractNum>
  <w:abstractNum w:abstractNumId="30">
    <w:nsid w:val="1F48EAA1"/>
    <w:multiLevelType w:val="hybridMultilevel"/>
    <w:lvl w:ilvl="0">
      <w:lvlJc w:val="left"/>
      <w:lvlText w:val="(%1)"/>
      <w:numFmt w:val="upperLetter"/>
      <w:start w:val="2"/>
    </w:lvl>
  </w:abstractNum>
  <w:abstractNum w:abstractNumId="31">
    <w:nsid w:val="1381823A"/>
    <w:multiLevelType w:val="hybridMultilevel"/>
    <w:lvl w:ilvl="0">
      <w:lvlJc w:val="left"/>
      <w:lvlText w:val="(%1)"/>
      <w:numFmt w:val="decimal"/>
      <w:start w:val="1"/>
    </w:lvl>
  </w:abstractNum>
  <w:abstractNum w:abstractNumId="32">
    <w:nsid w:val="5DB70AE5"/>
    <w:multiLevelType w:val="hybridMultilevel"/>
    <w:lvl w:ilvl="0">
      <w:lvlJc w:val="left"/>
      <w:lvlText w:val="(%1)"/>
      <w:numFmt w:val="decimal"/>
      <w:start w:val="9"/>
    </w:lvl>
  </w:abstractNum>
  <w:abstractNum w:abstractNumId="33">
    <w:nsid w:val="100F8FCA"/>
    <w:multiLevelType w:val="hybridMultilevel"/>
    <w:lvl w:ilvl="0">
      <w:lvlJc w:val="left"/>
      <w:lvlText w:val="(%1)"/>
      <w:numFmt w:val="decimal"/>
      <w:start w:val="11"/>
    </w:lvl>
  </w:abstractNum>
  <w:abstractNum w:abstractNumId="34">
    <w:nsid w:val="6590700B"/>
    <w:multiLevelType w:val="hybridMultilevel"/>
    <w:lvl w:ilvl="0">
      <w:lvlJc w:val="left"/>
      <w:lvlText w:val="%1"/>
      <w:numFmt w:val="upperLetter"/>
      <w:start w:val="1"/>
    </w:lvl>
    <w:lvl w:ilvl="1">
      <w:lvlJc w:val="left"/>
      <w:lvlText w:val="(%2)"/>
      <w:numFmt w:val="decimal"/>
      <w:start w:val="1"/>
    </w:lvl>
  </w:abstractNum>
  <w:abstractNum w:abstractNumId="35">
    <w:nsid w:val="15014ACB"/>
    <w:multiLevelType w:val="hybridMultilevel"/>
    <w:lvl w:ilvl="0">
      <w:lvlJc w:val="left"/>
      <w:lvlText w:val="(%1)"/>
      <w:numFmt w:val="upperLetter"/>
      <w:start w:val="1"/>
    </w:lvl>
    <w:lvl w:ilvl="1">
      <w:lvlJc w:val="left"/>
      <w:lvlText w:val="(%2)"/>
      <w:numFmt w:val="decimal"/>
      <w:start w:val="3"/>
    </w:lvl>
  </w:abstractNum>
  <w:abstractNum w:abstractNumId="36">
    <w:nsid w:val="5F5E7FD0"/>
    <w:multiLevelType w:val="hybridMultilevel"/>
    <w:lvl w:ilvl="0">
      <w:lvlJc w:val="left"/>
      <w:lvlText w:val="(%1)"/>
      <w:numFmt w:val="decimal"/>
      <w:start w:val="5"/>
    </w:lvl>
  </w:abstractNum>
  <w:abstractNum w:abstractNumId="37">
    <w:nsid w:val="98A3148"/>
    <w:multiLevelType w:val="hybridMultilevel"/>
    <w:lvl w:ilvl="0">
      <w:lvlJc w:val="left"/>
      <w:lvlText w:val="(%1)"/>
      <w:numFmt w:val="lowerLetter"/>
      <w:start w:val="1"/>
    </w:lvl>
  </w:abstractNum>
  <w:abstractNum w:abstractNumId="38">
    <w:nsid w:val="799D0247"/>
    <w:multiLevelType w:val="hybridMultilevel"/>
    <w:lvl w:ilvl="0">
      <w:lvlJc w:val="left"/>
      <w:lvlText w:val="(%1)"/>
      <w:numFmt w:val="lowerLetter"/>
      <w:start w:val="3"/>
    </w:lvl>
  </w:abstractNum>
  <w:abstractNum w:abstractNumId="39">
    <w:nsid w:val="6B94764"/>
    <w:multiLevelType w:val="hybridMultilevel"/>
    <w:lvl w:ilvl="0">
      <w:lvlJc w:val="left"/>
      <w:lvlText w:val="(%1)"/>
      <w:numFmt w:val="lowerLetter"/>
      <w:start w:val="4"/>
    </w:lvl>
  </w:abstractNum>
  <w:abstractNum w:abstractNumId="40">
    <w:nsid w:val="42C296BD"/>
    <w:multiLevelType w:val="hybridMultilevel"/>
    <w:lvl w:ilvl="0">
      <w:lvlJc w:val="left"/>
      <w:lvlText w:val="(%1)"/>
      <w:numFmt w:val="lowerLetter"/>
      <w:start w:val="1"/>
    </w:lvl>
  </w:abstractNum>
  <w:abstractNum w:abstractNumId="41">
    <w:nsid w:val="168E121F"/>
    <w:multiLevelType w:val="hybridMultilevel"/>
    <w:lvl w:ilvl="0">
      <w:lvlJc w:val="left"/>
      <w:lvlText w:val="(%1)"/>
      <w:numFmt w:val="lowerLetter"/>
      <w:start w:val="1"/>
    </w:lvl>
  </w:abstractNum>
  <w:abstractNum w:abstractNumId="42">
    <w:nsid w:val="1EBA5D23"/>
    <w:multiLevelType w:val="hybridMultilevel"/>
    <w:lvl w:ilvl="0">
      <w:lvlJc w:val="left"/>
      <w:lvlText w:val="(%1)"/>
      <w:numFmt w:val="lowerLetter"/>
      <w:start w:val="4"/>
    </w:lvl>
  </w:abstractNum>
  <w:abstractNum w:abstractNumId="43">
    <w:nsid w:val="661E3F1E"/>
    <w:multiLevelType w:val="hybridMultilevel"/>
    <w:lvl w:ilvl="0">
      <w:lvlJc w:val="left"/>
      <w:lvlText w:val="%1"/>
      <w:numFmt w:val="lowerLetter"/>
      <w:start w:val="1"/>
    </w:lvl>
    <w:lvl w:ilvl="1">
      <w:lvlJc w:val="left"/>
      <w:lvlText w:val="(%2)"/>
      <w:numFmt w:val="lowerLetter"/>
      <w:start w:val="1"/>
    </w:lvl>
  </w:abstractNum>
  <w:abstractNum w:abstractNumId="44">
    <w:nsid w:val="5DC79EA8"/>
    <w:multiLevelType w:val="hybridMultilevel"/>
    <w:lvl w:ilvl="0">
      <w:lvlJc w:val="left"/>
      <w:lvlText w:val="(%1)"/>
      <w:numFmt w:val="lowerLetter"/>
      <w:start w:val="61"/>
    </w:lvl>
    <w:lvl w:ilvl="1">
      <w:lvlJc w:val="left"/>
      <w:lvlText w:val="(%2)"/>
      <w:numFmt w:val="lowerLetter"/>
      <w:start w:val="4"/>
    </w:lvl>
  </w:abstractNum>
  <w:abstractNum w:abstractNumId="45">
    <w:nsid w:val="540A471C"/>
    <w:multiLevelType w:val="hybridMultilevel"/>
    <w:lvl w:ilvl="0">
      <w:lvlJc w:val="left"/>
      <w:lvlText w:val="(%1)"/>
      <w:numFmt w:val="lowerLetter"/>
      <w:start w:val="7"/>
    </w:lvl>
  </w:abstractNum>
  <w:abstractNum w:abstractNumId="46">
    <w:nsid w:val="7BD3EE7B"/>
    <w:multiLevelType w:val="hybridMultilevel"/>
    <w:lvl w:ilvl="0">
      <w:lvlJc w:val="left"/>
      <w:lvlText w:val="(%1)"/>
      <w:numFmt w:val="lowerLetter"/>
      <w:start w:val="14"/>
    </w:lvl>
  </w:abstractNum>
  <w:abstractNum w:abstractNumId="47">
    <w:nsid w:val="51D9C564"/>
    <w:multiLevelType w:val="hybridMultilevel"/>
    <w:lvl w:ilvl="0">
      <w:lvlJc w:val="left"/>
      <w:lvlText w:val="(%1)"/>
      <w:numFmt w:val="lowerLetter"/>
      <w:start w:val="1"/>
    </w:lvl>
  </w:abstractNum>
  <w:abstractNum w:abstractNumId="48">
    <w:nsid w:val="613EFDC5"/>
    <w:multiLevelType w:val="hybridMultilevel"/>
    <w:lvl w:ilvl="0">
      <w:lvlJc w:val="left"/>
      <w:lvlText w:val="%1"/>
      <w:numFmt w:val="lowerRoman"/>
      <w:start w:val="1"/>
    </w:lvl>
    <w:lvl w:ilvl="1">
      <w:lvlJc w:val="left"/>
      <w:lvlText w:val="(%2)"/>
      <w:numFmt w:val="lowerLetter"/>
      <w:start w:val="2"/>
    </w:lvl>
  </w:abstractNum>
  <w:abstractNum w:abstractNumId="49">
    <w:nsid w:val="BF72B14"/>
    <w:multiLevelType w:val="hybridMultilevel"/>
    <w:lvl w:ilvl="0">
      <w:lvlJc w:val="left"/>
      <w:lvlText w:val="(%1)"/>
      <w:numFmt w:val="lowerRoman"/>
      <w:start w:val="3"/>
    </w:lvl>
    <w:lvl w:ilvl="1">
      <w:lvlJc w:val="left"/>
      <w:lvlText w:val="%2"/>
      <w:numFmt w:val="lowerLetter"/>
      <w:start w:val="1"/>
    </w:lvl>
  </w:abstractNum>
  <w:abstractNum w:abstractNumId="50">
    <w:nsid w:val="11447B73"/>
    <w:multiLevelType w:val="hybridMultilevel"/>
    <w:lvl w:ilvl="0">
      <w:lvlJc w:val="left"/>
      <w:lvlText w:val="(%1)."/>
      <w:numFmt w:val="lowerRoman"/>
      <w:start w:val="4"/>
    </w:lvl>
    <w:lvl w:ilvl="1">
      <w:lvlJc w:val="left"/>
      <w:lvlText w:val="%2"/>
      <w:numFmt w:val="lowerLetter"/>
      <w:start w:val="1"/>
    </w:lvl>
  </w:abstractNum>
  <w:abstractNum w:abstractNumId="51">
    <w:nsid w:val="42963E5A"/>
    <w:multiLevelType w:val="hybridMultilevel"/>
    <w:lvl w:ilvl="0">
      <w:lvlJc w:val="left"/>
      <w:lvlText w:val="(%1)"/>
      <w:numFmt w:val="lowerLetter"/>
      <w:start w:val="1"/>
    </w:lvl>
  </w:abstractNum>
  <w:abstractNum w:abstractNumId="52">
    <w:nsid w:val="A0382C5"/>
    <w:multiLevelType w:val="hybridMultilevel"/>
    <w:lvl w:ilvl="0">
      <w:lvlJc w:val="left"/>
      <w:lvlText w:val="(%1)"/>
      <w:numFmt w:val="lowerLetter"/>
      <w:start w:val="7"/>
    </w:lvl>
  </w:abstractNum>
  <w:abstractNum w:abstractNumId="53">
    <w:nsid w:val="8F2B15E"/>
    <w:multiLevelType w:val="hybridMultilevel"/>
    <w:lvl w:ilvl="0">
      <w:lvlJc w:val="left"/>
      <w:lvlText w:val="%1"/>
      <w:numFmt w:val="lowerLetter"/>
      <w:start w:val="1"/>
    </w:lvl>
    <w:lvl w:ilvl="1">
      <w:lvlJc w:val="left"/>
      <w:lvlText w:val="(%2)"/>
      <w:numFmt w:val="lowerLetter"/>
      <w:start w:val="1"/>
    </w:lvl>
  </w:abstractNum>
  <w:abstractNum w:abstractNumId="54">
    <w:nsid w:val="1A32234B"/>
    <w:multiLevelType w:val="hybridMultilevel"/>
    <w:lvl w:ilvl="0">
      <w:lvlJc w:val="left"/>
      <w:lvlText w:val="(%1)"/>
      <w:numFmt w:val="lowerLetter"/>
      <w:start w:val="9"/>
    </w:lvl>
    <w:lvl w:ilvl="1">
      <w:lvlJc w:val="left"/>
      <w:lvlText w:val="(%2)"/>
      <w:numFmt w:val="lowerLetter"/>
      <w:start w:val="2"/>
    </w:lvl>
  </w:abstractNum>
  <w:abstractNum w:abstractNumId="55">
    <w:nsid w:val="3B0FD379"/>
    <w:multiLevelType w:val="hybridMultilevel"/>
    <w:lvl w:ilvl="0">
      <w:lvlJc w:val="left"/>
      <w:lvlText w:val="(%1)"/>
      <w:numFmt w:val="lowerLetter"/>
      <w:start w:val="5"/>
    </w:lvl>
  </w:abstractNum>
  <w:abstractNum w:abstractNumId="56">
    <w:nsid w:val="68EB2F63"/>
    <w:multiLevelType w:val="hybridMultilevel"/>
    <w:lvl w:ilvl="0">
      <w:lvlJc w:val="left"/>
      <w:lvlText w:val="(%1)"/>
      <w:numFmt w:val="lowerLetter"/>
      <w:start w:val="1"/>
    </w:lvl>
  </w:abstractNum>
  <w:abstractNum w:abstractNumId="57">
    <w:nsid w:val="4962813B"/>
    <w:multiLevelType w:val="hybridMultilevel"/>
    <w:lvl w:ilvl="0">
      <w:lvlJc w:val="left"/>
      <w:lvlText w:val="(%1)"/>
      <w:numFmt w:val="lowerLetter"/>
      <w:start w:val="3"/>
    </w:lvl>
  </w:abstractNum>
  <w:abstractNum w:abstractNumId="58">
    <w:nsid w:val="60B6DF70"/>
    <w:multiLevelType w:val="hybridMultilevel"/>
    <w:lvl w:ilvl="0">
      <w:lvlJc w:val="left"/>
      <w:lvlText w:val="%1."/>
      <w:numFmt w:val="decimal"/>
      <w:start w:val="1"/>
    </w:lvl>
  </w:abstractNum>
  <w:abstractNum w:abstractNumId="59">
    <w:nsid w:val="6A5EE64"/>
    <w:multiLevelType w:val="hybridMultilevel"/>
    <w:lvl w:ilvl="0">
      <w:lvlJc w:val="left"/>
      <w:lvlText w:val="%1."/>
      <w:numFmt w:val="decimal"/>
      <w:start w:val="3"/>
    </w:lvl>
  </w:abstractNum>
  <w:abstractNum w:abstractNumId="60">
    <w:nsid w:val="14330624"/>
    <w:multiLevelType w:val="hybridMultilevel"/>
    <w:lvl w:ilvl="0">
      <w:lvlJc w:val="left"/>
      <w:lvlText w:val="%1."/>
      <w:numFmt w:val="decimal"/>
      <w:start w:val="4"/>
    </w:lvl>
  </w:abstractNum>
  <w:abstractNum w:abstractNumId="61">
    <w:nsid w:val="7FFFCA11"/>
    <w:multiLevelType w:val="hybridMultilevel"/>
    <w:lvl w:ilvl="0">
      <w:lvlJc w:val="left"/>
      <w:lvlText w:val="%1."/>
      <w:numFmt w:val="decimal"/>
      <w:start w:val="1"/>
    </w:lvl>
  </w:abstractNum>
  <w:abstractNum w:abstractNumId="62">
    <w:nsid w:val="1A27709E"/>
    <w:multiLevelType w:val="hybridMultilevel"/>
    <w:lvl w:ilvl="0">
      <w:lvlJc w:val="left"/>
      <w:lvlText w:val="%1."/>
      <w:numFmt w:val="decimal"/>
      <w:start w:val="2"/>
    </w:lvl>
  </w:abstractNum>
  <w:abstractNum w:abstractNumId="63">
    <w:nsid w:val="71EA1109"/>
    <w:multiLevelType w:val="hybridMultilevel"/>
    <w:lvl w:ilvl="0">
      <w:lvlJc w:val="left"/>
      <w:lvlText w:val="%1."/>
      <w:numFmt w:val="decimal"/>
      <w:start w:val="3"/>
    </w:lvl>
  </w:abstractNum>
  <w:abstractNum w:abstractNumId="64">
    <w:nsid w:val="100F59DC"/>
    <w:multiLevelType w:val="hybridMultilevel"/>
    <w:lvl w:ilvl="0">
      <w:lvlJc w:val="left"/>
      <w:lvlText w:val="%1."/>
      <w:numFmt w:val="upperLetter"/>
      <w:start w:val="1"/>
    </w:lvl>
  </w:abstractNum>
  <w:abstractNum w:abstractNumId="65">
    <w:nsid w:val="7FB7E0AA"/>
    <w:multiLevelType w:val="hybridMultilevel"/>
    <w:lvl w:ilvl="0">
      <w:lvlJc w:val="left"/>
      <w:lvlText w:val="%1."/>
      <w:numFmt w:val="decimal"/>
      <w:start w:val="1"/>
    </w:lvl>
  </w:abstractNum>
  <w:abstractNum w:abstractNumId="66">
    <w:nsid w:val="6EB5BD4"/>
    <w:multiLevelType w:val="hybridMultilevel"/>
    <w:lvl w:ilvl="0">
      <w:lvlJc w:val="left"/>
      <w:lvlText w:val="(%1)"/>
      <w:numFmt w:val="lowerLetter"/>
      <w:start w:val="1"/>
    </w:lvl>
  </w:abstractNum>
  <w:abstractNum w:abstractNumId="67">
    <w:nsid w:val="6F6DD9AC"/>
    <w:multiLevelType w:val="hybridMultilevel"/>
    <w:lvl w:ilvl="0">
      <w:lvlJc w:val="left"/>
      <w:lvlText w:val="(%1)"/>
      <w:numFmt w:val="lowerLetter"/>
      <w:start w:val="10"/>
    </w:lvl>
  </w:abstractNum>
  <w:abstractNum w:abstractNumId="68">
    <w:nsid w:val="94211F2"/>
    <w:multiLevelType w:val="hybridMultilevel"/>
    <w:lvl w:ilvl="0">
      <w:lvlJc w:val="left"/>
      <w:lvlText w:val="%1."/>
      <w:numFmt w:val="decimal"/>
      <w:start w:val="3"/>
    </w:lvl>
  </w:abstractNum>
  <w:abstractNum w:abstractNumId="69">
    <w:nsid w:val="885E1B"/>
    <w:multiLevelType w:val="hybridMultilevel"/>
    <w:lvl w:ilvl="0">
      <w:lvlJc w:val="left"/>
      <w:lvlText w:val="(%1)"/>
      <w:numFmt w:val="lowerLetter"/>
      <w:start w:val="3"/>
    </w:lvl>
  </w:abstractNum>
  <w:abstractNum w:abstractNumId="70">
    <w:nsid w:val="76272110"/>
    <w:multiLevelType w:val="hybridMultilevel"/>
    <w:lvl w:ilvl="0">
      <w:lvlJc w:val="left"/>
      <w:lvlText w:val="(%1)"/>
      <w:numFmt w:val="lowerLetter"/>
      <w:start w:val="1"/>
    </w:lvl>
    <w:lvl w:ilvl="1">
      <w:lvlJc w:val="left"/>
      <w:lvlText w:val="(%2)"/>
      <w:numFmt w:val="lowerRoman"/>
      <w:start w:val="1"/>
    </w:lvl>
  </w:abstractNum>
  <w:abstractNum w:abstractNumId="71">
    <w:nsid w:val="4C04A8AF"/>
    <w:multiLevelType w:val="hybridMultilevel"/>
    <w:lvl w:ilvl="0">
      <w:lvlJc w:val="left"/>
      <w:lvlText w:val="(%1)"/>
      <w:numFmt w:val="lowerLetter"/>
      <w:start w:val="1"/>
    </w:lvl>
    <w:lvl w:ilvl="1">
      <w:lvlJc w:val="left"/>
      <w:lvlText w:val="(%2)"/>
      <w:numFmt w:val="lowerRoman"/>
      <w:start w:val="1"/>
    </w:lvl>
  </w:abstractNum>
  <w:abstractNum w:abstractNumId="72">
    <w:nsid w:val="1716703B"/>
    <w:multiLevelType w:val="hybridMultilevel"/>
    <w:lvl w:ilvl="0">
      <w:lvlJc w:val="left"/>
      <w:lvlText w:val="(%1)"/>
      <w:numFmt w:val="lowerLetter"/>
      <w:start w:val="2"/>
    </w:lvl>
    <w:lvl w:ilvl="1">
      <w:lvlJc w:val="left"/>
      <w:lvlText w:val="(%2)"/>
      <w:numFmt w:val="lowerRoman"/>
      <w:start w:val="1"/>
    </w:lvl>
  </w:abstractNum>
  <w:abstractNum w:abstractNumId="73">
    <w:nsid w:val="14E17E33"/>
    <w:multiLevelType w:val="hybridMultilevel"/>
    <w:lvl w:ilvl="0">
      <w:lvlJc w:val="left"/>
      <w:lvlText w:val="(%1)"/>
      <w:numFmt w:val="lowerLetter"/>
      <w:start w:val="1"/>
    </w:lvl>
  </w:abstractNum>
  <w:abstractNum w:abstractNumId="74">
    <w:nsid w:val="3222E7CD"/>
    <w:multiLevelType w:val="hybridMultilevel"/>
    <w:lvl w:ilvl="0">
      <w:lvlJc w:val="left"/>
      <w:lvlText w:val="(%1)"/>
      <w:numFmt w:val="lowerLetter"/>
      <w:start w:val="3"/>
    </w:lvl>
  </w:abstractNum>
  <w:abstractNum w:abstractNumId="75">
    <w:nsid w:val="74DE0EE3"/>
    <w:multiLevelType w:val="hybridMultilevel"/>
    <w:lvl w:ilvl="0">
      <w:lvlJc w:val="left"/>
      <w:lvlText w:val="(%1)"/>
      <w:numFmt w:val="lowerLetter"/>
      <w:start w:val="7"/>
    </w:lvl>
  </w:abstractNum>
  <w:abstractNum w:abstractNumId="76">
    <w:nsid w:val="68EBC550"/>
    <w:multiLevelType w:val="hybridMultilevel"/>
    <w:lvl w:ilvl="0">
      <w:lvlJc w:val="left"/>
      <w:lvlText w:val="(%1)"/>
      <w:numFmt w:val="lowerLetter"/>
      <w:start w:val="10"/>
    </w:lvl>
  </w:abstractNum>
  <w:abstractNum w:abstractNumId="77">
    <w:nsid w:val="2DF6D648"/>
    <w:multiLevelType w:val="hybridMultilevel"/>
    <w:lvl w:ilvl="0">
      <w:lvlJc w:val="left"/>
      <w:lvlText w:val="%1"/>
      <w:numFmt w:val="lowerLetter"/>
      <w:start w:val="1"/>
    </w:lvl>
    <w:lvl w:ilvl="1">
      <w:lvlJc w:val="left"/>
      <w:lvlText w:val="(%2)"/>
      <w:numFmt w:val="lowerLetter"/>
      <w:start w:val="15"/>
    </w:lvl>
  </w:abstractNum>
  <w:abstractNum w:abstractNumId="78">
    <w:nsid w:val="46B7D447"/>
    <w:multiLevelType w:val="hybridMultilevel"/>
    <w:lvl w:ilvl="0">
      <w:lvlJc w:val="left"/>
      <w:lvlText w:val="(%1)"/>
      <w:numFmt w:val="lowerLetter"/>
      <w:start w:val="61"/>
    </w:lvl>
    <w:lvl w:ilvl="1">
      <w:lvlJc w:val="left"/>
      <w:lvlText w:val="(%2)"/>
      <w:numFmt w:val="lowerLetter"/>
      <w:start w:val="18"/>
    </w:lvl>
  </w:abstractNum>
  <w:abstractNum w:abstractNumId="79">
    <w:nsid w:val="4A2AC315"/>
    <w:multiLevelType w:val="hybridMultilevel"/>
    <w:lvl w:ilvl="0">
      <w:lvlJc w:val="left"/>
      <w:lvlText w:val="(%1)"/>
      <w:numFmt w:val="lowerLetter"/>
      <w:start w:val="20"/>
    </w:lvl>
  </w:abstractNum>
  <w:abstractNum w:abstractNumId="80">
    <w:nsid w:val="39EE015C"/>
    <w:multiLevelType w:val="hybridMultilevel"/>
    <w:lvl w:ilvl="0">
      <w:lvlJc w:val="left"/>
      <w:lvlText w:val="(%1)"/>
      <w:numFmt w:val="lowerLetter"/>
      <w:start w:val="27"/>
    </w:lvl>
    <w:lvl w:ilvl="1">
      <w:lvlJc w:val="left"/>
      <w:lvlText w:val="(%2)"/>
      <w:numFmt w:val="lowerRoman"/>
      <w:start w:val="1"/>
    </w:lvl>
  </w:abstractNum>
  <w:abstractNum w:abstractNumId="81">
    <w:nsid w:val="57FC4FBB"/>
    <w:multiLevelType w:val="hybridMultilevel"/>
    <w:lvl w:ilvl="0">
      <w:lvlJc w:val="left"/>
      <w:lvlText w:val="(%1)"/>
      <w:numFmt w:val="lowerLetter"/>
      <w:start w:val="34"/>
    </w:lvl>
  </w:abstractNum>
  <w:abstractNum w:abstractNumId="82">
    <w:nsid w:val="CC1016F"/>
    <w:multiLevelType w:val="hybridMultilevel"/>
    <w:lvl w:ilvl="0">
      <w:lvlJc w:val="left"/>
      <w:lvlText w:val="(%1)"/>
      <w:numFmt w:val="lowerRoman"/>
      <w:start w:val="3"/>
    </w:lvl>
    <w:lvl w:ilvl="1">
      <w:lvlJc w:val="left"/>
      <w:lvlText w:val="(%2)"/>
      <w:numFmt w:val="lowerRoman"/>
      <w:start w:val="2"/>
    </w:lvl>
  </w:abstractNum>
  <w:abstractNum w:abstractNumId="83">
    <w:nsid w:val="43F18422"/>
    <w:multiLevelType w:val="hybridMultilevel"/>
    <w:lvl w:ilvl="0">
      <w:lvlJc w:val="left"/>
      <w:lvlText w:val="(%1)"/>
      <w:numFmt w:val="lowerRoman"/>
      <w:start w:val="2"/>
    </w:lvl>
    <w:lvl w:ilvl="1">
      <w:lvlJc w:val="left"/>
      <w:lvlText w:val="%2"/>
      <w:numFmt w:val="lowerRoman"/>
      <w:start w:val="1"/>
    </w:lvl>
  </w:abstractNum>
  <w:abstractNum w:abstractNumId="84">
    <w:nsid w:val="60EF0119"/>
    <w:multiLevelType w:val="hybridMultilevel"/>
    <w:lvl w:ilvl="0">
      <w:lvlJc w:val="left"/>
      <w:lvlText w:val="%1"/>
      <w:numFmt w:val="lowerLetter"/>
      <w:start w:val="1"/>
    </w:lvl>
    <w:lvl w:ilvl="1">
      <w:lvlJc w:val="left"/>
      <w:lvlText w:val="(%2)"/>
      <w:numFmt w:val="lowerLetter"/>
      <w:start w:val="36"/>
    </w:lvl>
  </w:abstractNum>
  <w:abstractNum w:abstractNumId="85">
    <w:nsid w:val="26F324BA"/>
    <w:multiLevelType w:val="hybridMultilevel"/>
    <w:lvl w:ilvl="0">
      <w:lvlJc w:val="left"/>
      <w:lvlText w:val="(%1)"/>
      <w:numFmt w:val="lowerLetter"/>
      <w:start w:val="9"/>
    </w:lvl>
    <w:lvl w:ilvl="1">
      <w:lvlJc w:val="left"/>
      <w:lvlText w:val="(%2)"/>
      <w:numFmt w:val="lowerLetter"/>
      <w:start w:val="37"/>
    </w:lvl>
  </w:abstractNum>
  <w:abstractNum w:abstractNumId="86">
    <w:nsid w:val="7F01579B"/>
    <w:multiLevelType w:val="hybridMultilevel"/>
    <w:lvl w:ilvl="0">
      <w:lvlJc w:val="left"/>
      <w:lvlText w:val="(%1)"/>
      <w:numFmt w:val="lowerLetter"/>
      <w:start w:val="39"/>
    </w:lvl>
  </w:abstractNum>
  <w:abstractNum w:abstractNumId="87">
    <w:nsid w:val="49DA307D"/>
    <w:multiLevelType w:val="hybridMultilevel"/>
    <w:lvl w:ilvl="0">
      <w:lvlJc w:val="left"/>
      <w:lvlText w:val="(%1)"/>
      <w:numFmt w:val="lowerLetter"/>
      <w:start w:val="1"/>
    </w:lvl>
  </w:abstractNum>
  <w:abstractNum w:abstractNumId="88">
    <w:nsid w:val="7055A5F5"/>
    <w:multiLevelType w:val="hybridMultilevel"/>
    <w:lvl w:ilvl="0">
      <w:lvlJc w:val="left"/>
      <w:lvlText w:val="(%1)"/>
      <w:numFmt w:val="lowerLetter"/>
      <w:start w:val="6"/>
    </w:lvl>
  </w:abstractNum>
  <w:abstractNum w:abstractNumId="89">
    <w:nsid w:val="5FB8370B"/>
    <w:multiLevelType w:val="hybridMultilevel"/>
    <w:lvl w:ilvl="0">
      <w:lvlJc w:val="left"/>
      <w:lvlText w:val="(%1)"/>
      <w:numFmt w:val="lowerLetter"/>
      <w:start w:val="1"/>
    </w:lvl>
  </w:abstractNum>
  <w:abstractNum w:abstractNumId="90">
    <w:nsid w:val="50801EE1"/>
    <w:multiLevelType w:val="hybridMultilevel"/>
    <w:lvl w:ilvl="0">
      <w:lvlJc w:val="left"/>
      <w:lvlText w:val="(%1)"/>
      <w:numFmt w:val="lowerLetter"/>
      <w:start w:val="3"/>
    </w:lvl>
  </w:abstractNum>
  <w:abstractNum w:abstractNumId="91">
    <w:nsid w:val="488AC1A"/>
    <w:multiLevelType w:val="hybridMultilevel"/>
    <w:lvl w:ilvl="0">
      <w:lvlJc w:val="left"/>
      <w:lvlText w:val="(%1)"/>
      <w:numFmt w:val="lowerLetter"/>
      <w:start w:val="1"/>
    </w:lvl>
  </w:abstractNum>
  <w:abstractNum w:abstractNumId="92">
    <w:nsid w:val="5FB8011C"/>
    <w:multiLevelType w:val="hybridMultilevel"/>
    <w:lvl w:ilvl="0">
      <w:lvlJc w:val="left"/>
      <w:lvlText w:val="(%1)"/>
      <w:numFmt w:val="lowerLetter"/>
      <w:start w:val="2"/>
    </w:lvl>
  </w:abstractNum>
  <w:abstractNum w:abstractNumId="93">
    <w:nsid w:val="6AA78F7F"/>
    <w:multiLevelType w:val="hybridMultilevel"/>
    <w:lvl w:ilvl="0">
      <w:lvlJc w:val="left"/>
      <w:lvlText w:val="(%1)"/>
      <w:numFmt w:val="lowerLetter"/>
      <w:start w:val="1"/>
    </w:lvl>
  </w:abstractNum>
  <w:abstractNum w:abstractNumId="94">
    <w:nsid w:val="7672BD23"/>
    <w:multiLevelType w:val="hybridMultilevel"/>
    <w:lvl w:ilvl="0">
      <w:lvlJc w:val="left"/>
      <w:lvlText w:val="(%1)"/>
      <w:numFmt w:val="lowerLetter"/>
      <w:start w:val="2"/>
    </w:lvl>
  </w:abstractNum>
  <w:abstractNum w:abstractNumId="95">
    <w:nsid w:val="6FC75AF8"/>
    <w:multiLevelType w:val="hybridMultilevel"/>
    <w:lvl w:ilvl="0">
      <w:lvlJc w:val="left"/>
      <w:lvlText w:val="(%1)"/>
      <w:numFmt w:val="lowerLetter"/>
      <w:start w:val="4"/>
    </w:lvl>
  </w:abstractNum>
  <w:abstractNum w:abstractNumId="96">
    <w:nsid w:val="6A5F7029"/>
    <w:multiLevelType w:val="hybridMultilevel"/>
    <w:lvl w:ilvl="0">
      <w:lvlJc w:val="left"/>
      <w:lvlText w:val="(%1)"/>
      <w:numFmt w:val="lowerLetter"/>
      <w:start w:val="8"/>
    </w:lvl>
  </w:abstractNum>
  <w:abstractNum w:abstractNumId="97">
    <w:nsid w:val="7D5E18F8"/>
    <w:multiLevelType w:val="hybridMultilevel"/>
    <w:lvl w:ilvl="0">
      <w:lvlJc w:val="left"/>
      <w:lvlText w:val="%1."/>
      <w:numFmt w:val="decimal"/>
      <w:start w:val="1"/>
    </w:lvl>
    <w:lvl w:ilvl="1">
      <w:lvlJc w:val="left"/>
      <w:lvlText w:val="(%2)"/>
      <w:numFmt w:val="lowerLetter"/>
      <w:start w:val="1"/>
    </w:lvl>
  </w:abstractNum>
  <w:abstractNum w:abstractNumId="98">
    <w:nsid w:val="5F3534A4"/>
    <w:multiLevelType w:val="hybridMultilevel"/>
    <w:lvl w:ilvl="0">
      <w:lvlJc w:val="left"/>
      <w:lvlText w:val="(%1)"/>
      <w:numFmt w:val="lowerLetter"/>
      <w:start w:val="3"/>
    </w:lvl>
  </w:abstractNum>
  <w:abstractNum w:abstractNumId="99">
    <w:nsid w:val="73A1821B"/>
    <w:multiLevelType w:val="hybridMultilevel"/>
    <w:lvl w:ilvl="0">
      <w:lvlJc w:val="left"/>
      <w:lvlText w:val="%1."/>
      <w:numFmt w:val="decimal"/>
      <w:start w:val="2"/>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3"/>
    </w:lvl>
  </w:abstractNum>
  <w:abstractNum w:abstractNumId="101">
    <w:nsid w:val="555C55B5"/>
    <w:multiLevelType w:val="hybridMultilevel"/>
    <w:lvl w:ilvl="0">
      <w:lvlJc w:val="left"/>
      <w:lvlText w:val="%1."/>
      <w:numFmt w:val="decimal"/>
      <w:start w:val="3"/>
    </w:lvl>
    <w:lvl w:ilvl="1">
      <w:lvlJc w:val="left"/>
      <w:lvlText w:val="%2"/>
      <w:numFmt w:val="lowerLetter"/>
      <w:start w:val="1"/>
    </w:lvl>
  </w:abstractNum>
  <w:abstractNum w:abstractNumId="102">
    <w:nsid w:val="3FA62AC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2020-01-29T22:14:47Z</dcterms:created>
  <dcterms:modified xsi:type="dcterms:W3CDTF">2020-01-29T22:14:47Z</dcterms:modified>
</cp:coreProperties>
</file>