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45323A201</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27, 2016</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8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LSAF Holdings LLC</w:t>
      </w:r>
    </w:p>
    <w:p>
      <w:pPr>
        <w:ind w:left="1060"/>
        <w:spacing w:after="0"/>
        <w:rPr>
          <w:rFonts w:ascii="Arial" w:cs="Arial" w:eastAsia="Arial" w:hAnsi="Arial"/>
          <w:sz w:val="18"/>
          <w:szCs w:val="18"/>
          <w:color w:val="auto"/>
        </w:rPr>
      </w:pPr>
      <w:r>
        <w:rPr>
          <w:rFonts w:ascii="Arial" w:cs="Arial" w:eastAsia="Arial" w:hAnsi="Arial"/>
          <w:sz w:val="18"/>
          <w:szCs w:val="18"/>
          <w:color w:val="auto"/>
        </w:rPr>
        <w:t>I.R.S. #35-2458918</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0" w:gutter="0" w:footer="0" w:header="0"/>
        </w:sectPr>
      </w:pPr>
    </w:p>
    <w:p>
      <w:pPr>
        <w:spacing w:after="0" w:line="400"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4"/>
          <w:szCs w:val="24"/>
          <w:color w:val="auto"/>
        </w:rPr>
      </w:pPr>
    </w:p>
    <w:p>
      <w:pPr>
        <w:sectPr>
          <w:pgSz w:w="11900" w:h="16838" w:orient="portrait"/>
          <w:cols w:equalWidth="0" w:num="2">
            <w:col w:w="1800" w:space="460"/>
            <w:col w:w="9140"/>
          </w:cols>
          <w:pgMar w:left="240" w:top="436" w:right="259" w:bottom="0" w:gutter="0" w:footer="0" w:header="0"/>
          <w:type w:val="continuous"/>
        </w:sectPr>
      </w:pPr>
    </w:p>
    <w:bookmarkStart w:id="1" w:name="page2"/>
    <w:bookmarkEnd w:id="1"/>
    <w:p>
      <w:pPr>
        <w:ind w:left="1060" w:right="5480" w:hanging="620"/>
        <w:spacing w:after="0" w:line="277"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0.9% (1)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right="140" w:firstLine="8"/>
        <w:spacing w:after="0" w:line="288"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would be entitled to receive 125,000 shares of the issuer’s common stock if the Warrant was exercised and converted in full, which would constitute approximately 0.9% of the issuer’s then outstanding common stock following the issuance of 125,000 additional shares of the issuer’s common stock in respect of the fully-exercised Warrant.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Percentage calculation assumes that there are currently 13,229,320 outstanding shares of the issuer’s common stock, based on the issuer’s Form 10-Q as filed with the Securities and Exchange Commission (“SEC”) on November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-988695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-1537335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5580"/>
        <w:spacing w:after="0" w:line="25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Perella Weinberg Partners Asset Based Value Master Fund II L.P. I.R.S. #98-0572025</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660" w:hanging="620"/>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40"/>
          </w:cols>
          <w:pgMar w:left="240" w:top="490" w:right="319" w:bottom="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60"/>
            <w:col w:w="9080"/>
          </w:cols>
          <w:pgMar w:left="240" w:top="490" w:right="319" w:bottom="0" w:gutter="0" w:footer="0" w:header="0"/>
          <w:type w:val="continuous"/>
        </w:sectPr>
      </w:pPr>
    </w:p>
    <w:p>
      <w:pPr>
        <w:spacing w:after="0" w:line="227" w:lineRule="exact"/>
        <w:rPr>
          <w:sz w:val="20"/>
          <w:szCs w:val="20"/>
          <w:color w:val="auto"/>
        </w:rPr>
      </w:pPr>
    </w:p>
    <w:p>
      <w:pPr>
        <w:ind w:left="1060" w:right="5480" w:hanging="620"/>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60" w:right="6480" w:hanging="620"/>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0.9%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-945515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40"/>
          </w:cols>
          <w:pgMar w:left="240" w:top="490" w:right="319" w:bottom="0" w:gutter="0" w:footer="0" w:header="0"/>
          <w:type w:val="continuous"/>
        </w:sectPr>
      </w:pPr>
    </w:p>
    <w:bookmarkStart w:id="2" w:name="page3"/>
    <w:bookmarkEnd w:id="2"/>
    <w:p>
      <w:pPr>
        <w:ind w:left="1060" w:hanging="620"/>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right="140" w:firstLine="8"/>
        <w:spacing w:after="0" w:line="288"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would be entitled to receive 125,000 shares of the issuer’s common stock if the Warrant was exercised and converted in full, which would constitute approximately 0.9% of the issuer’s then outstanding common stock following the issuance of 125,000 additional shares of the issuer’s common stock in respect of the fully-exercised Warrant.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Percentage calculation assumes that there are currently 13,229,320 outstanding shares of the issuer’s common stock, based on the issuer’s Form 10-Q as filed with the Securities and Exchange Commission (“SEC”) on November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-988695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20"/>
        <w:spacing w:after="0" w:line="25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Perella Weinberg Partners Asset Based Value GP L.P. I.R.S. #98-0571994</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660" w:hanging="620"/>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40"/>
          </w:cols>
          <w:pgMar w:left="240" w:top="152" w:right="319" w:bottom="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60"/>
            <w:col w:w="9080"/>
          </w:cols>
          <w:pgMar w:left="240" w:top="152" w:right="319" w:bottom="0" w:gutter="0" w:footer="0" w:header="0"/>
          <w:type w:val="continuous"/>
        </w:sectPr>
      </w:pPr>
    </w:p>
    <w:p>
      <w:pPr>
        <w:spacing w:after="0" w:line="227" w:lineRule="exact"/>
        <w:rPr>
          <w:sz w:val="20"/>
          <w:szCs w:val="20"/>
          <w:color w:val="auto"/>
        </w:rPr>
      </w:pPr>
    </w:p>
    <w:p>
      <w:pPr>
        <w:ind w:left="1060" w:right="5480" w:hanging="620"/>
        <w:spacing w:after="0" w:line="277"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0.9% (3)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right="140" w:firstLine="8"/>
        <w:spacing w:after="0" w:line="288" w:lineRule="auto"/>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would be entitled to receive 125,000 shares of the issuer’s common stock if the Warrant was exercised and converted in full, which would constitute approximately 0.9% of the issuer’s then outstanding common stock following the issuance of 125,000 additional shares of the issuer’s common stock in respect of the fully-exercised Warrant.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Percentage calculation assumes that there are currently 13,229,320 outstanding shares of the issuer’s common stock, based on the issuer’s Form 10-Q as filed with the Securities and Exchange Commission (“SEC”) on November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-988695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-1537335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40"/>
          </w:cols>
          <w:pgMar w:left="240" w:top="152" w:right="319" w:bottom="0" w:gutter="0" w:footer="0" w:header="0"/>
          <w:type w:val="continuous"/>
        </w:sectPr>
      </w:pP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52" w:right="319" w:bottom="0" w:gutter="0" w:footer="0" w:header="0"/>
          <w:type w:val="continuous"/>
        </w:sectPr>
      </w:pPr>
    </w:p>
    <w:bookmarkStart w:id="3" w:name="page4"/>
    <w:bookmarkEnd w:id="3"/>
    <w:p>
      <w:pPr>
        <w:spacing w:after="0" w:line="22" w:lineRule="exact"/>
        <w:rPr>
          <w:sz w:val="20"/>
          <w:szCs w:val="20"/>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hanging="62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20"/>
        <w:spacing w:after="0" w:line="25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Perella Weinberg Partners Asset Based Value GP LLC I.R.S. #26-2159850</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1060" w:hanging="62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660" w:hanging="620"/>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60" w:orient="portrait"/>
          <w:cols w:equalWidth="0" w:num="1">
            <w:col w:w="11340"/>
          </w:cols>
          <w:pgMar w:left="240" w:top="638" w:right="319" w:bottom="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60" w:orient="portrait"/>
          <w:cols w:equalWidth="0" w:num="2">
            <w:col w:w="1800" w:space="460"/>
            <w:col w:w="9080"/>
          </w:cols>
          <w:pgMar w:left="240" w:top="638" w:right="319" w:bottom="0" w:gutter="0" w:footer="0" w:header="0"/>
          <w:type w:val="continuous"/>
        </w:sectPr>
      </w:pPr>
    </w:p>
    <w:p>
      <w:pPr>
        <w:spacing w:after="0" w:line="227" w:lineRule="exact"/>
        <w:rPr>
          <w:sz w:val="20"/>
          <w:szCs w:val="20"/>
          <w:color w:val="auto"/>
        </w:rPr>
      </w:pPr>
    </w:p>
    <w:p>
      <w:pPr>
        <w:ind w:left="1060" w:right="5480" w:hanging="620"/>
        <w:spacing w:after="0" w:line="277" w:lineRule="auto"/>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0.9% (4)</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right="140" w:firstLine="8"/>
        <w:spacing w:after="0" w:line="288" w:lineRule="auto"/>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would be entitled to receive 125,000 shares of the issuer’s common stock if the Warrant was exercised and converted in full, which would constitute approximately 0.9% of the issuer’s then outstanding common stock following the issuance of 125,000 additional shares of the issuer’s common stock in respect of the fully-exercised Warrant.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Percentage calculation assumes that there are currently 13,229,320 outstanding shares of the issuer’s common stock, based on the issuer’s Form 10-Q as filed with the Securities and Exchange Commission (“SEC”) on November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-988695</wp:posOffset>
            </wp:positionV>
            <wp:extent cx="6612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-1537335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hanging="62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20"/>
        <w:spacing w:after="0" w:line="25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Perella Weinberg Partners Capital Management LP I.R.S. #20-8547180</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1060" w:hanging="62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-361950</wp:posOffset>
            </wp:positionV>
            <wp:extent cx="6612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60" w:orient="portrait"/>
          <w:cols w:equalWidth="0" w:num="1">
            <w:col w:w="11340"/>
          </w:cols>
          <w:pgMar w:left="240" w:top="638" w:right="319" w:bottom="0" w:gutter="0" w:footer="0" w:header="0"/>
          <w:type w:val="continuous"/>
        </w:sectPr>
      </w:pPr>
    </w:p>
    <w:bookmarkStart w:id="4" w:name="page5"/>
    <w:bookmarkEnd w:id="4"/>
    <w:p>
      <w:pPr>
        <w:ind w:left="1700" w:hanging="639"/>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660" w:hanging="620"/>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ectPr>
          <w:pgSz w:w="11900" w:h="16838" w:orient="portrait"/>
          <w:cols w:equalWidth="0" w:num="1">
            <w:col w:w="11340"/>
          </w:cols>
          <w:pgMar w:left="240" w:top="206" w:right="319" w:bottom="99"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60"/>
            <w:col w:w="9080"/>
          </w:cols>
          <w:pgMar w:left="240" w:top="206" w:right="319" w:bottom="99" w:gutter="0" w:footer="0" w:header="0"/>
          <w:type w:val="continuous"/>
        </w:sectPr>
      </w:pPr>
    </w:p>
    <w:p>
      <w:pPr>
        <w:spacing w:after="0" w:line="227" w:lineRule="exact"/>
        <w:rPr>
          <w:sz w:val="20"/>
          <w:szCs w:val="20"/>
          <w:color w:val="auto"/>
        </w:rPr>
      </w:pPr>
    </w:p>
    <w:p>
      <w:pPr>
        <w:ind w:left="1060" w:right="5480" w:hanging="620"/>
        <w:spacing w:after="0" w:line="277" w:lineRule="auto"/>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0.9% (5)</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right="140" w:firstLine="8"/>
        <w:spacing w:after="0" w:line="288"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would be entitled to receive 125,000 shares of the issuer’s common stock if the Warrant was exercised and converted in full, which would constitute approximately 0.9% of the issuer’s then outstanding common stock following the issuance of 125,000 additional shares of the issuer’s common stock in respect of the fully-exercised Warrant.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Percentage calculation assumes that there are currently 13,229,320 outstanding shares of the issuer’s common stock, based on the issuer’s Form 10-Q as filed with the Securities and Exchange Commission (“SEC”) on November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-988695</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-1537335</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hanging="62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2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IMMY Funding LLC</w:t>
      </w:r>
    </w:p>
    <w:p>
      <w:pPr>
        <w:ind w:left="1060"/>
        <w:spacing w:after="0"/>
        <w:rPr>
          <w:rFonts w:ascii="Arial" w:cs="Arial" w:eastAsia="Arial" w:hAnsi="Arial"/>
          <w:sz w:val="18"/>
          <w:szCs w:val="18"/>
          <w:color w:val="auto"/>
        </w:rPr>
      </w:pPr>
      <w:r>
        <w:rPr>
          <w:rFonts w:ascii="Arial" w:cs="Arial" w:eastAsia="Arial" w:hAnsi="Arial"/>
          <w:sz w:val="18"/>
          <w:szCs w:val="18"/>
          <w:color w:val="auto"/>
        </w:rPr>
        <w:t>I.R.S. #47-3743406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660" w:hanging="620"/>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40"/>
          </w:cols>
          <w:pgMar w:left="240" w:top="206" w:right="319" w:bottom="99" w:gutter="0" w:footer="0" w:header="0"/>
          <w:type w:val="continuous"/>
        </w:sectPr>
      </w:pPr>
    </w:p>
    <w:bookmarkStart w:id="5" w:name="page6"/>
    <w:bookmarkEnd w:id="5"/>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60"/>
            <w:col w:w="9080"/>
          </w:cols>
          <w:pgMar w:left="240" w:top="179" w:right="319" w:bottom="72" w:gutter="0" w:footer="0" w:header="0"/>
        </w:sectPr>
      </w:pPr>
    </w:p>
    <w:p>
      <w:pPr>
        <w:spacing w:after="0" w:line="227" w:lineRule="exact"/>
        <w:rPr>
          <w:sz w:val="20"/>
          <w:szCs w:val="20"/>
          <w:color w:val="auto"/>
        </w:rPr>
      </w:pPr>
    </w:p>
    <w:p>
      <w:pPr>
        <w:ind w:left="1060" w:right="5480" w:hanging="620"/>
        <w:spacing w:after="0" w:line="277" w:lineRule="auto"/>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0.9% (6)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right="140" w:firstLine="8"/>
        <w:spacing w:after="0" w:line="288"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would be entitled to receive 125,000 shares of the issuer’s common stock if the Warrant was exercised and converted in full, which would constitute approximately 0.9% of the issuer’s then outstanding common stock following the issuance of 125,000 additional shares of the issuer’s common stock in respect of the fully-exercised Warrant.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Percentage calculation assumes that there are currently 13,229,320 outstanding shares of the issuer’s common stock, based on the issuer’s Form 10-Q as filed with the Securities and Exchange Commission (“SEC”) on November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-988695</wp:posOffset>
            </wp:positionV>
            <wp:extent cx="6612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-1537335</wp:posOffset>
            </wp:positionV>
            <wp:extent cx="6612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hanging="620"/>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2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LSAF Funding LLC</w:t>
      </w:r>
    </w:p>
    <w:p>
      <w:pPr>
        <w:ind w:left="1060"/>
        <w:spacing w:after="0"/>
        <w:rPr>
          <w:rFonts w:ascii="Arial" w:cs="Arial" w:eastAsia="Arial" w:hAnsi="Arial"/>
          <w:sz w:val="18"/>
          <w:szCs w:val="18"/>
          <w:color w:val="auto"/>
        </w:rPr>
      </w:pPr>
      <w:r>
        <w:rPr>
          <w:rFonts w:ascii="Arial" w:cs="Arial" w:eastAsia="Arial" w:hAnsi="Arial"/>
          <w:sz w:val="18"/>
          <w:szCs w:val="18"/>
          <w:color w:val="auto"/>
        </w:rPr>
        <w:t>I.R.S. #80-0969719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660" w:hanging="620"/>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40"/>
          </w:cols>
          <w:pgMar w:left="240" w:top="179" w:right="319" w:bottom="72" w:gutter="0" w:footer="0" w:header="0"/>
          <w:type w:val="continuous"/>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5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50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2">
            <w:col w:w="1800" w:space="460"/>
            <w:col w:w="9080"/>
          </w:cols>
          <w:pgMar w:left="240" w:top="179" w:right="319" w:bottom="72" w:gutter="0" w:footer="0" w:header="0"/>
          <w:type w:val="continuous"/>
        </w:sectPr>
      </w:pPr>
    </w:p>
    <w:bookmarkStart w:id="6" w:name="page7"/>
    <w:bookmarkEnd w:id="6"/>
    <w:p>
      <w:pPr>
        <w:ind w:left="2260" w:right="7220" w:hanging="591"/>
        <w:spacing w:after="0" w:line="277" w:lineRule="auto"/>
        <w:tabs>
          <w:tab w:leader="none" w:pos="22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 125,000</w:t>
      </w:r>
    </w:p>
    <w:p>
      <w:pPr>
        <w:spacing w:after="0" w:line="386" w:lineRule="exact"/>
        <w:rPr>
          <w:rFonts w:ascii="Arial" w:cs="Arial" w:eastAsia="Arial" w:hAnsi="Arial"/>
          <w:sz w:val="18"/>
          <w:szCs w:val="18"/>
          <w:color w:val="auto"/>
        </w:rPr>
      </w:pPr>
    </w:p>
    <w:p>
      <w:pPr>
        <w:ind w:left="1060" w:right="5480" w:hanging="620"/>
        <w:spacing w:after="0" w:line="277" w:lineRule="auto"/>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0.9% (7)</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right="140" w:firstLine="8"/>
        <w:spacing w:after="0" w:line="288" w:lineRule="auto"/>
        <w:tabs>
          <w:tab w:leader="none" w:pos="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would be entitled to receive 125,000 shares of the issuer’s common stock if the Warrant was exercised and converted in full, which would constitute approximately 0.9% of the issuer’s then outstanding common stock following the issuance of 125,000 additional shares of the issuer’s common stock in respect of the fully-exercised Warrant.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Percentage calculation assumes that there are currently 13,229,320 outstanding shares of the issuer’s common stock, based on the issuer’s Form 10-Q as filed with the Securities and Exchange Commission (“SEC”) on November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-988695</wp:posOffset>
            </wp:positionV>
            <wp:extent cx="6612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-1537335</wp:posOffset>
            </wp:positionV>
            <wp:extent cx="6612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-3046730</wp:posOffset>
            </wp:positionV>
            <wp:extent cx="58572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826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hanging="62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20"/>
        <w:spacing w:after="0" w:line="265"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Life Sciences Alternative Funding Holdings LLC</w:t>
      </w:r>
    </w:p>
    <w:p>
      <w:pPr>
        <w:ind w:left="1060"/>
        <w:spacing w:after="0"/>
        <w:rPr>
          <w:rFonts w:ascii="Arial" w:cs="Arial" w:eastAsia="Arial" w:hAnsi="Arial"/>
          <w:sz w:val="18"/>
          <w:szCs w:val="18"/>
          <w:color w:val="auto"/>
        </w:rPr>
      </w:pPr>
      <w:r>
        <w:rPr>
          <w:rFonts w:ascii="Arial" w:cs="Arial" w:eastAsia="Arial" w:hAnsi="Arial"/>
          <w:sz w:val="18"/>
          <w:szCs w:val="18"/>
          <w:color w:val="auto"/>
        </w:rPr>
        <w:t>I.R.S. #35-2458972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660" w:hanging="620"/>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40"/>
          </w:cols>
          <w:pgMar w:left="240" w:top="179" w:right="319" w:bottom="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60"/>
            <w:col w:w="9080"/>
          </w:cols>
          <w:pgMar w:left="240" w:top="179" w:right="319" w:bottom="0" w:gutter="0" w:footer="0" w:header="0"/>
          <w:type w:val="continuous"/>
        </w:sectPr>
      </w:pPr>
    </w:p>
    <w:p>
      <w:pPr>
        <w:spacing w:after="0" w:line="227" w:lineRule="exact"/>
        <w:rPr>
          <w:sz w:val="20"/>
          <w:szCs w:val="20"/>
          <w:color w:val="auto"/>
        </w:rPr>
      </w:pPr>
    </w:p>
    <w:p>
      <w:pPr>
        <w:ind w:left="1060" w:right="5480" w:hanging="620"/>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63500</wp:posOffset>
            </wp:positionV>
            <wp:extent cx="6612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-347345</wp:posOffset>
            </wp:positionV>
            <wp:extent cx="6612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40"/>
          </w:cols>
          <w:pgMar w:left="240" w:top="179" w:right="319" w:bottom="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1060" w:hanging="620"/>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Percent of Class Represented by Amount in Row (9)</w:t>
      </w:r>
    </w:p>
    <w:p>
      <w:pPr>
        <w:sectPr>
          <w:pgSz w:w="11900" w:h="16838" w:orient="portrait"/>
          <w:cols w:equalWidth="0" w:num="1">
            <w:col w:w="11340"/>
          </w:cols>
          <w:pgMar w:left="240" w:top="179" w:right="319" w:bottom="0" w:gutter="0" w:footer="0" w:header="0"/>
          <w:type w:val="continuous"/>
        </w:sectPr>
      </w:pPr>
    </w:p>
    <w:bookmarkStart w:id="7" w:name="page8"/>
    <w:bookmarkEnd w:id="7"/>
    <w:p>
      <w:pPr>
        <w:ind w:left="1060"/>
        <w:spacing w:after="0"/>
        <w:rPr>
          <w:sz w:val="20"/>
          <w:szCs w:val="20"/>
          <w:color w:val="auto"/>
        </w:rPr>
      </w:pPr>
      <w:r>
        <w:rPr>
          <w:rFonts w:ascii="Arial" w:cs="Arial" w:eastAsia="Arial" w:hAnsi="Arial"/>
          <w:sz w:val="18"/>
          <w:szCs w:val="18"/>
          <w:color w:val="auto"/>
        </w:rPr>
        <w:t>0.9%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right="140" w:firstLine="8"/>
        <w:spacing w:after="0" w:line="288"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would be entitled to receive 125,000 shares of the issuer’s common stock if the Warrant was exercised and converted in full, which would constitute approximately 0.9% of the issuer’s then outstanding common stock following the issuance of 125,000 additional shares of the issuer’s common stock in respect of the fully-exercised Warrant.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Percentage calculation assumes that there are currently 13,229,320 outstanding shares of the issuer’s common stock, based on the issuer’s Form 10-Q as filed with the Securities and Exchange Commission (“SEC”) on November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-988695</wp:posOffset>
            </wp:positionV>
            <wp:extent cx="6612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826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hanging="62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2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David Schiff</w:t>
      </w:r>
    </w:p>
    <w:p>
      <w:pPr>
        <w:spacing w:after="0" w:line="399" w:lineRule="exact"/>
        <w:rPr>
          <w:rFonts w:ascii="Arial" w:cs="Arial" w:eastAsia="Arial" w:hAnsi="Arial"/>
          <w:sz w:val="18"/>
          <w:szCs w:val="18"/>
          <w:color w:val="auto"/>
        </w:rPr>
      </w:pPr>
    </w:p>
    <w:p>
      <w:pPr>
        <w:ind w:left="1060" w:hanging="62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660" w:hanging="620"/>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40"/>
          </w:cols>
          <w:pgMar w:left="240" w:top="125" w:right="319" w:bottom="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60"/>
            <w:col w:w="9080"/>
          </w:cols>
          <w:pgMar w:left="240" w:top="125" w:right="319" w:bottom="0" w:gutter="0" w:footer="0" w:header="0"/>
          <w:type w:val="continuous"/>
        </w:sectPr>
      </w:pPr>
    </w:p>
    <w:p>
      <w:pPr>
        <w:spacing w:after="0" w:line="227" w:lineRule="exact"/>
        <w:rPr>
          <w:sz w:val="20"/>
          <w:szCs w:val="20"/>
          <w:color w:val="auto"/>
        </w:rPr>
      </w:pPr>
    </w:p>
    <w:p>
      <w:pPr>
        <w:ind w:left="1060" w:right="5480" w:hanging="620"/>
        <w:spacing w:after="0" w:line="277"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0.9% (9)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right="140" w:firstLine="8"/>
        <w:spacing w:after="0" w:line="288" w:lineRule="auto"/>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would be entitled to receive 125,000 shares of the issuer’s common stock if the Warrant was exercised and converted in full, which would constitute approximately 0.9% of the issuer’s then outstanding common stock following the issuance of 125,000 additional shares of the issuer’s common stock in respect of the fully-exercised Warrant.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Percentage calculation assumes that there are currently 13,229,320 outstanding shares of the issuer’s common stock, based on the issuer’s Form 10-Q as filed with the Securities and Exchange Commission (“SEC”) on November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-988695</wp:posOffset>
            </wp:positionV>
            <wp:extent cx="6612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-1537335</wp:posOffset>
            </wp:positionV>
            <wp:extent cx="6612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826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40"/>
          </w:cols>
          <w:pgMar w:left="240" w:top="125" w:right="319" w:bottom="0" w:gutter="0" w:footer="0" w:header="0"/>
          <w:type w:val="continuous"/>
        </w:sectPr>
      </w:pPr>
    </w:p>
    <w:bookmarkStart w:id="8" w:name="page9"/>
    <w:bookmarkEnd w:id="8"/>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This Amendment No. 1 to the Schedule 13G originally filed on March 28, 2016 is being filed to report that, in connection with the discharge and replacement with debt of a convertible note convertible into shares of the issuer’s common stock, the beneficial ownership of each of the reporting persons has decreased to below five percent of the issuer’s shares of common stock.</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20" w:hanging="499"/>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Imprimis Pharmaceuticals, Inc.</w:t>
      </w:r>
    </w:p>
    <w:p>
      <w:pPr>
        <w:spacing w:after="0" w:line="116" w:lineRule="exact"/>
        <w:rPr>
          <w:rFonts w:ascii="Arial" w:cs="Arial" w:eastAsia="Arial" w:hAnsi="Arial"/>
          <w:sz w:val="18"/>
          <w:szCs w:val="18"/>
          <w:color w:val="auto"/>
        </w:rPr>
      </w:pPr>
    </w:p>
    <w:p>
      <w:pPr>
        <w:ind w:left="1520" w:right="6380" w:hanging="499"/>
        <w:spacing w:after="0" w:line="258"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 of Issuer’s Principal Executive Offices 12264 El Camino Real, Suite 350</w:t>
      </w:r>
    </w:p>
    <w:p>
      <w:pPr>
        <w:spacing w:after="0" w:line="1"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San Diego, CA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40005</wp:posOffset>
            </wp:positionV>
            <wp:extent cx="63201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-448310</wp:posOffset>
            </wp:positionV>
            <wp:extent cx="63201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20" w:hanging="499"/>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20"/>
        <w:spacing w:after="0" w:line="268" w:lineRule="auto"/>
        <w:rPr>
          <w:rFonts w:ascii="Arial" w:cs="Arial" w:eastAsia="Arial" w:hAnsi="Arial"/>
          <w:sz w:val="18"/>
          <w:szCs w:val="18"/>
          <w:color w:val="auto"/>
        </w:rPr>
      </w:pPr>
      <w:r>
        <w:rPr>
          <w:rFonts w:ascii="Arial" w:cs="Arial" w:eastAsia="Arial" w:hAnsi="Arial"/>
          <w:sz w:val="17"/>
          <w:szCs w:val="17"/>
          <w:color w:val="auto"/>
        </w:rPr>
        <w:t>IMMY Funding LLC is the record holder of a warrant to purchase shares of the issuer’s common stock (“Warrant”). LSAF Funding LLC is the sole member of NSPH Funding LLC. Life Sciences Alternative Funding Holdings LLC is the sole member of LSAF Funding LLC. LSAF Holdings LLC is the controlling equity owner of Life Sciences Alternative Funding Holdings LLC. LSAF Holdings LLC is managed by its managing member, Perella Weinberg Partners Asset Based Value Master Fund II L.P. Perella Weinberg Partners Asset Based Value GP L.P. is the general partner of Perella Weinberg Partners Asset Based Value Master Fund II L.P. Perella Weinberg Partners Asset Based Value GP LLC is the general partner of Perella Weinberg Partners Asset Based Value GP L.P. Perella Weinberg Partners Capital Management LP is the Managing Member of Perella Weinberg Partners Asset Based Value GP LLC. David Schiff holds voting and investment control over the shares of the issuer’s common stock issuable upon exercise of the Warrant and investment control over the Warrant.</w:t>
      </w:r>
    </w:p>
    <w:p>
      <w:pPr>
        <w:spacing w:after="0" w:line="87" w:lineRule="exact"/>
        <w:rPr>
          <w:rFonts w:ascii="Arial" w:cs="Arial" w:eastAsia="Arial" w:hAnsi="Arial"/>
          <w:sz w:val="18"/>
          <w:szCs w:val="18"/>
          <w:color w:val="auto"/>
        </w:rPr>
      </w:pPr>
    </w:p>
    <w:p>
      <w:pPr>
        <w:ind w:left="1520" w:hanging="499"/>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18"/>
          <w:szCs w:val="18"/>
          <w:color w:val="auto"/>
        </w:rPr>
      </w:pPr>
    </w:p>
    <w:p>
      <w:pPr>
        <w:ind w:left="1520" w:right="40"/>
        <w:spacing w:after="0" w:line="261" w:lineRule="auto"/>
        <w:rPr>
          <w:rFonts w:ascii="Arial" w:cs="Arial" w:eastAsia="Arial" w:hAnsi="Arial"/>
          <w:sz w:val="18"/>
          <w:szCs w:val="18"/>
          <w:color w:val="auto"/>
        </w:rPr>
      </w:pPr>
      <w:r>
        <w:rPr>
          <w:rFonts w:ascii="Arial" w:cs="Arial" w:eastAsia="Arial" w:hAnsi="Arial"/>
          <w:sz w:val="18"/>
          <w:szCs w:val="18"/>
          <w:color w:val="auto"/>
        </w:rPr>
        <w:t>The address of the Principal Office of IMMY Funding LLC is 50 Main Street, Suite 1000, White Plains, NY 10606. The address of the Principal Office of each of the other reporting persons is 767 Fifth Avenue, New York, NY 10153.</w:t>
      </w:r>
    </w:p>
    <w:p>
      <w:pPr>
        <w:spacing w:after="0" w:line="89" w:lineRule="exact"/>
        <w:rPr>
          <w:rFonts w:ascii="Arial" w:cs="Arial" w:eastAsia="Arial" w:hAnsi="Arial"/>
          <w:sz w:val="18"/>
          <w:szCs w:val="18"/>
          <w:color w:val="auto"/>
        </w:rPr>
      </w:pPr>
    </w:p>
    <w:p>
      <w:pPr>
        <w:ind w:left="1520" w:hanging="499"/>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20" w:right="20"/>
        <w:spacing w:after="0" w:line="273" w:lineRule="auto"/>
        <w:rPr>
          <w:rFonts w:ascii="Arial" w:cs="Arial" w:eastAsia="Arial" w:hAnsi="Arial"/>
          <w:sz w:val="18"/>
          <w:szCs w:val="18"/>
          <w:color w:val="auto"/>
        </w:rPr>
      </w:pPr>
      <w:r>
        <w:rPr>
          <w:rFonts w:ascii="Arial" w:cs="Arial" w:eastAsia="Arial" w:hAnsi="Arial"/>
          <w:sz w:val="17"/>
          <w:szCs w:val="17"/>
          <w:color w:val="auto"/>
        </w:rPr>
        <w:t>The jurisdiction of formation of each of IMMY Funding LLC, LSAF Funding LLC, Life Sciences Alternative Funding Holdings LLC, LSAF Holdings LLC, Perella Weinberg Partners Asset Based Value GP L.P., Perella Weinberg Partners Asset Based Value GP LLC and Perella Weinberg Partners Capital Management LP is the State of Delaware. The jurisdiction of formation of Perella Weinberg Partners Asset Based Value Master Fund II L.P. is the Cayman Islands. Mr. Schiff is a citizen of the United States.</w:t>
      </w:r>
    </w:p>
    <w:p>
      <w:pPr>
        <w:spacing w:after="0" w:line="82" w:lineRule="exact"/>
        <w:rPr>
          <w:rFonts w:ascii="Arial" w:cs="Arial" w:eastAsia="Arial" w:hAnsi="Arial"/>
          <w:sz w:val="18"/>
          <w:szCs w:val="18"/>
          <w:color w:val="auto"/>
        </w:rPr>
      </w:pPr>
    </w:p>
    <w:p>
      <w:pPr>
        <w:ind w:left="1520" w:hanging="499"/>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116" w:lineRule="exact"/>
        <w:rPr>
          <w:rFonts w:ascii="Arial" w:cs="Arial" w:eastAsia="Arial" w:hAnsi="Arial"/>
          <w:sz w:val="18"/>
          <w:szCs w:val="18"/>
          <w:color w:val="auto"/>
        </w:rPr>
      </w:pPr>
    </w:p>
    <w:p>
      <w:pPr>
        <w:ind w:left="1520" w:right="8660" w:hanging="499"/>
        <w:spacing w:after="0" w:line="342" w:lineRule="auto"/>
        <w:tabs>
          <w:tab w:leader="none" w:pos="1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CUSIP Number 45323A201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-14605</wp:posOffset>
            </wp:positionV>
            <wp:extent cx="63201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-366395</wp:posOffset>
            </wp:positionV>
            <wp:extent cx="63201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-717550</wp:posOffset>
            </wp:positionV>
            <wp:extent cx="63201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-1480820</wp:posOffset>
            </wp:positionV>
            <wp:extent cx="63201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-1969770</wp:posOffset>
            </wp:positionV>
            <wp:extent cx="63201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16"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0" w:lineRule="exact"/>
        <w:rPr>
          <w:sz w:val="20"/>
          <w:szCs w:val="20"/>
          <w:color w:val="auto"/>
        </w:rPr>
      </w:pPr>
    </w:p>
    <w:p>
      <w:pPr>
        <w:spacing w:after="0" w:line="205" w:lineRule="exact"/>
        <w:rPr>
          <w:sz w:val="20"/>
          <w:szCs w:val="20"/>
          <w:color w:val="auto"/>
        </w:rPr>
      </w:pPr>
    </w:p>
    <w:p>
      <w:pPr>
        <w:ind w:left="1700" w:hanging="394"/>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38" w:lineRule="exact"/>
        <w:rPr>
          <w:rFonts w:ascii="Arial" w:cs="Arial" w:eastAsia="Arial" w:hAnsi="Arial"/>
          <w:sz w:val="18"/>
          <w:szCs w:val="18"/>
          <w:color w:val="auto"/>
        </w:rPr>
      </w:pPr>
    </w:p>
    <w:p>
      <w:pPr>
        <w:ind w:left="1700" w:hanging="399"/>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38" w:lineRule="exact"/>
        <w:rPr>
          <w:rFonts w:ascii="Arial" w:cs="Arial" w:eastAsia="Arial" w:hAnsi="Arial"/>
          <w:sz w:val="18"/>
          <w:szCs w:val="18"/>
          <w:color w:val="auto"/>
        </w:rPr>
      </w:pPr>
    </w:p>
    <w:p>
      <w:pPr>
        <w:ind w:left="1700" w:hanging="394"/>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255270</wp:posOffset>
            </wp:positionV>
            <wp:extent cx="61575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-198755</wp:posOffset>
            </wp:positionV>
            <wp:extent cx="61575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-653415</wp:posOffset>
            </wp:positionV>
            <wp:extent cx="61575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00" w:hanging="439"/>
        <w:spacing w:after="0"/>
        <w:tabs>
          <w:tab w:leader="none" w:pos="2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83185</wp:posOffset>
            </wp:positionV>
            <wp:extent cx="57715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219" w:lineRule="exact"/>
        <w:rPr>
          <w:sz w:val="20"/>
          <w:szCs w:val="20"/>
          <w:color w:val="auto"/>
        </w:rPr>
      </w:pPr>
    </w:p>
    <w:p>
      <w:pPr>
        <w:ind w:left="2300" w:hanging="464"/>
        <w:spacing w:after="0"/>
        <w:tabs>
          <w:tab w:leader="none" w:pos="2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83185</wp:posOffset>
            </wp:positionV>
            <wp:extent cx="57715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219" w:lineRule="exact"/>
        <w:rPr>
          <w:sz w:val="20"/>
          <w:szCs w:val="20"/>
          <w:color w:val="auto"/>
        </w:rPr>
      </w:pPr>
    </w:p>
    <w:p>
      <w:pPr>
        <w:ind w:left="2300" w:hanging="489"/>
        <w:spacing w:after="0"/>
        <w:tabs>
          <w:tab w:leader="none" w:pos="2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ectPr>
          <w:pgSz w:w="11900" w:h="16838" w:orient="portrait"/>
          <w:cols w:equalWidth="0" w:num="1">
            <w:col w:w="11320"/>
          </w:cols>
          <w:pgMar w:left="240" w:top="125" w:right="339" w:bottom="0" w:gutter="0" w:footer="0" w:header="0"/>
        </w:sectPr>
      </w:pPr>
    </w:p>
    <w:bookmarkStart w:id="9" w:name="page10"/>
    <w:bookmarkEnd w:id="9"/>
    <w:p>
      <w:pPr>
        <w:ind w:left="2300"/>
        <w:spacing w:after="0"/>
        <w:rPr>
          <w:sz w:val="20"/>
          <w:szCs w:val="20"/>
          <w:color w:val="auto"/>
        </w:rPr>
      </w:pPr>
      <w:r>
        <w:rPr>
          <w:rFonts w:ascii="Arial" w:cs="Arial" w:eastAsia="Arial" w:hAnsi="Arial"/>
          <w:sz w:val="18"/>
          <w:szCs w:val="18"/>
          <w:color w:val="auto"/>
        </w:rPr>
        <w:t>See the response(s) to Item 7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83185</wp:posOffset>
            </wp:positionV>
            <wp:extent cx="57715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219" w:lineRule="exact"/>
        <w:rPr>
          <w:sz w:val="20"/>
          <w:szCs w:val="20"/>
          <w:color w:val="auto"/>
        </w:rPr>
      </w:pPr>
    </w:p>
    <w:p>
      <w:pPr>
        <w:ind w:left="2300" w:right="4840" w:hanging="484"/>
        <w:spacing w:after="0" w:line="412" w:lineRule="auto"/>
        <w:tabs>
          <w:tab w:leader="none" w:pos="2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-13970</wp:posOffset>
            </wp:positionV>
            <wp:extent cx="57715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31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20" w:right="420" w:hanging="4"/>
        <w:spacing w:after="0" w:line="277"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383"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20" w:right="840" w:hanging="1107"/>
        <w:spacing w:after="0" w:line="282" w:lineRule="auto"/>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60" w:right="20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2017</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LSAF HOLDINGS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PERELLA WEINBERG PARTNERS ASSET BASED VALUE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MASTER FUND II L.P.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L.P.</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PERELLA WEINBERG PARTNERS ASSET BASED VALUE MASTER</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FUND II L.P.</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L.P.</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LLC</w:t>
      </w:r>
    </w:p>
    <w:p>
      <w:pPr>
        <w:sectPr>
          <w:pgSz w:w="11900" w:h="16838" w:orient="portrait"/>
          <w:cols w:equalWidth="0" w:num="1">
            <w:col w:w="11420"/>
          </w:cols>
          <w:pgMar w:left="240" w:top="125" w:right="239" w:bottom="0" w:gutter="0" w:footer="0" w:header="0"/>
        </w:sectPr>
      </w:pPr>
    </w:p>
    <w:bookmarkStart w:id="10" w:name="page11"/>
    <w:bookmarkEnd w:id="10"/>
    <w:p>
      <w:pPr>
        <w:ind w:left="4520"/>
        <w:spacing w:after="0"/>
        <w:rPr>
          <w:sz w:val="20"/>
          <w:szCs w:val="20"/>
          <w:color w:val="auto"/>
        </w:rPr>
      </w:pPr>
      <w:r>
        <w:rPr>
          <w:rFonts w:ascii="Arial" w:cs="Arial" w:eastAsia="Arial" w:hAnsi="Arial"/>
          <w:sz w:val="18"/>
          <w:szCs w:val="18"/>
          <w:color w:val="auto"/>
        </w:rPr>
        <w:t>Title: General Partner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PERELLA WEINBERG PARTNERS ASSET BASED VALUE GP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CAPITAL MANAGEMENT LP</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PERELLA WEINBERG PARTNERS ASSET BASED VALUE GP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PERELLA WEINBERG PARTNERS CAPITAL MANAGEMENT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IMMY FUNDING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LSAF FUNDING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LIFE SCIENCES ALTERNATIVE FUNDING HOLDINGS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LSAF HOLDINGS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ASSET BASED VALUE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MASTER FUND II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L.P.</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200" w:lineRule="exact"/>
        <w:rPr>
          <w:sz w:val="20"/>
          <w:szCs w:val="20"/>
          <w:color w:val="auto"/>
        </w:rPr>
      </w:pPr>
    </w:p>
    <w:p>
      <w:pPr>
        <w:sectPr>
          <w:pgSz w:w="11900" w:h="16838" w:orient="portrait"/>
          <w:cols w:equalWidth="0" w:num="1">
            <w:col w:w="10220"/>
          </w:cols>
          <w:pgMar w:left="1440" w:top="125" w:right="239" w:bottom="0" w:gutter="0" w:footer="0" w:header="0"/>
        </w:sectPr>
      </w:pPr>
    </w:p>
    <w:p>
      <w:pPr>
        <w:spacing w:after="0" w:line="2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type w:val="continuous"/>
        </w:sectPr>
      </w:pPr>
    </w:p>
    <w:bookmarkStart w:id="11" w:name="page12"/>
    <w:bookmarkEnd w:id="11"/>
    <w:p>
      <w:pPr>
        <w:ind w:left="4520"/>
        <w:spacing w:after="0"/>
        <w:rPr>
          <w:sz w:val="20"/>
          <w:szCs w:val="20"/>
          <w:color w:val="auto"/>
        </w:rPr>
      </w:pPr>
      <w:r>
        <w:rPr>
          <w:rFonts w:ascii="Arial" w:cs="Arial" w:eastAsia="Arial" w:hAnsi="Arial"/>
          <w:sz w:val="18"/>
          <w:szCs w:val="18"/>
          <w:b w:val="1"/>
          <w:bCs w:val="1"/>
          <w:color w:val="auto"/>
        </w:rPr>
        <w:t>LSAF FUNDING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LIFE SCIENCES ALTERNATIVE FUNDING HOLDINGS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LSAF HOLDINGS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ASSET BASED VALUE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MASTER FUND II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L.P.</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LIFE SCIENCES ALTERNATIVE FUNDING HOLDINGS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LSAF HOLDINGS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ASSET BASED VALUE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MASTER FUND II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L.P.</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 DAVID SCHIFF</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o"/>
      <w:numFmt w:val="bullet"/>
      <w:start w:val="1"/>
    </w:lvl>
  </w:abstractNum>
  <w:abstractNum w:abstractNumId="1">
    <w:nsid w:val="721DA317"/>
    <w:multiLevelType w:val="hybridMultilevel"/>
    <w:lvl w:ilvl="0">
      <w:lvlJc w:val="left"/>
      <w:lvlText w:val="%1."/>
      <w:numFmt w:val="decimal"/>
      <w:start w:val="1"/>
    </w:lvl>
    <w:lvl w:ilvl="1">
      <w:lvlJc w:val="left"/>
      <w:lvlText w:val="(%2)"/>
      <w:numFmt w:val="lowerLetter"/>
      <w:start w:val="1"/>
    </w:lvl>
  </w:abstractNum>
  <w:abstractNum w:abstractNumId="2">
    <w:nsid w:val="2443A858"/>
    <w:multiLevelType w:val="hybridMultilevel"/>
    <w:lvl w:ilvl="0">
      <w:lvlJc w:val="left"/>
      <w:lvlText w:val="%1"/>
      <w:numFmt w:val="decimal"/>
      <w:start w:val="1"/>
    </w:lvl>
    <w:lvl w:ilvl="1">
      <w:lvlJc w:val="left"/>
      <w:lvlText w:val="%2."/>
      <w:numFmt w:val="decimal"/>
      <w:start w:val="9"/>
    </w:lvl>
  </w:abstractNum>
  <w:abstractNum w:abstractNumId="3">
    <w:nsid w:val="2D1D5AE9"/>
    <w:multiLevelType w:val="hybridMultilevel"/>
    <w:lvl w:ilvl="0">
      <w:lvlJc w:val="left"/>
      <w:lvlText w:val="(%1)"/>
      <w:numFmt w:val="decimal"/>
      <w:start w:val="1"/>
    </w:lvl>
    <w:lvl w:ilvl="1">
      <w:lvlJc w:val="left"/>
      <w:lvlText w:val="%2"/>
      <w:numFmt w:val="decimal"/>
      <w:start w:val="1"/>
    </w:lvl>
  </w:abstractNum>
  <w:abstractNum w:abstractNumId="4">
    <w:nsid w:val="6763845E"/>
    <w:multiLevelType w:val="hybridMultilevel"/>
    <w:lvl w:ilvl="0">
      <w:lvlJc w:val="left"/>
      <w:lvlText w:val="%1."/>
      <w:numFmt w:val="decimal"/>
      <w:start w:val="1"/>
    </w:lvl>
    <w:lvl w:ilvl="1">
      <w:lvlJc w:val="left"/>
      <w:lvlText w:val="(%2)"/>
      <w:numFmt w:val="lowerLetter"/>
      <w:start w:val="1"/>
    </w:lvl>
  </w:abstractNum>
  <w:abstractNum w:abstractNumId="5">
    <w:nsid w:val="75A2A8D4"/>
    <w:multiLevelType w:val="hybridMultilevel"/>
    <w:lvl w:ilvl="0">
      <w:lvlJc w:val="left"/>
      <w:lvlText w:val="%1."/>
      <w:numFmt w:val="decimal"/>
      <w:start w:val="9"/>
    </w:lvl>
  </w:abstractNum>
  <w:abstractNum w:abstractNumId="6">
    <w:nsid w:val="8EDBDAB"/>
    <w:multiLevelType w:val="hybridMultilevel"/>
    <w:lvl w:ilvl="0">
      <w:lvlJc w:val="left"/>
      <w:lvlText w:val="%1"/>
      <w:numFmt w:val="decimal"/>
      <w:start w:val="1"/>
    </w:lvl>
    <w:lvl w:ilvl="1">
      <w:lvlJc w:val="left"/>
      <w:lvlText w:val="%2."/>
      <w:numFmt w:val="decimal"/>
      <w:start w:val="12"/>
    </w:lvl>
  </w:abstractNum>
  <w:abstractNum w:abstractNumId="7">
    <w:nsid w:val="79838CB2"/>
    <w:multiLevelType w:val="hybridMultilevel"/>
    <w:lvl w:ilvl="0">
      <w:lvlJc w:val="left"/>
      <w:lvlText w:val="(%1)"/>
      <w:numFmt w:val="decimal"/>
      <w:start w:val="2"/>
    </w:lvl>
    <w:lvl w:ilvl="1">
      <w:lvlJc w:val="left"/>
      <w:lvlText w:val="%2"/>
      <w:numFmt w:val="decimal"/>
      <w:start w:val="1"/>
    </w:lvl>
  </w:abstractNum>
  <w:abstractNum w:abstractNumId="8">
    <w:nsid w:val="4353D0CD"/>
    <w:multiLevelType w:val="hybridMultilevel"/>
    <w:lvl w:ilvl="0">
      <w:lvlJc w:val="left"/>
      <w:lvlText w:val="%1."/>
      <w:numFmt w:val="decimal"/>
      <w:start w:val="1"/>
    </w:lvl>
    <w:lvl w:ilvl="1">
      <w:lvlJc w:val="left"/>
      <w:lvlText w:val="(%2)"/>
      <w:numFmt w:val="lowerLetter"/>
      <w:start w:val="1"/>
    </w:lvl>
  </w:abstractNum>
  <w:abstractNum w:abstractNumId="9">
    <w:nsid w:val="B03E0C6"/>
    <w:multiLevelType w:val="hybridMultilevel"/>
    <w:lvl w:ilvl="0">
      <w:lvlJc w:val="left"/>
      <w:lvlText w:val="%1"/>
      <w:numFmt w:val="decimal"/>
      <w:start w:val="1"/>
    </w:lvl>
    <w:lvl w:ilvl="1">
      <w:lvlJc w:val="left"/>
      <w:lvlText w:val="%2."/>
      <w:numFmt w:val="decimal"/>
      <w:start w:val="9"/>
    </w:lvl>
  </w:abstractNum>
  <w:abstractNum w:abstractNumId="10">
    <w:nsid w:val="189A769B"/>
    <w:multiLevelType w:val="hybridMultilevel"/>
    <w:lvl w:ilvl="0">
      <w:lvlJc w:val="left"/>
      <w:lvlText w:val="(%1)"/>
      <w:numFmt w:val="decimal"/>
      <w:start w:val="3"/>
    </w:lvl>
    <w:lvl w:ilvl="1">
      <w:lvlJc w:val="left"/>
      <w:lvlText w:val="%2"/>
      <w:numFmt w:val="decimal"/>
      <w:start w:val="1"/>
    </w:lvl>
  </w:abstractNum>
  <w:abstractNum w:abstractNumId="11">
    <w:nsid w:val="54E49EB4"/>
    <w:multiLevelType w:val="hybridMultilevel"/>
    <w:lvl w:ilvl="0">
      <w:lvlJc w:val="left"/>
      <w:lvlText w:val="%1."/>
      <w:numFmt w:val="decimal"/>
      <w:start w:val="1"/>
    </w:lvl>
    <w:lvl w:ilvl="1">
      <w:lvlJc w:val="left"/>
      <w:lvlText w:val="(%2)"/>
      <w:numFmt w:val="lowerLetter"/>
      <w:start w:val="1"/>
    </w:lvl>
  </w:abstractNum>
  <w:abstractNum w:abstractNumId="12">
    <w:nsid w:val="71F32454"/>
    <w:multiLevelType w:val="hybridMultilevel"/>
    <w:lvl w:ilvl="0">
      <w:lvlJc w:val="left"/>
      <w:lvlText w:val="%1"/>
      <w:numFmt w:val="decimal"/>
      <w:start w:val="1"/>
    </w:lvl>
    <w:lvl w:ilvl="1">
      <w:lvlJc w:val="left"/>
      <w:lvlText w:val="%2."/>
      <w:numFmt w:val="decimal"/>
      <w:start w:val="9"/>
    </w:lvl>
  </w:abstractNum>
  <w:abstractNum w:abstractNumId="13">
    <w:nsid w:val="2CA88611"/>
    <w:multiLevelType w:val="hybridMultilevel"/>
    <w:lvl w:ilvl="0">
      <w:lvlJc w:val="left"/>
      <w:lvlText w:val="(%1)"/>
      <w:numFmt w:val="decimal"/>
      <w:start w:val="4"/>
    </w:lvl>
    <w:lvl w:ilvl="1">
      <w:lvlJc w:val="left"/>
      <w:lvlText w:val="%2"/>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lvl w:ilvl="1">
      <w:lvlJc w:val="left"/>
      <w:lvlText w:val="(%2)"/>
      <w:numFmt w:val="lowerLetter"/>
      <w:start w:val="1"/>
    </w:lvl>
  </w:abstractNum>
  <w:abstractNum w:abstractNumId="16">
    <w:nsid w:val="3A95F874"/>
    <w:multiLevelType w:val="hybridMultilevel"/>
    <w:lvl w:ilvl="0">
      <w:lvlJc w:val="left"/>
      <w:lvlText w:val="%1."/>
      <w:numFmt w:val="decimal"/>
      <w:start w:val="3"/>
    </w:lvl>
    <w:lvl w:ilvl="1">
      <w:lvlJc w:val="left"/>
      <w:lvlText w:val="%2"/>
      <w:numFmt w:val="lowerLetter"/>
      <w:start w:val="1"/>
    </w:lvl>
  </w:abstractNum>
  <w:abstractNum w:abstractNumId="17">
    <w:nsid w:val="8138641"/>
    <w:multiLevelType w:val="hybridMultilevel"/>
    <w:lvl w:ilvl="0">
      <w:lvlJc w:val="left"/>
      <w:lvlText w:val="%1"/>
      <w:numFmt w:val="decimal"/>
      <w:start w:val="1"/>
    </w:lvl>
    <w:lvl w:ilvl="1">
      <w:lvlJc w:val="left"/>
      <w:lvlText w:val="%2."/>
      <w:numFmt w:val="decimal"/>
      <w:start w:val="9"/>
    </w:lvl>
  </w:abstractNum>
  <w:abstractNum w:abstractNumId="18">
    <w:nsid w:val="1E7FF521"/>
    <w:multiLevelType w:val="hybridMultilevel"/>
    <w:lvl w:ilvl="0">
      <w:lvlJc w:val="left"/>
      <w:lvlText w:val="(%1)"/>
      <w:numFmt w:val="decimal"/>
      <w:start w:val="5"/>
    </w:lvl>
    <w:lvl w:ilvl="1">
      <w:lvlJc w:val="left"/>
      <w:lvlText w:val="%2"/>
      <w:numFmt w:val="decimal"/>
      <w:start w:val="1"/>
    </w:lvl>
  </w:abstractNum>
  <w:abstractNum w:abstractNumId="19">
    <w:nsid w:val="7C3DBD3D"/>
    <w:multiLevelType w:val="hybridMultilevel"/>
    <w:lvl w:ilvl="0">
      <w:lvlJc w:val="left"/>
      <w:lvlText w:val="%1."/>
      <w:numFmt w:val="decimal"/>
      <w:start w:val="1"/>
    </w:lvl>
    <w:lvl w:ilvl="1">
      <w:lvlJc w:val="left"/>
      <w:lvlText w:val="(%2)"/>
      <w:numFmt w:val="lowerLetter"/>
      <w:start w:val="1"/>
    </w:lvl>
  </w:abstractNum>
  <w:abstractNum w:abstractNumId="20">
    <w:nsid w:val="737B8DDC"/>
    <w:multiLevelType w:val="hybridMultilevel"/>
    <w:lvl w:ilvl="0">
      <w:lvlJc w:val="left"/>
      <w:lvlText w:val="%1"/>
      <w:numFmt w:val="decimal"/>
      <w:start w:val="1"/>
    </w:lvl>
    <w:lvl w:ilvl="1">
      <w:lvlJc w:val="left"/>
      <w:lvlText w:val="%2."/>
      <w:numFmt w:val="decimal"/>
      <w:start w:val="9"/>
    </w:lvl>
  </w:abstractNum>
  <w:abstractNum w:abstractNumId="21">
    <w:nsid w:val="6CEAF087"/>
    <w:multiLevelType w:val="hybridMultilevel"/>
    <w:lvl w:ilvl="0">
      <w:lvlJc w:val="left"/>
      <w:lvlText w:val="(%1)"/>
      <w:numFmt w:val="decimal"/>
      <w:start w:val="6"/>
    </w:lvl>
    <w:lvl w:ilvl="1">
      <w:lvlJc w:val="left"/>
      <w:lvlText w:val="%2"/>
      <w:numFmt w:val="decimal"/>
      <w:start w:val="1"/>
    </w:lvl>
  </w:abstractNum>
  <w:abstractNum w:abstractNumId="22">
    <w:nsid w:val="22221A70"/>
    <w:multiLevelType w:val="hybridMultilevel"/>
    <w:lvl w:ilvl="0">
      <w:lvlJc w:val="left"/>
      <w:lvlText w:val="%1."/>
      <w:numFmt w:val="decimal"/>
      <w:start w:val="1"/>
    </w:lvl>
    <w:lvl w:ilvl="1">
      <w:lvlJc w:val="left"/>
      <w:lvlText w:val="(%2)"/>
      <w:numFmt w:val="lowerLetter"/>
      <w:start w:val="1"/>
    </w:lvl>
  </w:abstractNum>
  <w:abstractNum w:abstractNumId="23">
    <w:nsid w:val="4516DDE9"/>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4">
    <w:nsid w:val="3006C83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5">
    <w:nsid w:val="614FD4A1"/>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26">
    <w:nsid w:val="419AC241"/>
    <w:multiLevelType w:val="hybridMultilevel"/>
    <w:lvl w:ilvl="0">
      <w:lvlJc w:val="left"/>
      <w:lvlText w:val="%1."/>
      <w:numFmt w:val="decimal"/>
      <w:start w:val="1"/>
    </w:lvl>
    <w:lvl w:ilvl="1">
      <w:lvlJc w:val="left"/>
      <w:lvlText w:val="(%2)"/>
      <w:numFmt w:val="lowerLetter"/>
      <w:start w:val="1"/>
    </w:lvl>
  </w:abstractNum>
  <w:abstractNum w:abstractNumId="27">
    <w:nsid w:val="5577F8E1"/>
    <w:multiLevelType w:val="hybridMultilevel"/>
    <w:lvl w:ilvl="0">
      <w:lvlJc w:val="left"/>
      <w:lvlText w:val="%1."/>
      <w:numFmt w:val="decimal"/>
      <w:start w:val="9"/>
    </w:lvl>
  </w:abstractNum>
  <w:abstractNum w:abstractNumId="28">
    <w:nsid w:val="440BADFC"/>
    <w:multiLevelType w:val="hybridMultilevel"/>
    <w:lvl w:ilvl="0">
      <w:lvlJc w:val="left"/>
      <w:lvlText w:val="%1."/>
      <w:numFmt w:val="decimal"/>
      <w:start w:val="11"/>
    </w:lvl>
  </w:abstractNum>
  <w:abstractNum w:abstractNumId="29">
    <w:nsid w:val="5072367"/>
    <w:multiLevelType w:val="hybridMultilevel"/>
    <w:lvl w:ilvl="0">
      <w:lvlJc w:val="left"/>
      <w:lvlText w:val="%1"/>
      <w:numFmt w:val="decimal"/>
      <w:start w:val="1"/>
    </w:lvl>
    <w:lvl w:ilvl="1">
      <w:lvlJc w:val="left"/>
      <w:lvlText w:val="%2."/>
      <w:numFmt w:val="decimal"/>
      <w:start w:val="12"/>
    </w:lvl>
  </w:abstractNum>
  <w:abstractNum w:abstractNumId="30">
    <w:nsid w:val="3804823E"/>
    <w:multiLevelType w:val="hybridMultilevel"/>
    <w:lvl w:ilvl="0">
      <w:lvlJc w:val="left"/>
      <w:lvlText w:val="(%1)"/>
      <w:numFmt w:val="decimal"/>
      <w:start w:val="8"/>
    </w:lvl>
    <w:lvl w:ilvl="1">
      <w:lvlJc w:val="left"/>
      <w:lvlText w:val="%2"/>
      <w:numFmt w:val="decimal"/>
      <w:start w:val="1"/>
    </w:lvl>
  </w:abstractNum>
  <w:abstractNum w:abstractNumId="31">
    <w:nsid w:val="77465F01"/>
    <w:multiLevelType w:val="hybridMultilevel"/>
    <w:lvl w:ilvl="0">
      <w:lvlJc w:val="left"/>
      <w:lvlText w:val="%1."/>
      <w:numFmt w:val="decimal"/>
      <w:start w:val="1"/>
    </w:lvl>
    <w:lvl w:ilvl="1">
      <w:lvlJc w:val="left"/>
      <w:lvlText w:val="(%2)"/>
      <w:numFmt w:val="lowerLetter"/>
      <w:start w:val="1"/>
    </w:lvl>
  </w:abstractNum>
  <w:abstractNum w:abstractNumId="32">
    <w:nsid w:val="7724C67E"/>
    <w:multiLevelType w:val="hybridMultilevel"/>
    <w:lvl w:ilvl="0">
      <w:lvlJc w:val="left"/>
      <w:lvlText w:val="%1"/>
      <w:numFmt w:val="decimal"/>
      <w:start w:val="1"/>
    </w:lvl>
    <w:lvl w:ilvl="1">
      <w:lvlJc w:val="left"/>
      <w:lvlText w:val="%2."/>
      <w:numFmt w:val="decimal"/>
      <w:start w:val="9"/>
    </w:lvl>
  </w:abstractNum>
  <w:abstractNum w:abstractNumId="33">
    <w:nsid w:val="5C482A97"/>
    <w:multiLevelType w:val="hybridMultilevel"/>
    <w:lvl w:ilvl="0">
      <w:lvlJc w:val="left"/>
      <w:lvlText w:val="(%1)"/>
      <w:numFmt w:val="decimal"/>
      <w:start w:val="9"/>
    </w:lvl>
    <w:lvl w:ilvl="1">
      <w:lvlJc w:val="left"/>
      <w:lvlText w:val="%2"/>
      <w:numFmt w:val="decimal"/>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Roman"/>
      <w:start w:val="1"/>
    </w:lvl>
  </w:abstractNum>
  <w:abstractNum w:abstractNumId="38">
    <w:nsid w:val="580BD78F"/>
    <w:multiLevelType w:val="hybridMultilevel"/>
    <w:lvl w:ilvl="0">
      <w:lvlJc w:val="left"/>
      <w:lvlText w:val="(%1)"/>
      <w:numFmt w:val="lowerRoman"/>
      <w:start w:val="2"/>
    </w:lvl>
  </w:abstractNum>
  <w:abstractNum w:abstractNumId="39">
    <w:nsid w:val="153EA438"/>
    <w:multiLevelType w:val="hybridMultilevel"/>
    <w:lvl w:ilvl="0">
      <w:lvlJc w:val="left"/>
      <w:lvlText w:val="(%1)"/>
      <w:numFmt w:val="lowerRoman"/>
      <w:start w:val="3"/>
    </w:lvl>
  </w:abstractNum>
  <w:abstractNum w:abstractNumId="40">
    <w:nsid w:val="3855585C"/>
    <w:multiLevelType w:val="hybridMultilevel"/>
    <w:lvl w:ilvl="0">
      <w:lvlJc w:val="left"/>
      <w:lvlText w:val="(%1)"/>
      <w:numFmt w:val="lowerRoman"/>
      <w:start w:val="4"/>
    </w:lvl>
  </w:abstractNum>
  <w:abstractNum w:abstractNumId="41">
    <w:nsid w:val="70A64E2A"/>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2020-01-16T09:16:33Z</dcterms:created>
  <dcterms:modified xsi:type="dcterms:W3CDTF">2020-01-16T09:16:33Z</dcterms:modified>
</cp:coreProperties>
</file>