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12,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12, 2015, Imprimis Pharmaceuticals, Inc. (the “Company”) issued a press release announcing its financial results for the third quarter ended September 30, 2015.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November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 November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2178050" cy="1046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Third Quarter 2015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will host conference call today at 4:30 p.m. EST (1:30 p.m. PST)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San Diego, CA — November 12, 2015 — Imprimis Pharmaceuticals, Inc. (NASDAQ: IMMY), a specialty pharmaceutical company focused on the development and commercialization of proprietary compounded drug therapies, today announced its financial results for the third quarter ended September 30, 2015. Management will discuss the company’s financial results and recent business updates on a conference call this afternoon at 4:30 p.m. 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Third Quarter 2015 Accomplishments and 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revenues reported for the third quarter 2015 were $2.7 million, a 508% increase compared to $0.4 million reported for the same period of 2014, and a 36% increase compared to revenues of $1.97 million in the second quarter 2015. Year-to-date revenues ended September 30, 2015, totaled $6.2 million, representing an over 460% increase compared to $1.1 million for the same nine-month period of 2014.</w:t>
      </w:r>
    </w:p>
    <w:p>
      <w:pPr>
        <w:spacing w:after="0" w:line="15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was $(2.4) million, or approximately $(0.25) per share of common stock, for the third quarter compared to $(1.9) million, or approximately $(0.21) per share of common stock, for the same period a year ago.</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the company’s proprietary Tri-Moxi and Tri-Moxi-Vanc compounded injectable formulations for the third quarter 2015 were $594,000, an increase of over 300% compared to the same quarter a year ago.</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2015 sales for the company’s combination topical eye drop formulations totaled $263,000, nearly triple the revenue reported for second quarter 2015.</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HLA compounded formulations in the third quarter were $518,000 an increase of over 140% compared to $215,000 for the second quarter 2015.</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Gross margins increased to 55% for the third quarter in 2015 compared to 46% for the same period last year. The increase was primarily attributable to ongoing implementation of pharmacy efficiencies and increased sales of the company’s proprietary compounded formulations.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Commercialization and Corporate Developments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w:t>
      </w:r>
      <w:r>
        <w:rPr>
          <w:rFonts w:ascii="Arial" w:cs="Arial" w:eastAsia="Arial" w:hAnsi="Arial"/>
          <w:sz w:val="18"/>
          <w:szCs w:val="18"/>
          <w:u w:val="single" w:color="auto"/>
          <w:color w:val="auto"/>
        </w:rPr>
        <w:t>Analysis of the Economic Impacts of Dropless Cataract Therapy on Medicare, Medicaid, State Governments, and Patient Costs</w:t>
      </w:r>
      <w:r>
        <w:rPr>
          <w:rFonts w:ascii="Arial" w:cs="Arial" w:eastAsia="Arial" w:hAnsi="Arial"/>
          <w:sz w:val="18"/>
          <w:szCs w:val="18"/>
          <w:color w:val="auto"/>
        </w:rPr>
        <w:t>” economic study conducted by researchers at Andrew Chang &amp; Co, LLC demonstrating that our Dropless Therapy™ could provide savings to Medicare, Medicaid and patients of up to $13 billion. The economic study, co-sponsored by a grant from Cataract Surgeons for Improved Eyecare, was conducted assuming the cost of Dropless Therapy™ at $100 per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 400 ophthalmologist are now prescribing our Dropless formulations and since its launch in April 2014, Dropless formulations have been administered in over 100,000 eye surgeries, primarily cataract surgeries.</w:t>
      </w:r>
    </w:p>
    <w:p>
      <w:pPr>
        <w:spacing w:after="0" w:line="156"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Introduced the combination pyrimethamine and leucovorin formulation for physicians to consider prescribing for their patients as a low cost alternative to Daraprim®. Turing Pharmaceuticals LLC, the sole supplier of Daraprim, increased the price of Daraprim® from $13.50 to $750.00 per tablet. Imprimis is offering customizable compounded formulations of its pyrimethamine and leucovorin in oral capsules starting as low as $0.99 per tablet. The </w:t>
      </w:r>
      <w:r>
        <w:rPr>
          <w:rFonts w:ascii="Arial" w:cs="Arial" w:eastAsia="Arial" w:hAnsi="Arial"/>
          <w:sz w:val="16"/>
          <w:szCs w:val="16"/>
          <w:u w:val="single" w:color="auto"/>
          <w:color w:val="auto"/>
        </w:rPr>
        <w:t>story reported by the Associated Press</w:t>
      </w:r>
      <w:r>
        <w:rPr>
          <w:rFonts w:ascii="Arial" w:cs="Arial" w:eastAsia="Arial" w:hAnsi="Arial"/>
          <w:sz w:val="16"/>
          <w:szCs w:val="16"/>
          <w:color w:val="auto"/>
        </w:rPr>
        <w:t xml:space="preserve"> generated worldwide media attention and went viral on social media channels. The opportunity to address this important patient population has opened numerous potentially significant commercial doors which the company is currently pursuing.</w:t>
      </w:r>
    </w:p>
    <w:p>
      <w:pPr>
        <w:spacing w:after="0" w:line="14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first international licensing agreement to expand the company’s Dropless Therapy™ and LessDrops combination drop formulations into Canada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ImprimisRx Pharmacy Operations</w:t>
      </w:r>
    </w:p>
    <w:p>
      <w:pPr>
        <w:spacing w:after="0" w:line="22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acquisition of Central Allen Pharmacy, based near Dallas, Texas and commenced construction of facility improvements with plans to register the pharmacy as a 503B outsourcing and manufacturing facility in February 2016.</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the assets and businesses of Topical Apothecary Group, LLC, Aerosol Science Laboratories, Inc., SinuTopic, Inc. and Mycotoxins, LLC, the once leading U.S. providers of compounded sinus medications, delivery systems and patented packaging.</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now dispenses to an aggregate of 50 states.</w:t>
      </w:r>
    </w:p>
    <w:p>
      <w:pPr>
        <w:spacing w:after="0" w:line="21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construction of the company’s new 503B outsourcing facility in Roxbury, NJ, which will also serve as the new location for the ImprimisRx NJ pharmacy and will include a separate state-of-the-art outsourcing facility intended to comply with cGMP manufacturing standards and Section 503B of the U.S. Food, Drug and Cosmetic Act. The Roxbury facility is expected to be completed in January 2016 and begin operations as an outsourcing facility at the beginning of the second quarter 2016.</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Mark L. Baum, Chief Executive Officer of Imprimis, stated, “We are firmly establishing ourselves as the national leader in developing, making and dispensing novel compounded pharmaceuticals at accessible prices. We are pleased with the significant 508% growth in our sales revenues in the third quarter compared to the third quarter last year and the 460% growth in revenues year-to-date. Our ophthalmology business is poised for potentially significant growth as we transition our production to a cGMP environment in FDA-registered facilities and hopefully gain support from policymakers and the Centers for Medicare and Medicaid Services to realize the nearly $13 billion potential savings benefit that Dropless can bring to bear. Demand for our Dropless Therapy™ and LessDrops™ combination topical eye drops continues to be strong and growing, and demand for our ophthalmology formulations has been consistent with our expectations. We look forward to attending this weekend’s AAO annual meeting in Las Vegas where our Dropless™ and LessDrops™ formulations will be the highlighted in numerous </w:t>
      </w:r>
      <w:r>
        <w:rPr>
          <w:rFonts w:ascii="Arial" w:cs="Arial" w:eastAsia="Arial" w:hAnsi="Arial"/>
          <w:sz w:val="17"/>
          <w:szCs w:val="17"/>
          <w:u w:val="single" w:color="auto"/>
          <w:color w:val="auto"/>
        </w:rPr>
        <w:t>presentations</w:t>
      </w:r>
      <w:r>
        <w:rPr>
          <w:rFonts w:ascii="Arial" w:cs="Arial" w:eastAsia="Arial" w:hAnsi="Arial"/>
          <w:sz w:val="17"/>
          <w:szCs w:val="17"/>
          <w:color w:val="auto"/>
        </w:rPr>
        <w:t xml:space="preserve"> and learning symposiums.”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6"/>
          <w:szCs w:val="16"/>
          <w:color w:val="auto"/>
        </w:rPr>
        <w:t>Mr. Baum added, “The recent announcement that we are offering combination pyrimethamine and leucovorin formulations for physicians to consider prescribing for their patients as a low cost alternative to Daraprim®, brought Imprimis worldwide media attention and went viral on social media channels. We received a tremendous outpouring of thanks and support from patients, physicians, industry leaders and the public. Although sometimes overwhelming, it was greatly appreciated and made everyone involved in our development as a company proud to be part of the Imprimis team. This initiative has brought to light the cost savings Imprimis can offer the healthcare system, and opened up doors that may allow us to work with large payors, both private and public, to provide a further benefit to their recipients for our growing database of lower cost high quality compounded alternative formulation choices.”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Mr. Baum concluded, “We will continue to execute on our land and expand strategy, introduce additional cost-effective formulations under our </w:t>
      </w:r>
      <w:r>
        <w:rPr>
          <w:rFonts w:ascii="Arial" w:cs="Arial" w:eastAsia="Arial" w:hAnsi="Arial"/>
          <w:sz w:val="18"/>
          <w:szCs w:val="18"/>
          <w:i w:val="1"/>
          <w:iCs w:val="1"/>
          <w:color w:val="auto"/>
        </w:rPr>
        <w:t>Imprimis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Cares </w:t>
      </w:r>
      <w:r>
        <w:rPr>
          <w:rFonts w:ascii="Arial" w:cs="Arial" w:eastAsia="Arial" w:hAnsi="Arial"/>
          <w:sz w:val="18"/>
          <w:szCs w:val="18"/>
          <w:color w:val="auto"/>
        </w:rPr>
        <w:t>initiative, and develop other proprietary and non-proprietary formulations for our ophthalmic, urologic, sinus and integrative medicine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areas.”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and Guidance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projects total revenue for 2015 to be approximately $9 - $11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unaudited highlights regarding operating results for the three and nine months ended September 30, 2015 and for the same periods in 2014 are described in the tables below (in thousands, expect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41"/>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September 30, 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 2014</w:t>
            </w: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280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(3,952)</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(2,452)</w:t>
            </w:r>
          </w:p>
        </w:tc>
      </w:tr>
      <w:tr>
        <w:trPr>
          <w:trHeight w:val="210"/>
        </w:trPr>
        <w:tc>
          <w:tcPr>
            <w:tcW w:w="5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per Common Share</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(0.41</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414"/>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For the nine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41"/>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September 30, 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 2014</w:t>
            </w: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3,259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8,327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2800" w:type="dxa"/>
            <w:vAlign w:val="bottom"/>
            <w:gridSpan w:val="2"/>
          </w:tcPr>
          <w:p>
            <w:pPr>
              <w:jc w:val="right"/>
              <w:ind w:right="200"/>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(10,775)</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(7,373)</w:t>
            </w:r>
          </w:p>
        </w:tc>
      </w:tr>
      <w:tr>
        <w:trPr>
          <w:trHeight w:val="210"/>
        </w:trPr>
        <w:tc>
          <w:tcPr>
            <w:tcW w:w="5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per Common Share</w:t>
            </w: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(1.13</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(0.81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439"/>
        </w:trPr>
        <w:tc>
          <w:tcPr>
            <w:tcW w:w="57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4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tables below describes certain classifications of our compounded drug formulations and other revenues (in thousands):</w:t>
      </w:r>
    </w:p>
    <w:p>
      <w:pPr>
        <w:spacing w:after="0" w:line="221"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September 30,</w:t>
      </w:r>
    </w:p>
    <w:p>
      <w:pPr>
        <w:sectPr>
          <w:pgSz w:w="11900" w:h="16838" w:orient="portrait"/>
          <w:cols w:equalWidth="0" w:num="1">
            <w:col w:w="11420"/>
          </w:cols>
          <w:pgMar w:left="240" w:top="692" w:right="239"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Tri-Moxi and Tri-Moxi-Vanc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 eye drops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HLA (including royalties)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1"/>
                <w:szCs w:val="21"/>
                <w:color w:val="auto"/>
              </w:rPr>
            </w:pPr>
          </w:p>
        </w:tc>
      </w:tr>
      <w:tr>
        <w:trPr>
          <w:trHeight w:val="202"/>
        </w:trPr>
        <w:tc>
          <w:tcPr>
            <w:tcW w:w="34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594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2,683</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441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-753745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-471170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-179705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p>
      <w:pPr>
        <w:sectPr>
          <w:pgSz w:w="11900" w:h="16838" w:orient="portrait"/>
          <w:cols w:equalWidth="0" w:num="2">
            <w:col w:w="7280" w:space="720"/>
            <w:col w:w="3420"/>
          </w:cols>
          <w:pgMar w:left="240" w:top="692" w:right="2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Tri-Moxi and Tri-Moxi-Vanc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 eye drops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HLA (including royalties)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1"/>
                <w:szCs w:val="21"/>
                <w:color w:val="auto"/>
              </w:rPr>
            </w:pPr>
          </w:p>
        </w:tc>
      </w:tr>
      <w:tr>
        <w:trPr>
          <w:trHeight w:val="202"/>
        </w:trPr>
        <w:tc>
          <w:tcPr>
            <w:tcW w:w="34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1,431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915</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6,213</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1,110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-753745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-471170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-179705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7280" w:space="720"/>
            <w:col w:w="3420"/>
          </w:cols>
          <w:pgMar w:left="240" w:top="692" w:right="2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September 30, 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September 30, 2014</w:t>
            </w: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5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7"/>
        </w:trPr>
        <w:tc>
          <w:tcPr>
            <w:tcW w:w="57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(1,883</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Conference Call and Webcast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will hold a conference call and audio-only webcast today at 4:30 p.m. EST (1:30 p.m. PST). The conference call and webcast will be open to all listeners and a question and answer session will follow the prepared remarks. To participate in this event, dial 877-407-8035 domestically or 201-689-8035 internationally, approximately 5 to 10 minutes prior to the start of the call. Additionally, you can listen to the event online at </w:t>
      </w:r>
      <w:r>
        <w:rPr>
          <w:rFonts w:ascii="Arial" w:cs="Arial" w:eastAsia="Arial" w:hAnsi="Arial"/>
          <w:sz w:val="18"/>
          <w:szCs w:val="18"/>
          <w:u w:val="single" w:color="auto"/>
          <w:color w:val="auto"/>
        </w:rPr>
        <w:t>www.investorcalendar.com/IC/CEPage.asp?ID=174457</w:t>
      </w:r>
      <w:r>
        <w:rPr>
          <w:rFonts w:ascii="Arial" w:cs="Arial" w:eastAsia="Arial" w:hAnsi="Arial"/>
          <w:sz w:val="18"/>
          <w:szCs w:val="18"/>
          <w:color w:val="auto"/>
        </w:rPr>
        <w:t xml:space="preserve">, as well as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If you are unable to participate during the live webcast, the event archive will be available at </w:t>
      </w:r>
      <w:r>
        <w:rPr>
          <w:rFonts w:ascii="Arial" w:cs="Arial" w:eastAsia="Arial" w:hAnsi="Arial"/>
          <w:sz w:val="18"/>
          <w:szCs w:val="18"/>
          <w:u w:val="single" w:color="auto"/>
          <w:color w:val="auto"/>
        </w:rPr>
        <w:t>www.investorcalendar.com/IC/CEPage.asp?ID=174457</w:t>
      </w:r>
      <w:r>
        <w:rPr>
          <w:rFonts w:ascii="Arial" w:cs="Arial" w:eastAsia="Arial" w:hAnsi="Arial"/>
          <w:sz w:val="18"/>
          <w:szCs w:val="18"/>
          <w:color w:val="auto"/>
        </w:rPr>
        <w:t xml:space="preserve"> or at the company’s website. You may access the teleconference replay by dialing 877-660-6853 domestically or 201-612-7415 internationally, referencing conference 13623279. The replay will be available until December 13,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San Diego-based Imprimis Pharmaceuticals, Inc. (NASDAQ: IMMY) is a national leader in the development, production and dispensing of novel compounded pharmaceuticals. The company’s business primarily consists of four therapeutic segments including ophthalmology, urology, sinus and integrative medicine. Imprimis dispenses compounded pharmaceuticals in all 50 states from four facilities located in California, Texas, New Jersey and Pennsylvania. For more information about Imprimis, please visit the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2020-01-25T06:01:22Z</dcterms:created>
  <dcterms:modified xsi:type="dcterms:W3CDTF">2020-01-25T06:01:22Z</dcterms:modified>
</cp:coreProperties>
</file>