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___)*</w:t>
      </w: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Imprimis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r>
        <w:rPr>
          <w:rFonts w:ascii="Arial" w:cs="Arial" w:eastAsia="Arial" w:hAnsi="Arial"/>
          <w:sz w:val="18"/>
          <w:szCs w:val="18"/>
          <w:color w:val="auto"/>
        </w:rPr>
        <w:t>,</w:t>
      </w:r>
      <w:r>
        <w:rPr>
          <w:rFonts w:ascii="Arial" w:cs="Arial" w:eastAsia="Arial" w:hAnsi="Arial"/>
          <w:sz w:val="18"/>
          <w:szCs w:val="18"/>
          <w:b w:val="1"/>
          <w:bCs w:val="1"/>
          <w:color w:val="auto"/>
        </w:rPr>
        <w:t xml:space="preserve">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45323A201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March 21,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[_] Rule 13d-1(b)</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X Rule 13d-1(c)</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[_] Rule 13d-1(d)</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Arial" w:cs="Arial" w:eastAsia="Arial" w:hAnsi="Arial"/>
          <w:sz w:val="16"/>
          <w:szCs w:val="16"/>
          <w:i w:val="1"/>
          <w:iCs w:val="1"/>
          <w:color w:val="auto"/>
        </w:rPr>
        <w:t>Notes</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2169795" cy="2914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9795" cy="291465"/>
                    </a:xfrm>
                    <a:prstGeom prst="rect">
                      <a:avLst/>
                    </a:prstGeom>
                    <a:noFill/>
                  </pic:spPr>
                </pic:pic>
              </a:graphicData>
            </a:graphic>
          </wp:anchor>
        </w:drawing>
      </w:r>
    </w:p>
    <w:p>
      <w:pPr>
        <w:spacing w:after="0" w:line="327" w:lineRule="exact"/>
        <w:rPr>
          <w:sz w:val="20"/>
          <w:szCs w:val="20"/>
          <w:color w:val="auto"/>
        </w:rPr>
      </w:pPr>
    </w:p>
    <w:p>
      <w:pPr>
        <w:ind w:left="120"/>
        <w:spacing w:after="0"/>
        <w:tabs>
          <w:tab w:leader="none" w:pos="1220" w:val="left"/>
        </w:tabs>
        <w:rPr>
          <w:sz w:val="20"/>
          <w:szCs w:val="20"/>
          <w:color w:val="auto"/>
        </w:rPr>
      </w:pPr>
      <w:r>
        <w:rPr>
          <w:rFonts w:ascii="Arial" w:cs="Arial" w:eastAsia="Arial" w:hAnsi="Arial"/>
          <w:sz w:val="18"/>
          <w:szCs w:val="18"/>
          <w:b w:val="1"/>
          <w:bCs w:val="1"/>
          <w:color w:val="auto"/>
        </w:rPr>
        <w:t>CUSIP No.</w:t>
      </w:r>
      <w:r>
        <w:rPr>
          <w:sz w:val="20"/>
          <w:szCs w:val="20"/>
          <w:color w:val="auto"/>
        </w:rPr>
        <w:tab/>
      </w:r>
      <w:r>
        <w:rPr>
          <w:rFonts w:ascii="Arial" w:cs="Arial" w:eastAsia="Arial" w:hAnsi="Arial"/>
          <w:sz w:val="16"/>
          <w:szCs w:val="16"/>
          <w:b w:val="1"/>
          <w:bCs w:val="1"/>
          <w:color w:val="auto"/>
        </w:rPr>
        <w:t>45323A201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6740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674052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720" w:hanging="590"/>
        <w:spacing w:after="0"/>
        <w:tabs>
          <w:tab w:leader="none" w:pos="72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94" w:lineRule="exact"/>
        <w:rPr>
          <w:rFonts w:ascii="Arial" w:cs="Arial" w:eastAsia="Arial" w:hAnsi="Arial"/>
          <w:sz w:val="18"/>
          <w:szCs w:val="18"/>
          <w:b w:val="1"/>
          <w:bCs w:val="1"/>
          <w:color w:val="auto"/>
        </w:rPr>
      </w:pPr>
    </w:p>
    <w:p>
      <w:pPr>
        <w:ind w:left="720" w:right="6860"/>
        <w:spacing w:after="0" w:line="528" w:lineRule="auto"/>
        <w:rPr>
          <w:rFonts w:ascii="Arial" w:cs="Arial" w:eastAsia="Arial" w:hAnsi="Arial"/>
          <w:sz w:val="18"/>
          <w:szCs w:val="18"/>
          <w:b w:val="1"/>
          <w:bCs w:val="1"/>
          <w:color w:val="auto"/>
        </w:rPr>
      </w:pPr>
      <w:r>
        <w:rPr>
          <w:rFonts w:ascii="Arial" w:cs="Arial" w:eastAsia="Arial" w:hAnsi="Arial"/>
          <w:sz w:val="18"/>
          <w:szCs w:val="18"/>
          <w:color w:val="auto"/>
        </w:rPr>
        <w:t xml:space="preserve">Longboard Capital Advisors, LLC (EIN 86-1150459) </w:t>
      </w:r>
      <w:r>
        <w:rPr>
          <w:rFonts w:ascii="Arial" w:cs="Arial" w:eastAsia="Arial" w:hAnsi="Arial"/>
          <w:sz w:val="18"/>
          <w:szCs w:val="18"/>
          <w:color w:val="010202"/>
        </w:rPr>
        <w:t>Brett Conrad</w:t>
      </w:r>
    </w:p>
    <w:p>
      <w:pPr>
        <w:spacing w:after="0" w:line="44" w:lineRule="exact"/>
        <w:rPr>
          <w:sz w:val="20"/>
          <w:szCs w:val="20"/>
          <w:color w:val="auto"/>
        </w:rPr>
      </w:pPr>
    </w:p>
    <w:p>
      <w:pPr>
        <w:ind w:left="720" w:hanging="590"/>
        <w:spacing w:after="0"/>
        <w:tabs>
          <w:tab w:leader="none" w:pos="7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175" w:lineRule="exact"/>
        <w:rPr>
          <w:rFonts w:ascii="Arial" w:cs="Arial" w:eastAsia="Arial" w:hAnsi="Arial"/>
          <w:sz w:val="18"/>
          <w:szCs w:val="18"/>
          <w:b w:val="1"/>
          <w:bCs w:val="1"/>
          <w:color w:val="auto"/>
        </w:rPr>
      </w:pPr>
    </w:p>
    <w:p>
      <w:pPr>
        <w:ind w:left="1220" w:hanging="294"/>
        <w:spacing w:after="0"/>
        <w:tabs>
          <w:tab w:leader="none" w:pos="1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  ]</w:t>
      </w:r>
    </w:p>
    <w:p>
      <w:pPr>
        <w:spacing w:after="0" w:line="23" w:lineRule="exact"/>
        <w:rPr>
          <w:rFonts w:ascii="Arial" w:cs="Arial" w:eastAsia="Arial" w:hAnsi="Arial"/>
          <w:sz w:val="18"/>
          <w:szCs w:val="18"/>
          <w:color w:val="auto"/>
        </w:rPr>
      </w:pPr>
    </w:p>
    <w:p>
      <w:pPr>
        <w:ind w:left="1220" w:hanging="294"/>
        <w:spacing w:after="0"/>
        <w:tabs>
          <w:tab w:leader="none" w:pos="1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  ]</w:t>
      </w:r>
    </w:p>
    <w:p>
      <w:pPr>
        <w:spacing w:after="0" w:line="166" w:lineRule="exact"/>
        <w:rPr>
          <w:sz w:val="20"/>
          <w:szCs w:val="20"/>
          <w:color w:val="auto"/>
        </w:rPr>
      </w:pPr>
    </w:p>
    <w:p>
      <w:pPr>
        <w:ind w:left="720" w:hanging="590"/>
        <w:spacing w:after="0"/>
        <w:tabs>
          <w:tab w:leader="none" w:pos="7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0" w:lineRule="exact"/>
        <w:rPr>
          <w:sz w:val="20"/>
          <w:szCs w:val="20"/>
          <w:color w:val="auto"/>
        </w:rPr>
      </w:pPr>
    </w:p>
    <w:p>
      <w:pPr>
        <w:spacing w:after="0" w:line="363" w:lineRule="exact"/>
        <w:rPr>
          <w:sz w:val="20"/>
          <w:szCs w:val="20"/>
          <w:color w:val="auto"/>
        </w:rPr>
      </w:pPr>
    </w:p>
    <w:p>
      <w:pPr>
        <w:ind w:left="720" w:right="7360" w:hanging="590"/>
        <w:spacing w:after="0" w:line="453" w:lineRule="auto"/>
        <w:tabs>
          <w:tab w:leader="none" w:pos="72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Citizenship or Place of Organization </w:t>
      </w:r>
      <w:r>
        <w:rPr>
          <w:rFonts w:ascii="Arial" w:cs="Arial" w:eastAsia="Arial" w:hAnsi="Arial"/>
          <w:sz w:val="16"/>
          <w:szCs w:val="16"/>
          <w:color w:val="auto"/>
        </w:rPr>
        <w:t>Longboard Capital Advisors, LLC – Delaware</w:t>
      </w:r>
    </w:p>
    <w:p>
      <w:pPr>
        <w:spacing w:after="0" w:line="38" w:lineRule="exact"/>
        <w:rPr>
          <w:rFonts w:ascii="Arial" w:cs="Arial" w:eastAsia="Arial" w:hAnsi="Arial"/>
          <w:sz w:val="16"/>
          <w:szCs w:val="16"/>
          <w:b w:val="1"/>
          <w:bCs w:val="1"/>
          <w:color w:val="auto"/>
        </w:rPr>
      </w:pPr>
    </w:p>
    <w:p>
      <w:pPr>
        <w:ind w:left="720"/>
        <w:spacing w:after="0"/>
        <w:rPr>
          <w:rFonts w:ascii="Arial" w:cs="Arial" w:eastAsia="Arial" w:hAnsi="Arial"/>
          <w:sz w:val="16"/>
          <w:szCs w:val="16"/>
          <w:b w:val="1"/>
          <w:bCs w:val="1"/>
          <w:color w:val="auto"/>
        </w:rPr>
      </w:pPr>
      <w:r>
        <w:rPr>
          <w:rFonts w:ascii="Arial" w:cs="Arial" w:eastAsia="Arial" w:hAnsi="Arial"/>
          <w:sz w:val="18"/>
          <w:szCs w:val="18"/>
          <w:color w:val="010202"/>
        </w:rPr>
        <w:t>Brett Conrad – USA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2100" w:type="dxa"/>
            <w:vAlign w:val="bottom"/>
            <w:tcBorders>
              <w:top w:val="single" w:sz="8" w:color="auto"/>
              <w:right w:val="single" w:sz="8" w:color="auto"/>
            </w:tcBorders>
          </w:tcPr>
          <w:p>
            <w:pPr>
              <w:spacing w:after="0"/>
              <w:rPr>
                <w:sz w:val="24"/>
                <w:szCs w:val="24"/>
                <w:color w:val="auto"/>
              </w:rPr>
            </w:pPr>
          </w:p>
        </w:tc>
        <w:tc>
          <w:tcPr>
            <w:tcW w:w="440" w:type="dxa"/>
            <w:vAlign w:val="bottom"/>
            <w:tcBorders>
              <w:top w:val="single" w:sz="8" w:color="auto"/>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5</w:t>
            </w:r>
          </w:p>
        </w:tc>
        <w:tc>
          <w:tcPr>
            <w:tcW w:w="888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97"/>
        </w:trPr>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440" w:type="dxa"/>
            <w:vAlign w:val="bottom"/>
            <w:tcBorders>
              <w:bottom w:val="single" w:sz="8" w:color="auto"/>
              <w:right w:val="single" w:sz="8" w:color="auto"/>
            </w:tcBorders>
          </w:tcPr>
          <w:p>
            <w:pPr>
              <w:spacing w:after="0"/>
              <w:rPr>
                <w:sz w:val="24"/>
                <w:szCs w:val="24"/>
                <w:color w:val="auto"/>
              </w:rPr>
            </w:pPr>
          </w:p>
        </w:tc>
        <w:tc>
          <w:tcPr>
            <w:tcW w:w="8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 xml:space="preserve">Longboard Capital Advisors, LLC (EIN </w:t>
            </w:r>
            <w:r>
              <w:rPr>
                <w:rFonts w:ascii="Arial" w:cs="Arial" w:eastAsia="Arial" w:hAnsi="Arial"/>
                <w:sz w:val="18"/>
                <w:szCs w:val="18"/>
                <w:color w:val="010202"/>
              </w:rPr>
              <w:t>86-1150459)</w:t>
            </w:r>
          </w:p>
        </w:tc>
        <w:tc>
          <w:tcPr>
            <w:tcW w:w="0" w:type="dxa"/>
            <w:vAlign w:val="bottom"/>
          </w:tcPr>
          <w:p>
            <w:pPr>
              <w:spacing w:after="0"/>
              <w:rPr>
                <w:sz w:val="1"/>
                <w:szCs w:val="1"/>
                <w:color w:val="auto"/>
              </w:rPr>
            </w:pPr>
          </w:p>
        </w:tc>
      </w:tr>
      <w:tr>
        <w:trPr>
          <w:trHeight w:val="191"/>
        </w:trPr>
        <w:tc>
          <w:tcPr>
            <w:tcW w:w="210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6"/>
              </w:rPr>
              <w:t>Shares</w:t>
            </w:r>
          </w:p>
        </w:tc>
        <w:tc>
          <w:tcPr>
            <w:tcW w:w="440" w:type="dxa"/>
            <w:vAlign w:val="bottom"/>
            <w:tcBorders>
              <w:right w:val="single" w:sz="8" w:color="auto"/>
            </w:tcBorders>
            <w:vMerge w:val="restart"/>
          </w:tcPr>
          <w:p>
            <w:pPr>
              <w:jc w:val="right"/>
              <w:ind w:right="170"/>
              <w:spacing w:after="0"/>
              <w:rPr>
                <w:sz w:val="20"/>
                <w:szCs w:val="20"/>
                <w:color w:val="auto"/>
              </w:rPr>
            </w:pPr>
            <w:r>
              <w:rPr>
                <w:rFonts w:ascii="Arial" w:cs="Arial" w:eastAsia="Arial" w:hAnsi="Arial"/>
                <w:sz w:val="18"/>
                <w:szCs w:val="18"/>
                <w:b w:val="1"/>
                <w:bCs w:val="1"/>
                <w:color w:val="auto"/>
              </w:rPr>
              <w:t>6</w:t>
            </w:r>
          </w:p>
        </w:tc>
        <w:tc>
          <w:tcPr>
            <w:tcW w:w="888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99"/>
        </w:trPr>
        <w:tc>
          <w:tcPr>
            <w:tcW w:w="2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440" w:type="dxa"/>
            <w:vAlign w:val="bottom"/>
            <w:tcBorders>
              <w:right w:val="single" w:sz="8" w:color="auto"/>
            </w:tcBorders>
            <w:vMerge w:val="continue"/>
          </w:tcPr>
          <w:p>
            <w:pPr>
              <w:spacing w:after="0"/>
              <w:rPr>
                <w:sz w:val="8"/>
                <w:szCs w:val="8"/>
                <w:color w:val="auto"/>
              </w:rPr>
            </w:pPr>
          </w:p>
        </w:tc>
        <w:tc>
          <w:tcPr>
            <w:tcW w:w="8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100" w:type="dxa"/>
            <w:vAlign w:val="bottom"/>
            <w:tcBorders>
              <w:right w:val="single" w:sz="8" w:color="auto"/>
            </w:tcBorders>
            <w:vMerge w:val="continue"/>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8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Owned by Each</w:t>
            </w:r>
          </w:p>
        </w:tc>
        <w:tc>
          <w:tcPr>
            <w:tcW w:w="440" w:type="dxa"/>
            <w:vAlign w:val="bottom"/>
            <w:tcBorders>
              <w:right w:val="single" w:sz="8" w:color="auto"/>
            </w:tcBorders>
          </w:tcPr>
          <w:p>
            <w:pPr>
              <w:spacing w:after="0"/>
              <w:rPr>
                <w:sz w:val="18"/>
                <w:szCs w:val="18"/>
                <w:color w:val="auto"/>
              </w:rPr>
            </w:pPr>
          </w:p>
        </w:tc>
        <w:tc>
          <w:tcPr>
            <w:tcW w:w="888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6"/>
        </w:trPr>
        <w:tc>
          <w:tcPr>
            <w:tcW w:w="2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Reporting Person</w:t>
            </w:r>
          </w:p>
        </w:tc>
        <w:tc>
          <w:tcPr>
            <w:tcW w:w="440" w:type="dxa"/>
            <w:vAlign w:val="bottom"/>
            <w:tcBorders>
              <w:bottom w:val="single" w:sz="8" w:color="auto"/>
              <w:right w:val="single" w:sz="8" w:color="auto"/>
            </w:tcBorders>
          </w:tcPr>
          <w:p>
            <w:pPr>
              <w:spacing w:after="0"/>
              <w:rPr>
                <w:sz w:val="10"/>
                <w:szCs w:val="10"/>
                <w:color w:val="auto"/>
              </w:rPr>
            </w:pPr>
          </w:p>
        </w:tc>
        <w:tc>
          <w:tcPr>
            <w:tcW w:w="8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100" w:type="dxa"/>
            <w:vAlign w:val="bottom"/>
            <w:tcBorders>
              <w:right w:val="single" w:sz="8" w:color="auto"/>
            </w:tcBorders>
            <w:vMerge w:val="continue"/>
          </w:tcPr>
          <w:p>
            <w:pPr>
              <w:spacing w:after="0"/>
              <w:rPr>
                <w:sz w:val="6"/>
                <w:szCs w:val="6"/>
                <w:color w:val="auto"/>
              </w:rPr>
            </w:pPr>
          </w:p>
        </w:tc>
        <w:tc>
          <w:tcPr>
            <w:tcW w:w="440" w:type="dxa"/>
            <w:vAlign w:val="bottom"/>
            <w:tcBorders>
              <w:right w:val="single" w:sz="8" w:color="auto"/>
            </w:tcBorders>
            <w:vMerge w:val="restart"/>
          </w:tcPr>
          <w:p>
            <w:pPr>
              <w:jc w:val="right"/>
              <w:ind w:right="170"/>
              <w:spacing w:after="0"/>
              <w:rPr>
                <w:sz w:val="20"/>
                <w:szCs w:val="20"/>
                <w:color w:val="auto"/>
              </w:rPr>
            </w:pPr>
            <w:r>
              <w:rPr>
                <w:rFonts w:ascii="Arial" w:cs="Arial" w:eastAsia="Arial" w:hAnsi="Arial"/>
                <w:sz w:val="18"/>
                <w:szCs w:val="18"/>
                <w:b w:val="1"/>
                <w:bCs w:val="1"/>
                <w:color w:val="auto"/>
              </w:rPr>
              <w:t>7</w:t>
            </w:r>
          </w:p>
        </w:tc>
        <w:tc>
          <w:tcPr>
            <w:tcW w:w="888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34"/>
        </w:trPr>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With:</w:t>
            </w:r>
          </w:p>
        </w:tc>
        <w:tc>
          <w:tcPr>
            <w:tcW w:w="440" w:type="dxa"/>
            <w:vAlign w:val="bottom"/>
            <w:tcBorders>
              <w:right w:val="single" w:sz="8" w:color="auto"/>
            </w:tcBorders>
            <w:vMerge w:val="continue"/>
          </w:tcPr>
          <w:p>
            <w:pPr>
              <w:spacing w:after="0"/>
              <w:rPr>
                <w:sz w:val="20"/>
                <w:szCs w:val="20"/>
                <w:color w:val="auto"/>
              </w:rPr>
            </w:pPr>
          </w:p>
        </w:tc>
        <w:tc>
          <w:tcPr>
            <w:tcW w:w="8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2100" w:type="dxa"/>
            <w:vAlign w:val="bottom"/>
            <w:tcBorders>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8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1,312,000 aggregate shares of Common Stock (see Item 4 below)</w:t>
            </w:r>
          </w:p>
        </w:tc>
        <w:tc>
          <w:tcPr>
            <w:tcW w:w="0" w:type="dxa"/>
            <w:vAlign w:val="bottom"/>
          </w:tcPr>
          <w:p>
            <w:pPr>
              <w:spacing w:after="0"/>
              <w:rPr>
                <w:sz w:val="1"/>
                <w:szCs w:val="1"/>
                <w:color w:val="auto"/>
              </w:rPr>
            </w:pPr>
          </w:p>
        </w:tc>
      </w:tr>
      <w:tr>
        <w:trPr>
          <w:trHeight w:val="291"/>
        </w:trPr>
        <w:tc>
          <w:tcPr>
            <w:tcW w:w="2100" w:type="dxa"/>
            <w:vAlign w:val="bottom"/>
            <w:tcBorders>
              <w:right w:val="single" w:sz="8" w:color="auto"/>
            </w:tcBorders>
          </w:tcPr>
          <w:p>
            <w:pPr>
              <w:spacing w:after="0"/>
              <w:rPr>
                <w:sz w:val="24"/>
                <w:szCs w:val="24"/>
                <w:color w:val="auto"/>
              </w:rPr>
            </w:pPr>
          </w:p>
        </w:tc>
        <w:tc>
          <w:tcPr>
            <w:tcW w:w="44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8</w:t>
            </w:r>
          </w:p>
        </w:tc>
        <w:tc>
          <w:tcPr>
            <w:tcW w:w="8880" w:type="dxa"/>
            <w:vAlign w:val="bottom"/>
          </w:tcPr>
          <w:p>
            <w:pPr>
              <w:ind w:left="10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378"/>
        </w:trPr>
        <w:tc>
          <w:tcPr>
            <w:tcW w:w="2100" w:type="dxa"/>
            <w:vAlign w:val="bottom"/>
            <w:tcBorders>
              <w:righ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888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1"/>
        </w:trPr>
        <w:tc>
          <w:tcPr>
            <w:tcW w:w="2100" w:type="dxa"/>
            <w:vAlign w:val="bottom"/>
            <w:tcBorders>
              <w:bottom w:val="single" w:sz="8" w:color="auto"/>
              <w:right w:val="single" w:sz="8" w:color="auto"/>
            </w:tcBorders>
          </w:tcPr>
          <w:p>
            <w:pPr>
              <w:spacing w:after="0"/>
              <w:rPr>
                <w:sz w:val="7"/>
                <w:szCs w:val="7"/>
                <w:color w:val="auto"/>
              </w:rPr>
            </w:pPr>
          </w:p>
        </w:tc>
        <w:tc>
          <w:tcPr>
            <w:tcW w:w="440" w:type="dxa"/>
            <w:vAlign w:val="bottom"/>
            <w:tcBorders>
              <w:bottom w:val="single" w:sz="8" w:color="auto"/>
              <w:right w:val="single" w:sz="8" w:color="auto"/>
            </w:tcBorders>
          </w:tcPr>
          <w:p>
            <w:pPr>
              <w:spacing w:after="0"/>
              <w:rPr>
                <w:sz w:val="7"/>
                <w:szCs w:val="7"/>
                <w:color w:val="auto"/>
              </w:rPr>
            </w:pPr>
          </w:p>
        </w:tc>
        <w:tc>
          <w:tcPr>
            <w:tcW w:w="88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720" w:right="5640" w:hanging="590"/>
        <w:spacing w:after="0" w:line="502" w:lineRule="auto"/>
        <w:tabs>
          <w:tab w:leader="none" w:pos="72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Aggregate Amount Beneficially Owned by Each Reporting Person </w:t>
      </w:r>
      <w:r>
        <w:rPr>
          <w:rFonts w:ascii="Arial" w:cs="Arial" w:eastAsia="Arial" w:hAnsi="Arial"/>
          <w:sz w:val="16"/>
          <w:szCs w:val="16"/>
          <w:color w:val="auto"/>
        </w:rPr>
        <w:t>1,312,000 aggregate shares of Common Stock (see Item 4 below)</w:t>
      </w:r>
    </w:p>
    <w:p>
      <w:pPr>
        <w:ind w:left="720" w:right="4020" w:hanging="590"/>
        <w:spacing w:after="0" w:line="446" w:lineRule="auto"/>
        <w:tabs>
          <w:tab w:leader="none" w:pos="7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Check box if the aggregate amount in row (9) excludes certain shares (See Instructions) </w:t>
      </w:r>
      <w:r>
        <w:rPr>
          <w:rFonts w:ascii="Arial" w:cs="Arial" w:eastAsia="Arial" w:hAnsi="Arial"/>
          <w:sz w:val="18"/>
          <w:szCs w:val="18"/>
          <w:color w:val="auto"/>
        </w:rPr>
        <w:t>[ ]</w:t>
      </w:r>
    </w:p>
    <w:p>
      <w:pPr>
        <w:ind w:left="720" w:right="6920" w:hanging="590"/>
        <w:spacing w:after="0" w:line="454" w:lineRule="auto"/>
        <w:tabs>
          <w:tab w:leader="none" w:pos="7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6.58%</w:t>
      </w:r>
    </w:p>
    <w:p>
      <w:pPr>
        <w:ind w:left="720" w:right="7340" w:hanging="590"/>
        <w:spacing w:after="0" w:line="453" w:lineRule="auto"/>
        <w:tabs>
          <w:tab w:leader="none" w:pos="72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Type of Reporting Person (See Instructions) </w:t>
      </w:r>
      <w:r>
        <w:rPr>
          <w:rFonts w:ascii="Arial" w:cs="Arial" w:eastAsia="Arial" w:hAnsi="Arial"/>
          <w:sz w:val="16"/>
          <w:szCs w:val="16"/>
          <w:color w:val="auto"/>
        </w:rPr>
        <w:t>Longboard Capital Advisors, LLC – IA</w:t>
      </w:r>
    </w:p>
    <w:p>
      <w:pPr>
        <w:spacing w:after="0" w:line="38" w:lineRule="exact"/>
        <w:rPr>
          <w:rFonts w:ascii="Arial" w:cs="Arial" w:eastAsia="Arial" w:hAnsi="Arial"/>
          <w:sz w:val="16"/>
          <w:szCs w:val="16"/>
          <w:b w:val="1"/>
          <w:bCs w:val="1"/>
          <w:color w:val="auto"/>
        </w:rPr>
      </w:pPr>
    </w:p>
    <w:p>
      <w:pPr>
        <w:ind w:left="720"/>
        <w:spacing w:after="0"/>
        <w:rPr>
          <w:rFonts w:ascii="Arial" w:cs="Arial" w:eastAsia="Arial" w:hAnsi="Arial"/>
          <w:sz w:val="16"/>
          <w:szCs w:val="16"/>
          <w:b w:val="1"/>
          <w:bCs w:val="1"/>
          <w:color w:val="auto"/>
        </w:rPr>
      </w:pPr>
      <w:r>
        <w:rPr>
          <w:rFonts w:ascii="Arial" w:cs="Arial" w:eastAsia="Arial" w:hAnsi="Arial"/>
          <w:sz w:val="18"/>
          <w:szCs w:val="18"/>
          <w:color w:val="010202"/>
        </w:rPr>
        <w:t>Brett Conrad – IN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820" w:hanging="812"/>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25"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Imprimis Pharmaceuticals, Inc.</w:t>
      </w:r>
    </w:p>
    <w:p>
      <w:pPr>
        <w:spacing w:after="0" w:line="225" w:lineRule="exact"/>
        <w:rPr>
          <w:rFonts w:ascii="Arial" w:cs="Arial" w:eastAsia="Arial" w:hAnsi="Arial"/>
          <w:sz w:val="18"/>
          <w:szCs w:val="18"/>
          <w:color w:val="auto"/>
        </w:rPr>
      </w:pPr>
    </w:p>
    <w:p>
      <w:pPr>
        <w:ind w:left="820" w:hanging="812"/>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12264 El Camino Real, Suite 350</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San Diego, CA 92130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820" w:right="7800" w:hanging="812"/>
        <w:spacing w:after="0" w:line="501"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Person Filing Longboard Capital Advisors, LLC Brett Conrad</w:t>
      </w:r>
    </w:p>
    <w:p>
      <w:pPr>
        <w:ind w:left="820" w:right="5960" w:hanging="812"/>
        <w:spacing w:after="0" w:line="563" w:lineRule="auto"/>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 1312 Cedar St. Santa Monica, California 90405</w:t>
      </w:r>
    </w:p>
    <w:p>
      <w:pPr>
        <w:spacing w:after="0" w:line="1" w:lineRule="exact"/>
        <w:rPr>
          <w:rFonts w:ascii="Arial" w:cs="Arial" w:eastAsia="Arial" w:hAnsi="Arial"/>
          <w:sz w:val="16"/>
          <w:szCs w:val="16"/>
          <w:color w:val="auto"/>
        </w:rPr>
      </w:pPr>
    </w:p>
    <w:p>
      <w:pPr>
        <w:ind w:left="820" w:hanging="812"/>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25" w:lineRule="exact"/>
        <w:rPr>
          <w:rFonts w:ascii="Arial" w:cs="Arial" w:eastAsia="Arial" w:hAnsi="Arial"/>
          <w:sz w:val="18"/>
          <w:szCs w:val="18"/>
          <w:color w:val="auto"/>
        </w:rPr>
      </w:pPr>
    </w:p>
    <w:p>
      <w:pPr>
        <w:ind w:left="820" w:right="6940"/>
        <w:spacing w:after="0" w:line="501" w:lineRule="auto"/>
        <w:rPr>
          <w:rFonts w:ascii="Arial" w:cs="Arial" w:eastAsia="Arial" w:hAnsi="Arial"/>
          <w:sz w:val="18"/>
          <w:szCs w:val="18"/>
          <w:color w:val="auto"/>
        </w:rPr>
      </w:pPr>
      <w:r>
        <w:rPr>
          <w:rFonts w:ascii="Arial" w:cs="Arial" w:eastAsia="Arial" w:hAnsi="Arial"/>
          <w:sz w:val="18"/>
          <w:szCs w:val="18"/>
          <w:color w:val="auto"/>
        </w:rPr>
        <w:t>Longboard Capital Advisors, LLC – Delaware Brett Conrad – USA</w:t>
      </w:r>
    </w:p>
    <w:p>
      <w:pPr>
        <w:ind w:left="820" w:right="7860" w:hanging="812"/>
        <w:spacing w:after="0" w:line="563" w:lineRule="auto"/>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Title and Class of Securities Common Stock, $0.001 par value</w:t>
      </w:r>
    </w:p>
    <w:p>
      <w:pPr>
        <w:spacing w:after="0" w:line="1" w:lineRule="exact"/>
        <w:rPr>
          <w:rFonts w:ascii="Arial" w:cs="Arial" w:eastAsia="Arial" w:hAnsi="Arial"/>
          <w:sz w:val="16"/>
          <w:szCs w:val="16"/>
          <w:color w:val="auto"/>
        </w:rPr>
      </w:pPr>
    </w:p>
    <w:p>
      <w:pPr>
        <w:jc w:val="both"/>
        <w:ind w:left="820" w:right="9440" w:hanging="812"/>
        <w:spacing w:after="0" w:line="561" w:lineRule="auto"/>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CUSIP No. 45323A201</w:t>
      </w: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229" w:lineRule="exact"/>
        <w:rPr>
          <w:sz w:val="20"/>
          <w:szCs w:val="20"/>
          <w:color w:val="auto"/>
        </w:rPr>
      </w:pPr>
    </w:p>
    <w:p>
      <w:pPr>
        <w:ind w:left="920" w:hanging="331"/>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[_]  Broker or dealer registered under Section 15 of the Act;</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[_]  Bank as defined in Section 3(a)(6) of the Act;</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[_]  Insurance company as defined in Section 3(a)(19) of the Act;</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[_]  Investment company registered under Section 8 of the Investment Company Act of 1940;</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[_]  An investment adviser in accordance with Rule 13d-1(b)(1)(ii)(E);</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[_]  An employee benefit plan or endowment fund in accordance with Rule 13d-1(b)(1)(ii)(F);</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[_]  A parent holding company or control person in accordance with Rule 13d-1(b)(1)(ii)(G);</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[_]  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260" w:right="100" w:hanging="671"/>
        <w:spacing w:after="0" w:line="277" w:lineRule="auto"/>
        <w:tabs>
          <w:tab w:leader="none" w:pos="922" w:val="left"/>
        </w:tabs>
        <w:numPr>
          <w:ilvl w:val="0"/>
          <w:numId w:val="9"/>
        </w:numPr>
        <w:rPr>
          <w:rFonts w:ascii="Arial" w:cs="Arial" w:eastAsia="Arial" w:hAnsi="Arial"/>
          <w:sz w:val="18"/>
          <w:szCs w:val="18"/>
          <w:color w:val="auto"/>
        </w:rPr>
      </w:pPr>
      <w:r>
        <w:rPr>
          <w:rFonts w:ascii="Arial" w:cs="Arial" w:eastAsia="Arial" w:hAnsi="Arial"/>
          <w:sz w:val="18"/>
          <w:szCs w:val="18"/>
          <w:color w:val="auto"/>
        </w:rPr>
        <w:t>[_] A church plan that is excluded from the definition of an investment company under section 3(c)(14) of the Investment Company Act of 1940;</w:t>
      </w:r>
    </w:p>
    <w:p>
      <w:pPr>
        <w:spacing w:after="0" w:line="170" w:lineRule="exact"/>
        <w:rPr>
          <w:rFonts w:ascii="Arial" w:cs="Arial" w:eastAsia="Arial" w:hAnsi="Arial"/>
          <w:sz w:val="18"/>
          <w:szCs w:val="18"/>
          <w:color w:val="auto"/>
        </w:rPr>
      </w:pPr>
    </w:p>
    <w:p>
      <w:pPr>
        <w:ind w:left="920" w:hanging="331"/>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[_]  A non-U.S. institution in accordance with Rule 240.13d-1(b)(1)(ii)(J);</w:t>
      </w:r>
    </w:p>
    <w:p>
      <w:pPr>
        <w:spacing w:after="0" w:line="225" w:lineRule="exact"/>
        <w:rPr>
          <w:rFonts w:ascii="Arial" w:cs="Arial" w:eastAsia="Arial" w:hAnsi="Arial"/>
          <w:sz w:val="18"/>
          <w:szCs w:val="18"/>
          <w:color w:val="auto"/>
        </w:rPr>
      </w:pPr>
    </w:p>
    <w:p>
      <w:pPr>
        <w:ind w:left="1260" w:hanging="671"/>
        <w:spacing w:after="0" w:line="277" w:lineRule="auto"/>
        <w:tabs>
          <w:tab w:leader="none" w:pos="922" w:val="left"/>
        </w:tabs>
        <w:numPr>
          <w:ilvl w:val="0"/>
          <w:numId w:val="9"/>
        </w:numPr>
        <w:rPr>
          <w:rFonts w:ascii="Arial" w:cs="Arial" w:eastAsia="Arial" w:hAnsi="Arial"/>
          <w:sz w:val="18"/>
          <w:szCs w:val="18"/>
          <w:color w:val="auto"/>
        </w:rPr>
      </w:pPr>
      <w:r>
        <w:rPr>
          <w:rFonts w:ascii="Arial" w:cs="Arial" w:eastAsia="Arial" w:hAnsi="Arial"/>
          <w:sz w:val="18"/>
          <w:szCs w:val="18"/>
          <w:color w:val="auto"/>
        </w:rPr>
        <w:t>[_] Group, in accordance with Rule 240.13d-1(b)(1)(ii)(K). If filing as a non-U.S. institution in accordance with Rule 240.13d-1(b)(1)(ii)(J), please specify the type of institution: ____</w:t>
      </w:r>
    </w:p>
    <w:p>
      <w:pPr>
        <w:spacing w:after="0" w:line="38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00"/>
          </w:cols>
          <w:pgMar w:left="240" w:top="688" w:right="559" w:bottom="1440" w:gutter="0" w:footer="0" w:header="0"/>
        </w:sectPr>
      </w:pPr>
    </w:p>
    <w:bookmarkStart w:id="3" w:name="page4"/>
    <w:bookmarkEnd w:id="3"/>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820" w:hanging="812"/>
        <w:spacing w:after="0" w:line="277"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Beneficially Owned: 1,312,000 aggregate shares of Common Stock may be deemed to be beneficially owned by the Reporting Person, which includes 156,000 shares of Common Stock issuable upon exercise of Warrants.</w:t>
      </w:r>
    </w:p>
    <w:p>
      <w:pPr>
        <w:spacing w:after="0" w:line="170" w:lineRule="exact"/>
        <w:rPr>
          <w:rFonts w:ascii="Arial" w:cs="Arial" w:eastAsia="Arial" w:hAnsi="Arial"/>
          <w:sz w:val="18"/>
          <w:szCs w:val="18"/>
          <w:color w:val="auto"/>
        </w:rPr>
      </w:pPr>
    </w:p>
    <w:p>
      <w:pPr>
        <w:ind w:left="820" w:hanging="812"/>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6.58%</w:t>
      </w:r>
    </w:p>
    <w:p>
      <w:pPr>
        <w:spacing w:after="0" w:line="225" w:lineRule="exact"/>
        <w:rPr>
          <w:rFonts w:ascii="Arial" w:cs="Arial" w:eastAsia="Arial" w:hAnsi="Arial"/>
          <w:sz w:val="18"/>
          <w:szCs w:val="18"/>
          <w:color w:val="auto"/>
        </w:rPr>
      </w:pPr>
    </w:p>
    <w:p>
      <w:pPr>
        <w:ind w:left="820" w:hanging="812"/>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160" w:hanging="342"/>
        <w:spacing w:after="0"/>
        <w:tabs>
          <w:tab w:leader="none" w:pos="1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 1,312,000 aggregate shares of Common Stock (See Item 4a above).</w:t>
      </w:r>
    </w:p>
    <w:p>
      <w:pPr>
        <w:spacing w:after="0" w:line="225" w:lineRule="exact"/>
        <w:rPr>
          <w:rFonts w:ascii="Arial" w:cs="Arial" w:eastAsia="Arial" w:hAnsi="Arial"/>
          <w:sz w:val="18"/>
          <w:szCs w:val="18"/>
          <w:color w:val="auto"/>
        </w:rPr>
      </w:pPr>
    </w:p>
    <w:p>
      <w:pPr>
        <w:ind w:left="1160" w:hanging="342"/>
        <w:spacing w:after="0"/>
        <w:tabs>
          <w:tab w:leader="none" w:pos="1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25" w:lineRule="exact"/>
        <w:rPr>
          <w:rFonts w:ascii="Arial" w:cs="Arial" w:eastAsia="Arial" w:hAnsi="Arial"/>
          <w:sz w:val="18"/>
          <w:szCs w:val="18"/>
          <w:color w:val="auto"/>
        </w:rPr>
      </w:pPr>
    </w:p>
    <w:p>
      <w:pPr>
        <w:ind w:left="1160" w:hanging="342"/>
        <w:spacing w:after="0"/>
        <w:tabs>
          <w:tab w:leader="none" w:pos="1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1,312,000 aggregate shares of Common Stock (See Item 4a above).</w:t>
      </w:r>
    </w:p>
    <w:p>
      <w:pPr>
        <w:spacing w:after="0" w:line="225" w:lineRule="exact"/>
        <w:rPr>
          <w:rFonts w:ascii="Arial" w:cs="Arial" w:eastAsia="Arial" w:hAnsi="Arial"/>
          <w:sz w:val="18"/>
          <w:szCs w:val="18"/>
          <w:color w:val="auto"/>
        </w:rPr>
      </w:pPr>
    </w:p>
    <w:p>
      <w:pPr>
        <w:ind w:left="1160" w:hanging="342"/>
        <w:spacing w:after="0"/>
        <w:tabs>
          <w:tab w:leader="none" w:pos="1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820" w:right="2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This Item 6 is not applicable.</w:t>
      </w:r>
    </w:p>
    <w:p>
      <w:pPr>
        <w:spacing w:after="0" w:line="221" w:lineRule="exact"/>
        <w:rPr>
          <w:sz w:val="20"/>
          <w:szCs w:val="20"/>
          <w:color w:val="auto"/>
        </w:rPr>
      </w:pPr>
    </w:p>
    <w:p>
      <w:pPr>
        <w:ind w:left="820" w:right="20" w:hanging="809"/>
        <w:spacing w:after="0" w:line="282" w:lineRule="auto"/>
        <w:tabs>
          <w:tab w:leader="none" w:pos="80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 or control person.</w:t>
      </w:r>
    </w:p>
    <w:p>
      <w:pPr>
        <w:spacing w:after="0" w:line="16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This Item 7 is 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This Item 8 is 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This Item 9 is 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 w:name="page5"/>
    <w:bookmarkEnd w:id="4"/>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By signing below the Reporting Person certifies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Dated: March 28,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 Brett Conrad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Brett Conrad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Member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68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bullet"/>
      <w:start w:val="1"/>
    </w:lvl>
  </w:abstractNum>
  <w:abstractNum w:abstractNumId="1">
    <w:nsid w:val="507ED7AB"/>
    <w:multiLevelType w:val="hybridMultilevel"/>
    <w:lvl w:ilvl="0">
      <w:lvlJc w:val="left"/>
      <w:lvlText w:val="2"/>
      <w:numFmt w:val="bullet"/>
      <w:start w:val="1"/>
    </w:lvl>
    <w:lvl w:ilvl="1">
      <w:lvlJc w:val="left"/>
      <w:lvlText w:val="(%2)"/>
      <w:numFmt w:val="lowerLetter"/>
      <w:start w:val="1"/>
    </w:lvl>
  </w:abstractNum>
  <w:abstractNum w:abstractNumId="2">
    <w:nsid w:val="2EB141F2"/>
    <w:multiLevelType w:val="hybridMultilevel"/>
    <w:lvl w:ilvl="0">
      <w:lvlJc w:val="left"/>
      <w:lvlText w:val="3"/>
      <w:numFmt w:val="bullet"/>
      <w:start w:val="1"/>
    </w:lvl>
  </w:abstractNum>
  <w:abstractNum w:abstractNumId="3">
    <w:nsid w:val="41B71EFB"/>
    <w:multiLevelType w:val="hybridMultilevel"/>
    <w:lvl w:ilvl="0">
      <w:lvlJc w:val="left"/>
      <w:lvlText w:val="4"/>
      <w:numFmt w:val="bullet"/>
      <w:start w:val="1"/>
    </w:lvl>
  </w:abstractNum>
  <w:abstractNum w:abstractNumId="4">
    <w:nsid w:val="79E2A9E3"/>
    <w:multiLevelType w:val="hybridMultilevel"/>
    <w:lvl w:ilvl="0">
      <w:lvlJc w:val="left"/>
      <w:lvlText w:val="9"/>
      <w:numFmt w:val="bullet"/>
      <w:start w:val="1"/>
    </w:lvl>
  </w:abstractNum>
  <w:abstractNum w:abstractNumId="5">
    <w:nsid w:val="7545E146"/>
    <w:multiLevelType w:val="hybridMultilevel"/>
    <w:lvl w:ilvl="0">
      <w:lvlJc w:val="left"/>
      <w:lvlText w:val="%1"/>
      <w:numFmt w:val="decimal"/>
      <w:start w:val="10"/>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2020-01-16T18:10:38Z</dcterms:created>
  <dcterms:modified xsi:type="dcterms:W3CDTF">2020-01-16T18:10:38Z</dcterms:modified>
</cp:coreProperties>
</file>