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21,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70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30"/>
              <w:spacing w:after="0"/>
              <w:rPr>
                <w:sz w:val="20"/>
                <w:szCs w:val="20"/>
                <w:color w:val="auto"/>
              </w:rPr>
            </w:pPr>
            <w:r>
              <w:rPr>
                <w:rFonts w:ascii="Arial" w:cs="Arial" w:eastAsia="Arial" w:hAnsi="Arial"/>
                <w:sz w:val="18"/>
                <w:szCs w:val="18"/>
                <w:color w:val="auto"/>
                <w:w w:val="92"/>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30"/>
              <w:spacing w:after="0"/>
              <w:rPr>
                <w:sz w:val="20"/>
                <w:szCs w:val="20"/>
                <w:color w:val="auto"/>
              </w:rPr>
            </w:pPr>
            <w:r>
              <w:rPr>
                <w:rFonts w:ascii="Arial" w:cs="Arial" w:eastAsia="Arial" w:hAnsi="Arial"/>
                <w:sz w:val="18"/>
                <w:szCs w:val="18"/>
                <w:color w:val="auto"/>
                <w:w w:val="93"/>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12264 El Camino Real, Suite 350</w:t>
            </w:r>
          </w:p>
        </w:tc>
        <w:tc>
          <w:tcPr>
            <w:tcW w:w="23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0"/>
        </w:trPr>
        <w:tc>
          <w:tcPr>
            <w:tcW w:w="4320" w:type="dxa"/>
            <w:vAlign w:val="bottom"/>
          </w:tcPr>
          <w:p>
            <w:pPr>
              <w:jc w:val="center"/>
              <w:ind w:left="1370"/>
              <w:spacing w:after="0"/>
              <w:rPr>
                <w:sz w:val="20"/>
                <w:szCs w:val="20"/>
                <w:color w:val="auto"/>
              </w:rPr>
            </w:pPr>
            <w:r>
              <w:rPr>
                <w:rFonts w:ascii="Arial" w:cs="Arial" w:eastAsia="Arial" w:hAnsi="Arial"/>
                <w:sz w:val="18"/>
                <w:szCs w:val="18"/>
                <w:b w:val="1"/>
                <w:bCs w:val="1"/>
                <w:color w:val="auto"/>
                <w:w w:val="91"/>
              </w:rPr>
              <w:t>San Diego, CA</w:t>
            </w:r>
          </w:p>
        </w:tc>
        <w:tc>
          <w:tcPr>
            <w:tcW w:w="2360" w:type="dxa"/>
            <w:vAlign w:val="bottom"/>
          </w:tcPr>
          <w:p>
            <w:pPr>
              <w:spacing w:after="0"/>
              <w:rPr>
                <w:sz w:val="19"/>
                <w:szCs w:val="19"/>
                <w:color w:val="auto"/>
              </w:rPr>
            </w:pPr>
          </w:p>
        </w:tc>
        <w:tc>
          <w:tcPr>
            <w:tcW w:w="270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70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21, 2017, Imprimis Pharmaceuticals, Inc. (the “Company”) issued a press release announcing its financial results for the fourth quarter and year ended December 31, 2016.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21,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March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661"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 March 21,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749425"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Fourth Quarter and Year-End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San Diego, CA – March 21, 2017 — Imprimis Pharmaceuticals, Inc. (NASDAQ: IMMY), an ophthalmology-focused pharmaceutical company, today reported financial results for the fourth quarter and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Fourth Quarter Financial Highlights and Recent Developments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of $5.8 million in the fourth quarter of 2016, up 65% compared to revenue of $3.5 million reported for the same quarter a year ago, and representing a 19% increase compared to revenue of $4.9 million in third quarter 2016. Total revenue for the year 2016 was $19.9 million, a 105% increase compared to $9.7 million reported for the full-year 2015.</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Ophthalmology-related sales were $3.6 million in the fourth quarter, representing a 20% quarterly growth rate compared to $3.0 million reported in the third quarter 2016. For the year 2016, ophthalmology-related sales were $11.0 million, an over 200% increase compared to $3.1 million reported for full-year 2015.</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from operations of $3.5 million and net loss of $6.1 million in fourth quarter of 2016, compared to loss from operations of $4.7 million and net loss of $5.1 million reported the same quarter of the prior year.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for the fourth quarter of 2016 was $2.4 million, an improvement compared to an Adjusted EBITDA loss of $3.0 million reported in the fourth quarter of 2015.</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margin reported in the fourth quarter 2016 was 47% compared to 44% for the same quarter the prior year. The company expects gross margins to increase during 2017 as a result of increased production, labor and ordering efficiencies at the New Jersey outsourcing facility, and implementation of previously-announced cost-reduction programs to decrease cash-based expenses by $3 million annually.</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 private placement transaction of common stock for a total of approximately $10.1 million in gross proceeds, before deducting underwriting and other customary expenses. The company’s CEO, CFO, Sr. Director of Corporate Development and a Board member participated in the offering.</w:t>
      </w:r>
    </w:p>
    <w:p>
      <w:pPr>
        <w:spacing w:after="0" w:line="184" w:lineRule="exact"/>
        <w:rPr>
          <w:rFonts w:ascii="Arial" w:cs="Arial" w:eastAsia="Arial" w:hAnsi="Arial"/>
          <w:sz w:val="18"/>
          <w:szCs w:val="18"/>
          <w:color w:val="auto"/>
        </w:rPr>
      </w:pPr>
    </w:p>
    <w:p>
      <w:pPr>
        <w:ind w:left="660" w:hanging="328"/>
        <w:spacing w:after="0" w:line="217" w:lineRule="auto"/>
        <w:tabs>
          <w:tab w:leader="none" w:pos="66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color w:val="auto"/>
        </w:rPr>
        <w:t>With a compounded annual growth rate from 2014-2016 of 245%, Imprimis was recently ranked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fastest growing biotech/pharmaceutical company and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overall fastest growing company on Deloitte’s Technology Fast 500™ ranking of North American companies.</w:t>
      </w:r>
    </w:p>
    <w:p>
      <w:pPr>
        <w:spacing w:after="0" w:line="80" w:lineRule="exact"/>
        <w:rPr>
          <w:rFonts w:ascii="Arial" w:cs="Arial" w:eastAsia="Arial" w:hAnsi="Arial"/>
          <w:sz w:val="34"/>
          <w:szCs w:val="34"/>
          <w:color w:val="auto"/>
          <w:vertAlign w:val="superscript"/>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production of Imprimis’ core sterile ophthalmic formulations from the company’s new state-of-the-art FDA-registered outsourcing facility complying with current good manufacturing practice (cGMP) requirements for outsourcing facilities and enabling a simplified customer ordering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color w:val="auto"/>
        </w:rPr>
        <w:t>Mark L. Baum, CEO of Imprimis, stated, “We are pleased with our record growth in the fourth quarter and for the fiscal year 2016. Last year was a strategically critical time as we completed our New Jersey 503B outsourcing facility and registered it with the FDA and also assembled a seasoned senior management team to lead us into 2017 and beyond. We expect our new 503B facility will play an important role as our customer network expands and we enter new ophthalmic markets. Our goal is to continue growing market share in our core ophthalmology markets, cataract and refractive surgeries, while selectively targeting new larger markets within ophthalmology. In the first half of the year, we expect to launch our glaucoma strategy, which will include a series of preservative-free combination drops never before available in the U.S. We are also planning to make repackaged Avastin for wet age-related macular degeneration (Wet AMD) and diabetic macular edema (DME), and new mydriatics and anesthetics for ocular surgery. As we end the first half, we expect to launch new formulations for infection and inflammation targeted at the ophthalmic and optometric markets. During the second half of 2017, we anticipate launching our dry eye disease (DED) program which our team has been developing over the past year.”</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exciting future as we continue to innovate new products and create value for our shareholders from our growing base of drug assets. I am confident the investments we have made to date will drive meaningful financial progress and allow us to reach our near-term goal of profitability, while ensuring a stable platform for our long-term growth. The entire Imprimis team remains steadfast in our commitment to the company’s mission and vision of providing high-quality innovative medications to physicians and their patients at affordable prices while building value for our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Commercialization and Corporate Developments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Dropless Therapy® and LessDrops® combination topical drops are capturing an estimated 10 percent market share from large eye drop companies.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Serviced over 600,000 ocular surgeries since launch in April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Expanded customer base to over 1,500 ophthalmologists.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Growing a strong library of published clinical data. A recently-announced peer-reviewed paper provided a retrospective review of the efficacy of Dropless® and its benefits to patients, physicians and their staff.</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 120 physicians are now prescribers of the IV Free MKO Melt sublingual conscious sedation formulation, an option to intravenous anesthetic for patients undergoing ocular and other surgical procedures. Imprimis intends to add the MKO Melt to its 503B facility portfolio in 2017 eliminating the need for patient-specific prescriptions and allowing for volume orders. During the year, the company plans to support two MKO Melt investigator-initiated studies at major U.S. teaching organizations focused in ophthalmology and dentistry. Additional surgical market opportunities for the MKO Melt include dental procedures, colonoscopies, prostatectomies, women’s health, dermatology procedures and vasectomies, representing over 70 million procedures performed annually in the U.S.</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an agreement with the specialty pharmacy division of one of the largest pharmacy benefit managers in the country to supply Imprimis’ complete formulary through its national network of specialty pharmacies. This renowned PBM serves more than 65 million patients and dispenses one billion prescriptions annually.</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intellectual property (IP) portfolio in ophthalmology and other technologies. Imprimis now owns 27 key domestic and international patents or pending patent applications and over 150 U.S. and international trademarks have been issued or pending supportive of the company’s commercial sales and marketing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ImprimisRx Pharmacy Operations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February 2017 began shipments of core sterile ophthalmic formulations from the company’s New Jersey FDA-registered outsourcing facility in compliance with cGMP requirements for outsourcing facilities. Customers can register for an ImprimisRx 503B account to purchase the company’s flagship Dropless and LessDrops medications in convenient 20-unit boxes without the need for patient-specific prescriptions at </w:t>
      </w:r>
      <w:r>
        <w:rPr>
          <w:rFonts w:ascii="Arial" w:cs="Arial" w:eastAsia="Arial" w:hAnsi="Arial"/>
          <w:sz w:val="17"/>
          <w:szCs w:val="17"/>
          <w:u w:val="single" w:color="auto"/>
          <w:color w:val="auto"/>
        </w:rPr>
        <w:t>http://www.imprimisrx.com/503b-prereg/</w:t>
      </w:r>
      <w:r>
        <w:rPr>
          <w:rFonts w:ascii="Arial" w:cs="Arial" w:eastAsia="Arial" w:hAnsi="Arial"/>
          <w:sz w:val="17"/>
          <w:szCs w:val="17"/>
          <w:color w:val="auto"/>
        </w:rPr>
        <w:t>. The facility is fully equipped with automated filling and labeling robotics and a new integrated order and fulfillment system that bypasses customer service and moves orders directly to the facility’s fulfillment center. The investments made to increase production and ordering efficiencies are expected to increase the customer experience and drive sales growth and increase margins.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full year ended December 31, 2016 and for the same periods in 2015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For the three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months ended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December 31, 2016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 2015</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3,071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(6,102)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(5,124)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(0.53)</w:t>
            </w:r>
          </w:p>
        </w:tc>
      </w:tr>
      <w:tr>
        <w:trPr>
          <w:trHeight w:val="414"/>
        </w:trPr>
        <w:tc>
          <w:tcPr>
            <w:tcW w:w="6180" w:type="dxa"/>
            <w:vAlign w:val="bottom"/>
          </w:tcPr>
          <w:p>
            <w:pPr>
              <w:spacing w:after="0"/>
              <w:rPr>
                <w:sz w:val="24"/>
                <w:szCs w:val="24"/>
                <w:color w:val="auto"/>
              </w:rPr>
            </w:pPr>
          </w:p>
        </w:tc>
        <w:tc>
          <w:tcPr>
            <w:tcW w:w="2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For the year ended December</w:t>
            </w:r>
          </w:p>
        </w:tc>
        <w:tc>
          <w:tcPr>
            <w:tcW w:w="140" w:type="dxa"/>
            <w:vAlign w:val="bottom"/>
          </w:tcPr>
          <w:p>
            <w:pPr>
              <w:spacing w:after="0"/>
              <w:rPr>
                <w:sz w:val="24"/>
                <w:szCs w:val="24"/>
                <w:color w:val="auto"/>
              </w:rPr>
            </w:pPr>
          </w:p>
        </w:tc>
        <w:tc>
          <w:tcPr>
            <w:tcW w:w="2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year ended December</w:t>
            </w:r>
          </w:p>
        </w:tc>
      </w:tr>
      <w:tr>
        <w:trPr>
          <w:trHeight w:val="241"/>
        </w:trPr>
        <w:tc>
          <w:tcPr>
            <w:tcW w:w="6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31, 2016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9,831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5,206</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7,382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28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 and goodwill</w:t>
            </w: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0"/>
                <w:szCs w:val="20"/>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(1.66)</w:t>
            </w:r>
          </w:p>
        </w:tc>
      </w:tr>
      <w:tr>
        <w:trPr>
          <w:trHeight w:val="421"/>
        </w:trPr>
        <w:tc>
          <w:tcPr>
            <w:tcW w:w="6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8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2016</w:t>
            </w:r>
          </w:p>
        </w:tc>
      </w:tr>
      <w:tr>
        <w:trPr>
          <w:trHeight w:val="216"/>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57"/>
        </w:trPr>
        <w:tc>
          <w:tcPr>
            <w:tcW w:w="80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Impairment of intangible assets and goodwill</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4"/>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(2,378)</w:t>
            </w:r>
          </w:p>
        </w:tc>
      </w:tr>
    </w:tbl>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 Non-recurring expense items include one-time cost for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8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2015</w:t>
            </w:r>
          </w:p>
        </w:tc>
      </w:tr>
      <w:tr>
        <w:trPr>
          <w:trHeight w:val="216"/>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57"/>
        </w:trPr>
        <w:tc>
          <w:tcPr>
            <w:tcW w:w="80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(2,969)</w:t>
            </w:r>
          </w:p>
        </w:tc>
      </w:tr>
    </w:tbl>
    <w:p>
      <w:pPr>
        <w:spacing w:after="0" w:line="202" w:lineRule="exact"/>
        <w:rPr>
          <w:sz w:val="20"/>
          <w:szCs w:val="20"/>
          <w:color w:val="auto"/>
        </w:rPr>
      </w:pPr>
    </w:p>
    <w:p>
      <w:pPr>
        <w:ind w:left="340" w:hanging="8"/>
        <w:spacing w:after="0" w:line="277" w:lineRule="auto"/>
        <w:tabs>
          <w:tab w:leader="none" w:pos="60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Non-recurring expense items include certain transactional expenses and expenses related to restructuring the company’s sales and marketing efforts, including severance expenses.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company’s management team will host a conference call and audio-only webcast today at 4:30 p.m. EST (1:30 p.m. PST) to discuss the financial results and recent developments. To participate in the call, please dial (877)-407-8035 for domestic callers or (201)-689-8035 for international callers. To listen to the webcast, please click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or visit the investor relations section of the Imprimis website at </w:t>
      </w:r>
      <w:r>
        <w:rPr>
          <w:rFonts w:ascii="Arial" w:cs="Arial" w:eastAsia="Arial" w:hAnsi="Arial"/>
          <w:sz w:val="16"/>
          <w:szCs w:val="16"/>
          <w:u w:val="single" w:color="auto"/>
          <w:color w:val="auto"/>
        </w:rPr>
        <w:t>www.ImprimisRx.com</w:t>
      </w:r>
      <w:r>
        <w:rPr>
          <w:rFonts w:ascii="Arial" w:cs="Arial" w:eastAsia="Arial" w:hAnsi="Arial"/>
          <w:sz w:val="16"/>
          <w:szCs w:val="16"/>
          <w:color w:val="auto"/>
        </w:rPr>
        <w:t>. A replay of the call will be available until April 21, 2017. To access the replay, dial (877)-481-4010 domestically or (919)-882-2331 internationally and reference Conference ID: 10212.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2020-01-16T16:03:49Z</dcterms:created>
  <dcterms:modified xsi:type="dcterms:W3CDTF">2020-01-16T16:03:49Z</dcterms:modified>
</cp:coreProperties>
</file>