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57" w:lineRule="exact"/>
        <w:rPr>
          <w:sz w:val="24"/>
          <w:szCs w:val="24"/>
          <w:color w:val="auto"/>
        </w:rPr>
      </w:pPr>
    </w:p>
    <w:p>
      <w:pPr>
        <w:ind w:right="2060" w:firstLine="8"/>
        <w:spacing w:after="0" w:line="532" w:lineRule="auto"/>
        <w:tabs>
          <w:tab w:leader="none" w:pos="20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2012</w:t>
      </w:r>
    </w:p>
    <w:p>
      <w:pPr>
        <w:ind w:right="2120"/>
        <w:spacing w:after="0" w:line="532" w:lineRule="auto"/>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 TRANSITION REPORT PURSUANT TO SECTION 13 OR 15(d) OF THE SECURITIES EXCHANGE ACT OF 1934 For the transition period from ___________ to _____________</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5"/>
          </w:tcPr>
          <w:p>
            <w:pPr>
              <w:jc w:val="center"/>
              <w:ind w:right="1840"/>
              <w:spacing w:after="0"/>
              <w:rPr>
                <w:sz w:val="20"/>
                <w:szCs w:val="20"/>
                <w:color w:val="auto"/>
              </w:rPr>
            </w:pPr>
            <w:r>
              <w:rPr>
                <w:rFonts w:ascii="Arial" w:cs="Arial" w:eastAsia="Arial" w:hAnsi="Arial"/>
                <w:sz w:val="18"/>
                <w:szCs w:val="18"/>
                <w:b w:val="1"/>
                <w:bCs w:val="1"/>
                <w:color w:val="auto"/>
                <w:w w:val="91"/>
              </w:rPr>
              <w:t>Commission File Number: 000-52998</w:t>
            </w:r>
          </w:p>
        </w:tc>
      </w:tr>
      <w:tr>
        <w:trPr>
          <w:trHeight w:val="486"/>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Borders>
              <w:bottom w:val="single" w:sz="8" w:color="auto"/>
            </w:tcBorders>
            <w:gridSpan w:val="5"/>
          </w:tcPr>
          <w:p>
            <w:pPr>
              <w:jc w:val="center"/>
              <w:spacing w:after="0"/>
              <w:rPr>
                <w:sz w:val="20"/>
                <w:szCs w:val="20"/>
                <w:color w:val="auto"/>
              </w:rPr>
            </w:pPr>
            <w:r>
              <w:rPr>
                <w:rFonts w:ascii="Arial" w:cs="Arial" w:eastAsia="Arial" w:hAnsi="Arial"/>
                <w:sz w:val="25"/>
                <w:szCs w:val="25"/>
                <w:b w:val="1"/>
                <w:bCs w:val="1"/>
                <w:color w:val="auto"/>
                <w:w w:val="92"/>
              </w:rPr>
              <w:t>Imprimis Pharmaceuticals, Inc.</w:t>
            </w:r>
          </w:p>
        </w:tc>
        <w:tc>
          <w:tcPr>
            <w:tcW w:w="1720" w:type="dxa"/>
            <w:vAlign w:val="bottom"/>
          </w:tcPr>
          <w:p>
            <w:pPr>
              <w:spacing w:after="0"/>
              <w:rPr>
                <w:sz w:val="24"/>
                <w:szCs w:val="24"/>
                <w:color w:val="auto"/>
              </w:rPr>
            </w:pPr>
          </w:p>
        </w:tc>
      </w:tr>
      <w:tr>
        <w:trPr>
          <w:trHeight w:val="250"/>
        </w:trPr>
        <w:tc>
          <w:tcPr>
            <w:tcW w:w="3760" w:type="dxa"/>
            <w:vAlign w:val="bottom"/>
          </w:tcPr>
          <w:p>
            <w:pPr>
              <w:spacing w:after="0"/>
              <w:rPr>
                <w:sz w:val="21"/>
                <w:szCs w:val="21"/>
                <w:color w:val="auto"/>
              </w:rPr>
            </w:pPr>
          </w:p>
        </w:tc>
        <w:tc>
          <w:tcPr>
            <w:tcW w:w="5380" w:type="dxa"/>
            <w:vAlign w:val="bottom"/>
            <w:gridSpan w:val="7"/>
          </w:tcPr>
          <w:p>
            <w:pPr>
              <w:jc w:val="center"/>
              <w:ind w:right="146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66"/>
        </w:trPr>
        <w:tc>
          <w:tcPr>
            <w:tcW w:w="376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Delaware</w:t>
            </w:r>
          </w:p>
        </w:tc>
        <w:tc>
          <w:tcPr>
            <w:tcW w:w="5380" w:type="dxa"/>
            <w:vAlign w:val="bottom"/>
            <w:gridSpan w:val="7"/>
          </w:tcPr>
          <w:p>
            <w:pPr>
              <w:jc w:val="right"/>
              <w:ind w:right="1620"/>
              <w:spacing w:after="0"/>
              <w:rPr>
                <w:sz w:val="20"/>
                <w:szCs w:val="20"/>
                <w:color w:val="auto"/>
              </w:rPr>
            </w:pPr>
            <w:r>
              <w:rPr>
                <w:rFonts w:ascii="Arial" w:cs="Arial" w:eastAsia="Arial" w:hAnsi="Arial"/>
                <w:sz w:val="18"/>
                <w:szCs w:val="18"/>
                <w:b w:val="1"/>
                <w:bCs w:val="1"/>
                <w:color w:val="auto"/>
              </w:rPr>
              <w:t>45-0567010</w:t>
            </w:r>
          </w:p>
        </w:tc>
      </w:tr>
      <w:tr>
        <w:trPr>
          <w:trHeight w:val="202"/>
        </w:trPr>
        <w:tc>
          <w:tcPr>
            <w:tcW w:w="3760" w:type="dxa"/>
            <w:vAlign w:val="bottom"/>
            <w:tcBorders>
              <w:top w:val="single" w:sz="8" w:color="auto"/>
            </w:tcBorders>
          </w:tcPr>
          <w:p>
            <w:pPr>
              <w:jc w:val="center"/>
              <w:ind w:left="290"/>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gridSpan w:val="3"/>
          </w:tcPr>
          <w:p>
            <w:pPr>
              <w:jc w:val="center"/>
              <w:ind w:right="12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760" w:type="dxa"/>
            <w:vAlign w:val="bottom"/>
          </w:tcPr>
          <w:p>
            <w:pPr>
              <w:jc w:val="center"/>
              <w:ind w:left="270"/>
              <w:spacing w:after="0"/>
              <w:rPr>
                <w:sz w:val="20"/>
                <w:szCs w:val="20"/>
                <w:color w:val="auto"/>
              </w:rPr>
            </w:pPr>
            <w:r>
              <w:rPr>
                <w:rFonts w:ascii="Arial" w:cs="Arial" w:eastAsia="Arial" w:hAnsi="Arial"/>
                <w:sz w:val="18"/>
                <w:szCs w:val="18"/>
                <w:color w:val="auto"/>
                <w:w w:val="92"/>
              </w:rPr>
              <w:t>organization)</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376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437 S. Hwy 101, Suite 209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1"/>
        </w:trPr>
        <w:tc>
          <w:tcPr>
            <w:tcW w:w="376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Solana Beach, CA</w:t>
            </w:r>
          </w:p>
        </w:tc>
        <w:tc>
          <w:tcPr>
            <w:tcW w:w="366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92075</w:t>
            </w:r>
          </w:p>
        </w:tc>
        <w:tc>
          <w:tcPr>
            <w:tcW w:w="1720" w:type="dxa"/>
            <w:vAlign w:val="bottom"/>
          </w:tcPr>
          <w:p>
            <w:pPr>
              <w:spacing w:after="0"/>
              <w:rPr>
                <w:sz w:val="20"/>
                <w:szCs w:val="20"/>
                <w:color w:val="auto"/>
              </w:rPr>
            </w:pPr>
          </w:p>
        </w:tc>
      </w:tr>
      <w:tr>
        <w:trPr>
          <w:trHeight w:val="230"/>
        </w:trPr>
        <w:tc>
          <w:tcPr>
            <w:tcW w:w="3760" w:type="dxa"/>
            <w:vAlign w:val="bottom"/>
            <w:tcBorders>
              <w:top w:val="single" w:sz="8" w:color="auto"/>
            </w:tcBorders>
          </w:tcPr>
          <w:p>
            <w:pPr>
              <w:jc w:val="center"/>
              <w:ind w:left="290"/>
              <w:spacing w:after="0"/>
              <w:rPr>
                <w:sz w:val="20"/>
                <w:szCs w:val="20"/>
                <w:color w:val="auto"/>
              </w:rPr>
            </w:pPr>
            <w:r>
              <w:rPr>
                <w:rFonts w:ascii="Arial" w:cs="Arial" w:eastAsia="Arial" w:hAnsi="Arial"/>
                <w:sz w:val="18"/>
                <w:szCs w:val="18"/>
                <w:color w:val="auto"/>
                <w:w w:val="92"/>
              </w:rPr>
              <w:t>(Address of principal executive offices)</w:t>
            </w: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gridSpan w:val="2"/>
          </w:tcPr>
          <w:p>
            <w:pPr>
              <w:jc w:val="center"/>
              <w:ind w:right="1260"/>
              <w:spacing w:after="0"/>
              <w:rPr>
                <w:sz w:val="20"/>
                <w:szCs w:val="20"/>
                <w:color w:val="auto"/>
              </w:rPr>
            </w:pPr>
            <w:r>
              <w:rPr>
                <w:rFonts w:ascii="Arial" w:cs="Arial" w:eastAsia="Arial" w:hAnsi="Arial"/>
                <w:sz w:val="18"/>
                <w:szCs w:val="18"/>
                <w:color w:val="auto"/>
                <w:w w:val="93"/>
              </w:rPr>
              <w:t>(Zip code)</w:t>
            </w:r>
          </w:p>
        </w:tc>
      </w:tr>
      <w:tr>
        <w:trPr>
          <w:trHeight w:val="404"/>
        </w:trPr>
        <w:tc>
          <w:tcPr>
            <w:tcW w:w="3760" w:type="dxa"/>
            <w:vAlign w:val="bottom"/>
          </w:tcPr>
          <w:p>
            <w:pPr>
              <w:spacing w:after="0"/>
              <w:rPr>
                <w:sz w:val="24"/>
                <w:szCs w:val="24"/>
                <w:color w:val="auto"/>
              </w:rPr>
            </w:pPr>
          </w:p>
        </w:tc>
        <w:tc>
          <w:tcPr>
            <w:tcW w:w="2520" w:type="dxa"/>
            <w:vAlign w:val="bottom"/>
            <w:gridSpan w:val="5"/>
          </w:tcPr>
          <w:p>
            <w:pPr>
              <w:jc w:val="center"/>
              <w:ind w:left="1310"/>
              <w:spacing w:after="0"/>
              <w:rPr>
                <w:sz w:val="20"/>
                <w:szCs w:val="20"/>
                <w:color w:val="auto"/>
              </w:rPr>
            </w:pPr>
            <w:r>
              <w:rPr>
                <w:rFonts w:ascii="Arial" w:cs="Arial" w:eastAsia="Arial" w:hAnsi="Arial"/>
                <w:sz w:val="18"/>
                <w:szCs w:val="18"/>
                <w:b w:val="1"/>
                <w:bCs w:val="1"/>
                <w:color w:val="auto"/>
                <w:w w:val="90"/>
              </w:rPr>
              <w:t>(858) 433-2800</w:t>
            </w: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
        </w:trPr>
        <w:tc>
          <w:tcPr>
            <w:tcW w:w="37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237"/>
        </w:trPr>
        <w:tc>
          <w:tcPr>
            <w:tcW w:w="3760" w:type="dxa"/>
            <w:vAlign w:val="bottom"/>
          </w:tcPr>
          <w:p>
            <w:pPr>
              <w:spacing w:after="0"/>
              <w:rPr>
                <w:sz w:val="20"/>
                <w:szCs w:val="20"/>
                <w:color w:val="auto"/>
              </w:rPr>
            </w:pPr>
          </w:p>
        </w:tc>
        <w:tc>
          <w:tcPr>
            <w:tcW w:w="5380" w:type="dxa"/>
            <w:vAlign w:val="bottom"/>
            <w:gridSpan w:val="7"/>
          </w:tcPr>
          <w:p>
            <w:pPr>
              <w:jc w:val="center"/>
              <w:ind w:right="148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29" w:lineRule="exact"/>
        <w:rPr>
          <w:sz w:val="24"/>
          <w:szCs w:val="24"/>
          <w:color w:val="auto"/>
        </w:rPr>
      </w:pPr>
    </w:p>
    <w:p>
      <w:pPr>
        <w:jc w:val="both"/>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301" w:right="239" w:bottom="1440" w:gutter="0" w:footer="0" w:header="0"/>
        </w:sectPr>
      </w:pPr>
    </w:p>
    <w:p>
      <w:pPr>
        <w:spacing w:after="0" w:line="264" w:lineRule="exact"/>
        <w:rPr>
          <w:sz w:val="24"/>
          <w:szCs w:val="24"/>
          <w:color w:val="auto"/>
        </w:rPr>
      </w:pPr>
    </w:p>
    <w:p>
      <w:pPr>
        <w:ind w:left="11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2760" w:space="400"/>
            <w:col w:w="100" w:space="180"/>
            <w:col w:w="3340" w:space="680"/>
            <w:col w:w="1960" w:space="320"/>
            <w:col w:w="1680"/>
          </w:cols>
          <w:pgMar w:left="240" w:top="301"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PROCEEDINGS DURING THE PRECEDING FIVE YEARS</w:t>
      </w:r>
    </w:p>
    <w:p>
      <w:pPr>
        <w:spacing w:after="0" w:line="23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whether the registrant filed all documents and reports required to be filed by Section 12, 13, or 15(d) of the Exchange Act of 1934 after the distribution of securities under a plan confirmed by a court. Yes o No o</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As of August 14, 2012, </w:t>
      </w:r>
      <w:r>
        <w:rPr>
          <w:rFonts w:ascii="Arial" w:cs="Arial" w:eastAsia="Arial" w:hAnsi="Arial"/>
          <w:sz w:val="18"/>
          <w:szCs w:val="18"/>
          <w:b w:val="1"/>
          <w:bCs w:val="1"/>
          <w:color w:val="auto"/>
        </w:rPr>
        <w:t>29,696,213</w:t>
      </w:r>
      <w:r>
        <w:rPr>
          <w:rFonts w:ascii="Arial" w:cs="Arial" w:eastAsia="Arial" w:hAnsi="Arial"/>
          <w:sz w:val="18"/>
          <w:szCs w:val="18"/>
          <w:color w:val="auto"/>
        </w:rPr>
        <w:t xml:space="preserve"> shares of the issuer’s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1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1220" w:type="dxa"/>
            <w:vAlign w:val="bottom"/>
            <w:gridSpan w:val="2"/>
          </w:tcPr>
          <w:p>
            <w:pPr>
              <w:ind w:lef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9140" w:type="dxa"/>
            <w:vAlign w:val="bottom"/>
            <w:vMerge w:val="continue"/>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1.</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 (unaudited)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2.</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3.</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4.</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40" w:type="dxa"/>
            <w:vAlign w:val="bottom"/>
          </w:tcPr>
          <w:p>
            <w:pPr>
              <w:ind w:left="100"/>
              <w:spacing w:after="0"/>
              <w:rPr>
                <w:sz w:val="20"/>
                <w:szCs w:val="20"/>
                <w:color w:val="auto"/>
              </w:rPr>
            </w:pPr>
            <w:r>
              <w:rPr>
                <w:rFonts w:ascii="Arial" w:cs="Arial" w:eastAsia="Arial" w:hAnsi="Arial"/>
                <w:sz w:val="18"/>
                <w:szCs w:val="18"/>
                <w:b w:val="1"/>
                <w:bCs w:val="1"/>
                <w:color w:val="auto"/>
              </w:rPr>
              <w:t>OTHER INFORMATION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1.</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Proceedings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1A.</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 Factors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6.</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Signatures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581"/>
        </w:trPr>
        <w:tc>
          <w:tcPr>
            <w:tcW w:w="1060" w:type="dxa"/>
            <w:vAlign w:val="bottom"/>
          </w:tcPr>
          <w:p>
            <w:pPr>
              <w:spacing w:after="0"/>
              <w:rPr>
                <w:sz w:val="24"/>
                <w:szCs w:val="24"/>
                <w:color w:val="auto"/>
              </w:rPr>
            </w:pPr>
          </w:p>
        </w:tc>
        <w:tc>
          <w:tcPr>
            <w:tcW w:w="9140" w:type="dxa"/>
            <w:vAlign w:val="bottom"/>
          </w:tcPr>
          <w:p>
            <w:pPr>
              <w:ind w:left="460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60" w:type="dxa"/>
            <w:vAlign w:val="bottom"/>
            <w:tcBorders>
              <w:bottom w:val="single" w:sz="8" w:color="808080"/>
            </w:tcBorders>
          </w:tcPr>
          <w:p>
            <w:pPr>
              <w:spacing w:after="0"/>
              <w:rPr>
                <w:sz w:val="10"/>
                <w:szCs w:val="10"/>
                <w:color w:val="auto"/>
              </w:rPr>
            </w:pPr>
          </w:p>
        </w:tc>
        <w:tc>
          <w:tcPr>
            <w:tcW w:w="91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2"/>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700" w:type="dxa"/>
            <w:vAlign w:val="bottom"/>
            <w:vMerge w:val="restart"/>
          </w:tcPr>
          <w:p>
            <w:pPr>
              <w:ind w:left="40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7,717,292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146,160</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45,945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14,797</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offering costs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Borders>
              <w:top w:val="single" w:sz="8" w:color="CCEEFF"/>
            </w:tcBorders>
          </w:tcPr>
          <w:p>
            <w:pPr>
              <w:ind w:left="2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7,880,969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160,957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7,895,030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160,957</w:t>
            </w:r>
          </w:p>
        </w:tc>
        <w:tc>
          <w:tcPr>
            <w:tcW w:w="0" w:type="dxa"/>
            <w:vAlign w:val="bottom"/>
          </w:tcPr>
          <w:p>
            <w:pPr>
              <w:spacing w:after="0"/>
              <w:rPr>
                <w:sz w:val="1"/>
                <w:szCs w:val="1"/>
                <w:color w:val="auto"/>
              </w:rPr>
            </w:pPr>
          </w:p>
        </w:tc>
      </w:tr>
      <w:tr>
        <w:trPr>
          <w:trHeight w:val="21"/>
        </w:trPr>
        <w:tc>
          <w:tcPr>
            <w:tcW w:w="8700" w:type="dxa"/>
            <w:vAlign w:val="bottom"/>
            <w:vMerge w:val="restart"/>
          </w:tcPr>
          <w:p>
            <w:pPr>
              <w:ind w:left="1940"/>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218,612</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8"/>
                <w:szCs w:val="18"/>
                <w:color w:val="auto"/>
              </w:rPr>
              <w:t>Accounts payable - related party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Phase 3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55,784</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8"/>
                <w:szCs w:val="18"/>
                <w:color w:val="auto"/>
              </w:rPr>
              <w:t>Accrued payroll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8"/>
                <w:szCs w:val="18"/>
                <w:color w:val="auto"/>
              </w:rPr>
              <w:t>Notes payable and accrued interest - related party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Convertible note payable and accrued interest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491,199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1,860,962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A Convertible preferred stock, $0.001 par value, 10 shares authorized,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none and 10 shares issued and outstanding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at June 30, 2012 and December 31, 2011, 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tcPr>
          <w:p>
            <w:pPr>
              <w:ind w:left="120"/>
              <w:spacing w:after="0" w:line="201" w:lineRule="exact"/>
              <w:rPr>
                <w:sz w:val="20"/>
                <w:szCs w:val="20"/>
                <w:color w:val="auto"/>
              </w:rPr>
            </w:pPr>
            <w:r>
              <w:rPr>
                <w:rFonts w:ascii="Arial" w:cs="Arial" w:eastAsia="Arial" w:hAnsi="Arial"/>
                <w:sz w:val="18"/>
                <w:szCs w:val="18"/>
                <w:color w:val="auto"/>
              </w:rPr>
              <w:t>Common stock, $0.001 par value, 395,000,000 shares authorized,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40"/>
              <w:spacing w:after="0"/>
              <w:rPr>
                <w:sz w:val="20"/>
                <w:szCs w:val="20"/>
                <w:color w:val="auto"/>
              </w:rPr>
            </w:pPr>
            <w:r>
              <w:rPr>
                <w:rFonts w:ascii="Arial" w:cs="Arial" w:eastAsia="Arial" w:hAnsi="Arial"/>
                <w:sz w:val="18"/>
                <w:szCs w:val="18"/>
                <w:color w:val="auto"/>
              </w:rPr>
              <w:t>29,696,213 and 1,987,601 shares issued and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40"/>
              <w:spacing w:after="0"/>
              <w:rPr>
                <w:sz w:val="20"/>
                <w:szCs w:val="20"/>
                <w:color w:val="auto"/>
              </w:rPr>
            </w:pPr>
            <w:r>
              <w:rPr>
                <w:rFonts w:ascii="Arial" w:cs="Arial" w:eastAsia="Arial" w:hAnsi="Arial"/>
                <w:sz w:val="18"/>
                <w:szCs w:val="18"/>
                <w:color w:val="auto"/>
              </w:rPr>
              <w:t>at June 30, 2012 and December 31, 2011, 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29,696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28,779,549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16,818,740</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(21,405,414)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(18,520,733)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7,403,831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(1,700,005)</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 (DEFICIT)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7,895,030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160,957</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For 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For The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For The</w:t>
            </w:r>
          </w:p>
        </w:tc>
        <w:tc>
          <w:tcPr>
            <w:tcW w:w="16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For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24, 1998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Six 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through June 30,</w:t>
            </w:r>
          </w:p>
        </w:tc>
        <w:tc>
          <w:tcPr>
            <w:tcW w:w="0" w:type="dxa"/>
            <w:vAlign w:val="bottom"/>
          </w:tcPr>
          <w:p>
            <w:pPr>
              <w:spacing w:after="0"/>
              <w:rPr>
                <w:sz w:val="1"/>
                <w:szCs w:val="1"/>
                <w:color w:val="auto"/>
              </w:rPr>
            </w:pPr>
          </w:p>
        </w:tc>
      </w:tr>
      <w:tr>
        <w:trPr>
          <w:trHeight w:val="208"/>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License revenues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984,667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448,033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133,611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24,338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276,574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111,554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8,096,832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(145,767)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(1,470,197)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(559,587)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(18,863,782)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(24,658)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5,584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(1,195,410)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Gain on settlement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forgiveness of liabilities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(187,315)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(18,698)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(1,214,484)</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(37,191)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(2,241,632)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(164,465)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(2,684,681)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(21,105,414)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Deemed dividend to preferred stockholders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(1,505,593)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(164,465)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(2,884,681)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(596,778)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(21,405,414)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19,372,768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1,989,404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12,345,855</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1,990,450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For The</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Six 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July 24, 1998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11"/>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June 30,2012</w:t>
            </w: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(2,684,681)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(596,778)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(21,105,414)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Adjustments to reconcile net loss to net cash used in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8"/>
                <w:szCs w:val="18"/>
                <w:color w:val="auto"/>
              </w:rPr>
              <w:t>Estimated fair value of contributed 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forgiveness of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8"/>
                <w:szCs w:val="18"/>
                <w:color w:val="auto"/>
              </w:rPr>
              <w:t>Amortization of prepaid consulting fees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807,608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8"/>
                <w:szCs w:val="18"/>
                <w:color w:val="auto"/>
              </w:rPr>
              <w:t>Loss from extinguishment of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1,195,410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interest on notes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24,658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848,038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112,364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2,976,854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made on behalf of Company by related party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consulting costs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(31,148)</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(10,289)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117,156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102,430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8"/>
                <w:szCs w:val="18"/>
                <w:color w:val="auto"/>
              </w:rPr>
              <w:t>Accrued Phase 3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payroll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(617,405)</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(285,909)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(11,387,498)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fixed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(15,308)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(15,308)</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8"/>
                <w:szCs w:val="18"/>
                <w:color w:val="auto"/>
              </w:rPr>
              <w:t>Proceeds from issuance of notes payable to a related party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450,000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received in connection with debt modification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8"/>
                <w:szCs w:val="18"/>
                <w:color w:val="auto"/>
              </w:rPr>
              <w:t>Proceeds from issuance of preferred 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notes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8"/>
                <w:szCs w:val="18"/>
                <w:color w:val="auto"/>
              </w:rPr>
              <w:t>Preferred stock deemed dividend paid at conversion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advances from related party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8"/>
                <w:szCs w:val="18"/>
                <w:color w:val="auto"/>
              </w:rPr>
              <w:t>Repayment of advances from related party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contributions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440"/>
              <w:spacing w:after="0" w:line="201" w:lineRule="exact"/>
              <w:rPr>
                <w:sz w:val="20"/>
                <w:szCs w:val="20"/>
                <w:color w:val="auto"/>
              </w:rPr>
            </w:pPr>
            <w:r>
              <w:rPr>
                <w:rFonts w:ascii="Arial" w:cs="Arial" w:eastAsia="Arial" w:hAnsi="Arial"/>
                <w:sz w:val="18"/>
                <w:szCs w:val="18"/>
                <w:color w:val="auto"/>
              </w:rPr>
              <w:t>Net proceeds from purchase of common stock and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620"/>
              <w:spacing w:after="0"/>
              <w:rPr>
                <w:sz w:val="20"/>
                <w:szCs w:val="20"/>
                <w:color w:val="auto"/>
              </w:rPr>
            </w:pPr>
            <w:r>
              <w:rPr>
                <w:rFonts w:ascii="Arial" w:cs="Arial" w:eastAsia="Arial" w:hAnsi="Arial"/>
                <w:sz w:val="18"/>
                <w:szCs w:val="18"/>
                <w:color w:val="auto"/>
              </w:rPr>
              <w:t>exercise of warrants and stock options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issuance of common stock and warrants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for cash, net of offering costs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7,933,845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Arial" w:cs="Arial" w:eastAsia="Arial" w:hAnsi="Arial"/>
                <w:sz w:val="18"/>
                <w:szCs w:val="18"/>
                <w:color w:val="auto"/>
              </w:rPr>
              <w:t>Deferred offering costs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8,203,845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19,123,252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7,571,132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(285,909)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7,717,292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0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7,717,292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5,553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7,717,292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220"/>
              <w:spacing w:after="0" w:line="201" w:lineRule="exact"/>
              <w:rPr>
                <w:sz w:val="20"/>
                <w:szCs w:val="20"/>
                <w:color w:val="auto"/>
              </w:rPr>
            </w:pPr>
            <w:r>
              <w:rPr>
                <w:rFonts w:ascii="Arial" w:cs="Arial" w:eastAsia="Arial" w:hAnsi="Arial"/>
                <w:sz w:val="18"/>
                <w:szCs w:val="18"/>
                <w:color w:val="auto"/>
              </w:rPr>
              <w:t>Issuance of and adjustment to common stock and warrants to</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300"/>
              <w:spacing w:after="0"/>
              <w:rPr>
                <w:sz w:val="20"/>
                <w:szCs w:val="20"/>
                <w:color w:val="auto"/>
              </w:rPr>
            </w:pPr>
            <w:r>
              <w:rPr>
                <w:rFonts w:ascii="Arial" w:cs="Arial" w:eastAsia="Arial" w:hAnsi="Arial"/>
                <w:sz w:val="18"/>
                <w:szCs w:val="18"/>
                <w:color w:val="auto"/>
              </w:rPr>
              <w:t>consulting firms for prepaid consulting fees</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offering costs in connection with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recorded in accounts payable</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Conversion of related party accounts payable into common stock</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56,087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notes payable and accrued interest into</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common stock</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1,905,137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3,435,314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220"/>
              <w:spacing w:after="0" w:line="201" w:lineRule="exact"/>
              <w:rPr>
                <w:sz w:val="20"/>
                <w:szCs w:val="20"/>
                <w:color w:val="auto"/>
              </w:rPr>
            </w:pPr>
            <w:r>
              <w:rPr>
                <w:rFonts w:ascii="Arial" w:cs="Arial" w:eastAsia="Arial" w:hAnsi="Arial"/>
                <w:sz w:val="18"/>
                <w:szCs w:val="18"/>
                <w:color w:val="auto"/>
              </w:rPr>
              <w:t>Forgiveness of notes payable and accrued interest to</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300"/>
              <w:spacing w:after="0"/>
              <w:rPr>
                <w:sz w:val="20"/>
                <w:szCs w:val="20"/>
                <w:color w:val="auto"/>
              </w:rPr>
            </w:pPr>
            <w:r>
              <w:rPr>
                <w:rFonts w:ascii="Arial" w:cs="Arial" w:eastAsia="Arial" w:hAnsi="Arial"/>
                <w:sz w:val="18"/>
                <w:szCs w:val="18"/>
                <w:color w:val="auto"/>
              </w:rPr>
              <w:t>shareholders</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advances to notes payable to shareholders</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Accretion of preferred stock discount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party acquisition of Phase 3 liabilities</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Conversion of preferred stock into common stock</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356"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2012 and 2011 and the period from July 24, 1998 (Inception) through June 30, 2012</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OVERVIEW AND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Imprimis Pharmaceuticals, Inc. (“Imprimis”, the “Company”, “we”, “us”, or “our”), is a specialty pharmaceutical company developing non-invasive, topically delivered products. Our innovative patented Accudel cream formulation technology is designed to enable highly targeted site specific treatment. Impracor, our lead pain product, utilizes the Accudel platform technology to deliver the active drug, ketoprofen, a non-steroidal anti-inflammatory drug, through the skin directly into the underlying tissues where the drug exerts its localized anti-inflammatory and analgesic effects. We intend to leverage the Accudel platform technology to expand and create a portfolio of topical products for a variety of indications.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28, 2012, the Company changed its name from Transdel Pharmaceuticals, Inc. to Imprimis Pharmaceuticals, Inc. All prior references to Transdel Pharmaceuticals, Inc. have been changed to Imprimis Pharmaceuticals, Inc. to reflect the change. On February 28, 2012, the Company effected a one-for-eight reverse stock split. All per share amounts and calculations in this report reflect this change.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interim condensed unaudited consolidated financial statements in accordance with accounting principles generally accepted in the United Stated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and six months ended June 30, 2012 are not necessarily indicative of the results that may be expected for the year ending December 31, 2012. For further information, refer to the Company’s audited consolidated financial statements and footnotes thereto included in the Company’s Annual Report on Form 10-K for the year ended December 31,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20, 2011, Transdel Holdings was merged with Imprimis Pharmaceuticals, Inc., at which time Transdel Holdings ceased as a corporation, and Imprimis Pharmaceuticals, Inc. remains as the sole surviving corporation.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Development Stage Enterprise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all costs related to research and development as they are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six months ended June 30, 2012, the Company recorded $100,000 in revenues for non-refundable royalty advances, which were previously deferred.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expense is provided for the tax effects of transactions reported in the financial statements and consist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income tax benefit (expense) was recognized for the six months ended June 30, 2012 as a result of tax losses in this period and because deferred tax benefits, derived from the Company’s prior net operating losses, were previously fully reserved. At June 30, 2012, the Company had federal and California net operating loss carryforwards of approximately $13.6 million and $13.2 million, respectively. The use of our net operating losses may be restricted in future years due to the limitations pursuant to IRC Section 382 on changes in ownership.</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taxation in the United States and California. The Company’s tax years for 2000 and forward are subject to examination by the United States and state tax authorities due to the carry forward of unutilized net operating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June 30, 2012, the Company had approximately $7.47 million in cash deposits in excess of FDIC limits.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Furniture and equipment is stated at cost less accumulated depreciation. Depreciation is calculated using the straight-line method over the estimated useful lives of three to five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Furniture and equipment, net, as of June 30, 2012 and December 31, 2011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8"/>
        </w:trPr>
        <w:tc>
          <w:tcPr>
            <w:tcW w:w="5720" w:type="dxa"/>
            <w:vAlign w:val="bottom"/>
            <w:vMerge w:val="restart"/>
          </w:tcPr>
          <w:p>
            <w:pPr>
              <w:spacing w:after="0"/>
              <w:rPr>
                <w:sz w:val="20"/>
                <w:szCs w:val="20"/>
                <w:color w:val="auto"/>
              </w:rPr>
            </w:pPr>
            <w:r>
              <w:rPr>
                <w:rFonts w:ascii="Arial" w:cs="Arial" w:eastAsia="Arial" w:hAnsi="Arial"/>
                <w:sz w:val="18"/>
                <w:szCs w:val="18"/>
                <w:color w:val="auto"/>
              </w:rPr>
              <w:t>Furniture and Equipment, net:</w:t>
            </w:r>
          </w:p>
        </w:tc>
        <w:tc>
          <w:tcPr>
            <w:tcW w:w="3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Software and Hardware</w:t>
            </w:r>
          </w:p>
        </w:tc>
        <w:tc>
          <w:tcPr>
            <w:tcW w:w="3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ind w:left="340"/>
              <w:spacing w:after="0"/>
              <w:rPr>
                <w:sz w:val="20"/>
                <w:szCs w:val="20"/>
                <w:color w:val="auto"/>
              </w:rPr>
            </w:pPr>
            <w:r>
              <w:rPr>
                <w:rFonts w:ascii="Arial" w:cs="Arial" w:eastAsia="Arial" w:hAnsi="Arial"/>
                <w:sz w:val="18"/>
                <w:szCs w:val="18"/>
                <w:color w:val="auto"/>
              </w:rPr>
              <w:t>Furniture and Equipment</w:t>
            </w: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8,967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2012, the Company recorded depreciation expenses of $843 and $1,247, respectively, and during the three and six months ended June 30, 2011, the Company recorded depreciation expenses of $74 and $338,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25, 2012, the Company filed with the Securities and Exchange Commission a registration statement in connection with a proposed offering of its securities. At June 30, 2012, the Company had deferred offering costs of $117,732 for legal, accounting and other expenses directly related to the proposed offering. Any cash proceeds to the Company arising from the proposed offering will be netted against these deferred offering costs and any future cost directly associated with the offering. There is no obligation to consummate an offering and an offering may not occur.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 The deferred rent balance at June 30, 2012 was $991 and is included in accounts payable and accrued expenses in the accompanying unaudited condensed consolidated balance sheet.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214" w:lineRule="exact"/>
        <w:rPr>
          <w:sz w:val="20"/>
          <w:szCs w:val="20"/>
          <w:color w:val="auto"/>
        </w:rPr>
      </w:pPr>
    </w:p>
    <w:p>
      <w:pPr>
        <w:ind w:left="400" w:hanging="251"/>
        <w:spacing w:after="0" w:line="258" w:lineRule="auto"/>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Quoted prices (unadjusted) for identical assets or liabilities in active markets. A quoted price in an active market provides the most reliable evidence of fair value and must be used to measure fair value whenever available.</w:t>
      </w:r>
    </w:p>
    <w:p>
      <w:pPr>
        <w:spacing w:after="0" w:line="1" w:lineRule="exact"/>
        <w:rPr>
          <w:rFonts w:ascii="Arial" w:cs="Arial" w:eastAsia="Arial" w:hAnsi="Arial"/>
          <w:sz w:val="18"/>
          <w:szCs w:val="18"/>
          <w:color w:val="auto"/>
        </w:rPr>
      </w:pPr>
    </w:p>
    <w:p>
      <w:pPr>
        <w:ind w:left="400" w:hanging="251"/>
        <w:spacing w:after="0" w:line="250" w:lineRule="auto"/>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jc w:val="both"/>
        <w:ind w:left="400" w:hanging="251"/>
        <w:spacing w:after="0" w:line="255" w:lineRule="auto"/>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Company’s cash and cash equivalents, accounts payable, and accrued expenses approximate carrying values due to their short term maturities.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Conversion Features and Debt Discounts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convertible features of debt provide for a rate of conversion that is below market value. Such feature is normally characterized as a “beneficial conversion feature” (“BCF”). The relative fair values of the BCF were recorded as discounts from the face amount of the respective debt instrument. The Company amortized the discount using the effective interest method through maturity of such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share-based payments to employees, including grants of stock options to employees, directors and consultants and restricted stock grants, are recognized in the financial statements based upon their fair values.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For The Three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For The Three</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For The Six</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 The Six</w:t>
            </w:r>
          </w:p>
        </w:tc>
      </w:t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Months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Months Ended</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Months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Months Ended</w:t>
            </w: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2"/>
              </w:rPr>
              <w:t>June 30, 2012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June 30, 2011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June 30, 2011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115,634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71,918</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Employees - research and development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40,866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19,388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82,412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37,754</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Directors - selling, general and administrative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493,047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567,415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Consultants - selling, general and administrative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79,987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729,534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848,038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112,364</w:t>
            </w:r>
          </w:p>
        </w:tc>
      </w:tr>
      <w:tr>
        <w:trPr>
          <w:trHeight w:val="601"/>
        </w:trPr>
        <w:tc>
          <w:tcPr>
            <w:tcW w:w="2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applicable to common stock per share is computed using the weighted average number of common shares outstanding during the period. Common stock equivalents (prior to application of the treasury stock or, “if converted” method) from convertible notes, preferred stock, stock options and warrants were 7,384,933 and 437,233 at June 30, 2012 and 2011, respectively, and are excluded from the calculation of diluted net loss per share for all periods presented because the effect is anti-dilutive.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significant revenues since July 24, 1998 (inception). In addition, the Company has a deficit accumulated during the development stage of approximately $21.4 million at June 30, 2012. These factors raise substantial doubt about the Company’s ability to continue as a going concern.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Impracor (formerly referred to as Ketotransdel), which are required by the U.S. Food and Drug Administration (“FDA”) to obtain final regulatory approval for Impracor, the Company will need to secure additional funds through various means, including equity and debt financing, funding from a corporate partnership or licensing arrangement or any similar financing.</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25, 2012, the Company closed a private placement with several accredited investors, whereby the Company issued an aggregate of 10,058,455 shares of common stock and warrants to purchase an aggregate of 2,514,642 shares of common stock, for proceeds, net of offering costs, to the Company of approximately $7.93 million. The Company expects to use proceeds from this offering to fund its operations and begin additional clinical studies. However, to fully execute on the Company’s business plan, management believes the Company will need to raise additional funds of not less than $7 million.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Company’s long term liquidity also depends upon its ability to generate revenues from the sale of its products and achieve profitability. The failure to raise needed funds on sufficiently favorable terms or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The Company has filed a registration statement in connection with a proposed public offering of its common stock, however, there is no assurance that sufficient financing from that offering, or other financings, will be available or, if available, on terms that would be acceptable to the Company.</w:t>
      </w:r>
    </w:p>
    <w:p>
      <w:pPr>
        <w:spacing w:after="0" w:line="19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unaudited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BANKRUPTCY PETITION AND ASSET PURCHASE AGREEMENT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the Company, as seller, and Cardium Healthcare, Inc., a wholly-owned subsidiary of Cardium Therapeutics, Inc., as purchaser (“Cardium”), entered into an Asset Purchase Agreement dated June 23, 2011 (the “Asset Purchase Agreement”) pursuant to which the Company agreed to sell substantially all of its assets pursuant to Sections 105, 363 and 365 of the Bankruptcy Code, subject to court approval and the satisfaction of certain conditions set forth in the Asset Purchase Agreement.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26, 2011, the Bankruptcy Court denied the Company’s motion to sell its assets pursuant to the Asset Purchase Agreement. On October 7, 2011, the Company terminated the Asset Purchase Agreement pursuant to its terms. On November 21, 2011, in connection with certain transactions with DermaStar International, LLC (“DermaStar”) described in Notes 4 and 5 below, the Company requested that the Bankruptcy Court dismiss the Chapter 11 Case and retain jurisdiction to decide matters related to claims brought in the Bankruptcy Case by the Purchaser. On December 8, 2011, the Bankruptcy Court entered an order dismissing the Chapter 11 Case. In connection with the dismissal of the Chapter 11 Case, the Bankruptcy Court, among other things, declined to retain jurisdiction over claim objection proceedings and found moot the Company’s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 (a) and 1112(b).</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NOTES PAYABLE – RELATED PARTY</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DermaStar is a former control person of the Company and had the ability to direct or cause direction of management and policies of the Company through its ownership of the Company’s capital stock. Also, Dr. Robert Kammer, a director and the Chairman of the Board of the Company, and Mark L. Baum, Esq., Chief Executive Officer and a director of the Company, were managing members and partial owners of DermaStar. Subsequent to June 30, 2012, the Company was informed by DermaStar that it had dissolved and distributed all of its shares of the Company’s capital stock held by it to its members. As a result of that dissolution and distribution, DermaStar is no longer a control person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 April 2010</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5, 2010, the Company issued a Senior Convertible Promissory Note (the “Note”) to an existing investor through a private placement. The Note included an annual interest rate of 7.5% and (unless converted or prepaid, as noted below) all principal and interest was due and payable on its maturity date of April 5, 2012 (“Maturity Date”). At any time prior to the Maturity Date, the investor had the right to convert all or a portion of the outstanding principal and accrued interest at a conversion ratio of one share of the Company’s common stock for each $1 (the fair market value of the Company’s common stock on April 5, 2010) owed. Also, at any time prior to the Maturity Date, the Company had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$0 and $130,479 at June 30, 2012 and December 31, 2011, respectively, and interest expense on the Note for the three and six months ended June 30, 2012 was $0 and $12,123, respectively, and for the three and six months ended June 30, 2011 was $18,698 and $37,191, respectively. Following the Company’s bankruptcy petition filed June 26, 2011, as well as the change in ownership control following the issuance of Series A Convertible Preferred Stock, the entire unpaid principal sum of this Note, together with its accrued and unpaid interest became immediately due and payable.</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25, 2012, the Board of Directors of the Company approved, and the Company entered into, separate waiver and settlement agreements with the two parties holding the Note. DermaStar, a related party, had previously acquired 80% of the Note in a private transaction with Alexej Ladonnikov, the original purchaser of the Note. Mr. Ladonnikov then became the holder of 20% of the Note.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jc w:val="both"/>
        <w:spacing w:after="0" w:line="291" w:lineRule="auto"/>
        <w:rPr>
          <w:sz w:val="20"/>
          <w:szCs w:val="20"/>
          <w:color w:val="auto"/>
        </w:rPr>
      </w:pPr>
      <w:r>
        <w:rPr>
          <w:rFonts w:ascii="Arial" w:cs="Arial" w:eastAsia="Arial" w:hAnsi="Arial"/>
          <w:sz w:val="16"/>
          <w:szCs w:val="16"/>
          <w:color w:val="auto"/>
        </w:rPr>
        <w:t>In connection with each of the waiver and settlement agreements, the holders of the Note each agreed to forever waive their rights to (i) accelerate the entire unpaid principal sum of the Note and all accrued interest pursuant to Section 1 of the Note related to the Company’s Bankruptcy petition filed June 26, 2011,</w:t>
      </w:r>
    </w:p>
    <w:p>
      <w:pPr>
        <w:jc w:val="both"/>
        <w:ind w:firstLine="8"/>
        <w:spacing w:after="0" w:line="255"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7 of the Senior Convertible Note Purchase Agreement dated April 5, 2010, regarding the designation and creation of the Series A Convertible Preferred Stock and (iii) certain conversion rights pursuant to Section 3 of the Note related to the change of control that resulted from the sale of the Series A Convertible Preferred Stock.</w:t>
      </w: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terms of the waiver and settlement agreement by and between the Company and DermaStar (the “DermaStar Waiver Agreement”), DermaStar and the Company agreed to the mandatory conversion of the eighty percent (80%) of the principal and accrued and unpaid interest of the Note held by DermaStar, at such time as (and not until) the Company has a sufficient number of authorized common shares to effect such a conversion, into common stock of the Company at a conversion price of $0.13336 (“DermaStar Conversion Price”). Additionally, DermaStar agreed to a mandatory conversion of an additional $56,087 current accounts payable of the Company (“AP Conversion”) held by DermaStar, at such time as (and not until) the Company had a sufficient number of authorized common shares for such conversion. The AP Conversion was made at the DermaStar Conversion Price.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28, 2012, the Company issued 7,274,812 common shares to DermaStar as payment in full for its 80% ownership of the Note ($800,000), its related accrued interest ($114,082) and $56,087 in the Company’s accounts payable. The Company has determined this to be a substantial modification to the debt instruments and has applied debt extinguishment accounting to record a loss on extinguishment of debt of $856,087 for the six months ended June 30, 2012.</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waiver and settlement agreement by and between the Company and Mr. Ladonnikov (the “Ladonnikov Waiver Agreement”), Mr. Ladonnikov and the Company agreed to the mandatory conversion of the twenty percent (20%) of the principal and accrued and unpaid interest of the Note held by Mr. Ladonnikov, at such time as (and not until) the Company had a sufficient number of authorized common shares to effect such a conversion, into common stock of the Company at a conversion price of $0.12. Additionally, Mr. Ladonnikov agreed to make a one-time payment to the Company, at such time as the Note is converted into Company common stock, of $50,000.</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28, 2012, the Company received payment from Mr. Ladonnikov of $50,000 and issued 1,904,338 common shares to Mr. Ladonnikov as payment in full for his 20% ownership of the Note ($200,000) and its related accrued interest ($28,521). The Company has determined this to be a substantial modification to the debt instrument and has applied debt extinguishment accounting to record a loss on extinguishment of debt of $150,000 ($200,000 Note principal balance less $50,000 cash payment received) for the six months ended June 30,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Line of Credit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21, 2011, the Company entered into a Secured Line of Credit Letter Agreement (the “Line of Credit Agreement”) with DermaStar. The Line of Credit Agreement became effective on December 10, 2011, in connection with the dismissal of the Chapter 11 Case by the Bankruptcy Court. The line of credit was secured by a blanket security interest in all of the Company’s assets, including its intellectual property. The Line of Credit Agreement provided for advances to the Company of up to an aggregate of $750,000 (each an “Advance” and collectively the “Loan”), subject to the satisfaction by the Company of certain conditions in connection with the initial Advance and each subsequent Advance. Each Advance was made pursuant to a promissory note in favor of DermaStar. The Company had received advances totaling $750,000 and $300,000 up to April 25, 2012 (the date of the conversion thereof), and December 31, 2011, respectively. The promissory notes accrued interest at 10% annually and had a maturity of one year after the effective dates of the applicable Advance. There was no accrued interest on the promissory notes at June 30, 2012 and interest expense for the three and six months ended June 30, 2012 was $3,575 and $12,534, respectively.</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April 20, 2012, the aggregate principal balance owing under the Line of Credit was $750,000. Effective April 20, 2012, the Company and DermaStar entered into a Promissory Note Conversion Agreement (the “Conversion Agreement”) wherein the parties agreed that the entire outstanding principal balance of the promissory notes issued in favor of DermaStar pursuant to the Line of Credit Agreement and all related accrued interest, totaling $762,534, would be converted into Units (as defined in Note 5) at a rate of $0.79 per Unit. Pursuant to the Conversion Agreement, on April 25, 2012 and upon conversion of the outstanding principal balance and unpaid interest under the Line of Credit Agreement, DermaStar was issued a total of 965,233 shares of the Company’s common stock and a related warrant to purchase up to an additional 241,308 shares of the Company’s common stock. The warrant has an exercise price of $1.185 per share and a three year term. The Line of Credit Agreement has been terminated.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The addition of a conversion feature to the Line of Credit Agreement resulted in terms that were substantially different from the terms of the original agreement, and therefore, the conversion resulted in an extinguishment of debt. The relative fair value of the warrant issued to DermaStar was determined to be $137,383 using the Black-Scholes-Merton valuation model. The variables used in this pricing model included: (1) discount rate of 0.4% (2) expected warrant life of 3 years, (3) expected volatility of 350% and (4) zero expected dividends. In addition, the value of the effective BCF resulting from the Conversion Agreement was determined to be $51,940. The value of the debt discount was recorded as additional paid-in capital and as the Line of Credit is immediately convertible, the debt discount of $189,323 was immediately expensed as a loss on extinguishment of debt.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Notes payable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00" w:type="dxa"/>
            <w:vAlign w:val="bottom"/>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10% convertible notes</w:t>
            </w:r>
          </w:p>
        </w:tc>
        <w:tc>
          <w:tcPr>
            <w:tcW w:w="3120" w:type="dxa"/>
            <w:vAlign w:val="bottom"/>
            <w:gridSpan w:val="2"/>
            <w:shd w:val="clear" w:color="auto" w:fill="CCEEFF"/>
          </w:tcPr>
          <w:p>
            <w:pPr>
              <w:jc w:val="right"/>
              <w:ind w:right="622"/>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7.5% convertible note</w:t>
            </w:r>
          </w:p>
        </w:tc>
        <w:tc>
          <w:tcPr>
            <w:tcW w:w="23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convertible notes payable</w:t>
            </w:r>
          </w:p>
        </w:tc>
        <w:tc>
          <w:tcPr>
            <w:tcW w:w="3120" w:type="dxa"/>
            <w:vAlign w:val="bottom"/>
            <w:gridSpan w:val="2"/>
            <w:shd w:val="clear" w:color="auto" w:fill="CCEEFF"/>
          </w:tcPr>
          <w:p>
            <w:pPr>
              <w:jc w:val="right"/>
              <w:ind w:right="622"/>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Current portion</w:t>
            </w:r>
          </w:p>
        </w:tc>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(1,300,000)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portion</w:t>
            </w:r>
          </w:p>
        </w:tc>
        <w:tc>
          <w:tcPr>
            <w:tcW w:w="2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28, 2012, the Company increased the number of authorized shares of capital stock to 400,000,000, and the number of authorized shares of common stock to 395,000,000 and effected a one-for-eight reverse stock split. All per share amounts and calculations in this report reflect that one-for-eight reverse stock split.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2012, the Company issued 1,904,338 common shares to Alexej Ladonnikov as payment in full for his 20% ownership of the Note ($200,000) and its related accrued interest ($28,521).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2012, the Company issued 7,274,812 common shares to DermaStar as payment in full for its 80% ownership of the Note ($800,000), its related accrued interest ($114,082) and $56,087 in the Company’s accounts payable.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20, 2012, the Company entered into a Securities Purchase Agreement (the “Securities Purchase Agreement”) with certain accredited investors (the “Investors”) relating to the sale and issuance of 10,058,455 units (each, a “Unit”) consisting of one share of the Company’s common stock and a warrant to purchase up to one-fourth of a share of the Company’s common stock at an exercise price of $1.185 per share, at a price per Unit of $0.79 (the “April Private Placement”). The April Private Placement closed on April 25, 2012. In connection with the April Private Placement, the Company issued 10,058,455 shares of common stock and warrants to purchase an aggregate of 2,514,642 shares of common stock, for proceeds, net of offering costs, to the Company of approximately $7.93 million.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25, 2012, the Company converted debt totaling $762,534 (including accrued interest of $12,534) owed to DermaStar, a related party, into 965,233 shares of the Company’s common stock and a related warrant to purchase 241,308 shares of the Company’s common stock at an exercise price of $1.185 per share (see Note 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At June 30, 2012, the Company had 5,000,000 shares of preferred stock, $0.001 par value, authorized and no shares of preferred stock issued and outstanding.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Series A Preferred Stock</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12, 2011, the Company issued 10 shares of Series A Preferred Stock to DermaStar, a related party,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$0.013336,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29, 2012, DermaStar converted the 10 shares of Series A Preferred Stock held by it into 7,498,500 shares of the Company’s common stock. In connection with the conversion, the Company paid to DermaStar $200,000 as partial consideration for the conversion pursuant to a conversion agreement. Immediately following the conversion of the Series A Preferred Stock, all 10 shares were retired to our treasury and cancelled. The Company recognized the $200,000 payment as additional consideration transferred in the transaction in excess of the fair value of the consideration issuable in accordance with the original conversion terms. As a result, the cash payment to DermaStar was recorded as a deemed preferred stock dividend. Accordingly, the Company recorded a deemed preferred stock dividend at the date of conversion, June 29, 2012, totaling $200,000, which represents an increase to reported net loss in arriving at net loss attributable to common stockholders.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 OPTION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17, 2007, the Company’s Board of Directors and stockholders adopted the 2007 Incentive Stock and Awards Plan (as amended on November 5, 2008, January 25, 2012, and July 18, 2012, the “Plan”), which, as of June 30, 2012, provided for the issuance of a maximum of an aggregate of 3,750,000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will be administered by the Company’s Board of Directors until such time as such authority has been delegated to a committee of the Board of Directors. On January 25, 2012, our stockholders approved an amendment to the Plan to increase the number of shares available for issuance under the Plan from 375,000 to 3,750,000 and to modify the definition of “fair market value” under the Plan, among other things. The approval became effective on February 26, 2012. Effective on July 18, 2012, our board of directors and stockholders holding a majority of our outstanding voting power approved a further amendment to the Plan to increase the number of shares available for issuance under the Plan from 3,750,000 to 12,000,000 and to increase the per person limit on the maximum number of shares of the Company’s common stock that may be granted to an individual under the Plan in a calendar year. Stockholder approval of the amendment will become effective when the Company has complied with certain notice requirements under the Securities Exchange Act of 1934 (the “Exchange 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Plan activity for the six months ended June 30, 2012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Avg.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3"/>
              </w:rPr>
              <w:t>Intrinsic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Outstanding - January 1, 2012</w:t>
            </w:r>
          </w:p>
        </w:tc>
        <w:tc>
          <w:tcPr>
            <w:tcW w:w="3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150,152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3000" w:type="dxa"/>
            <w:vAlign w:val="bottom"/>
            <w:gridSpan w:val="3"/>
          </w:tcPr>
          <w:p>
            <w:pPr>
              <w:jc w:val="right"/>
              <w:ind w:right="140"/>
              <w:spacing w:after="0"/>
              <w:rPr>
                <w:sz w:val="20"/>
                <w:szCs w:val="20"/>
                <w:color w:val="auto"/>
              </w:rPr>
            </w:pPr>
            <w:r>
              <w:rPr>
                <w:rFonts w:ascii="Arial" w:cs="Arial" w:eastAsia="Arial" w:hAnsi="Arial"/>
                <w:sz w:val="18"/>
                <w:szCs w:val="18"/>
                <w:color w:val="auto"/>
              </w:rPr>
              <w:t>4,975,000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0.73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Cancelled/Forfeited</w:t>
            </w:r>
          </w:p>
        </w:tc>
        <w:tc>
          <w:tcPr>
            <w:tcW w:w="17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0.64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Outstanding - June 30, 2012</w:t>
            </w:r>
          </w:p>
        </w:tc>
        <w:tc>
          <w:tcPr>
            <w:tcW w:w="17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4,500,152</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Exercisable - June 30, 2012</w:t>
            </w:r>
          </w:p>
        </w:tc>
        <w:tc>
          <w:tcPr>
            <w:tcW w:w="17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1,053,402</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 June 30, 2012</w:t>
            </w:r>
          </w:p>
        </w:tc>
        <w:tc>
          <w:tcPr>
            <w:tcW w:w="3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4,155,477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70,625</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6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14</w:t>
            </w: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29, 2012, based on the closing price of the Company’s common stock of $0.60 on that date.</w:t>
      </w:r>
    </w:p>
    <w:p>
      <w:pPr>
        <w:spacing w:after="0" w:line="20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On January 25, 2012, the Board approved the grant to Dr. Balbir Brar, the Company’s President, of an option to purchase 1,125,000 shares of common stock under the Plan pursuant to the Company’s form of Incentive Stock Option Agreement, which option was granted on January 25, 2012. The exercise price of the option is $0.736 and the option vests as follows: 1/36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unvested shares will vest on each of the 36 monthly periods following the date of the grant provided Dr. Brar continues to be employed by the Company as of the applicable vesting date.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25, 2012, in connection with a senior advisory agreement, the Board approved the grant to Dr. Paul Finnegan, a director, an option to purchase up to 625,000 shares of common stock under the Plan pursuant to the Company’s form of Nonqualified Stock Option Agreement, which option was granted on January 25, 2012. The exercise price of the option is $0.64. The option was originally scheduled to vest as follows: 250,000 shares on January 6, 2013, 250,000 shares on January 6, 2014 and 125,000 on January 6, 2015. On May 9, 2012, the Company entered into a termination agreement to terminate its senior advisory agreement with Dr. Finnegan, and, in connection therewith, entered into an amendment to Dr. Finnegan’s option agreement. The amendment to the option agreement modifies the vesting schedule of the option to provide that 40% of the shares covered by the grant will vest on September 30, 2012, 40% will vest on March 31, 2013 and 20% will vest on September 30, 2013, provided that Dr. Finnegan is serving as a director, employee or consultant at the time of such vesting. In connection with the termination of the senior advisory agreement, the option agreement was also modified to provide for the issuance of the option as compensation for Dr. Finnegan’s services as a director rather than a consultant. This option is accounted for as an employee stock option agreement, the final valuation of the option was determined at the date of modification and the remaining expense of the option agreement will be recognized ratably over the remaining vesting periods in accordance with the modified terms.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25, 2012, the Board approved a one-time stock option grant to Mr. Mark Baum, the Company’s current Chief Executive Officer and a director, to purchase up to 625,000 shares of the Company’s common stock under the Plan pursuant to the Company’s form of Nonqualified Stock Option Agreement, which option was granted on January 25, 2012. The options was issued to Mr. Baum for his uncompensated services as Chairman of the Board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$0.48.</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January 25, 2012 the Board approved the grant to Andrew R. Boll, the Company’s Vice-President of Accounting and Public Reporting, of an option to purchase up to 75,000 shares of common stock under the Plan pursuant to the Company’s form of Incentive Stock Option Agreement, which option was granted on February 1, 2012. The exercise price of the option is $0.736 and the option vests as follows: 1/36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the unvested shares will vest on each of the 36 monthly periods following the date of the grant provided Mr. Boll continues to be employed by the Company as of the applicable vesting date.</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 January 25, 2012 the Board approved the grant to Dr. Joachim Schupp, the Company’s Chief Medical Officer, of an option to purchase up to 375,000 shares of common stock under the Plan pursuant to the Company’s form of Incentive Stock Option Agreement, which option was granted on February 15, 2012. The exercise price of the option is $0.72 and the option vests as follows: 1/36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unvested shares will vest on each of the 36 monthly periods following the date of the grant provided Dr. Schupp continues to be employed by the Company as of the applicable vesting date.</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 2012, the Board of Directors approved the issuance of options to purchase 125,000 shares of the Company’s common stock to each of the Company’s directors, including the Company’s employee and non-employee directors, under the Plan pursuant to the Company’s form of Nonqualified Stock Option Agreement. Each of the options has an exercise price of $0.90 per share. The options have a term of five years and vest quarterly over a one year period, such that the option to purchase 31,250 shares vests on each of June 30, 2012, September 30, 2012, December 31, 2012 and March 31, 2013.</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1, 2012, in recognition and consideration for his services as a director to the Company during 2010 and 2011, the Board approved the issuance to Dr. Jeff Abrams of an additional option to purchase 300,000 shares of the Company’s common stock with an exercise price of $0.90 per share under the Plan pursuant to the Company’s form of Nonqualified Stock Option Agreement. The option has a ten year term and vests monthly over a one year period.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2012, the Company granted to Mr. Baum an option to purchase up to 300,000 shares of the Company’s common stock at an exercise price of $0.90 per share under the Plan pursuant to the Company’s form of Nonqualified Stock Option Agreement. The option terminates on March 31, 2017 and vests over a two year period, with 75,000 options vesting immediately upon issuance and an additional 9,375 options vesting monthly for the next twenty four months thereafter.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ind w:right="40"/>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the grants issued to employees and directors during the six months ended June 30,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Ended June 30,</w:t>
            </w:r>
          </w:p>
        </w:tc>
      </w:tr>
      <w:tr>
        <w:trPr>
          <w:trHeight w:val="178"/>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219-360%</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0.36-1.03%</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April 1, 2012, the Company entered into an advisory agreement with director Dr. Robert Kammer (the “Advisory Agreement”) pursuant to which Dr. Kammer will provide certain services to the Company in addition to his services as a director, including, but not limited to,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the Company’s intellectual property. Under the terms of the Advisory Agreement, Dr. Kammer is to be compensated $10,000 per month in the form of common stock based on $0.90 price per share being allocated to each dollar of payment due to Dr. Kammer. Upon the completion of a financing transaction yielding not less than $15,000,000 to the Company, Dr. Kammer may unilaterally choose to be paid in either cash or common stock, based on the same $0.90 price per share. Dr. Kammer and the Company have agreed that the common stock issuable to Dr. Kammer as compensation under his advisory agreement is to be accrued and issued on a quarterly or annual basis; accordingly, as of the date hereof no such shares have been issued to Dr. Kammer. The balance due to Dr. Kammer at June 30, 2012 under the Advisory Agreement was $30,000 (share equivalent of 33,333 common shares) and is included in accounts payable and accrued expenses in the accompanying unaudited condensed consolidated balance sheet.</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Advisory Agreement, the Company granted to Dr. Kammer an option to purchase up to 300,000 shares of the Company’s common stock at an exercise price of $0.90 per share under the Plan pursuant to the Company’s form of Nonqualified Stock Option Agreement. The option terminates on March 31, 2017 and vests over a two year period, with 75,000 options vesting immediately upon issuance and an additional 9,375 options vesting monthly for the next twenty four months thereafter. In accordance with accounting guidance for share-based compensation to consultants, the unvested portion of the option will be revalued on an interim basis until the termination of the Advisory Agreement. The Advisory Agreement is to terminate on the earlier of the completion of the services or the second anniversary of the date of the agreement. As of June 30, 2012, the revalued aggregate estimated fair value of the stock option, based on the Black-Scholes-Merton pricing model, was $203,736.</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the grants issued to consultants during the six months ended June 30,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 June</w:t>
            </w:r>
          </w:p>
        </w:tc>
      </w:tr>
      <w:tr>
        <w:trPr>
          <w:trHeight w:val="178"/>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30,2012</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5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0.68</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4.83-5.00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 - 361%</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0.62%-1.03%</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608"/>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600" w:type="dxa"/>
            <w:vAlign w:val="bottom"/>
          </w:tcPr>
          <w:p>
            <w:pPr>
              <w:jc w:val="right"/>
              <w:ind w:right="423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spacing w:after="0" w:line="269" w:lineRule="auto"/>
        <w:rPr>
          <w:sz w:val="20"/>
          <w:szCs w:val="20"/>
          <w:color w:val="auto"/>
        </w:rPr>
      </w:pPr>
      <w:r>
        <w:rPr>
          <w:rFonts w:ascii="Arial" w:cs="Arial" w:eastAsia="Arial" w:hAnsi="Arial"/>
          <w:sz w:val="17"/>
          <w:szCs w:val="17"/>
          <w:color w:val="auto"/>
        </w:rPr>
        <w:t>The Company’s outstanding options have been granted to the employees, directors and consultants at exercise prices that range from $0.48 to $16.00, the estimated fair market value of the common stock on the dates of issuance. These options have expiration dates that range from 4 – 10 years of their grant date and were vested immediately, monthly, quarterly, or on an annual basis for a period of up to five years. The Company uses the Black-Scholes-Merton option pricing model to estimate the grant-date fair value of share-based awards. The Black-Scholes-Merton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limited historical data on employee exercises and post-vesting employment termination behavior. The expected volatility is based on the historical volatilities of the common stock of the Company.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options to purchase up to 4,975,000 shares of the Company’s common stock during the six months ended June 30, 2012. The weighted average fair value per share of grants issued during the six months ended June 30, 2012 was $0.64.</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2012, there was approximately $2,044,000 of total unrecognized compensation expense related to unvested stock options under the Plan. That expense is expected to be recognized over the weighted-average period of 1.61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April 25, 2012, at the closing of the April Private Placement (see Note 5), the Company issued warrants to the Investors to purchase up to an aggregate amount of 2,514,642 shares of common stock with an exercise price of $1.185. The warrants have an initial exercise date of April 25, 2012 and a three-year term. Also on April 25, 2012, in connection with the Conversion Agreement (see Note 4) between the Company and DermaStar, a related party, the Company issued to DermaStar a warrant to purchase up to 241,308 shares of the Company’s common stock with an exercise price of $1.185 per share. The warrant has an initial exercise date of April 25, 2012 and a three-year term.</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warrants issued as part of the April Private Placement and to DermaStar have mandatory exercise provisions providing that the Company may require the holders of the warrants to exercise the warrants in full but not in part within twenty (20) business days after the date of the Mandatory Exercise Notice (as defined below), by delivering a written notice to each holder of a warrant (the “Mandatory Exercise Notice”); provided that (i) the value weighted average price of the Company’s common stock for ten (10) consecutive trading days is equal to or greater than the exercise price, (ii) the Company has received a Filing Review Notification (commonly referred to as a “74 Day Letter”) from the U.S. Food and Drug Administration regarding the status of the Company’s Impracor topical non-steroidal anti-inflammatory drug, and (iii) sufficient shares of the Company’s common stock are authorized and reserved for issuance upon full exercise of the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the warrants for the six months ended June 30, 2012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Warrants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2,755,950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Expired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and exercisable - June 30, 2012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2,851,448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Weighted average remaining contractual life of the outstanding warrants in years - June 30, 2012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vMerge w:val="restart"/>
          </w:tcPr>
          <w:p>
            <w:pPr>
              <w:jc w:val="right"/>
              <w:ind w:right="2930"/>
              <w:spacing w:after="0"/>
              <w:rPr>
                <w:sz w:val="20"/>
                <w:szCs w:val="20"/>
                <w:color w:val="auto"/>
              </w:rPr>
            </w:pPr>
            <w:r>
              <w:rPr>
                <w:rFonts w:ascii="Arial" w:cs="Arial" w:eastAsia="Arial" w:hAnsi="Arial"/>
                <w:sz w:val="18"/>
                <w:szCs w:val="18"/>
                <w:color w:val="auto"/>
              </w:rPr>
              <w:t>17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88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leases its office facilities under a noncancelable operating lease, which expires on February 28, 2014, with a monthly amount due of $2,972 for the first 12 months beginning March 1, 2012, and $3,715 due monthly for the next 12 months. For the remaining fiscal year 2012, the Company’s lease commitment is approximately $17,800.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 and Guarantees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Cosmetic License Agreements - Terminated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must pay the Company initial royalty advances and a continuing licensing royalty on the worldwide sales of the anti-cellulite product. The Company received non-refundable royalty advances totaling $100,000 from JH Direct. During the six months ended June 30, 2012, management of the Company concluded that JH Direct had abandoned its efforts to commercialize the anti-cellulite cream and the Company exercised its rights to terminate the agreement in January 2012, at which time all revenues from this agreement were recognized in full. The Company does not expect to receive any additional funds from JH Direct under this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18, 2012, the Company granted to Mr. Mark L. Baum, in connection with his services as the Chief Executive Officer, 800,000 restricted stock units “(RSUs”) outside of the Plan, pursuant to a Stand-alone Restricted Stock Unit Agreement. The RSUs are subject to certain performance-based vesting criteria, such that 200,000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3 clinical studies for its drug candidate,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On July 18, 2012, the Company granted to Dr. Robert J. Kammer, in connection with his services as a consultant and advisor to the Company, 200,000 RSUs outside of the Plan, pursuant to a Stand-alone Restricted Stock Unit Agreement. The RSUs are subject to certain performance-based vesting criteria, such that all 200,000 RSUs will vest when the Company meets the primary endpoints of its Phase 3 clinical studies for its drug candidate, Impracor. The RSUs vest in full upon a change in control of the Company.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as of July 18, 2012, our Board of Directors and stockholders approved an amendment to the Plan to increase the number of shares available for issuance under the Plan from 3,750,000 to 12,000,000 and to increase the per person limit on the maximum number of shares of the Company’s common stock that may be granted to an individual under the Plan in a calendar year. Stockholder approval of the amendment will become effective when the Company has complied with certain notice requirements under the Exchange Act.</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24, 2012, the Company entered an Amended and Restated Employment Agreement with Mr. Mark L. Baum, its Chief Executive Officer (the “Amended Baum Employment Agreement”), which amends and restates in its entirety the employment agreement entered into with Mr. Baum on April 1, 2012 concurrently with his appointment as the Company’s Chief Executive Officer. Under the terms of the Amended Baum Employment Agreement, Mr. Baum will become eligible to receive certain severance benefits as set forth in such agreement, which include severance pay equal to the sum of Mr. Baum’s annual base salary and annual bonus, upon the Company’s completion of a financing resulting in aggregate cash proceeds to the Company of at least $5,000,000. Once Mr. Baum becomes eligible to receive such severance benefits, Mr. Baum would be entitled to such benefits in the event of a termination of Mr. Baum by the Company without cause (as defined in such agreement) or due to Mr. Baum’s death or disability. Mr. Baum’s base annual salary and annual bonus were not modified.</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24, 2012, the Company entered an Amendment to Advisory Agreement with Dr. Kammer (the “Advisory Agreement Amendment”), in order to amend certain provisions of the Advisory Agreement entered with Dr. Kammer on April 1, 2012. Pursuant to the Advisory Agreement Amendment, Dr. Kammer has agreed to not sell more than 5% of the shares of the Company’s common stock acquired as compensation under the Advisory Agreement, through the exercise of stock options or otherwise, in any monthly period without the approval of the Company’s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Effective as of the close of business on July 25, 2012, Dr. Balbir Brar submitted his resignation as a director on the Board of Directors of the Company.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Brar will continue in his capacity as the President of the Company.</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on July 26, 2012, the Board of Directors of the Company appointed Stephen G. Austin, CPA, as a new director on the Board of the Company. Mr. Austin currently serves as the Chairman of the Audit Committee of the Board and as a member of the Compensation Committee and the Nomination and Corporate Governance Committee of the Board. In connection with his appointment as a director, the Board approved the issuance to Mr. Austin of an option to purchase up to 85,616 shares of the Company’s common stock under the Plan. Such option has an exercise price of $0.90 per share, has a term of five years, and vests monthly over a period of one year commencing on January 1, 2013. As additional compensation for his services as a director, the Company has agreed to pay Mr. Austin a quarterly cash payment of $5,000 and, as compensation for his services as the Chairman of the Audit Committee of the Board, the Company has agreed to pay Mr. Austin a quarterly cash payment of $1,250.</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The information contained in this Quarterly Report on Form 10-Q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2011 and subsequent reports on Form 8-K, which discuss our business in greater detail.</w:t>
      </w:r>
    </w:p>
    <w:p>
      <w:pPr>
        <w:spacing w:after="0" w:line="22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The following discussion contains forward-looking statements regarding future events and our future performance. These forward-looking statements involve risk and uncertainties that could cause actual results to differ materially from those expected or projected. For this purpose, any statements contained herein regarding our strategy, future operations, financial position, future revenues, projected costs and expenses, prospects, plans and objectives of management, other than statements of historical facts, are forward-looking statements. The words “anticipate,” “believes,” “estimates,” “intends,” “may,” “plans,” “will,” “would” and similar expressions are intended to identify forward-looking statements, although not all forward-looking statements contain these identifying words. Such statements reflect our current views with respect to future events. We cannot guarantee that we actually will achieve the plans, intentions, or expectations disclosed in our forward-looking statements. There are a number of important factors that could cause actual results or events to differ materially from those disclosed in the expressed or implied forward-looking statements we make. These important factors include our ability to successfully resume operations and implement our business plan following dismissal of the Chapter 11 Case; our ability to raise capital; the cost of any capital we are able to raise; our ability to hire, retain and otherwise engage qualified personnel to execute our business plan; the success of the design and execution of our clinical trials; our ability to research and successfully develop our product candidates; our ability to continue as a going concern; our limited operating history; the ability of competitors to access the market we intend to serve; the ongoing market need for the technologies and products we are developing; and the other risks and uncertainties described under the heading “Risk Factors” in Part II, Item 1A of this Quarterly Report and in similar discussions in our other SEC filings. Although we may elect to update forward-looking statements in the future, we specifically disclaim any obligation to do so, even if our estimates change. Readers should not rely on any of our forward-looking statements as representing our views as of any date subsequent to the date of this Quarterly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specialty pharmaceutical company developing non-invasive, topically delivered products. Our patented Accudel cream formulation technology is designed to facilitate the effective penetration of a variety of products through the tough skin barrier. Impracor, our lead pain product candidate, utilizes the Accudel platform technology to deliver the active drug, ketoprofen, a non-steroidal anti-inflammatory drug (“NSAID”), through the skin directly into the underlying tissues where the drug exerts its anti-inflammatory and analgesic effects. We intend to leverage the Accudel platform technology to create a portfolio of topical products for a variety of indications.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28, 2012, we effected a one-for-eight reverse split of our authorized, issued and outstanding common stock. The information in this report and the accompanying condensed consolidated financial statements presented have been retroactively adjusted to reflect the effects of that one-for-eight reverse stock split</w:t>
      </w:r>
      <w:r>
        <w:rPr>
          <w:rFonts w:ascii="Arial" w:cs="Arial" w:eastAsia="Arial" w:hAnsi="Arial"/>
          <w:sz w:val="18"/>
          <w:szCs w:val="18"/>
          <w:b w:val="1"/>
          <w:bCs w:val="1"/>
          <w:color w:val="auto"/>
        </w:rPr>
        <w:t>.</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is discussed further in the Liquidity and Capital Resources section below, we have limited funds to support our operations and have incurred net losses since our inception. We expect to incur losses in the future as we pursue the clinical development of our product candidates. Our continuation of operations subsequent to the fourth quarter of 2012 is dependent on our ability to obtain additional financing to fund the continued operation of our business model for a long enough period to achieve profitable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Plan of Operations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next twelve months, our current operating plan is focused on the development of our lead product candidate, Impracor, for the indication of acute musculoskeletal pain, inflammation and swelling associated with soft tissue injuries, limited development of cosmetic products and co-development opportunities in other therapeutic areas utilizing our Accudel platform technology.</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26, 2011 we filed a voluntary petition for reorganization relief under Chapter 11 of the United States Bankruptcy Code in the United States Bankruptcy Court for the Southern District of California (the “Bankruptcy Court”), Case No. 11-10497-11 (the “Chapter 11 Case”). Following the filing of the Chapter 11 Case with the Bankruptcy Court, we suspended our operations and terminated nearly all of our employees. Since the dismissal of the Chapter 11 Case in December 2011, as further described below,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Prior to the filing of the Chapter 11 Case, we were unable to successfully pursue our business plan and continue our clinical trials due to a lack of funding. Given our operating history, we may be unable to obtain additional funds when necessary, assemble an effective management team, or hire and retain qualified individuals. As a result, we may be unable to successfully resume our operations and pursue our business plan.</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is discussed further in the Liquidity and Capital Resources section below, we have limited funds to support our operations. Our continuation as a going concern subsequent to the fiscal year ended December 31, 2011 is dependent on our ability to obtain additional financing to fund the continued operation of our business model for a long enough period to achieve profitable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 for Impracor</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Impracor to be approved by the U.S. Food and Drug Administration (the “FDA”), an additional two confirmatory Phase 3 trials with exposure of at least 300 to 500 patients and supportive dermal safety studies are required. As required by the FDA, we expect to initiate routine supportive trials in healthy patients related to the potential contact sensitization and to study the absorption (blood levels) of ketoprofen during concurrent exercise and heat exposure, as well as the relative bioavailability of Impracor or topical ketoprofen versus oral ketoprofen. We expect that all clinical studies will be executed with the professional help of clinical research organizations (“CROs”) with experience in clinical trials of similar design. We are in the process of selecting and negotiating arrangements with potential CROs and other third parties in order to initiate our Phase 3 clinical trials.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Initially we plan to commence two Phase 3 studies of Impracor in patients experiencing pain from osteoarthritis flare in their hands or knees. The FDA has indicated that the osteoarthritis flare study design is an acceptable clinical model of acute pain. The Phase 3 program is being planned to encompass two double-blind placebo controlled Phase 3 osteoarthritis flare trials in approximately 330 to 360 patients each in 35 to 50 sites throughout the United States. Following a NSAID wash-out period, the proposed design study has the patients dosed with placebo or Impracor three times daily for 14 days. The primary endpoint for both trials is expected to employ well accepted pain measurements, which will be measured on day 14. It is expected that the planned trials, if successful, would provide sufficient data for subsequent registration filing to the FDA.</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successful completion of our clinical trials, we plan to file a New Drug Application for marketing authorization for Impracor under Section 505(b)(2) of the Hatch-Waxman Act of 1984, a regulatory route towards FDA approval, which allows referencing our submission to previously established safety and/or effectiveness of already approved ketoprofen products in other dosage forms. We believe that this route provides the most attractive path for Impracor to reach the market.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timing of Phase 3 trials and the other supportive studies will be dependent on obtaining adequate financing to support the execution of these activities and for other working capital expenditures, as well as feedback from the FDA. Subject to our obtaining such financing, we anticipate initiating the supportive studies and Phase 3 trials in late 2012 and early 2013. Assuming successful completion and outcome of the additional Phase 3 trials, we would expect to file the New Drug Application in 2014.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both"/>
        <w:ind w:right="20" w:firstLine="648"/>
        <w:spacing w:after="0" w:line="277" w:lineRule="auto"/>
        <w:rPr>
          <w:sz w:val="20"/>
          <w:szCs w:val="20"/>
          <w:color w:val="auto"/>
        </w:rPr>
      </w:pPr>
      <w:r>
        <w:rPr>
          <w:rFonts w:ascii="Arial" w:cs="Arial" w:eastAsia="Arial" w:hAnsi="Arial"/>
          <w:sz w:val="18"/>
          <w:szCs w:val="18"/>
          <w:color w:val="auto"/>
        </w:rPr>
        <w:t>We expect that Impracor, if approved by the FDA, could become one of the first NSAID cream products available by prescription in the United States for the topical treatment of acute musculoskeletal pain.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Cosmeceutical/Cosmetic Product Development Program</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past our product development program had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Bankruptcy Petition and Dismissal</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June 26, 2011 we filed the Chapter 11 Case with the Bankruptcy Court. In connection with the Chapter 11 Case, we, as seller, and Cardium Healthcare, Inc., a wholly-owned subsidiary of Cardium Therapeutics, Inc., as purchaser (“Cardium”), entered into an Asset Purchase Agreement dated June 23, 2011 (the “Asset Purchase Agreement”) pursuant to which we agreed to sell substantially all of our assets pursuant to Sections 105, 363 and 365 of the Bankruptcy Code, subject to court approval and the satisfaction of certain conditions set forth in the Asset Purchase Agreement. 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Chapter 11 Case. The Asset Purchase Agreement was terminable by the parties under a number of circumstances, including failure to obtain certain Bankruptcy Court orders by agreed dates.</w:t>
      </w:r>
    </w:p>
    <w:p>
      <w:pPr>
        <w:spacing w:after="0" w:line="19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Chapter 11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of Cardium. The dismissal of the Chapter 11 Case was based upon the provisions of both 11 U.S.C. Sections 305(a) and 1112(b).</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Line of Credit</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25, 2012, the entire outstanding principal balance and all accrued and unpaid interest under the line of credit, an aggregate of $762,534, was converted into 965,233 shares of common stock and warrants to purchase 241,308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Change in Control – Issuance of Preferred Stock</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partial consideration for and in connection with the Line of Credit Agreement, on November 21, 2011 we executed a Securities Purchase Agreement (the “Series A Purchase Agreement”) with DermaStar, pursuant to which we agreed to issue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8, 2011. On December 12, 2011, we and DermaStar consummated the transactions contemplated by the Series A Purchase Agreement. The shares of Series A Preferred Stock issued to DermaStar in the offering were convertible into 7,498,500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29, 2012, DermaStar converted the 10 shares of Series A Preferred Stock held by it into 7,498,500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with the Holders of the Company’s 7.5% Convertible Promissory Note</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April 5, 2010, we issued a $1,000,000 7.5% Convertible Promissory Note (the “Convertible Note”) to Alexej Ladonnikov. 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$0.13336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$0.12. Mr. Ladonnikov also agreed to make a one-time payment of $50,000 to us at such time as the Convertible Note was converted into common stock.</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9,179,150 shares of common stock, and the Convertible Note was terminated. Mr. Ladonnikov made the required one-time payment of $50,000 to us at the time of the conversion.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Management and Board of Directors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Chapter 11 Case, our management team has undergone significant changes. The Board accepted the resignation of John N. Bonfiglio, Ph.D. as our Chief Executive Officer and President, effective May 13, 2011. On the same date, the Board appointed John T. Lomoro to serve as the Company’s Principal Executive Officer. Effective September 16, 2011, the Board accepted the resignation of John T. Lomoro as Principal Executive Officer, Chief Financial Officer and Treasurer of the Company.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2012, we began assembling a new management team. Effective January 1, 2012, the Board appointed Balbir Brar, D.V.M., Ph.D. as President of the Company. Effective February 1, 2012, the Board appointed Andrew R. Boll as Vice-President of Accounting and Public Reporting and Principal Accounting and Financial Officer of the Company. Effective February 15, 2012, the Board appointed Joachim Schupp, M.D. as Chief Medical Officer of the Company. Dr. Schupp had previously served as our Chief Medical Officer and Dr. Brar had previously served as our Vice President of Research and Development. Mr. Baum served as our Chairman of the Board of Directors and principal executive officer beginning in December 2011. On April 1, 2012, the Board appointed Mr. Baum as our Chief Executive Officer and Mr. Baum stepped down as our Chairman of the Board. He continues to serve as a director.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ind w:firstLine="648"/>
        <w:spacing w:after="0" w:line="297" w:lineRule="auto"/>
        <w:rPr>
          <w:sz w:val="20"/>
          <w:szCs w:val="20"/>
          <w:color w:val="auto"/>
        </w:rPr>
      </w:pPr>
      <w:r>
        <w:rPr>
          <w:rFonts w:ascii="Arial" w:cs="Arial" w:eastAsia="Arial" w:hAnsi="Arial"/>
          <w:sz w:val="16"/>
          <w:szCs w:val="16"/>
          <w:color w:val="auto"/>
        </w:rPr>
        <w:t>Our Board of Directors has also undergone significant change. Effective December 16, 2011, Anthony S. Thornley resigned from our Board of Directors, and Mr. Baum and Dr. Kammer, managing members of DermaStar, joined the Board of Directors. Effective February 15, 2012, Paul Finnegan, M.D., M.B.A., and Dr. Brar, our President, were appointed as directors of the Company. On April 1, 2012, Dr. Kammer began serving as the Chairman of the Board of Directors. On July 26, 2012, Stephen Austin, CPA, was appointed as a director of the Company and Dr. Brar, who continues to serve as our President, resigned as a director. We currently have five directors, as follows: Jeffrey Abrams, M.D., Mr. Austin, Mr. Baum, Dr. Kammer and Dr. Finnegan.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Private Placement</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20, 2012, we entered into a Securities Purchase Agreement with certain accredited investors relating to the sale and issuance of an aggregate of 10,058,455 shares of our common stock and warrants to purchase up to 2,514,642 shares of common stock at an exercise price of $1.185 per share, for an aggregate gross purchase price of approximately $7.95 million (the “April Private Placement”). We closed the April Private Placement on April 25, 2012. The securities sold in the April Private Placement were sold in reliance on the exemption from the registration requirements of the Securities Act of 1933 (the “Securities Act”) afforded by Section 4(2) of the Securities Act and Rule 506 of Regulation D.</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period to period comparisons of our financial results and our interim results are not necessarily indicative of future results.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and Six Months Ended June 30, 2012, Compared to the Three and Six Months Ended June 30,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revenues were recognized during the three months ended June 30, 2012 and 2011. For the six months ended June 30, 2012 we recognized $100,000 in revenues, compared to no revenues recognized during the same period in the prior year. These revenues were non-refundable royalty advances, unrelated to product sales, paid to the Company in December 2010 and April 2011. The revenues stem from our terminated license agreement which had provided JH Direct rights to our anti-cellulite cosmetic product. This agreement was terminated in January 2012, and we do not expect any other revenues to be recognized from 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investor relations, consulting, insurance, legal and accounting expenses.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The table below provides information regarding selling, general and administrative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Selling, general and administrative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984,667</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121,429</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863,238</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87"/>
              </w:rPr>
              <w:t>1,293,623</w:t>
            </w:r>
          </w:p>
        </w:tc>
        <w:tc>
          <w:tcPr>
            <w:tcW w:w="5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448,033</w:t>
            </w: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845,590</w:t>
            </w: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and six months ended June 30, 2012, there was an increase of $863,238 and $845,590, respectively, in selling, general and administrative expenses, as compared to the same periods in the prior year. The increase in selling, general and administrative expenses is largely attributable to the fact that the Company was winding down and ceasing operations during these periods, including the suspension of payroll beginning in March 2011. Following the dismissal of the Chapter 11 Case on December 8, 2011 we began to resume our operations. Selling, general and administrative expenses during the three and six months ended June 30, 2012 were related to the hiring of new personnel, consultants and management, legal and accounting fees associated with complying with our SEC reporting obligations and fees and expenses related to financing activities. A significant portion of the increase in personnel costs is associated with stock-based compensation for the three and six months ended June 30, 2012, which increased $662,033 and $691,016, respectively, as compared to the same periods in the prior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expenses primarily include costs for the Impracor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research and development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Six months ended 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Research and development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133,611</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24,338</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109,273</w:t>
            </w:r>
          </w:p>
        </w:tc>
        <w:tc>
          <w:tcPr>
            <w:tcW w:w="3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276,574</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111,554</w:t>
            </w: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165,020</w:t>
            </w: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six months ended June 30, 2012, there was an increase of $109,273 and $165,020, respectively, in research and development expense as compared to the same periods in the prior year. The increase was primarily related to the hiring of new personnel and consultants in 2012 for the planning and development of additional Phase 3 studies of our Impracor clinical program. A significant portion of the increase in research and development personnel costs is associated with stock-based compensation for the three and six months ended June 30, 2012, which increased $21,478 and $44,658, respectively, as compared to the same periods in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expense was $3,576 and $24,658 for the three and six months ended June 30, 2012, respectively, compared to $18,698 and $37,191 for the three and six months ended June 30, 2011, respectively. The 10% promissory notes issued under our Line of Credit Agreement with DermaStar accounted for $3,576 and $12,535 of interest expense during the three and six months ended June 30, 2012, respectively, and $0 during the same periods in the prior year. The 7.5% Convertible Note with a principal balance of $1,000,000, issued in April 2010 (and converted to shares of our common stock in February 2012) accounted for $0 and $12,123 of interest expense during the three and six months ended June 30, 2012, respectively, and $18,698 and $37,191 during the three and six months ended June 30, 2011,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Loss from extinguishment of debt was $189,323 and $1,195,410 for the three and six months ended June 30, 2012, respectively. As further described above under the heading “Recent Developments”,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the accounts payable held by DermaStar were converted into an aggregate of 9,179,150 shares of our common stock, and the Convertible Note was terminated. On February 28, 2012, we received payment from Mr. Ladonnikov of $50,000 and issued 1,904,338 shares of common stock to Mr. Ladonnikov as payment in full for his 20% ownership of the Convertible Note ($200,000) and its related accrued interest ($28,521). We determined this to be a substantial modification to the debt instrument and applied debt extinguishment accounting to record a loss on extinguishment of debt of $150,000 ($200,000 Note principal balance less $50,000 cash payment) for the six months ended June 30, 2012. On February 28, 2012, we issued 7,274,812 shares of our common stock to DermaStar as payment in full for its 80% ownership of the Convertible Note ($800,000), its related accrued interest ($114,082) and $56,087 in accounts payable. We determined this to be a substantial modification to the debt instrument and applied debt extinguishment accounting to record a loss on extinguishment of debt of $856,087 for the six months ended June 30, 2012.</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further described above under the heading “Recent Developments”, on April 20, 2012, DermaStar agreed to convert the promissory notes issued under the Line of Credit Agreement and their related accrued interest, totaling $762,534, into 965,233 shares of our common stock and a related warrant to purchase up to an additional 241,308 shares of our common stock at an exercise price of $1.185 per share. We determined this to be a substantial modification to the debt instrument and applied debt extinguishment accounting to record a loss on extinguishment of debt of $189,323 for the three and six months ended June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losses attributable to common stockholders for the three and six months ended June 30, 2012, were $1,505,593 and $2,884,681, respectively, or $(0.08) and $(0.23), respectively, per basic and diluted share, compared to net losses attributable to common stockholders for the three and six months ended June 30, 2011 of $164,465 and $596,778, respectively, or $(0.08) and $(0.30), respectively, per basic and diluted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cash on hand at June 30, 2012 was $7,717,292 as compared to $5,553 at June 30, 2011. The increase in cash on hand is primarily attributable to aggregate net proceeds of approximately $7,930,000 received from our April Private Placement and the $750,000 drawn under our Line of Credit Agreement with DermaStar between December 2011 and April 2012. Since inception through June 30, 2012, we have incurred aggregate losses of approximately $21,000,000. These losses are primarily due to selling, general and administrative and research and development expenses incurred in connection with developing and seeking regulatory approval for our lead drug, Impracor. Historically, our operations have been financed through capital contributions and debt and equity financings.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further described under the heading “Recent Developments” above, on June 26, 2011, we filed a voluntary petition for reorganization relief under Chapter 11 of the U.S. Bankruptcy Code. Thereafter, we suspended our operations and terminated almost all of our employees. After receiving certain commitments from DermaStar to provide funding to us under a secured line of credit (as further described above under the heading “Recent Developments” and below), on November 21, 2011 we requested that the Bankruptcy Court dismiss the Chapter 11 Case. The Bankruptcy Court entered an order dismissing the Chapter 11 Case on December 8, 2011. Since December 9, 2011, we have focused on resuming the operation of our business, including assembling a management team and hiring employees.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Convertible Note</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further described above under the heading “Recent Developments”, on April 5, 2010 we issued a $1,000,000 7.5% Convertible Promissory Note.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$56,087 in accounts payable held by DermaStar were converted into 9,179,150 shares of common stock, and the Convertible Note was terminated. In addition, Mr. Ladonnikov made a one-time payment of $50,000 to us at the time of the conversion.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further described above under the heading “Recent Developments”, on November 21, 2011 we entered into the Line of Credit Agreement with DermaStar. The Line of Credit Agreement provided for advances of up to an aggregate of $750,000, subject to the satisfaction by us of certain conditions in connection with each advance. Interest under the line of credit accrued at 10% per annum. Through December 31, 2011 and up to April 25, 2012 (the date of the conversion thereof), we had requested advances of $300,000 and $750,000, respectively, under the line of credit. On April 25, 2012, the entire outstanding principal balance and all accrued and unpaid interest under the line of credit, an aggregate of $762,534, was converted into 965,233 shares of common stock and warrants to purchase 241,308 shares of our common stock. The line of credit was terminated upon the completion of the conversion.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Private Placement</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further described above under the heading “Recent Developments,” on April 25, 2012 we closed a private placement of securities with certain accredited investors for the sale and issuance of 10,058,455 shares of common stock and warrants to purchase up to 2,514,642 shares of common stock at an exercise price of $1.185 per share, for aggregate proceeds, net of offering costs, to us of approximately $7,930,000.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detailed information about our net cash flow for the six months ended June 30, 2012 and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w:t>
            </w:r>
          </w:p>
        </w:tc>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The Six Months Ended</w:t>
            </w:r>
          </w:p>
        </w:tc>
        <w:tc>
          <w:tcPr>
            <w:tcW w:w="0" w:type="dxa"/>
            <w:vAlign w:val="bottom"/>
          </w:tcPr>
          <w:p>
            <w:pPr>
              <w:spacing w:after="0"/>
              <w:rPr>
                <w:sz w:val="1"/>
                <w:szCs w:val="1"/>
                <w:color w:val="auto"/>
              </w:rPr>
            </w:pPr>
          </w:p>
        </w:tc>
      </w:tr>
      <w:tr>
        <w:trPr>
          <w:trHeight w:val="178"/>
        </w:trPr>
        <w:tc>
          <w:tcPr>
            <w:tcW w:w="4780" w:type="dxa"/>
            <w:vAlign w:val="bottom"/>
            <w:gridSpan w:val="2"/>
            <w:vMerge w:val="continue"/>
          </w:tcPr>
          <w:p>
            <w:pPr>
              <w:spacing w:after="0"/>
              <w:rPr>
                <w:sz w:val="15"/>
                <w:szCs w:val="15"/>
                <w:color w:val="auto"/>
              </w:rPr>
            </w:pPr>
          </w:p>
        </w:tc>
        <w:tc>
          <w:tcPr>
            <w:tcW w:w="4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(617,405)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(15,308)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8,203,845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7,571,132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146,160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4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7,717,292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40" w:type="dxa"/>
            <w:vAlign w:val="bottom"/>
          </w:tcPr>
          <w:p>
            <w:pPr>
              <w:jc w:val="right"/>
              <w:ind w:right="293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Operating Activities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$617,405 for the six months ended June 30, 2012, as compared to $285,909 used in operating activities during the same period for the prior year. The increase in net cash used in operating activities was mainly due to resuming the operation of our business, including assembling a management team and hiring employees, planning and development of additional Phase 3 studies and the reduction of our historical working capital debt.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2012 and 2011 was $15,308 and $0, respectively. The increase in investing activities during the six months ended June 30, 2012 was due primarily to our move into our new office space and our acquisition of furniture and office equipment to furnish that office space.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for the six months ended June 30, 2012 and 2011 was $8,203,845 and $0, respectively. The increase in cash is primarily attributable to aggregate proceeds, net of offering costs, of approximately $7,930,000 received from the April Private Placement and the $750,000 drawn under our Line of Credit Agreement with DermaStar between December 2011 and April 2012.</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limited funds to support our operations. We have prepared our consolidated financial statements on a going-concern basis, which contemplates the realization of assets and the satisfaction of liabilities in the normal course of business. Our continuation as a going concern is dependent on our ability to obtain additional financing to fund the continued operation of our business model for a long enough period to achieve profitable operations.</w:t>
      </w:r>
    </w:p>
    <w:p>
      <w:pPr>
        <w:spacing w:after="0" w:line="1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further described above under the heading “Recent Developments,” on April 25, 2012, we closed a private placement of common stock and warrants and received net cash proceeds from the offering of approximately $7,930,000. We currently have sufficient cash reserves to operate and execute our business plan for the 2012 fiscal year; however we expect that we will need to raise approximately $7,000,000 in additional funds to fully operate and complete our planned clinical trials. We expect to require additional funds in order to conduct additional Phase 3 trials and any other studies that may be required to obtain regulatory approval to market Impracor, to pursue a cosmetic development program and to explore other co-development opportunities. If adequate financing is not available, we may not be able to obtain regulatory approval to market Impracor or develop any additional products.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will be required to raise additional capital to fund our operations through sources of financing that could include equity and debt financings, funding from a corporate partnership and licensing arrangements.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be unable to obtain financing when necessary as a result of, among other things, general economic conditions, conditions in the pharmaceuticals industry or as a result of our operating history, including our recent bankruptcy proceedings. In addition, the fact that we are not and have never been profitable and will require significant additional funds to complete our clinical trials could further impact the availability or cost of future financings. The Company has filed a registration statement in connection with a proposed public offering of its common stock, however, there is no assurance that sufficient financing from that offering, or other financings, will be available or, if available, on terms that would be acceptable to us. If we are unable to raise funds to satisfy our capital needs on a timely basis, we may be required to cease operations.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As reported in the Report of Independent Registered Public Accounting Firm on our December 31, 2011 consolidated financial statements, we have incurred recurring losses from operations and have an accumulated deficit that raises substantial doubt about our ability to continue as a going concern. In addition, since we do not have adequate cash resources, as of the date of the report, to support our operating plan for the next twelve to eighteen months, there is substantial doubt about our ability to continue as a going concern.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most critical accounting policies and estimates that may materially impact our results of operations include: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All share-based payments to employees, including grants of employee stock options and restricted stock grants,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consolidated financial statements are based upon their fair values. We use the Black-Scholes-Merton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condensed consolidated balance sheets.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must estimate our actual current tax liabilities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expense all costs related to research and development as they are incurred.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recent accounting pronouncements issued by the FASB that management believes have had or are reasonably likely to have a material impact on our present or future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(as defined in Rule 13a-15(e) under the Exchange Act) that are designed to ensure that information that would be required to be disclosed in Exchange Act reports is recorded, processed, summarized and reported within the time period specified in the SEC’s rules and forms, and that such information is accumulated and communicated to our management, including to our principal executive officer and principal accounting and financial officer, as appropriate, to allow timely decisions regarding required disclosure.</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of the Exchange Act, as of June 30, 2012. Based on that evaluation, our principal executive officer and principal financial officer have concluded that, as of June 30, 2012, our disclosure controls and procedures were not effective because of the existence of unremediated material weaknesses, as described in Item 9A of our Annual Report on Form 10-K for the fiscal year ended December 31, 2011.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second quarter of fiscal 2012, we began taking certain actions to remediate material weaknesses in our internal control over financial reporting described in our Annual Report on Form 10-K for the fiscal year ended December 31, 2011. We have begun to implement, or expect to implement, the following corrective actions during the year ending December 31, 2012:</w:t>
      </w:r>
    </w:p>
    <w:p>
      <w:pPr>
        <w:spacing w:after="0" w:line="208" w:lineRule="exact"/>
        <w:rPr>
          <w:sz w:val="20"/>
          <w:szCs w:val="20"/>
          <w:color w:val="auto"/>
        </w:rPr>
      </w:pPr>
    </w:p>
    <w:p>
      <w:pPr>
        <w:jc w:val="both"/>
        <w:ind w:left="580" w:hanging="174"/>
        <w:spacing w:after="0" w:line="25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Board of Directors has established an audit committee, comprised of independent directors. On July 26, 2012, we appointed Stephen Austin, CPA, to our Board of Directors. The Board has determined that Mr. Austin is a “financial expert,” as the SEC has defined that term in Item 407 of Regulation S-K. Mr. Austin serves on the Audit Committee as its Chairman. The Audit Committee operates independently of our Board of Directors as contemplated by the charter for that committee, and will be tasked with, among other things, oversight of selection of our independent registered public accounting firm and the audit of our financial statements.</w:t>
      </w:r>
    </w:p>
    <w:p>
      <w:pPr>
        <w:spacing w:after="0" w:line="215" w:lineRule="exact"/>
        <w:rPr>
          <w:rFonts w:ascii="Arial" w:cs="Arial" w:eastAsia="Arial" w:hAnsi="Arial"/>
          <w:sz w:val="18"/>
          <w:szCs w:val="18"/>
          <w:color w:val="auto"/>
        </w:rPr>
      </w:pPr>
    </w:p>
    <w:p>
      <w:pPr>
        <w:jc w:val="both"/>
        <w:ind w:left="580" w:hanging="174"/>
        <w:spacing w:after="0" w:line="286"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in the process of adopting procedures designed to ensure better coordination, oversight and communication among our finance, human resources, and legal functions to ensure that no one person or department would have complete control in the accounting and financial reporting process. We intend to increase our staffing in the aforementioned departments in order to further implement those procedures.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date of this Quarterly Report, our remediation efforts continue related to each of the material weaknesses described in our Annual Report on Form 10-K for the year ended December 31, 2011. Those material weaknesses will not be considered remediated until (1) the procedures described above have been designed, appropriately controlled and implemented for a sufficient period of time, and (2) we have sufficient evidence that those procedures and related controls are operating effectively.</w:t>
      </w:r>
    </w:p>
    <w:p>
      <w:pPr>
        <w:spacing w:after="0" w:line="21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Other than our ongoing remediation efforts described above, there have been no changes in our internal control over financial reporting that occurred during the quarter ended June 30, 2012 that have materially affected, or are reasonably likely to materially affect, our internal control over financial reporting.</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PART II</w:t>
      </w:r>
      <w:r>
        <w:rPr>
          <w:rFonts w:ascii="Arial" w:cs="Arial" w:eastAsia="Arial" w:hAnsi="Arial"/>
          <w:sz w:val="18"/>
          <w:szCs w:val="18"/>
          <w:b w:val="1"/>
          <w:bCs w:val="1"/>
          <w:color w:val="auto"/>
        </w:rPr>
        <w:t>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(“DermaStar”), we requested that the Bankruptcy Court dismiss the Chapter 11 Case. On December 8, 2011, the Bankruptcy Court entered an order dismissing the Chapter 11 Case, and since that date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We did not receive any type of discharge of debts, claims or obligations in the Chapter 11 Case, and prior unknown or contingent liabilities could have a material adverse effect on our financial condition. Prior to the filing of the Chapter 11 Case, we were unable to successfully pursue our business plan due to a lack of funding. We will require additional capital to pursue our clinical trials and maintain our operations. We may be unable to obtain such funds when necessary. In addition, by September 2011 we employed no full-time employees and had retained the consulting services of one former employee in order to manage any matters related to the Chapter 11 Case. We have had to re-assemble an executive management team and a research and development team, and other employees to assist with our general operations. We currently have five employees, a number of whom are former employees, and we will need to hire additional employees in order to execute our business plan. Given our operating history, we may be unable to assemble an effective management team, or hire and retain qualified individuals. As a result, we may be unable to successfully resume our operations and pursue our business plan.</w:t>
      </w:r>
    </w:p>
    <w:p>
      <w:pPr>
        <w:spacing w:after="0" w:line="1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must raise additional capital in order to continue operating our business, and such additional funds may not be available on acceptable terms or at all.</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do not generate any cash from operations and must raise additional funds in order to continue operating our business. We expect to continue to fund our operations primarily through equity and debt financings in the future. If additional capital is not available when necessary, we may not be able to continue to operate our business pursuant to our business plan or we may have to discontinue our operations entirely. We will likely need significant additional capital, which we may seek to raise through, among other things, public and private equity offerings and debt financing.</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expect our total expenditures over the next 12 months to be approximately $7 million. However,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If we cannot raise the money that we need in order to continue to develop our business, we will be forced to delay, scale back or eliminate some or all of our proposed operations. If any of these events were to occur, there is a substantial risk that our business would fail. We expect to continue to seek funding from our existing stockholders and other qualified investors in order to pursue our business plan. Sources of additional funds may not be available on acceptable terms or at all. Weak economic and capital market conditions could result in increased difficulties in raising capital for our operations. We may not be able to raise money through the sale of our equity securities or through borrowing funds on terms we find acceptable. If we cannot raise the funds that we need, we will be unable to continue our operations, and our stockholders could lose their entire investment in our company.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2" w:name="page33"/>
    <w:bookmarkEnd w:id="32"/>
    <w:p>
      <w:pPr>
        <w:jc w:val="both"/>
        <w:ind w:firstLine="648"/>
        <w:spacing w:after="0" w:line="288" w:lineRule="auto"/>
        <w:rPr>
          <w:sz w:val="20"/>
          <w:szCs w:val="20"/>
          <w:color w:val="auto"/>
        </w:rPr>
      </w:pPr>
      <w:r>
        <w:rPr>
          <w:rFonts w:ascii="Arial" w:cs="Arial" w:eastAsia="Arial" w:hAnsi="Arial"/>
          <w:sz w:val="16"/>
          <w:szCs w:val="16"/>
          <w:color w:val="auto"/>
        </w:rPr>
        <w:t>We will be required to pursue sources of additional capital to fund our operations through various means, including equity or debt financing, funding from a corporate partnership or licensing arrangement or any similar financing. However, we may be unable to obtain such financings on reasonable terms, or at all. 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have previously filed for Chapter 11 bankruptcy, and will need significant additional funds to execute the additional Phase 3 clinical trials and supportive studies in order to obtain regulatory approval to market Impracor, and any other clinical trials we would want to commence for other products, could further impact the availability or cost of future financings. As a result, there can be no assurance that additional funds will be available when needed from any source or, if available, will be available on terms that are acceptable to us.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report of our independent registered public accounting firm on our 2011 consolidated financial statements contains a going concern modification, and we will need additional financing to execute our business plan, fund our operations and to continue as a going concern.</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limited remaining funds to support our operations. We have prepared our consolidated financial statements for the fiscal year ended December 31, 2011 and the six months ended June 30, 2012 on a going-concern basis, which contemplates the realization of assets and the satisfaction of liabilities in the normal course of business. The report of our independent registered public accounting firm included in our December 31, 2011 consolidated financial statements includes an explanatory paragraph stating that the recurring losses incurred from operations and a working capital deficiency raise substantial doubt about our ability to continue as a going concern. We received proceeds, net of offering costs, of approximately $7.93 million in the April Private Placement, which will enable us to pursue obtaining regulatory approval to market Impracor. As a result of the April Private Placement, with our current cash and cash equivalents position as of the date of this report, we expect to have adequate resources in order to operate our business for at least the next twelve months. However, we will need to secure additional funds in order to complete our clinical trials and pursue other product development opportunities. If adequate financing is not available, we will not be able to meet FDA requirements to obtain regulatory approval to market Impracor. In addition, if one or more of the risks discussed in these risk factors occur or our expenses exceed our expectations, we may be required to raise further additional funds sooner than anticipated. The inclusion of a going concern modification in our independent registered public accounting firm’s report for the year ended December 31, 2011 may materially and adversely affect our stock price or our ability to raise new capital.</w:t>
      </w:r>
    </w:p>
    <w:p>
      <w:pPr>
        <w:spacing w:after="0" w:line="1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losses in the research and development of Impracor and our Accudel technology since inception. We may never generate revenue or become profitable.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incurred losses in every year of our operations, including net losses of $(953,936) and $(2,531,228) for the years ended December 31, 2011 and 2010, respectively. As of June 30, 2012, our accumulated deficit was $(21,405,414).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we continue to engage in the development of Impracor and develop other products, we may never be able to achieve or sustain market acceptance, profitability or positive cash flow. Our ultimate success will depend on many factors, including whether Impracor receives FDA approval. We cannot be certain that we will receive FDA approval for Impracor,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operating expenses may fluctuate significantly in the future as a result of a variety of factors, many of which are outside of our control. These factors include:</w:t>
      </w:r>
    </w:p>
    <w:p>
      <w:pPr>
        <w:spacing w:after="0" w:line="197" w:lineRule="exact"/>
        <w:rPr>
          <w:sz w:val="20"/>
          <w:szCs w:val="20"/>
          <w:color w:val="auto"/>
        </w:rPr>
      </w:pPr>
    </w:p>
    <w:p>
      <w:pPr>
        <w:ind w:left="700" w:hanging="20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and resources required to develop, conduct clinical trials and obtain regulatory approvals for our drug candidates;</w:t>
      </w:r>
    </w:p>
    <w:p>
      <w:pPr>
        <w:spacing w:after="0" w:line="252" w:lineRule="exact"/>
        <w:rPr>
          <w:rFonts w:ascii="Arial" w:cs="Arial" w:eastAsia="Arial" w:hAnsi="Arial"/>
          <w:sz w:val="18"/>
          <w:szCs w:val="18"/>
          <w:color w:val="auto"/>
        </w:rPr>
      </w:pPr>
    </w:p>
    <w:p>
      <w:pPr>
        <w:ind w:left="700" w:hanging="202"/>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to rebuild our management team following the dismissal of the Chapter 11 Case, including attracting and retaining personnel with the skills required for effective operations; and</w:t>
      </w:r>
    </w:p>
    <w:p>
      <w:pPr>
        <w:spacing w:after="0" w:line="197" w:lineRule="exact"/>
        <w:rPr>
          <w:rFonts w:ascii="Arial" w:cs="Arial" w:eastAsia="Arial" w:hAnsi="Arial"/>
          <w:sz w:val="18"/>
          <w:szCs w:val="18"/>
          <w:color w:val="auto"/>
        </w:rPr>
      </w:pPr>
    </w:p>
    <w:p>
      <w:pPr>
        <w:ind w:left="700" w:hanging="202"/>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clinical trials may not demonstrate the safety and efficacy of our product candidates.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extensive government regulations. The process of obtaining FDA approval is costly, time consuming, uncertain and subject to unanticipated delays. Before obtaining regulatory approvals for the sale of any of our product candidates, we must demonstrate through preclinical studies and clinical trials that the product candidate is safe and effective for each intended use. Preclinical and clinical studies may fail to demonstrate the safety and effectiveness of our product candidates.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candidate, the approval may be limited to specific indications or limited with respect to its distribution, which could limit revenues.</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 or other regulatory agencies may not approve any product candidates developed by us on a timely basis or at all, and, if granted, such approval may subject the marketing of our product candidates to certain limits on indicated use. In particular, the outcome of the final analyses of the data from the Phase 3 clinical trials for Impracor may vary from our initial conclusions or the FDA may not agree with our interpretation of such results or may challenge the adequacy of our clinical trial design or the execution of the clinical trial. The FDA has required two adequate and well controlled Phase 3 clinical trials for Impracor before we can submit a 505(b) (2) New Drug Application. We have not yet initiated these Phase 3 clinical trials. The results of any future clinical trials may not be favorable and we may never receive regulatory approval for Impracor. Any limitation on use imposed by the FDA or delay in or failure to obtain FDA approvals of product candidates developed by us would adversely affect our ability to generate product revenue, as well as the price of our common stock.</w:t>
      </w: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our clinical and non-clinical trials for Impracor or the analysis of the data from our clinical or non-clinical trials may adversely affect our business.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spacing w:after="0" w:line="208" w:lineRule="exact"/>
        <w:rPr>
          <w:sz w:val="20"/>
          <w:szCs w:val="20"/>
          <w:color w:val="auto"/>
        </w:rPr>
      </w:pPr>
    </w:p>
    <w:p>
      <w:pPr>
        <w:ind w:left="700" w:hanging="20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the FDA to approve the scope or design of our clinical or non-clinical trials or manufacturing plans;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enrolling volunteers in clinical trials;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insufficient supply or deficient quality of materials necessary for the performance of clinical or non-clinical trials;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results of clinical or non-clinical studies; and</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side effects experienced by study participants in clinical trials relating to a specific product.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There may be other circumstances other than the ones described above, over which we may have no control that could materially delay the successful completion of our clinical and non-clinical studies.Furthermore, we expect to rely on contract research organizations, or CROs, to ensure the proper and timely conduct of our clinical trials, and while we expect to enter into agreements governing their committed activities, we have limited influence over their actual performance.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patents are determined to be unenforceable or expire, or if we are unable to obtain new patents based on current patent applications or for future inventions, we may not be able to prevent others from using our intellectual property.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success will depend in part on our ability to:</w:t>
      </w:r>
    </w:p>
    <w:p>
      <w:pPr>
        <w:spacing w:after="0" w:line="252" w:lineRule="exact"/>
        <w:rPr>
          <w:sz w:val="20"/>
          <w:szCs w:val="20"/>
          <w:color w:val="auto"/>
        </w:rPr>
      </w:pPr>
    </w:p>
    <w:p>
      <w:pPr>
        <w:ind w:left="700" w:hanging="2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and maintain patent protection with respect to our products;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trade secrets;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 without infringing upon the patents and proprietary rights of others; and</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appropriate licenses to patents or proprietary rights held by third parties if infringement would otherwise occur.</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obtained a patent from the United States Patent and Trademark Office on our Accudel technology in 1998, which affords protection of Accudel through 2016 in the United States. We may not be successful in our efforts to extend the date of our patent protection beyond 2016. Failure to maintain or extend the patent could adversely affect our business. We will only be able to protect our drug candidates and our technologies from unauthorized use by third parties to the extent that valid and enforceable patents cover them.</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may rely on unpatented trade secrets and know-how and continuing technological innovation to develop and maintain our competitive position, which we seek to protect, in part, by confidentiality agreements with employees, consultants, collaborators and others. We also have invention or patent assignment agreements with our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None of our pharmaceutical product candidates, other than Impracor, have commenced clinical trials.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None of our pharmaceutical product candidates, other than Impracor,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Once approved, failure to comply with continuing federal and state regulations could result in the loss of approvals to market our drugs.</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spacing w:after="0" w:line="224" w:lineRule="exact"/>
        <w:rPr>
          <w:sz w:val="20"/>
          <w:szCs w:val="20"/>
          <w:color w:val="auto"/>
        </w:rPr>
      </w:pPr>
    </w:p>
    <w:p>
      <w:pPr>
        <w:ind w:left="700" w:hanging="20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withdraw our regulatory approval;</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terminate any of our ongoing clinical trials;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impose restrictions on our operations;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close the facilities of our contract manufacturers; or</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b w:val="1"/>
          <w:bCs w:val="1"/>
          <w:i w:val="1"/>
          <w:iCs w:val="1"/>
          <w:color w:val="auto"/>
        </w:rPr>
        <w:t>Once approved, there is no guarantee that the market will accept our products. If we are not successful in introducing our products or if the market does not accept our products, our business, financial position and results of operations may be materially adversely affected and the market price for our common stock would decline.</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receiving additional patents based on our intellectual property strategy.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undertaken an effort to examine our intellectual property assets and have or shall file certain patents in certain jurisdictions, with the goal of attaining additional protections for our technologies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that 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do not employ personnel or possess the facilities necessary to conduct many of the activities associated with our programs. We expect to engage consultants, advisors, contract research organizations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both"/>
        <w:ind w:firstLine="648"/>
        <w:spacing w:after="0" w:line="271" w:lineRule="auto"/>
        <w:rPr>
          <w:sz w:val="20"/>
          <w:szCs w:val="20"/>
          <w:color w:val="auto"/>
        </w:rPr>
      </w:pPr>
      <w:r>
        <w:rPr>
          <w:rFonts w:ascii="Arial" w:cs="Arial" w:eastAsia="Arial" w:hAnsi="Arial"/>
          <w:sz w:val="17"/>
          <w:szCs w:val="17"/>
          <w:color w:val="auto"/>
        </w:rPr>
        <w:t>The CROs with whom we expect to contract for execution of our clinical studies will play a significant role in the conduct of our anticipated clinical studies or assist with our analysis of completed studies and to develop corresponding regulatory strategies. Individuals working at the CROs with whom we expect to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cosmetic product development program may not be successful.</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product development program has included cosmetic products, which utilizes the basis of our patented transdermal delivery system technology, Accudel. Since our primary focus will remain on seeking FDA approval for Impracor, we plan to use limited resources on our cosmetic development program and, as a result, we will need to partner with third parties to perform formulation, clinical research, manufacturing, sales and marketing activities. We have developed, formulated and pilot produced an anti-cellulite product candidate that we expect to further develop and market in the future. We cannot assure you that the results of any further studies that may be required before this product can be commercialized will be successful, that we will enter into additional commercial agreements with third parties for this product on acceptable terms, or at all, or that this product will be successfully commercialized. Even if we are not required to obtain FDA pre-market approval for this product, we will still be subject to a number of federal and state regulations, including regulation by the FDA and the Federal Trade Commission on any marketing claims we make about the anti-cellulite product. We may be unsuccessful in developing any other cosmetic products, including products for hyperpigmentation and anti-aging. Any products we develop may cause undesirable side effects that could limit their use, require their removal from the market and subject us to adverse regulatory action and product liability claims. Further, the market for cosmetic products is highly competitive, and there is no assurance that our products will be able to compete against the many products and treatments currently being offered or under development by other established, well-known and well-financed cosmetic, health care and pharmaceutical companies.</w:t>
      </w:r>
    </w:p>
    <w:p>
      <w:pPr>
        <w:spacing w:after="0" w:line="1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currently have no internal sales and marketing resources and may have to rely on third parties in the event that we successfully commercialize our product.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retain our key personnel or attract additional professional staff, we may be unable to maintain or expand our business.</w:t>
      </w:r>
    </w:p>
    <w:p>
      <w:pPr>
        <w:spacing w:after="0" w:line="2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we described elsewhere in this report, 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5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If we are unable to compete with other companies that develop rival products to our products, then we may never gain market share or achieve profitability.</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keep up with the rapid technological change in the biotechnology and pharmaceutical industries, which could make our products obsolete and reduce our potential revenues.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be detrimental to our business.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as a result of future equity or convertible debt offerings we may effect in the future.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inception we have funded our operations primarily through equity and debt financings and we expect to continue to do so in the future. Any future equity or convertible debt offerings we may effect will dilute your ownership interest in the Company. To the extent any of the warrants and options we have issued is ultimately exercised you will sustain future dilution. We may also acquire or license other technologies or finance strategic alliances by issuing equity, which may result in additional dilution to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 by our stockholders, or the perception that such sales may occur, could depress our stock price.</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Sales of our common stock in the public market could lower the market price of our common stock. Sales may also make it more difficult for us to sell equity securities or equity-related securities in the future at a time and price that our management deems acceptable or at all.</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market price of our common stock could decline as a result of sales by, or the perceived possibility of sales by, our existing stockholders. We have completed a number of private placements of our common stock and other securities over the last year. Future sales of common stock by significant stockholders, including those who acquired their shares in private placements or who are affiliates, or the perception that such sales may occur, could depress the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shares of our common stock may not develop or be sustained.</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Trading in our common stock is sporadic and volatile. We cannot predict the extent to which an active public market for our common stock will develop or be sustained. We expect to file an application for the listing of our common stock on The NASDAQ Capital Market, but our application may not be approved and, even if approved, we may not be able to meet the requirements for continued listing going forward. Our common stock has historically been sporadically or “thinly-traded” in the over-the-counter market. As a consequence, there may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of this lack of liquidity, the trading of relatively small quantities of shares may disproportionately influence the price of those shares in either direction. It is possible that a broader or more active public trading market for our common stock will not develop or be sustained.</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Because of their significant stock ownership, some of our existing stockholders will be able to exert control over us and our significant corporate decisions, and sales by management and the Board of Directors from time to time could have an adverse effect on our stock price.</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executive officers and directors own or have the right to acquire within 60 days, in the aggregate, approximately 24% of the shares of common stock outstanding following such issuance to them. In addition, four individual stockholders hold an additional approximately 40%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1" w:name="page42"/>
    <w:bookmarkEnd w:id="41"/>
    <w:p>
      <w:pPr>
        <w:ind w:left="700" w:hanging="2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 or</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fail to maintain an effective system of internal controls, we may not be able to accurately report our financial results or prevent fraud.</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described in our periodic reports filed with the SEC, including Item 4 of this Quarterly Report on Form 10-Q for the period ended June 30, 2012 and our Annual Report on Form 10-K for the fiscal year ended December 31, 2011, we have identified material weaknesses in our internal controls and procedures. As a result, we have concluded that our disclosure controls and procedures were not effective as of the end of the period covered by these reports. We have implemented, and continue to implement, actions to address these weaknesses and to enhance the reliability and effectiveness of our internal controls and operations; however, the measures we have taken to date and any future measures may not remediate the material weaknesses discussed in our periodic reports. In addition, we may not be able to maintain adequate controls over our financial processes and reporting in the future. We may discover additional material weaknesses, which we may not successfully remediate on a timely basis or at all. Any failure to remediate any material weaknesses identified by us or to implement required new or improved controls, or difficulties encountered in their implementation, could cause us to fail to meet our reporting obligations or result in material misstatements in our consolidated financial statements. Inadequate internal controls could also cause investors to lose confidence in our reported financial information, which could have a negative impact on the trading price of our stock. Moreover, we will be required to expend significant resources to design, implement and maintain a system of internal controls that is adequate to satisfy our reporting obligations as a public company. The costs associated with external consultants, as well as internal resources are significant and difficult to predict. As a result, our business, results of operations, financial condition and cash flows could be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w:t>
      </w:r>
    </w:p>
    <w:p>
      <w:pPr>
        <w:spacing w:after="0" w:line="197" w:lineRule="exact"/>
        <w:rPr>
          <w:sz w:val="20"/>
          <w:szCs w:val="20"/>
          <w:color w:val="auto"/>
        </w:rPr>
      </w:pPr>
    </w:p>
    <w:p>
      <w:pPr>
        <w:ind w:left="680" w:hanging="195"/>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pharmaceutical industry and markets;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700" w:hanging="202"/>
        <w:spacing w:after="0" w:line="277" w:lineRule="auto"/>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ind w:left="700" w:hanging="20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any strategic relationship with our contract manufacturers and clinical and non-clinical research organizations;</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or regulatory developments; or</w:t>
      </w:r>
    </w:p>
    <w:p>
      <w:pPr>
        <w:spacing w:after="0" w:line="252" w:lineRule="exact"/>
        <w:rPr>
          <w:rFonts w:ascii="Arial" w:cs="Arial" w:eastAsia="Arial" w:hAnsi="Arial"/>
          <w:sz w:val="18"/>
          <w:szCs w:val="18"/>
          <w:color w:val="auto"/>
        </w:rPr>
      </w:pPr>
    </w:p>
    <w:p>
      <w:pPr>
        <w:ind w:left="700" w:hanging="20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If we were to issue preferred stock, it is likely to have rights, preferences and privileges superior to those of our common stock.</w:t>
      </w:r>
    </w:p>
    <w:p>
      <w:pPr>
        <w:spacing w:after="0" w:line="197" w:lineRule="exact"/>
        <w:rPr>
          <w:sz w:val="20"/>
          <w:szCs w:val="20"/>
          <w:color w:val="auto"/>
        </w:rPr>
      </w:pPr>
    </w:p>
    <w:p>
      <w:pPr>
        <w:jc w:val="both"/>
        <w:ind w:firstLine="707"/>
        <w:spacing w:after="0" w:line="270"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our then-outstanding common stock. The preferred stock could also be utilized, under certain circumstances, as a method for raising additional capital or discouraging, delaying or preventing a change in control of the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10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Securities Purchase Agreement, dated April 20, 2012, by and between Imprimis Pharmaceuticals, Inc. and the investors signatory thereto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(incorporated herein by reference to Exhibit 10.1 to the Company’s Current Report on Form 8-K filed on April 27,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Form of Warrant dated April 25, 2012 (incorporated herein by reference to Exhibit 10.2 to the Company’s Current Report on Form 8-K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on April 27,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Promissory Note Conversion Agreement dated April 20, 2012, by and between Imprimis Pharmaceuticals, Inc. and DermaStar International,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LLC (incorporated herein by reference to Exhibit 10.3 to the Company’s Current Report on Form 8-K filed on April 27,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Amended and Restated Employment Agreement, dated July 24, 2012, by and between Imprimis Pharmaceuticals, Inc. and Mark L. Baum,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1"/>
              </w:rPr>
              <w:t>Esq. (incorporated herein by reference to Exhibit 10.30 to the Company’s Registration Statement on Form S-1 (File No. 333-182846)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Advisory Agreement, dated April 1, 2012, by and between Imprimis Pharmaceuticals, Inc. and Dr. Robert Kammer (incorporated herein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reference to Exhibit 10.4 to the Company’s Current Report on Form 8-K filed on April 27,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Termination Agreement, effective as of May 9, 2012, by and between Imprimis Pharmaceuticals, Inc. and Paul Finnegan, M.D.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4"/>
              </w:rPr>
              <w:t>herein by reference to Exhibit 10.34 to the Company’s Registration Statement on Form S-1 (File No. 333-182846) filed on 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Conversion Agreement, dated June 29, 2012, by and between Imprimis Pharmaceuticals, Inc. and DermaStar International, LLC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9"/>
              </w:rPr>
              <w:t>by reference to Exhibit 10.39 to the Company’s Registration Statement on Form S-1 (File No. 333-182846) filed on 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240" w:type="dxa"/>
            <w:vAlign w:val="bottom"/>
            <w:shd w:val="clear" w:color="auto" w:fill="CCEEFF"/>
          </w:tcPr>
          <w:p>
            <w:pPr>
              <w:spacing w:after="0"/>
              <w:rPr>
                <w:sz w:val="15"/>
                <w:szCs w:val="15"/>
                <w:color w:val="auto"/>
              </w:rPr>
            </w:pPr>
          </w:p>
        </w:tc>
        <w:tc>
          <w:tcPr>
            <w:tcW w:w="10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of Mark L. Baum, Esq., Principal Executive Officer, pursuant to Rule 13a-14(a) or 15d-14(a) of the Securities and Exchange Act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 1934, as adopted pursuant to Section 302 of the Sarbanes- 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240" w:type="dxa"/>
            <w:vAlign w:val="bottom"/>
            <w:shd w:val="clear" w:color="auto" w:fill="CCEEFF"/>
          </w:tcPr>
          <w:p>
            <w:pPr>
              <w:spacing w:after="0"/>
              <w:rPr>
                <w:sz w:val="15"/>
                <w:szCs w:val="15"/>
                <w:color w:val="auto"/>
              </w:rPr>
            </w:pPr>
          </w:p>
        </w:tc>
        <w:tc>
          <w:tcPr>
            <w:tcW w:w="10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Certification of Andrew R. Boll, Principal Financial and Accounting Officer, pursuant to Rule 13a-14(a) or 15d-14(a) of the Securities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240" w:type="dxa"/>
            <w:vAlign w:val="bottom"/>
            <w:shd w:val="clear" w:color="auto" w:fill="CCEEFF"/>
          </w:tcPr>
          <w:p>
            <w:pPr>
              <w:spacing w:after="0"/>
              <w:rPr>
                <w:sz w:val="15"/>
                <w:szCs w:val="15"/>
                <w:color w:val="auto"/>
              </w:rPr>
            </w:pPr>
          </w:p>
        </w:tc>
        <w:tc>
          <w:tcPr>
            <w:tcW w:w="10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 Mark 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Baum, Esq.,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240" w:type="dxa"/>
            <w:vAlign w:val="bottom"/>
            <w:shd w:val="clear" w:color="auto" w:fill="CCEEFF"/>
          </w:tcPr>
          <w:p>
            <w:pPr>
              <w:spacing w:after="0"/>
              <w:rPr>
                <w:sz w:val="15"/>
                <w:szCs w:val="15"/>
                <w:color w:val="auto"/>
              </w:rPr>
            </w:pPr>
          </w:p>
        </w:tc>
        <w:tc>
          <w:tcPr>
            <w:tcW w:w="10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 Andrew</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 Boll, Principal Financial and Accounting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80" w:hanging="572"/>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Amends and restates the Employment Agreement, dated April 1, 2012, by and between Imprimis Pharmaceuticals, Inc. and Mark L. Baum, Esq. (incorporated herein by reference to Exhibit 10.5 to the Company’s Current Report on Form 8-K filed on April 27, 2012).</w:t>
      </w:r>
    </w:p>
    <w:p>
      <w:pPr>
        <w:spacing w:after="0" w:line="1" w:lineRule="exact"/>
        <w:rPr>
          <w:sz w:val="20"/>
          <w:szCs w:val="20"/>
          <w:color w:val="auto"/>
        </w:rPr>
      </w:pPr>
    </w:p>
    <w:p>
      <w:pPr>
        <w:jc w:val="both"/>
        <w:ind w:left="580" w:hanging="572"/>
        <w:spacing w:after="0" w:line="277" w:lineRule="auto"/>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except as expressly set forth by specific reference in such filing.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14, 2012</w:t>
      </w:r>
      <w:r>
        <w:rPr>
          <w:sz w:val="20"/>
          <w:szCs w:val="20"/>
          <w:color w:val="auto"/>
        </w:rPr>
        <w:tab/>
      </w:r>
      <w:r>
        <w:rPr>
          <w:rFonts w:ascii="Arial" w:cs="Arial" w:eastAsia="Arial" w:hAnsi="Arial"/>
          <w:sz w:val="17"/>
          <w:szCs w:val="17"/>
          <w:color w:val="auto"/>
        </w:rPr>
        <w:t>By: /s/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of Accounting and Public Reporting</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5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960" w:type="dxa"/>
            <w:vAlign w:val="bottom"/>
            <w:gridSpan w:val="3"/>
            <w:vMerge w:val="continue"/>
          </w:tcPr>
          <w:p>
            <w:pPr>
              <w:spacing w:after="0"/>
              <w:rPr>
                <w:sz w:val="12"/>
                <w:szCs w:val="12"/>
                <w:color w:val="auto"/>
              </w:rPr>
            </w:pPr>
          </w:p>
        </w:tc>
        <w:tc>
          <w:tcPr>
            <w:tcW w:w="10460" w:type="dxa"/>
            <w:vAlign w:val="bottom"/>
            <w:gridSpan w:val="4"/>
          </w:tcPr>
          <w:p>
            <w:pPr>
              <w:ind w:left="200"/>
              <w:spacing w:after="0" w:line="147" w:lineRule="exact"/>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5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1046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Securities Purchase Agreement, dated April 20, 2012, by and between Imprimis Pharmaceuticals, Inc. and the investors signatory thereto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(incorporated herein by reference to Exhibit 10.1 to the Company’s Current Report on Form 8-K filed on April 27,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10.2</w:t>
            </w:r>
          </w:p>
        </w:tc>
        <w:tc>
          <w:tcPr>
            <w:tcW w:w="1046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Form of Warrant dated April 25, 2012 (incorporated herein by reference to Exhibit 10.2 to the Company’s Current Report on Form 8-K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on April 27,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10.3</w:t>
            </w:r>
          </w:p>
        </w:tc>
        <w:tc>
          <w:tcPr>
            <w:tcW w:w="1046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Promissory Note Conversion Agreement dated April 20, 2012, by and between Imprimis Pharmaceuticals, Inc. and DermaStar International,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LLC (incorporated herein by reference to Exhibit 10.3 to the Company’s Current Report on Form 8-K filed on April 27,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10.4§</w:t>
            </w:r>
          </w:p>
        </w:tc>
        <w:tc>
          <w:tcPr>
            <w:tcW w:w="1046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Amended and Restated Employment Agreement, dated July 24, 2012, by and between Imprimis Pharmaceuticals, Inc. and Mark L. Baum,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1"/>
              </w:rPr>
              <w:t>Esq. (incorporated herein by reference to Exhibit 10.30 to the Company’s Registration Statement on Form S-1 (File No. 333-182846)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10.5</w:t>
            </w:r>
          </w:p>
        </w:tc>
        <w:tc>
          <w:tcPr>
            <w:tcW w:w="1046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Advisory Agreement, dated April 1, 2012, by and between Imprimis Pharmaceuticals, Inc. and Dr. Robert Kammer (incorporated herein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reference to Exhibit 10.4 to the Company’s Current Report on Form 8-K filed on April 27,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10.6</w:t>
            </w:r>
          </w:p>
        </w:tc>
        <w:tc>
          <w:tcPr>
            <w:tcW w:w="1046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Termination Agreement, effective as of May 9, 2012, by and between Imprimis Pharmaceuticals, Inc. and Paul Finnegan, M.D.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4"/>
              </w:rPr>
              <w:t>herein by reference to Exhibit 10.34 to the Company’s Registration Statement on Form S-1 (File No. 333-182846) filed on 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10.7</w:t>
            </w:r>
          </w:p>
        </w:tc>
        <w:tc>
          <w:tcPr>
            <w:tcW w:w="1046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rPr>
              <w:t>Conversion Agreement, dated June 29, 2012, by and between Imprimis Pharmaceuticals, Inc. and DermaStar International,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4"/>
              </w:rPr>
              <w:t>(incorporated by reference to Exhibit 10.39 to the Company’s Registration Statement on Form S-1 (File No. 333-182846) filed on July 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140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460" w:type="dxa"/>
            <w:vAlign w:val="bottom"/>
            <w:gridSpan w:val="4"/>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Certification of Mark L. Baum, Esq., Principal Executive Officer, pursuant to Rule 13a-14(a) or 15d-14(a) of the Securities and Exchange Act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of 1934, as adopted pursuant to Section 302 of the Sarbanes- 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460" w:type="dxa"/>
            <w:vAlign w:val="bottom"/>
            <w:gridSpan w:val="4"/>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Certification of Andrew R. Boll, Principal Financial and Accounting Officer, pursuant to Rule 13a-14(a) or 15d-14(a) of the Securities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460" w:type="dxa"/>
            <w:vAlign w:val="bottom"/>
            <w:gridSpan w:val="4"/>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 Mark 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Baum, Esq.,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460" w:type="dxa"/>
            <w:vAlign w:val="bottom"/>
            <w:gridSpan w:val="4"/>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 Andrew</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R. Boll, Principal Financial and Accounting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8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Amends and restates the Employment Agreement, dated April 1, 2012, by and between Imprimis Pharmaceuticals, Inc. and Mark L. Baum, Esq. (incorporated herein by reference to Exhibit 10.5 to the Company’s Current Report on Form 8-K filed on April 27, 2012).</w:t>
      </w:r>
    </w:p>
    <w:p>
      <w:pPr>
        <w:spacing w:after="0" w:line="1" w:lineRule="exact"/>
        <w:rPr>
          <w:sz w:val="20"/>
          <w:szCs w:val="20"/>
          <w:color w:val="auto"/>
        </w:rPr>
      </w:pPr>
    </w:p>
    <w:p>
      <w:pPr>
        <w:jc w:val="both"/>
        <w:ind w:left="580" w:hanging="572"/>
        <w:spacing w:after="0" w:line="277"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except as expressly set forth by specific reference in such filing.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Chief Executive Officer of Imprimis Pharmaceuticals, Inc., certify that:</w:t>
      </w:r>
    </w:p>
    <w:p>
      <w:pPr>
        <w:spacing w:after="0" w:line="225" w:lineRule="exact"/>
        <w:rPr>
          <w:sz w:val="20"/>
          <w:szCs w:val="20"/>
          <w:color w:val="auto"/>
        </w:rPr>
      </w:pPr>
    </w:p>
    <w:p>
      <w:pPr>
        <w:ind w:left="1000" w:hanging="492"/>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00" w:hanging="492"/>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00" w:hanging="492"/>
        <w:spacing w:after="0" w:line="291"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80" w:hanging="494"/>
        <w:spacing w:after="0" w:line="264"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hanging="494"/>
        <w:spacing w:after="0" w:line="342" w:lineRule="auto"/>
        <w:tabs>
          <w:tab w:leader="none" w:pos="13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1000" w:hanging="492"/>
        <w:spacing w:after="0" w:line="34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hanging="494"/>
        <w:spacing w:after="0" w:line="308" w:lineRule="auto"/>
        <w:tabs>
          <w:tab w:leader="none" w:pos="13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hanging="494"/>
        <w:spacing w:after="0" w:line="277"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August 14, 2012</w:t>
      </w:r>
      <w:r>
        <w:rPr>
          <w:sz w:val="20"/>
          <w:szCs w:val="20"/>
          <w:color w:val="auto"/>
        </w:rPr>
        <w:tab/>
      </w:r>
      <w:r>
        <w:rPr>
          <w:rFonts w:ascii="Arial" w:cs="Arial" w:eastAsia="Arial" w:hAnsi="Arial"/>
          <w:sz w:val="16"/>
          <w:szCs w:val="16"/>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Principal Accounting and Financial Officer of Imprimis Pharmaceuticals, Inc., certify that:</w:t>
      </w:r>
    </w:p>
    <w:p>
      <w:pPr>
        <w:spacing w:after="0" w:line="225" w:lineRule="exact"/>
        <w:rPr>
          <w:sz w:val="20"/>
          <w:szCs w:val="20"/>
          <w:color w:val="auto"/>
        </w:rPr>
      </w:pPr>
    </w:p>
    <w:p>
      <w:pPr>
        <w:ind w:left="1000" w:hanging="492"/>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00" w:hanging="492"/>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00" w:hanging="492"/>
        <w:spacing w:after="0" w:line="291"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80" w:hanging="494"/>
        <w:spacing w:after="0" w:line="264"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hanging="494"/>
        <w:spacing w:after="0" w:line="342" w:lineRule="auto"/>
        <w:tabs>
          <w:tab w:leader="none" w:pos="13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1000" w:hanging="492"/>
        <w:spacing w:after="0" w:line="34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hanging="494"/>
        <w:spacing w:after="0" w:line="308" w:lineRule="auto"/>
        <w:tabs>
          <w:tab w:leader="none" w:pos="13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hanging="494"/>
        <w:spacing w:after="0" w:line="277"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August 14, 2012</w:t>
      </w:r>
      <w:r>
        <w:rPr>
          <w:sz w:val="20"/>
          <w:szCs w:val="20"/>
          <w:color w:val="auto"/>
        </w:rPr>
        <w:tab/>
      </w:r>
      <w:r>
        <w:rPr>
          <w:rFonts w:ascii="Arial" w:cs="Arial" w:eastAsia="Arial" w:hAnsi="Arial"/>
          <w:sz w:val="17"/>
          <w:szCs w:val="17"/>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Vice-President of Accounting and Public Reporting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Mark L. Baum, Chief Executive Officer of Imprimis Pharmaceuticals, Inc. (the “</w:t>
      </w:r>
      <w:r>
        <w:rPr>
          <w:rFonts w:ascii="Arial" w:cs="Arial" w:eastAsia="Arial" w:hAnsi="Arial"/>
          <w:sz w:val="17"/>
          <w:szCs w:val="17"/>
          <w:b w:val="1"/>
          <w:bCs w:val="1"/>
          <w:color w:val="auto"/>
        </w:rPr>
        <w:t>Company</w:t>
      </w:r>
      <w:r>
        <w:rPr>
          <w:rFonts w:ascii="Arial" w:cs="Arial" w:eastAsia="Arial" w:hAnsi="Arial"/>
          <w:sz w:val="17"/>
          <w:szCs w:val="17"/>
          <w:color w:val="auto"/>
        </w:rPr>
        <w:t>”), DOES HEREBY CERTIFY that:</w:t>
      </w:r>
    </w:p>
    <w:p>
      <w:pPr>
        <w:spacing w:after="0" w:line="264" w:lineRule="exact"/>
        <w:rPr>
          <w:sz w:val="20"/>
          <w:szCs w:val="20"/>
          <w:color w:val="auto"/>
        </w:rPr>
      </w:pPr>
    </w:p>
    <w:p>
      <w:pPr>
        <w:ind w:left="660" w:hanging="229"/>
        <w:spacing w:after="0" w:line="282" w:lineRule="auto"/>
        <w:tabs>
          <w:tab w:leader="none" w:pos="7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fiscal quarter ended June 30, 2012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of the Securities Exchange Act of 1934; and</w:t>
      </w:r>
    </w:p>
    <w:p>
      <w:pPr>
        <w:spacing w:after="0" w:line="192" w:lineRule="exact"/>
        <w:rPr>
          <w:rFonts w:ascii="Arial" w:cs="Arial" w:eastAsia="Arial" w:hAnsi="Arial"/>
          <w:sz w:val="18"/>
          <w:szCs w:val="18"/>
          <w:color w:val="auto"/>
        </w:rPr>
      </w:pPr>
    </w:p>
    <w:p>
      <w:pPr>
        <w:ind w:left="700" w:hanging="269"/>
        <w:spacing w:after="0"/>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 of the Company.</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statement this 14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August, 2012.</w:t>
      </w:r>
    </w:p>
    <w:p>
      <w:pPr>
        <w:spacing w:after="0" w:line="17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Imprimis Pharmaceuticals, Inc. and will be retained by Imprimis Pharmaceuticals, Inc. and furnished to the Securities and Exchange Commission or its staff upon request.</w:t>
      </w:r>
    </w:p>
    <w:p>
      <w:pPr>
        <w:spacing w:after="0" w:line="19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The undersigned, Andrew R. Boll, Principal Accounting and Financial Officer of Imprimis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DOES HEREBY CERTIFY that:</w:t>
      </w:r>
    </w:p>
    <w:p>
      <w:pPr>
        <w:spacing w:after="0" w:line="189" w:lineRule="exact"/>
        <w:rPr>
          <w:sz w:val="20"/>
          <w:szCs w:val="20"/>
          <w:color w:val="auto"/>
        </w:rPr>
      </w:pPr>
    </w:p>
    <w:p>
      <w:pPr>
        <w:ind w:left="660" w:hanging="229"/>
        <w:spacing w:after="0" w:line="282" w:lineRule="auto"/>
        <w:tabs>
          <w:tab w:leader="none" w:pos="7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fiscal quarter ended June 30, 2012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of the Securities Exchange Act of 1934; and</w:t>
      </w:r>
    </w:p>
    <w:p>
      <w:pPr>
        <w:spacing w:after="0" w:line="192" w:lineRule="exact"/>
        <w:rPr>
          <w:rFonts w:ascii="Arial" w:cs="Arial" w:eastAsia="Arial" w:hAnsi="Arial"/>
          <w:sz w:val="18"/>
          <w:szCs w:val="18"/>
          <w:color w:val="auto"/>
        </w:rPr>
      </w:pPr>
    </w:p>
    <w:p>
      <w:pPr>
        <w:ind w:left="700" w:hanging="269"/>
        <w:spacing w:after="0"/>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 of the Company.</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statement this 14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August, 2012.</w:t>
      </w:r>
    </w:p>
    <w:p>
      <w:pPr>
        <w:spacing w:after="0" w:line="14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316420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64205"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Vice-President of Accounting and Public Reporting</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Accounting and Financial Officer)</w:t>
      </w:r>
    </w:p>
    <w:p>
      <w:pPr>
        <w:spacing w:after="0" w:line="200" w:lineRule="exact"/>
        <w:rPr>
          <w:sz w:val="20"/>
          <w:szCs w:val="20"/>
          <w:color w:val="auto"/>
        </w:rPr>
      </w:pPr>
    </w:p>
    <w:p>
      <w:pPr>
        <w:spacing w:after="0" w:line="2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Imprimis Pharmaceuticals, Inc. and will be retained by Imprimis Pharmaceuticals, Inc. and furnished to the Securities and Exchange Commission or its staff upon request.</w:t>
      </w:r>
    </w:p>
    <w:p>
      <w:pPr>
        <w:spacing w:after="0" w:line="19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Roman"/>
      <w:start w:val="2"/>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lvl w:ilvl="1">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2020-02-25T12:27:50Z</dcterms:created>
  <dcterms:modified xsi:type="dcterms:W3CDTF">2020-02-25T12:27:50Z</dcterms:modified>
</cp:coreProperties>
</file>